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844528" w14:textId="424D3266" w:rsidR="00B40CC9" w:rsidRPr="00774EDB" w:rsidRDefault="003D690B" w:rsidP="00327E6E">
      <w:pPr>
        <w:spacing w:line="360" w:lineRule="auto"/>
        <w:jc w:val="center"/>
        <w:rPr>
          <w:rFonts w:ascii="Times New Roman" w:hAnsi="Times New Roman" w:cs="Times New Roman"/>
          <w:b/>
          <w:sz w:val="24"/>
          <w:szCs w:val="24"/>
        </w:rPr>
      </w:pPr>
      <w:r w:rsidRPr="00774EDB">
        <w:rPr>
          <w:rFonts w:ascii="Times New Roman" w:hAnsi="Times New Roman" w:cs="Times New Roman"/>
          <w:b/>
          <w:sz w:val="24"/>
          <w:szCs w:val="24"/>
        </w:rPr>
        <w:t>Anglia Ruskin University</w:t>
      </w:r>
    </w:p>
    <w:p w14:paraId="442E677E" w14:textId="5ED68649" w:rsidR="00B40CC9" w:rsidRPr="00774EDB" w:rsidRDefault="00D3456B">
      <w:pPr>
        <w:spacing w:line="360" w:lineRule="auto"/>
        <w:jc w:val="center"/>
        <w:rPr>
          <w:rFonts w:ascii="Times New Roman" w:hAnsi="Times New Roman" w:cs="Times New Roman"/>
          <w:b/>
          <w:sz w:val="24"/>
          <w:szCs w:val="24"/>
        </w:rPr>
      </w:pPr>
      <w:r w:rsidRPr="00774EDB">
        <w:rPr>
          <w:rFonts w:ascii="Times New Roman" w:hAnsi="Times New Roman" w:cs="Times New Roman"/>
          <w:b/>
          <w:sz w:val="24"/>
          <w:szCs w:val="24"/>
        </w:rPr>
        <w:t>Faculty of Business and Law</w:t>
      </w:r>
    </w:p>
    <w:p w14:paraId="66EA84DF" w14:textId="4F84E076" w:rsidR="006C249C" w:rsidRDefault="006C249C" w:rsidP="00327E6E">
      <w:pPr>
        <w:spacing w:line="360" w:lineRule="auto"/>
        <w:jc w:val="center"/>
        <w:rPr>
          <w:rFonts w:ascii="Times New Roman" w:hAnsi="Times New Roman" w:cs="Times New Roman"/>
          <w:b/>
          <w:sz w:val="24"/>
          <w:szCs w:val="24"/>
        </w:rPr>
      </w:pPr>
    </w:p>
    <w:p w14:paraId="37A3F36C" w14:textId="27BE46EF" w:rsidR="00327E6E" w:rsidRDefault="00327E6E" w:rsidP="00327E6E">
      <w:pPr>
        <w:spacing w:line="360" w:lineRule="auto"/>
        <w:jc w:val="center"/>
        <w:rPr>
          <w:rFonts w:ascii="Times New Roman" w:hAnsi="Times New Roman" w:cs="Times New Roman"/>
          <w:b/>
          <w:sz w:val="24"/>
          <w:szCs w:val="24"/>
        </w:rPr>
      </w:pPr>
    </w:p>
    <w:p w14:paraId="49B40A5A" w14:textId="52722C39" w:rsidR="00327E6E" w:rsidRDefault="00327E6E" w:rsidP="00327E6E">
      <w:pPr>
        <w:spacing w:line="360" w:lineRule="auto"/>
        <w:jc w:val="center"/>
        <w:rPr>
          <w:rFonts w:ascii="Times New Roman" w:hAnsi="Times New Roman" w:cs="Times New Roman"/>
          <w:b/>
          <w:sz w:val="24"/>
          <w:szCs w:val="24"/>
        </w:rPr>
      </w:pPr>
    </w:p>
    <w:p w14:paraId="0117717C" w14:textId="7B694F4D" w:rsidR="00327E6E" w:rsidRDefault="00327E6E" w:rsidP="00327E6E">
      <w:pPr>
        <w:spacing w:line="360" w:lineRule="auto"/>
        <w:jc w:val="center"/>
        <w:rPr>
          <w:rFonts w:ascii="Times New Roman" w:hAnsi="Times New Roman" w:cs="Times New Roman"/>
          <w:b/>
          <w:sz w:val="24"/>
          <w:szCs w:val="24"/>
        </w:rPr>
      </w:pPr>
    </w:p>
    <w:p w14:paraId="12143217" w14:textId="77777777" w:rsidR="00327E6E" w:rsidRPr="00774EDB" w:rsidRDefault="00327E6E">
      <w:pPr>
        <w:spacing w:line="360" w:lineRule="auto"/>
        <w:jc w:val="center"/>
        <w:rPr>
          <w:rFonts w:ascii="Times New Roman" w:hAnsi="Times New Roman" w:cs="Times New Roman"/>
          <w:b/>
          <w:sz w:val="24"/>
          <w:szCs w:val="24"/>
        </w:rPr>
      </w:pPr>
    </w:p>
    <w:p w14:paraId="2E6D6DB4" w14:textId="13330E52" w:rsidR="00016B9E" w:rsidRPr="00774EDB" w:rsidRDefault="00016B9E">
      <w:pPr>
        <w:spacing w:line="360" w:lineRule="auto"/>
        <w:jc w:val="center"/>
        <w:rPr>
          <w:rFonts w:ascii="Times New Roman" w:hAnsi="Times New Roman" w:cs="Times New Roman"/>
          <w:b/>
          <w:sz w:val="24"/>
          <w:szCs w:val="24"/>
        </w:rPr>
      </w:pPr>
    </w:p>
    <w:p w14:paraId="5AE0DEEC" w14:textId="77777777" w:rsidR="006C249C" w:rsidRPr="00774EDB" w:rsidRDefault="006C249C">
      <w:pPr>
        <w:spacing w:line="360" w:lineRule="auto"/>
        <w:jc w:val="center"/>
        <w:rPr>
          <w:rFonts w:ascii="Times New Roman" w:hAnsi="Times New Roman" w:cs="Times New Roman"/>
          <w:b/>
          <w:sz w:val="24"/>
          <w:szCs w:val="24"/>
        </w:rPr>
      </w:pPr>
      <w:r w:rsidRPr="00774EDB">
        <w:rPr>
          <w:rFonts w:ascii="Times New Roman" w:hAnsi="Times New Roman" w:cs="Times New Roman"/>
          <w:b/>
          <w:sz w:val="24"/>
          <w:szCs w:val="24"/>
        </w:rPr>
        <w:t>Regulatory governance of ICT interoperability under EU law:</w:t>
      </w:r>
    </w:p>
    <w:p w14:paraId="7FD4F7F2" w14:textId="77777777" w:rsidR="006C249C" w:rsidRPr="00774EDB" w:rsidRDefault="006C249C">
      <w:pPr>
        <w:spacing w:line="360" w:lineRule="auto"/>
        <w:jc w:val="center"/>
        <w:rPr>
          <w:rFonts w:ascii="Times New Roman" w:hAnsi="Times New Roman" w:cs="Times New Roman"/>
          <w:b/>
          <w:sz w:val="24"/>
          <w:szCs w:val="24"/>
        </w:rPr>
      </w:pPr>
      <w:r w:rsidRPr="00774EDB">
        <w:rPr>
          <w:rFonts w:ascii="Times New Roman" w:hAnsi="Times New Roman" w:cs="Times New Roman"/>
          <w:b/>
          <w:sz w:val="24"/>
          <w:szCs w:val="24"/>
        </w:rPr>
        <w:t>Building up an appropriate policy framework</w:t>
      </w:r>
    </w:p>
    <w:p w14:paraId="28B91344" w14:textId="2838F48E" w:rsidR="00550403" w:rsidRPr="00774EDB" w:rsidRDefault="00550403">
      <w:pPr>
        <w:spacing w:line="360" w:lineRule="auto"/>
        <w:jc w:val="center"/>
        <w:rPr>
          <w:rFonts w:ascii="Times New Roman" w:hAnsi="Times New Roman" w:cs="Times New Roman"/>
          <w:b/>
          <w:sz w:val="24"/>
          <w:szCs w:val="24"/>
        </w:rPr>
      </w:pPr>
    </w:p>
    <w:p w14:paraId="07A49968" w14:textId="1AFDFC22" w:rsidR="006C249C" w:rsidRDefault="006C249C" w:rsidP="00327E6E">
      <w:pPr>
        <w:spacing w:line="360" w:lineRule="auto"/>
        <w:jc w:val="center"/>
        <w:rPr>
          <w:rFonts w:ascii="Times New Roman" w:hAnsi="Times New Roman" w:cs="Times New Roman"/>
          <w:b/>
          <w:sz w:val="24"/>
          <w:szCs w:val="24"/>
        </w:rPr>
      </w:pPr>
    </w:p>
    <w:p w14:paraId="1CBE6B3C" w14:textId="5F99E608" w:rsidR="00327E6E" w:rsidRDefault="00327E6E" w:rsidP="00327E6E">
      <w:pPr>
        <w:spacing w:line="360" w:lineRule="auto"/>
        <w:jc w:val="center"/>
        <w:rPr>
          <w:rFonts w:ascii="Times New Roman" w:hAnsi="Times New Roman" w:cs="Times New Roman"/>
          <w:b/>
          <w:sz w:val="24"/>
          <w:szCs w:val="24"/>
        </w:rPr>
      </w:pPr>
    </w:p>
    <w:p w14:paraId="2E1ABA84" w14:textId="77777777" w:rsidR="00327E6E" w:rsidRDefault="00327E6E" w:rsidP="00327E6E">
      <w:pPr>
        <w:spacing w:line="360" w:lineRule="auto"/>
        <w:jc w:val="center"/>
        <w:rPr>
          <w:rFonts w:ascii="Times New Roman" w:hAnsi="Times New Roman" w:cs="Times New Roman"/>
          <w:b/>
          <w:sz w:val="24"/>
          <w:szCs w:val="24"/>
        </w:rPr>
      </w:pPr>
    </w:p>
    <w:p w14:paraId="264A3359" w14:textId="77777777" w:rsidR="00327E6E" w:rsidRPr="00774EDB" w:rsidRDefault="00327E6E">
      <w:pPr>
        <w:spacing w:line="360" w:lineRule="auto"/>
        <w:jc w:val="center"/>
        <w:rPr>
          <w:rFonts w:ascii="Times New Roman" w:hAnsi="Times New Roman" w:cs="Times New Roman"/>
          <w:b/>
          <w:sz w:val="24"/>
          <w:szCs w:val="24"/>
        </w:rPr>
      </w:pPr>
    </w:p>
    <w:p w14:paraId="2C0AA5F5" w14:textId="509DD8F0" w:rsidR="006C249C" w:rsidRPr="00774EDB" w:rsidRDefault="006C249C">
      <w:pPr>
        <w:spacing w:line="360" w:lineRule="auto"/>
        <w:jc w:val="center"/>
        <w:rPr>
          <w:rFonts w:ascii="Times New Roman" w:hAnsi="Times New Roman" w:cs="Times New Roman"/>
          <w:b/>
          <w:sz w:val="24"/>
          <w:szCs w:val="24"/>
        </w:rPr>
      </w:pPr>
      <w:r w:rsidRPr="00774EDB">
        <w:rPr>
          <w:rFonts w:ascii="Times New Roman" w:hAnsi="Times New Roman" w:cs="Times New Roman"/>
          <w:b/>
          <w:sz w:val="24"/>
          <w:szCs w:val="24"/>
        </w:rPr>
        <w:t>Mehmet Bilal Unver</w:t>
      </w:r>
    </w:p>
    <w:p w14:paraId="529844D4" w14:textId="07A0A50B" w:rsidR="006C249C" w:rsidRDefault="006C249C" w:rsidP="00327E6E">
      <w:pPr>
        <w:spacing w:line="360" w:lineRule="auto"/>
        <w:jc w:val="center"/>
        <w:rPr>
          <w:rFonts w:ascii="Times New Roman" w:hAnsi="Times New Roman" w:cs="Times New Roman"/>
          <w:b/>
          <w:sz w:val="24"/>
          <w:szCs w:val="24"/>
        </w:rPr>
      </w:pPr>
    </w:p>
    <w:p w14:paraId="38E843F4" w14:textId="4183C0E1" w:rsidR="00327E6E" w:rsidRDefault="00327E6E" w:rsidP="00327E6E">
      <w:pPr>
        <w:spacing w:line="360" w:lineRule="auto"/>
        <w:jc w:val="center"/>
        <w:rPr>
          <w:rFonts w:ascii="Times New Roman" w:hAnsi="Times New Roman" w:cs="Times New Roman"/>
          <w:b/>
          <w:sz w:val="24"/>
          <w:szCs w:val="24"/>
        </w:rPr>
      </w:pPr>
    </w:p>
    <w:p w14:paraId="768B5E63" w14:textId="5BB0F652" w:rsidR="00327E6E" w:rsidRDefault="00327E6E" w:rsidP="00327E6E">
      <w:pPr>
        <w:spacing w:line="360" w:lineRule="auto"/>
        <w:jc w:val="center"/>
        <w:rPr>
          <w:rFonts w:ascii="Times New Roman" w:hAnsi="Times New Roman" w:cs="Times New Roman"/>
          <w:b/>
          <w:sz w:val="24"/>
          <w:szCs w:val="24"/>
        </w:rPr>
      </w:pPr>
    </w:p>
    <w:p w14:paraId="2EE69975" w14:textId="2BD257C6" w:rsidR="00327E6E" w:rsidRDefault="00327E6E" w:rsidP="00327E6E">
      <w:pPr>
        <w:spacing w:line="360" w:lineRule="auto"/>
        <w:jc w:val="center"/>
        <w:rPr>
          <w:rFonts w:ascii="Times New Roman" w:hAnsi="Times New Roman" w:cs="Times New Roman"/>
          <w:b/>
          <w:sz w:val="24"/>
          <w:szCs w:val="24"/>
        </w:rPr>
      </w:pPr>
    </w:p>
    <w:p w14:paraId="3F7E2258" w14:textId="77777777" w:rsidR="00327E6E" w:rsidRPr="00774EDB" w:rsidRDefault="00327E6E">
      <w:pPr>
        <w:spacing w:line="360" w:lineRule="auto"/>
        <w:jc w:val="center"/>
        <w:rPr>
          <w:rFonts w:ascii="Times New Roman" w:hAnsi="Times New Roman" w:cs="Times New Roman"/>
          <w:b/>
          <w:sz w:val="24"/>
          <w:szCs w:val="24"/>
        </w:rPr>
      </w:pPr>
    </w:p>
    <w:p w14:paraId="1D21E47F" w14:textId="38479562" w:rsidR="006C249C" w:rsidRPr="00774EDB" w:rsidRDefault="006C249C">
      <w:pPr>
        <w:spacing w:line="360" w:lineRule="auto"/>
        <w:jc w:val="center"/>
        <w:rPr>
          <w:rFonts w:ascii="Times New Roman" w:hAnsi="Times New Roman" w:cs="Times New Roman"/>
          <w:b/>
          <w:sz w:val="24"/>
          <w:szCs w:val="24"/>
        </w:rPr>
      </w:pPr>
    </w:p>
    <w:p w14:paraId="78F12ED3" w14:textId="77777777" w:rsidR="006C249C" w:rsidRPr="00774EDB" w:rsidRDefault="006C249C">
      <w:pPr>
        <w:spacing w:line="360" w:lineRule="auto"/>
        <w:jc w:val="center"/>
        <w:rPr>
          <w:rFonts w:ascii="Times New Roman" w:hAnsi="Times New Roman" w:cs="Times New Roman"/>
          <w:b/>
          <w:sz w:val="24"/>
          <w:szCs w:val="24"/>
        </w:rPr>
      </w:pPr>
      <w:r w:rsidRPr="00774EDB">
        <w:rPr>
          <w:rFonts w:ascii="Times New Roman" w:hAnsi="Times New Roman" w:cs="Times New Roman"/>
          <w:b/>
          <w:sz w:val="24"/>
          <w:szCs w:val="24"/>
        </w:rPr>
        <w:t>A thesis in partial fulfilment of the</w:t>
      </w:r>
    </w:p>
    <w:p w14:paraId="579E492A" w14:textId="77777777" w:rsidR="006C249C" w:rsidRPr="00774EDB" w:rsidRDefault="006C249C">
      <w:pPr>
        <w:spacing w:line="360" w:lineRule="auto"/>
        <w:jc w:val="center"/>
        <w:rPr>
          <w:rFonts w:ascii="Times New Roman" w:hAnsi="Times New Roman" w:cs="Times New Roman"/>
          <w:b/>
          <w:sz w:val="24"/>
          <w:szCs w:val="24"/>
        </w:rPr>
      </w:pPr>
      <w:r w:rsidRPr="00774EDB">
        <w:rPr>
          <w:rFonts w:ascii="Times New Roman" w:hAnsi="Times New Roman" w:cs="Times New Roman"/>
          <w:b/>
          <w:sz w:val="24"/>
          <w:szCs w:val="24"/>
        </w:rPr>
        <w:t>requirements of Anglia Ruskin University</w:t>
      </w:r>
    </w:p>
    <w:p w14:paraId="43451B00" w14:textId="694A34C0" w:rsidR="00B40CC9" w:rsidRPr="00774EDB" w:rsidRDefault="006C249C">
      <w:pPr>
        <w:spacing w:line="360" w:lineRule="auto"/>
        <w:jc w:val="center"/>
        <w:rPr>
          <w:rFonts w:ascii="Times New Roman" w:hAnsi="Times New Roman" w:cs="Times New Roman"/>
          <w:b/>
          <w:sz w:val="24"/>
          <w:szCs w:val="24"/>
        </w:rPr>
      </w:pPr>
      <w:r w:rsidRPr="00774EDB">
        <w:rPr>
          <w:rFonts w:ascii="Times New Roman" w:hAnsi="Times New Roman" w:cs="Times New Roman"/>
          <w:b/>
          <w:sz w:val="24"/>
          <w:szCs w:val="24"/>
        </w:rPr>
        <w:t xml:space="preserve">for the degree of </w:t>
      </w:r>
      <w:r w:rsidR="00016B9E" w:rsidRPr="00774EDB">
        <w:rPr>
          <w:rFonts w:ascii="Times New Roman" w:hAnsi="Times New Roman" w:cs="Times New Roman"/>
          <w:b/>
          <w:sz w:val="24"/>
          <w:szCs w:val="24"/>
        </w:rPr>
        <w:t>Doctor of Philosophy</w:t>
      </w:r>
    </w:p>
    <w:p w14:paraId="05E68E1B" w14:textId="77777777" w:rsidR="00D3456B" w:rsidRPr="00774EDB" w:rsidRDefault="00D3456B">
      <w:pPr>
        <w:spacing w:line="360" w:lineRule="auto"/>
        <w:jc w:val="center"/>
        <w:rPr>
          <w:rFonts w:ascii="Times New Roman" w:hAnsi="Times New Roman" w:cs="Times New Roman"/>
          <w:b/>
          <w:sz w:val="24"/>
          <w:szCs w:val="24"/>
        </w:rPr>
      </w:pPr>
    </w:p>
    <w:p w14:paraId="33E76663" w14:textId="77777777" w:rsidR="00D3456B" w:rsidRPr="00774EDB" w:rsidRDefault="00D3456B">
      <w:pPr>
        <w:spacing w:line="360" w:lineRule="auto"/>
        <w:jc w:val="center"/>
        <w:rPr>
          <w:rFonts w:ascii="Times New Roman" w:hAnsi="Times New Roman" w:cs="Times New Roman"/>
          <w:b/>
          <w:sz w:val="24"/>
          <w:szCs w:val="24"/>
        </w:rPr>
      </w:pPr>
    </w:p>
    <w:p w14:paraId="4D299AC1" w14:textId="0B4918A3" w:rsidR="00B40CC9" w:rsidRPr="00774EDB" w:rsidRDefault="00B40CC9">
      <w:pPr>
        <w:spacing w:line="360" w:lineRule="auto"/>
        <w:jc w:val="center"/>
        <w:rPr>
          <w:rFonts w:ascii="Times New Roman" w:hAnsi="Times New Roman" w:cs="Times New Roman"/>
          <w:b/>
          <w:sz w:val="24"/>
          <w:szCs w:val="24"/>
        </w:rPr>
      </w:pPr>
    </w:p>
    <w:p w14:paraId="24A0B75C" w14:textId="64F85485" w:rsidR="003B2540" w:rsidRDefault="003B2540" w:rsidP="00327E6E">
      <w:pPr>
        <w:spacing w:line="360" w:lineRule="auto"/>
        <w:jc w:val="center"/>
        <w:rPr>
          <w:rFonts w:ascii="Times New Roman" w:hAnsi="Times New Roman" w:cs="Times New Roman"/>
          <w:b/>
          <w:sz w:val="24"/>
          <w:szCs w:val="24"/>
        </w:rPr>
      </w:pPr>
    </w:p>
    <w:p w14:paraId="25CF6841" w14:textId="77777777" w:rsidR="00327E6E" w:rsidRPr="00774EDB" w:rsidRDefault="00327E6E">
      <w:pPr>
        <w:spacing w:line="360" w:lineRule="auto"/>
        <w:jc w:val="center"/>
        <w:rPr>
          <w:rFonts w:ascii="Times New Roman" w:hAnsi="Times New Roman" w:cs="Times New Roman"/>
          <w:b/>
          <w:sz w:val="24"/>
          <w:szCs w:val="24"/>
        </w:rPr>
      </w:pPr>
    </w:p>
    <w:p w14:paraId="599449C5" w14:textId="77777777" w:rsidR="003B2540" w:rsidRPr="00774EDB" w:rsidRDefault="003B2540">
      <w:pPr>
        <w:spacing w:line="360" w:lineRule="auto"/>
        <w:jc w:val="center"/>
        <w:rPr>
          <w:rFonts w:ascii="Times New Roman" w:hAnsi="Times New Roman" w:cs="Times New Roman"/>
          <w:b/>
          <w:sz w:val="24"/>
          <w:szCs w:val="24"/>
        </w:rPr>
      </w:pPr>
    </w:p>
    <w:p w14:paraId="47FA0D5E" w14:textId="4E3E0966" w:rsidR="003B2540" w:rsidRPr="00774EDB" w:rsidRDefault="003B2540">
      <w:pPr>
        <w:spacing w:line="360" w:lineRule="auto"/>
        <w:jc w:val="center"/>
        <w:rPr>
          <w:rFonts w:ascii="Times New Roman" w:hAnsi="Times New Roman" w:cs="Times New Roman"/>
          <w:b/>
          <w:sz w:val="24"/>
          <w:szCs w:val="24"/>
        </w:rPr>
      </w:pPr>
    </w:p>
    <w:p w14:paraId="007A746C" w14:textId="77777777" w:rsidR="00327E6E" w:rsidRDefault="00594CBC" w:rsidP="00327E6E">
      <w:pPr>
        <w:spacing w:line="360" w:lineRule="auto"/>
        <w:jc w:val="center"/>
        <w:rPr>
          <w:rFonts w:ascii="Times New Roman" w:hAnsi="Times New Roman" w:cs="Times New Roman"/>
          <w:b/>
          <w:sz w:val="24"/>
          <w:szCs w:val="24"/>
        </w:rPr>
        <w:sectPr w:rsidR="00327E6E" w:rsidSect="00EF76D6">
          <w:footerReference w:type="even" r:id="rId8"/>
          <w:footerReference w:type="default" r:id="rId9"/>
          <w:pgSz w:w="11906" w:h="16838" w:code="9"/>
          <w:pgMar w:top="1418" w:right="1134" w:bottom="1418" w:left="1134" w:header="709" w:footer="851" w:gutter="1418"/>
          <w:pgNumType w:fmt="lowerRoman"/>
          <w:cols w:space="708"/>
          <w:docGrid w:linePitch="360"/>
        </w:sectPr>
      </w:pPr>
      <w:r w:rsidRPr="00774EDB">
        <w:rPr>
          <w:rFonts w:ascii="Times New Roman" w:hAnsi="Times New Roman" w:cs="Times New Roman"/>
          <w:b/>
          <w:sz w:val="24"/>
          <w:szCs w:val="24"/>
        </w:rPr>
        <w:t xml:space="preserve">Submitted: </w:t>
      </w:r>
      <w:r w:rsidR="003D690B" w:rsidRPr="00774EDB">
        <w:rPr>
          <w:rFonts w:ascii="Times New Roman" w:hAnsi="Times New Roman" w:cs="Times New Roman"/>
          <w:b/>
          <w:sz w:val="24"/>
          <w:szCs w:val="24"/>
        </w:rPr>
        <w:t xml:space="preserve">August </w:t>
      </w:r>
      <w:r w:rsidR="00B40CC9" w:rsidRPr="00774EDB">
        <w:rPr>
          <w:rFonts w:ascii="Times New Roman" w:hAnsi="Times New Roman" w:cs="Times New Roman"/>
          <w:b/>
          <w:sz w:val="24"/>
          <w:szCs w:val="24"/>
        </w:rPr>
        <w:t>201</w:t>
      </w:r>
      <w:r w:rsidR="00781BB7" w:rsidRPr="00774EDB">
        <w:rPr>
          <w:rFonts w:ascii="Times New Roman" w:hAnsi="Times New Roman" w:cs="Times New Roman"/>
          <w:b/>
          <w:sz w:val="24"/>
          <w:szCs w:val="24"/>
        </w:rPr>
        <w:t>9</w:t>
      </w:r>
    </w:p>
    <w:p w14:paraId="10D9A2B8" w14:textId="5410BDFC" w:rsidR="001F7551" w:rsidRPr="00774EDB" w:rsidRDefault="001F7551" w:rsidP="00A70042">
      <w:pPr>
        <w:pStyle w:val="Heading1"/>
        <w:spacing w:before="360"/>
        <w:jc w:val="both"/>
        <w:rPr>
          <w:rFonts w:ascii="Times New Roman" w:hAnsi="Times New Roman" w:cs="Times New Roman"/>
          <w:b/>
          <w:bCs/>
          <w:sz w:val="24"/>
          <w:szCs w:val="24"/>
        </w:rPr>
      </w:pPr>
      <w:bookmarkStart w:id="0" w:name="_Toc17611317"/>
      <w:bookmarkStart w:id="1" w:name="_Toc53576005"/>
      <w:r w:rsidRPr="00774EDB">
        <w:rPr>
          <w:rFonts w:ascii="Times New Roman" w:hAnsi="Times New Roman" w:cs="Times New Roman"/>
          <w:b/>
          <w:bCs/>
          <w:color w:val="auto"/>
          <w:sz w:val="24"/>
          <w:szCs w:val="24"/>
        </w:rPr>
        <w:lastRenderedPageBreak/>
        <w:t>Acknowledgements</w:t>
      </w:r>
      <w:bookmarkEnd w:id="0"/>
      <w:bookmarkEnd w:id="1"/>
    </w:p>
    <w:p w14:paraId="37D26463" w14:textId="77777777" w:rsidR="001F7551" w:rsidRPr="00774EDB" w:rsidRDefault="001F755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Information and communication technologies (ICTs) and their legal and regulatory treatment have had a pioneering role in my academic life, along with several significant outputs up to date. This PhD thesis undoubtedly represents the most comprehensive and elaborate one among them, and I owe special thanks to many people for their support and assistance during this journey.</w:t>
      </w:r>
    </w:p>
    <w:p w14:paraId="50C64F36" w14:textId="3A94C9C3" w:rsidR="001F7551" w:rsidRPr="00774EDB" w:rsidRDefault="001F755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First and foremost, I would like to express my gratitude to my supervisor Prof. Rohan Kariyawasam for the spirit and support he has given me throughout this project. His insightful comments and feedback during my PhD kept me motivated and to revisit my former opinions and considerations towards more filtered findings. I am also grateful to Anglia Ruskin University for providing me with a full-fee waiver scholarship during the first three year</w:t>
      </w:r>
      <w:r w:rsidR="00774EDB" w:rsidRPr="00774EDB">
        <w:rPr>
          <w:rFonts w:ascii="Times New Roman" w:hAnsi="Times New Roman" w:cs="Times New Roman"/>
          <w:sz w:val="24"/>
          <w:szCs w:val="24"/>
        </w:rPr>
        <w:t>s</w:t>
      </w:r>
      <w:r w:rsidRPr="00774EDB">
        <w:rPr>
          <w:rFonts w:ascii="Times New Roman" w:hAnsi="Times New Roman" w:cs="Times New Roman"/>
          <w:sz w:val="24"/>
          <w:szCs w:val="24"/>
        </w:rPr>
        <w:t xml:space="preserve"> of my PhD.</w:t>
      </w:r>
    </w:p>
    <w:p w14:paraId="52561060" w14:textId="65C1FAFB" w:rsidR="001F7551" w:rsidRPr="00774EDB" w:rsidRDefault="001F755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support from my family, particularly my wife Saadet, helped me stand up to any hardship I faced during this four-year experience, especially at the times when I felt overwhelmed or exhausted. I am also indebted to my mother-in-law </w:t>
      </w:r>
      <w:r w:rsidR="00830313" w:rsidRPr="00774EDB">
        <w:rPr>
          <w:rFonts w:ascii="Times New Roman" w:hAnsi="Times New Roman" w:cs="Times New Roman"/>
          <w:sz w:val="24"/>
          <w:szCs w:val="24"/>
        </w:rPr>
        <w:t xml:space="preserve">Saide Keles </w:t>
      </w:r>
      <w:r w:rsidRPr="00774EDB">
        <w:rPr>
          <w:rFonts w:ascii="Times New Roman" w:hAnsi="Times New Roman" w:cs="Times New Roman"/>
          <w:sz w:val="24"/>
          <w:szCs w:val="24"/>
        </w:rPr>
        <w:t xml:space="preserve">who deserves special thanks for the </w:t>
      </w:r>
      <w:r w:rsidR="00935509" w:rsidRPr="00774EDB">
        <w:rPr>
          <w:rFonts w:ascii="Times New Roman" w:hAnsi="Times New Roman" w:cs="Times New Roman"/>
          <w:sz w:val="24"/>
          <w:szCs w:val="24"/>
        </w:rPr>
        <w:t>invaluable</w:t>
      </w:r>
      <w:r w:rsidRPr="00774EDB">
        <w:rPr>
          <w:rFonts w:ascii="Times New Roman" w:hAnsi="Times New Roman" w:cs="Times New Roman"/>
          <w:sz w:val="24"/>
          <w:szCs w:val="24"/>
        </w:rPr>
        <w:t xml:space="preserve"> support she gave me and for her perseverance during this journey fraught with challenges.</w:t>
      </w:r>
    </w:p>
    <w:p w14:paraId="08FA1B6B" w14:textId="46FCC0F1" w:rsidR="00327E6E" w:rsidRDefault="001F755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On a personal note, I would also like to thank my PhD colleague Abderrezzaq Ghafsi who was more than a friend in his moral support and sharing his experiences with me during this process. Last but not least, I would like to share my gratefulness to </w:t>
      </w:r>
      <w:r w:rsidR="00320BCC">
        <w:rPr>
          <w:rFonts w:ascii="Times New Roman" w:hAnsi="Times New Roman" w:cs="Times New Roman"/>
          <w:sz w:val="24"/>
          <w:szCs w:val="24"/>
        </w:rPr>
        <w:t xml:space="preserve">Ahmet Darici for his </w:t>
      </w:r>
      <w:r w:rsidR="005208B8">
        <w:rPr>
          <w:rFonts w:ascii="Times New Roman" w:hAnsi="Times New Roman" w:cs="Times New Roman"/>
          <w:sz w:val="24"/>
          <w:szCs w:val="24"/>
        </w:rPr>
        <w:t>allocating time regarding</w:t>
      </w:r>
      <w:r w:rsidR="00320BCC">
        <w:rPr>
          <w:rFonts w:ascii="Times New Roman" w:hAnsi="Times New Roman" w:cs="Times New Roman"/>
          <w:sz w:val="24"/>
          <w:szCs w:val="24"/>
        </w:rPr>
        <w:t xml:space="preserve"> technical details and format, and </w:t>
      </w:r>
      <w:r w:rsidRPr="00774EDB">
        <w:rPr>
          <w:rFonts w:ascii="Times New Roman" w:hAnsi="Times New Roman" w:cs="Times New Roman"/>
          <w:sz w:val="24"/>
          <w:szCs w:val="24"/>
        </w:rPr>
        <w:t>Peter Gavigan for his proofreading, which extensively contributed to my writing and command of it.</w:t>
      </w:r>
      <w:r w:rsidR="00327E6E">
        <w:rPr>
          <w:rFonts w:ascii="Times New Roman" w:hAnsi="Times New Roman" w:cs="Times New Roman"/>
          <w:sz w:val="24"/>
          <w:szCs w:val="24"/>
        </w:rPr>
        <w:br w:type="page"/>
      </w:r>
    </w:p>
    <w:p w14:paraId="47908548" w14:textId="77777777" w:rsidR="001F7551" w:rsidRPr="00774EDB" w:rsidRDefault="001F7551" w:rsidP="00A70042">
      <w:pPr>
        <w:pStyle w:val="Heading1"/>
        <w:spacing w:before="120" w:line="240" w:lineRule="auto"/>
        <w:ind w:left="1418" w:right="-1419"/>
        <w:jc w:val="both"/>
        <w:rPr>
          <w:rFonts w:ascii="Times New Roman" w:hAnsi="Times New Roman" w:cs="Times New Roman"/>
          <w:b/>
          <w:bCs/>
          <w:sz w:val="24"/>
          <w:szCs w:val="24"/>
        </w:rPr>
      </w:pPr>
      <w:bookmarkStart w:id="2" w:name="_Toc17611318"/>
      <w:bookmarkStart w:id="3" w:name="_Toc53576006"/>
      <w:r w:rsidRPr="00774EDB">
        <w:rPr>
          <w:rFonts w:ascii="Times New Roman" w:hAnsi="Times New Roman" w:cs="Times New Roman"/>
          <w:b/>
          <w:bCs/>
          <w:color w:val="auto"/>
          <w:sz w:val="24"/>
          <w:szCs w:val="24"/>
        </w:rPr>
        <w:lastRenderedPageBreak/>
        <w:t>Abstract</w:t>
      </w:r>
      <w:bookmarkEnd w:id="2"/>
      <w:bookmarkEnd w:id="3"/>
    </w:p>
    <w:p w14:paraId="0E55EAA9" w14:textId="77777777" w:rsidR="001F7551" w:rsidRPr="00774EDB" w:rsidRDefault="001F7551" w:rsidP="00A70042">
      <w:pPr>
        <w:spacing w:before="120" w:line="240" w:lineRule="auto"/>
        <w:ind w:left="1418" w:right="-1419"/>
        <w:jc w:val="both"/>
        <w:rPr>
          <w:rFonts w:ascii="Times New Roman" w:hAnsi="Times New Roman" w:cs="Times New Roman"/>
          <w:sz w:val="24"/>
          <w:szCs w:val="24"/>
        </w:rPr>
      </w:pPr>
    </w:p>
    <w:p w14:paraId="1117FE29" w14:textId="3078794F" w:rsidR="001F7551" w:rsidRPr="00774EDB" w:rsidRDefault="001F7551" w:rsidP="00A70042">
      <w:pPr>
        <w:spacing w:before="120" w:line="240" w:lineRule="auto"/>
        <w:ind w:left="1418" w:right="-1419"/>
        <w:jc w:val="both"/>
        <w:rPr>
          <w:rFonts w:ascii="Times New Roman" w:hAnsi="Times New Roman" w:cs="Times New Roman"/>
          <w:sz w:val="24"/>
          <w:szCs w:val="24"/>
        </w:rPr>
      </w:pPr>
      <w:r w:rsidRPr="00774EDB">
        <w:rPr>
          <w:rFonts w:ascii="Times New Roman" w:hAnsi="Times New Roman" w:cs="Times New Roman"/>
          <w:sz w:val="24"/>
          <w:szCs w:val="24"/>
        </w:rPr>
        <w:t xml:space="preserve">“Interoperability” means the ability for two different and independent ICT systems to exchange information and use that information. Having multi-dimensional aspects for the economy and society, the regulation of interoperability is the subject matter of various legal disciplines, i.e. intellectual property legislation, competition law and sector-specific rules e.g. the Electronic Communications Regulatory Framework (ECRF), under EU law. Lack of coherency among such disciplines is a compelling reason to find out the best possible rules to deal with the lack of interoperability and accompanying concerns, including vendor lock-in, switching costs, hindrance of innovation and </w:t>
      </w:r>
      <w:r w:rsidR="00E37B16">
        <w:rPr>
          <w:rFonts w:ascii="Times New Roman" w:hAnsi="Times New Roman" w:cs="Times New Roman"/>
          <w:sz w:val="24"/>
          <w:szCs w:val="24"/>
        </w:rPr>
        <w:t>information flows</w:t>
      </w:r>
      <w:r w:rsidRPr="00774EDB">
        <w:rPr>
          <w:rFonts w:ascii="Times New Roman" w:hAnsi="Times New Roman" w:cs="Times New Roman"/>
          <w:sz w:val="24"/>
          <w:szCs w:val="24"/>
        </w:rPr>
        <w:t>. On the other hand, each ICT industry has its own rules and standards, which also impacts interoperability. Against this background, drawing the boundaries for the regulation of ICT interoperability becomes more demanding.</w:t>
      </w:r>
    </w:p>
    <w:p w14:paraId="607E172D" w14:textId="77777777" w:rsidR="001F7551" w:rsidRPr="00774EDB" w:rsidRDefault="001F7551" w:rsidP="00A70042">
      <w:pPr>
        <w:spacing w:before="120" w:line="240" w:lineRule="auto"/>
        <w:ind w:left="1418" w:right="-1419"/>
        <w:jc w:val="both"/>
        <w:rPr>
          <w:rFonts w:ascii="Times New Roman" w:hAnsi="Times New Roman" w:cs="Times New Roman"/>
          <w:sz w:val="24"/>
          <w:szCs w:val="24"/>
        </w:rPr>
      </w:pPr>
    </w:p>
    <w:p w14:paraId="72530424" w14:textId="26B4CBC9" w:rsidR="001F7551" w:rsidRPr="00774EDB" w:rsidRDefault="001F7551" w:rsidP="00A70042">
      <w:pPr>
        <w:spacing w:before="120" w:line="240" w:lineRule="auto"/>
        <w:ind w:left="1418" w:right="-1419"/>
        <w:jc w:val="both"/>
        <w:rPr>
          <w:rFonts w:ascii="Times New Roman" w:hAnsi="Times New Roman" w:cs="Times New Roman"/>
          <w:sz w:val="24"/>
          <w:szCs w:val="24"/>
        </w:rPr>
      </w:pPr>
      <w:r w:rsidRPr="00774EDB">
        <w:rPr>
          <w:rFonts w:ascii="Times New Roman" w:hAnsi="Times New Roman" w:cs="Times New Roman"/>
          <w:sz w:val="24"/>
          <w:szCs w:val="24"/>
        </w:rPr>
        <w:t xml:space="preserve">This study aims to find out whether, or to what extent, ICT interoperability needs to be regulated under EU law, considering the abovementioned concerns. Starting with an investigation of the given legal disciplines with a focus on their measures dealing with lack of interoperability, this study primarily conducts blackletter (doctrinal) analysis based on multi-disciplinary research. After completing the blackletter analysis, the research continues with multiple case studies based on two emerging technologies ‘cloud computing’ and the ‘Internet of Things’ (IoT). These case studies relying on distinct industrial settings, have unravelled the real-life situation from the underlying architectural layers and their interdependencies. Cross analysis of the industrial settings, </w:t>
      </w:r>
      <w:r w:rsidR="00F14C62" w:rsidRPr="00774EDB">
        <w:rPr>
          <w:rFonts w:ascii="Times New Roman" w:hAnsi="Times New Roman" w:cs="Times New Roman"/>
          <w:sz w:val="24"/>
          <w:szCs w:val="24"/>
        </w:rPr>
        <w:t xml:space="preserve">contributed to </w:t>
      </w:r>
      <w:r w:rsidR="00946D43" w:rsidRPr="00774EDB">
        <w:rPr>
          <w:rFonts w:ascii="Times New Roman" w:hAnsi="Times New Roman" w:cs="Times New Roman"/>
          <w:sz w:val="24"/>
          <w:szCs w:val="24"/>
        </w:rPr>
        <w:t xml:space="preserve">the </w:t>
      </w:r>
      <w:r w:rsidR="00F14C62" w:rsidRPr="00774EDB">
        <w:rPr>
          <w:rFonts w:ascii="Times New Roman" w:hAnsi="Times New Roman" w:cs="Times New Roman"/>
          <w:sz w:val="24"/>
          <w:szCs w:val="24"/>
        </w:rPr>
        <w:t xml:space="preserve">doctrinal findings </w:t>
      </w:r>
      <w:r w:rsidRPr="00774EDB">
        <w:rPr>
          <w:rFonts w:ascii="Times New Roman" w:hAnsi="Times New Roman" w:cs="Times New Roman"/>
          <w:sz w:val="24"/>
          <w:szCs w:val="24"/>
        </w:rPr>
        <w:t xml:space="preserve">not only </w:t>
      </w:r>
      <w:r w:rsidR="00E9074F" w:rsidRPr="00774EDB">
        <w:rPr>
          <w:rFonts w:ascii="Times New Roman" w:hAnsi="Times New Roman" w:cs="Times New Roman"/>
          <w:sz w:val="24"/>
          <w:szCs w:val="24"/>
        </w:rPr>
        <w:t>verif</w:t>
      </w:r>
      <w:r w:rsidR="00F14C62" w:rsidRPr="00774EDB">
        <w:rPr>
          <w:rFonts w:ascii="Times New Roman" w:hAnsi="Times New Roman" w:cs="Times New Roman"/>
          <w:sz w:val="24"/>
          <w:szCs w:val="24"/>
        </w:rPr>
        <w:t>ying</w:t>
      </w:r>
      <w:r w:rsidR="00E9074F" w:rsidRPr="00774EDB">
        <w:rPr>
          <w:rFonts w:ascii="Times New Roman" w:hAnsi="Times New Roman" w:cs="Times New Roman"/>
          <w:sz w:val="24"/>
          <w:szCs w:val="24"/>
        </w:rPr>
        <w:t xml:space="preserve"> </w:t>
      </w:r>
      <w:r w:rsidRPr="00774EDB">
        <w:rPr>
          <w:rFonts w:ascii="Times New Roman" w:hAnsi="Times New Roman" w:cs="Times New Roman"/>
          <w:sz w:val="24"/>
          <w:szCs w:val="24"/>
        </w:rPr>
        <w:t>but also advanc</w:t>
      </w:r>
      <w:r w:rsidR="00F14C62" w:rsidRPr="00774EDB">
        <w:rPr>
          <w:rFonts w:ascii="Times New Roman" w:hAnsi="Times New Roman" w:cs="Times New Roman"/>
          <w:sz w:val="24"/>
          <w:szCs w:val="24"/>
        </w:rPr>
        <w:t>ing them</w:t>
      </w:r>
      <w:r w:rsidRPr="00774EDB">
        <w:rPr>
          <w:rFonts w:ascii="Times New Roman" w:hAnsi="Times New Roman" w:cs="Times New Roman"/>
          <w:sz w:val="24"/>
          <w:szCs w:val="24"/>
        </w:rPr>
        <w:t xml:space="preserve"> with complementary results, pointing to meaningful and constructive outputs towards a holistic and layered regulatory treatment of ICT interoperability.</w:t>
      </w:r>
    </w:p>
    <w:p w14:paraId="31B335D6" w14:textId="77777777" w:rsidR="001F7551" w:rsidRPr="00774EDB" w:rsidRDefault="001F7551" w:rsidP="00A70042">
      <w:pPr>
        <w:spacing w:before="120" w:line="240" w:lineRule="auto"/>
        <w:ind w:left="1418" w:right="-1419"/>
        <w:jc w:val="both"/>
        <w:rPr>
          <w:rFonts w:ascii="Times New Roman" w:hAnsi="Times New Roman" w:cs="Times New Roman"/>
          <w:sz w:val="24"/>
          <w:szCs w:val="24"/>
        </w:rPr>
      </w:pPr>
    </w:p>
    <w:p w14:paraId="206326EA" w14:textId="18D29A01" w:rsidR="00D05C89" w:rsidRPr="00774EDB" w:rsidRDefault="001F7551" w:rsidP="00A70042">
      <w:pPr>
        <w:spacing w:before="120" w:line="240" w:lineRule="auto"/>
        <w:ind w:left="1418" w:right="-1419"/>
        <w:jc w:val="both"/>
        <w:rPr>
          <w:rFonts w:ascii="Times New Roman" w:hAnsi="Times New Roman" w:cs="Times New Roman"/>
          <w:sz w:val="24"/>
          <w:szCs w:val="24"/>
        </w:rPr>
      </w:pPr>
      <w:r w:rsidRPr="00774EDB">
        <w:rPr>
          <w:rFonts w:ascii="Times New Roman" w:hAnsi="Times New Roman" w:cs="Times New Roman"/>
          <w:sz w:val="24"/>
          <w:szCs w:val="24"/>
        </w:rPr>
        <w:t xml:space="preserve">Overall, the research concludes with important findings regarding how to regulate ICT interoperability at the EU level. First and foremost, it has been established that the EU legal framework is of a limited nature, offering partial solutions and with shortcoming to the lack of interoperability. Secondly, it is found that interoperability is a concept not to be isolated from but to be elaborated with, other related concepts </w:t>
      </w:r>
      <w:r w:rsidR="00B653B4">
        <w:rPr>
          <w:rFonts w:ascii="Times New Roman" w:hAnsi="Times New Roman" w:cs="Times New Roman"/>
          <w:sz w:val="24"/>
          <w:szCs w:val="24"/>
        </w:rPr>
        <w:t xml:space="preserve">i.e. information flows, </w:t>
      </w:r>
      <w:r w:rsidRPr="00774EDB">
        <w:rPr>
          <w:rFonts w:ascii="Times New Roman" w:hAnsi="Times New Roman" w:cs="Times New Roman"/>
          <w:sz w:val="24"/>
          <w:szCs w:val="24"/>
        </w:rPr>
        <w:t>and problems</w:t>
      </w:r>
      <w:r w:rsidR="00B653B4">
        <w:rPr>
          <w:rFonts w:ascii="Times New Roman" w:hAnsi="Times New Roman" w:cs="Times New Roman"/>
          <w:sz w:val="24"/>
          <w:szCs w:val="24"/>
        </w:rPr>
        <w:t xml:space="preserve"> i.e. gatekeeping</w:t>
      </w:r>
      <w:r w:rsidRPr="00774EDB">
        <w:rPr>
          <w:rFonts w:ascii="Times New Roman" w:hAnsi="Times New Roman" w:cs="Times New Roman"/>
          <w:sz w:val="24"/>
          <w:szCs w:val="24"/>
        </w:rPr>
        <w:t xml:space="preserve">, from a holistic and layered perspective. Thirdly, </w:t>
      </w:r>
      <w:r w:rsidR="00D92ED7" w:rsidRPr="00774EDB">
        <w:rPr>
          <w:rFonts w:ascii="Times New Roman" w:hAnsi="Times New Roman" w:cs="Times New Roman"/>
          <w:sz w:val="24"/>
          <w:szCs w:val="24"/>
        </w:rPr>
        <w:t xml:space="preserve">it </w:t>
      </w:r>
      <w:r w:rsidR="003D0ECC" w:rsidRPr="00774EDB">
        <w:rPr>
          <w:rFonts w:ascii="Times New Roman" w:hAnsi="Times New Roman" w:cs="Times New Roman"/>
          <w:sz w:val="24"/>
          <w:szCs w:val="24"/>
        </w:rPr>
        <w:t>ha</w:t>
      </w:r>
      <w:r w:rsidR="00D92ED7" w:rsidRPr="00774EDB">
        <w:rPr>
          <w:rFonts w:ascii="Times New Roman" w:hAnsi="Times New Roman" w:cs="Times New Roman"/>
          <w:sz w:val="24"/>
          <w:szCs w:val="24"/>
        </w:rPr>
        <w:t>s</w:t>
      </w:r>
      <w:r w:rsidR="003D0ECC" w:rsidRPr="00774EDB">
        <w:rPr>
          <w:rFonts w:ascii="Times New Roman" w:hAnsi="Times New Roman" w:cs="Times New Roman"/>
          <w:sz w:val="24"/>
          <w:szCs w:val="24"/>
        </w:rPr>
        <w:t xml:space="preserve"> been</w:t>
      </w:r>
      <w:r w:rsidR="00D92ED7" w:rsidRPr="00774EDB">
        <w:rPr>
          <w:rFonts w:ascii="Times New Roman" w:hAnsi="Times New Roman" w:cs="Times New Roman"/>
          <w:sz w:val="24"/>
          <w:szCs w:val="24"/>
        </w:rPr>
        <w:t xml:space="preserve"> ended up </w:t>
      </w:r>
      <w:r w:rsidRPr="00774EDB">
        <w:rPr>
          <w:rFonts w:ascii="Times New Roman" w:hAnsi="Times New Roman" w:cs="Times New Roman"/>
          <w:sz w:val="24"/>
          <w:szCs w:val="24"/>
        </w:rPr>
        <w:t xml:space="preserve">the ICT interdependencies, which have fully surfaced in the case study research, would be best </w:t>
      </w:r>
      <w:r w:rsidR="00B653B4">
        <w:rPr>
          <w:rFonts w:ascii="Times New Roman" w:hAnsi="Times New Roman" w:cs="Times New Roman"/>
          <w:sz w:val="24"/>
          <w:szCs w:val="24"/>
        </w:rPr>
        <w:t>addressed</w:t>
      </w:r>
      <w:r w:rsidRPr="00774EDB">
        <w:rPr>
          <w:rFonts w:ascii="Times New Roman" w:hAnsi="Times New Roman" w:cs="Times New Roman"/>
          <w:sz w:val="24"/>
          <w:szCs w:val="24"/>
        </w:rPr>
        <w:t xml:space="preserve"> through a ‘layered regulatory model’ that can favourably respond to both ecosystem and non-ecosystem industrial settings. Fourthly, in dealing with the lack of interoperability and related concerns, the term ‘gatekeeping’ has been revitalised and embedded into this layered model, invigorating this holistic and ex-ante </w:t>
      </w:r>
      <w:r w:rsidR="00B653B4">
        <w:rPr>
          <w:rFonts w:ascii="Times New Roman" w:hAnsi="Times New Roman" w:cs="Times New Roman"/>
          <w:sz w:val="24"/>
          <w:szCs w:val="24"/>
        </w:rPr>
        <w:t xml:space="preserve">policy </w:t>
      </w:r>
      <w:r w:rsidRPr="00774EDB">
        <w:rPr>
          <w:rFonts w:ascii="Times New Roman" w:hAnsi="Times New Roman" w:cs="Times New Roman"/>
          <w:sz w:val="24"/>
          <w:szCs w:val="24"/>
        </w:rPr>
        <w:t>approach. Last but not least, the proposed ‘layered regulatory model’ would not only replace the core principles of the ECRF but also expand the EU regulatory vision with the necessary flexibility to cope with the ever fast changing ICT dynamics, going beyond interoperability-based problems.</w:t>
      </w:r>
    </w:p>
    <w:p w14:paraId="225BE103" w14:textId="77777777" w:rsidR="00DB1617" w:rsidRPr="00774EDB" w:rsidRDefault="00DB1617" w:rsidP="00A70042">
      <w:pPr>
        <w:spacing w:before="120" w:line="240" w:lineRule="auto"/>
        <w:ind w:left="1418" w:right="-1419"/>
        <w:jc w:val="both"/>
        <w:rPr>
          <w:rFonts w:ascii="Times New Roman" w:hAnsi="Times New Roman" w:cs="Times New Roman"/>
          <w:sz w:val="24"/>
          <w:szCs w:val="24"/>
        </w:rPr>
      </w:pPr>
    </w:p>
    <w:p w14:paraId="6A2C64DB" w14:textId="49C40E7B" w:rsidR="009204F4" w:rsidRPr="00774EDB" w:rsidRDefault="00511797" w:rsidP="00A70042">
      <w:pPr>
        <w:spacing w:before="120" w:line="240" w:lineRule="auto"/>
        <w:ind w:left="1418" w:right="-1419"/>
        <w:jc w:val="both"/>
        <w:rPr>
          <w:rFonts w:ascii="Times New Roman" w:hAnsi="Times New Roman" w:cs="Times New Roman"/>
          <w:sz w:val="24"/>
          <w:szCs w:val="24"/>
        </w:rPr>
      </w:pPr>
      <w:r w:rsidRPr="00774EDB">
        <w:rPr>
          <w:rFonts w:ascii="Times New Roman" w:hAnsi="Times New Roman" w:cs="Times New Roman"/>
          <w:sz w:val="24"/>
          <w:szCs w:val="24"/>
        </w:rPr>
        <w:t xml:space="preserve">Keywords: </w:t>
      </w:r>
      <w:r w:rsidR="00E338EE" w:rsidRPr="00774EDB">
        <w:rPr>
          <w:rFonts w:ascii="Times New Roman" w:hAnsi="Times New Roman" w:cs="Times New Roman"/>
          <w:sz w:val="24"/>
          <w:szCs w:val="24"/>
        </w:rPr>
        <w:t>ICT, interoperability, competition, regulation, layering, gatekeeping</w:t>
      </w:r>
      <w:r w:rsidR="0097420B" w:rsidRPr="00774EDB">
        <w:rPr>
          <w:rFonts w:ascii="Times New Roman" w:hAnsi="Times New Roman" w:cs="Times New Roman"/>
          <w:sz w:val="24"/>
          <w:szCs w:val="24"/>
        </w:rPr>
        <w:t>.</w:t>
      </w:r>
    </w:p>
    <w:p w14:paraId="2EBE2AE5" w14:textId="50805547" w:rsidR="00DB1617" w:rsidRPr="00A70042" w:rsidRDefault="00DB1617" w:rsidP="00A70042">
      <w:pPr>
        <w:spacing w:line="360" w:lineRule="auto"/>
        <w:jc w:val="both"/>
        <w:rPr>
          <w:rFonts w:ascii="Times New Roman" w:hAnsi="Times New Roman" w:cs="Times New Roman"/>
          <w:sz w:val="24"/>
          <w:szCs w:val="24"/>
        </w:rPr>
      </w:pPr>
    </w:p>
    <w:p w14:paraId="66546693" w14:textId="0A585A04" w:rsidR="00DB1617" w:rsidRPr="00B63DDE" w:rsidRDefault="00327E6E" w:rsidP="00A70042">
      <w:pPr>
        <w:spacing w:line="360" w:lineRule="auto"/>
        <w:jc w:val="both"/>
        <w:outlineLvl w:val="0"/>
        <w:rPr>
          <w:rFonts w:ascii="Times New Roman" w:hAnsi="Times New Roman" w:cs="Times New Roman"/>
          <w:b/>
          <w:bCs/>
          <w:sz w:val="24"/>
          <w:szCs w:val="24"/>
        </w:rPr>
      </w:pPr>
      <w:bookmarkStart w:id="4" w:name="_Toc53576007"/>
      <w:r w:rsidRPr="00B63DDE">
        <w:rPr>
          <w:rFonts w:ascii="Times New Roman" w:hAnsi="Times New Roman" w:cs="Times New Roman"/>
          <w:b/>
          <w:bCs/>
          <w:sz w:val="24"/>
          <w:szCs w:val="24"/>
        </w:rPr>
        <w:lastRenderedPageBreak/>
        <w:t>Table of Contents</w:t>
      </w:r>
      <w:bookmarkEnd w:id="4"/>
    </w:p>
    <w:p w14:paraId="64A0D58D" w14:textId="77777777" w:rsidR="00327E6E" w:rsidRPr="00796E67" w:rsidRDefault="00327E6E" w:rsidP="00A70042">
      <w:pPr>
        <w:spacing w:line="360" w:lineRule="auto"/>
        <w:jc w:val="both"/>
        <w:rPr>
          <w:rFonts w:ascii="Times New Roman" w:hAnsi="Times New Roman" w:cs="Times New Roman"/>
          <w:sz w:val="24"/>
          <w:szCs w:val="24"/>
        </w:rPr>
      </w:pPr>
    </w:p>
    <w:p w14:paraId="37C5D5A6" w14:textId="7ECFC5AB" w:rsidR="00796E67" w:rsidRPr="00B63DDE" w:rsidRDefault="00327E6E" w:rsidP="00A575DE">
      <w:pPr>
        <w:pStyle w:val="TOC1"/>
        <w:spacing w:line="240" w:lineRule="auto"/>
        <w:jc w:val="right"/>
        <w:rPr>
          <w:rStyle w:val="Hyperlink"/>
        </w:rPr>
      </w:pPr>
      <w:r w:rsidRPr="00796E67">
        <w:rPr>
          <w:b w:val="0"/>
          <w:bCs w:val="0"/>
        </w:rPr>
        <w:fldChar w:fldCharType="begin"/>
      </w:r>
      <w:r w:rsidRPr="00796E67">
        <w:rPr>
          <w:b w:val="0"/>
          <w:bCs w:val="0"/>
        </w:rPr>
        <w:instrText xml:space="preserve"> TOC \o "1-6" \h \z \u </w:instrText>
      </w:r>
      <w:r w:rsidRPr="00796E67">
        <w:rPr>
          <w:b w:val="0"/>
          <w:bCs w:val="0"/>
        </w:rPr>
        <w:fldChar w:fldCharType="separate"/>
      </w:r>
      <w:hyperlink w:anchor="_Toc53576005" w:history="1">
        <w:r w:rsidR="00796E67" w:rsidRPr="00B63DDE">
          <w:rPr>
            <w:rStyle w:val="Hyperlink"/>
          </w:rPr>
          <w:t>Acknowledgements</w:t>
        </w:r>
        <w:r w:rsidR="00796E67" w:rsidRPr="00B63DDE">
          <w:rPr>
            <w:rStyle w:val="Hyperlink"/>
            <w:webHidden/>
          </w:rPr>
          <w:tab/>
        </w:r>
        <w:r w:rsidR="00796E67" w:rsidRPr="00B63DDE">
          <w:rPr>
            <w:rStyle w:val="Hyperlink"/>
            <w:webHidden/>
          </w:rPr>
          <w:fldChar w:fldCharType="begin"/>
        </w:r>
        <w:r w:rsidR="00796E67" w:rsidRPr="00B63DDE">
          <w:rPr>
            <w:rStyle w:val="Hyperlink"/>
            <w:webHidden/>
          </w:rPr>
          <w:instrText xml:space="preserve"> PAGEREF _Toc53576005 \h </w:instrText>
        </w:r>
        <w:r w:rsidR="00796E67" w:rsidRPr="00B63DDE">
          <w:rPr>
            <w:rStyle w:val="Hyperlink"/>
            <w:webHidden/>
          </w:rPr>
        </w:r>
        <w:r w:rsidR="00796E67" w:rsidRPr="00B63DDE">
          <w:rPr>
            <w:rStyle w:val="Hyperlink"/>
            <w:webHidden/>
          </w:rPr>
          <w:fldChar w:fldCharType="separate"/>
        </w:r>
        <w:r w:rsidR="00796E67" w:rsidRPr="00B63DDE">
          <w:rPr>
            <w:rStyle w:val="Hyperlink"/>
            <w:webHidden/>
          </w:rPr>
          <w:t>i</w:t>
        </w:r>
        <w:r w:rsidR="00796E67" w:rsidRPr="00B63DDE">
          <w:rPr>
            <w:rStyle w:val="Hyperlink"/>
            <w:webHidden/>
          </w:rPr>
          <w:fldChar w:fldCharType="end"/>
        </w:r>
      </w:hyperlink>
    </w:p>
    <w:p w14:paraId="3BA21453" w14:textId="54583F59" w:rsidR="00796E67" w:rsidRPr="00B63DDE" w:rsidRDefault="005D478B" w:rsidP="00A575DE">
      <w:pPr>
        <w:pStyle w:val="TOC1"/>
        <w:spacing w:line="240" w:lineRule="auto"/>
        <w:jc w:val="right"/>
        <w:rPr>
          <w:rStyle w:val="Hyperlink"/>
        </w:rPr>
      </w:pPr>
      <w:hyperlink w:anchor="_Toc53576006" w:history="1">
        <w:r w:rsidR="00796E67" w:rsidRPr="00B63DDE">
          <w:rPr>
            <w:rStyle w:val="Hyperlink"/>
          </w:rPr>
          <w:t>Abstract</w:t>
        </w:r>
        <w:r w:rsidR="00796E67" w:rsidRPr="00B63DDE">
          <w:rPr>
            <w:rStyle w:val="Hyperlink"/>
            <w:webHidden/>
          </w:rPr>
          <w:tab/>
        </w:r>
        <w:r w:rsidR="00796E67" w:rsidRPr="00B63DDE">
          <w:rPr>
            <w:rStyle w:val="Hyperlink"/>
            <w:webHidden/>
          </w:rPr>
          <w:fldChar w:fldCharType="begin"/>
        </w:r>
        <w:r w:rsidR="00796E67" w:rsidRPr="00B63DDE">
          <w:rPr>
            <w:rStyle w:val="Hyperlink"/>
            <w:webHidden/>
          </w:rPr>
          <w:instrText xml:space="preserve"> PAGEREF _Toc53576006 \h </w:instrText>
        </w:r>
        <w:r w:rsidR="00796E67" w:rsidRPr="00B63DDE">
          <w:rPr>
            <w:rStyle w:val="Hyperlink"/>
            <w:webHidden/>
          </w:rPr>
        </w:r>
        <w:r w:rsidR="00796E67" w:rsidRPr="00B63DDE">
          <w:rPr>
            <w:rStyle w:val="Hyperlink"/>
            <w:webHidden/>
          </w:rPr>
          <w:fldChar w:fldCharType="separate"/>
        </w:r>
        <w:r w:rsidR="00796E67" w:rsidRPr="00B63DDE">
          <w:rPr>
            <w:rStyle w:val="Hyperlink"/>
            <w:webHidden/>
          </w:rPr>
          <w:t>ii</w:t>
        </w:r>
        <w:r w:rsidR="00796E67" w:rsidRPr="00B63DDE">
          <w:rPr>
            <w:rStyle w:val="Hyperlink"/>
            <w:webHidden/>
          </w:rPr>
          <w:fldChar w:fldCharType="end"/>
        </w:r>
      </w:hyperlink>
    </w:p>
    <w:p w14:paraId="53F297E2" w14:textId="7C111DF4" w:rsidR="00796E67" w:rsidRPr="00B63DDE" w:rsidRDefault="005D478B" w:rsidP="00A575DE">
      <w:pPr>
        <w:pStyle w:val="TOC1"/>
        <w:spacing w:line="240" w:lineRule="auto"/>
        <w:jc w:val="right"/>
        <w:rPr>
          <w:rStyle w:val="Hyperlink"/>
        </w:rPr>
      </w:pPr>
      <w:hyperlink w:anchor="_Toc53576007" w:history="1">
        <w:r w:rsidR="00796E67" w:rsidRPr="00B63DDE">
          <w:rPr>
            <w:rStyle w:val="Hyperlink"/>
          </w:rPr>
          <w:t>Table of Contents</w:t>
        </w:r>
        <w:r w:rsidR="00796E67" w:rsidRPr="00B63DDE">
          <w:rPr>
            <w:rStyle w:val="Hyperlink"/>
            <w:webHidden/>
          </w:rPr>
          <w:tab/>
        </w:r>
        <w:r w:rsidR="00796E67" w:rsidRPr="00B63DDE">
          <w:rPr>
            <w:rStyle w:val="Hyperlink"/>
            <w:webHidden/>
          </w:rPr>
          <w:fldChar w:fldCharType="begin"/>
        </w:r>
        <w:r w:rsidR="00796E67" w:rsidRPr="00B63DDE">
          <w:rPr>
            <w:rStyle w:val="Hyperlink"/>
            <w:webHidden/>
          </w:rPr>
          <w:instrText xml:space="preserve"> PAGEREF _Toc53576007 \h </w:instrText>
        </w:r>
        <w:r w:rsidR="00796E67" w:rsidRPr="00B63DDE">
          <w:rPr>
            <w:rStyle w:val="Hyperlink"/>
            <w:webHidden/>
          </w:rPr>
        </w:r>
        <w:r w:rsidR="00796E67" w:rsidRPr="00B63DDE">
          <w:rPr>
            <w:rStyle w:val="Hyperlink"/>
            <w:webHidden/>
          </w:rPr>
          <w:fldChar w:fldCharType="separate"/>
        </w:r>
        <w:r w:rsidR="00796E67" w:rsidRPr="00B63DDE">
          <w:rPr>
            <w:rStyle w:val="Hyperlink"/>
            <w:webHidden/>
          </w:rPr>
          <w:t>iii</w:t>
        </w:r>
        <w:r w:rsidR="00796E67" w:rsidRPr="00B63DDE">
          <w:rPr>
            <w:rStyle w:val="Hyperlink"/>
            <w:webHidden/>
          </w:rPr>
          <w:fldChar w:fldCharType="end"/>
        </w:r>
      </w:hyperlink>
    </w:p>
    <w:p w14:paraId="1CB989E0" w14:textId="14AABB9B" w:rsidR="00796E67" w:rsidRPr="00B63DDE" w:rsidRDefault="005D478B" w:rsidP="00A575DE">
      <w:pPr>
        <w:pStyle w:val="TOC1"/>
        <w:spacing w:line="240" w:lineRule="auto"/>
        <w:jc w:val="right"/>
        <w:rPr>
          <w:rStyle w:val="Hyperlink"/>
        </w:rPr>
      </w:pPr>
      <w:hyperlink w:anchor="_Toc53576008" w:history="1">
        <w:r w:rsidR="00796E67" w:rsidRPr="00B63DDE">
          <w:rPr>
            <w:rStyle w:val="Hyperlink"/>
          </w:rPr>
          <w:t>List of Abbreviations</w:t>
        </w:r>
        <w:r w:rsidR="00796E67" w:rsidRPr="00B63DDE">
          <w:rPr>
            <w:rStyle w:val="Hyperlink"/>
            <w:webHidden/>
          </w:rPr>
          <w:tab/>
        </w:r>
        <w:r w:rsidR="00796E67" w:rsidRPr="00B63DDE">
          <w:rPr>
            <w:rStyle w:val="Hyperlink"/>
            <w:webHidden/>
          </w:rPr>
          <w:fldChar w:fldCharType="begin"/>
        </w:r>
        <w:r w:rsidR="00796E67" w:rsidRPr="00B63DDE">
          <w:rPr>
            <w:rStyle w:val="Hyperlink"/>
            <w:webHidden/>
          </w:rPr>
          <w:instrText xml:space="preserve"> PAGEREF _Toc53576008 \h </w:instrText>
        </w:r>
        <w:r w:rsidR="00796E67" w:rsidRPr="00B63DDE">
          <w:rPr>
            <w:rStyle w:val="Hyperlink"/>
            <w:webHidden/>
          </w:rPr>
        </w:r>
        <w:r w:rsidR="00796E67" w:rsidRPr="00B63DDE">
          <w:rPr>
            <w:rStyle w:val="Hyperlink"/>
            <w:webHidden/>
          </w:rPr>
          <w:fldChar w:fldCharType="separate"/>
        </w:r>
        <w:r w:rsidR="00796E67" w:rsidRPr="00B63DDE">
          <w:rPr>
            <w:rStyle w:val="Hyperlink"/>
            <w:webHidden/>
          </w:rPr>
          <w:t>viii</w:t>
        </w:r>
        <w:r w:rsidR="00796E67" w:rsidRPr="00B63DDE">
          <w:rPr>
            <w:rStyle w:val="Hyperlink"/>
            <w:webHidden/>
          </w:rPr>
          <w:fldChar w:fldCharType="end"/>
        </w:r>
      </w:hyperlink>
    </w:p>
    <w:p w14:paraId="14EB28E0" w14:textId="0A21D44C" w:rsidR="00796E67" w:rsidRPr="00B63DDE" w:rsidRDefault="005D478B" w:rsidP="00A575DE">
      <w:pPr>
        <w:pStyle w:val="TOC1"/>
        <w:spacing w:line="240" w:lineRule="auto"/>
        <w:jc w:val="right"/>
        <w:rPr>
          <w:rStyle w:val="Hyperlink"/>
        </w:rPr>
      </w:pPr>
      <w:hyperlink w:anchor="_Toc53576009" w:history="1">
        <w:r w:rsidR="00796E67" w:rsidRPr="00B63DDE">
          <w:rPr>
            <w:rStyle w:val="Hyperlink"/>
          </w:rPr>
          <w:t>Copyright declaration</w:t>
        </w:r>
        <w:r w:rsidR="00796E67" w:rsidRPr="00B63DDE">
          <w:rPr>
            <w:rStyle w:val="Hyperlink"/>
            <w:webHidden/>
          </w:rPr>
          <w:tab/>
        </w:r>
        <w:r w:rsidR="00796E67" w:rsidRPr="00B63DDE">
          <w:rPr>
            <w:rStyle w:val="Hyperlink"/>
            <w:webHidden/>
          </w:rPr>
          <w:fldChar w:fldCharType="begin"/>
        </w:r>
        <w:r w:rsidR="00796E67" w:rsidRPr="00B63DDE">
          <w:rPr>
            <w:rStyle w:val="Hyperlink"/>
            <w:webHidden/>
          </w:rPr>
          <w:instrText xml:space="preserve"> PAGEREF _Toc53576009 \h </w:instrText>
        </w:r>
        <w:r w:rsidR="00796E67" w:rsidRPr="00B63DDE">
          <w:rPr>
            <w:rStyle w:val="Hyperlink"/>
            <w:webHidden/>
          </w:rPr>
        </w:r>
        <w:r w:rsidR="00796E67" w:rsidRPr="00B63DDE">
          <w:rPr>
            <w:rStyle w:val="Hyperlink"/>
            <w:webHidden/>
          </w:rPr>
          <w:fldChar w:fldCharType="separate"/>
        </w:r>
        <w:r w:rsidR="00796E67" w:rsidRPr="00B63DDE">
          <w:rPr>
            <w:rStyle w:val="Hyperlink"/>
            <w:webHidden/>
          </w:rPr>
          <w:t>xiv</w:t>
        </w:r>
        <w:r w:rsidR="00796E67" w:rsidRPr="00B63DDE">
          <w:rPr>
            <w:rStyle w:val="Hyperlink"/>
            <w:webHidden/>
          </w:rPr>
          <w:fldChar w:fldCharType="end"/>
        </w:r>
      </w:hyperlink>
    </w:p>
    <w:p w14:paraId="1C8BCC54" w14:textId="6180DCB5" w:rsidR="00796E67" w:rsidRPr="00B63DDE" w:rsidRDefault="005D478B" w:rsidP="00A575DE">
      <w:pPr>
        <w:pStyle w:val="TOC1"/>
        <w:spacing w:line="240" w:lineRule="auto"/>
        <w:jc w:val="right"/>
        <w:rPr>
          <w:rStyle w:val="Hyperlink"/>
        </w:rPr>
      </w:pPr>
      <w:hyperlink w:anchor="_Toc53576010" w:history="1">
        <w:r w:rsidR="00796E67" w:rsidRPr="00B63DDE">
          <w:rPr>
            <w:rStyle w:val="Hyperlink"/>
          </w:rPr>
          <w:t>List of Figures</w:t>
        </w:r>
        <w:r w:rsidR="00796E67" w:rsidRPr="00B63DDE">
          <w:rPr>
            <w:rStyle w:val="Hyperlink"/>
            <w:webHidden/>
          </w:rPr>
          <w:tab/>
        </w:r>
        <w:r w:rsidR="00796E67" w:rsidRPr="00B63DDE">
          <w:rPr>
            <w:rStyle w:val="Hyperlink"/>
            <w:webHidden/>
          </w:rPr>
          <w:fldChar w:fldCharType="begin"/>
        </w:r>
        <w:r w:rsidR="00796E67" w:rsidRPr="00B63DDE">
          <w:rPr>
            <w:rStyle w:val="Hyperlink"/>
            <w:webHidden/>
          </w:rPr>
          <w:instrText xml:space="preserve"> PAGEREF _Toc53576010 \h </w:instrText>
        </w:r>
        <w:r w:rsidR="00796E67" w:rsidRPr="00B63DDE">
          <w:rPr>
            <w:rStyle w:val="Hyperlink"/>
            <w:webHidden/>
          </w:rPr>
        </w:r>
        <w:r w:rsidR="00796E67" w:rsidRPr="00B63DDE">
          <w:rPr>
            <w:rStyle w:val="Hyperlink"/>
            <w:webHidden/>
          </w:rPr>
          <w:fldChar w:fldCharType="separate"/>
        </w:r>
        <w:r w:rsidR="00796E67" w:rsidRPr="00B63DDE">
          <w:rPr>
            <w:rStyle w:val="Hyperlink"/>
            <w:webHidden/>
          </w:rPr>
          <w:t>xv</w:t>
        </w:r>
        <w:r w:rsidR="00796E67" w:rsidRPr="00B63DDE">
          <w:rPr>
            <w:rStyle w:val="Hyperlink"/>
            <w:webHidden/>
          </w:rPr>
          <w:fldChar w:fldCharType="end"/>
        </w:r>
      </w:hyperlink>
    </w:p>
    <w:p w14:paraId="3A2A79C6" w14:textId="2F164641" w:rsidR="00796E67" w:rsidRPr="00B63DDE" w:rsidRDefault="005D478B" w:rsidP="00A575DE">
      <w:pPr>
        <w:pStyle w:val="TOC1"/>
        <w:spacing w:line="240" w:lineRule="auto"/>
        <w:jc w:val="right"/>
        <w:rPr>
          <w:rStyle w:val="Hyperlink"/>
        </w:rPr>
      </w:pPr>
      <w:hyperlink w:anchor="_Toc53576011" w:history="1">
        <w:r w:rsidR="00796E67" w:rsidRPr="00B63DDE">
          <w:rPr>
            <w:rStyle w:val="Hyperlink"/>
          </w:rPr>
          <w:t>List of Tables</w:t>
        </w:r>
        <w:r w:rsidR="00796E67" w:rsidRPr="00B63DDE">
          <w:rPr>
            <w:rStyle w:val="Hyperlink"/>
            <w:webHidden/>
          </w:rPr>
          <w:tab/>
        </w:r>
        <w:r w:rsidR="00796E67" w:rsidRPr="00B63DDE">
          <w:rPr>
            <w:rStyle w:val="Hyperlink"/>
            <w:webHidden/>
          </w:rPr>
          <w:fldChar w:fldCharType="begin"/>
        </w:r>
        <w:r w:rsidR="00796E67" w:rsidRPr="00B63DDE">
          <w:rPr>
            <w:rStyle w:val="Hyperlink"/>
            <w:webHidden/>
          </w:rPr>
          <w:instrText xml:space="preserve"> PAGEREF _Toc53576011 \h </w:instrText>
        </w:r>
        <w:r w:rsidR="00796E67" w:rsidRPr="00B63DDE">
          <w:rPr>
            <w:rStyle w:val="Hyperlink"/>
            <w:webHidden/>
          </w:rPr>
        </w:r>
        <w:r w:rsidR="00796E67" w:rsidRPr="00B63DDE">
          <w:rPr>
            <w:rStyle w:val="Hyperlink"/>
            <w:webHidden/>
          </w:rPr>
          <w:fldChar w:fldCharType="separate"/>
        </w:r>
        <w:r w:rsidR="00796E67" w:rsidRPr="00B63DDE">
          <w:rPr>
            <w:rStyle w:val="Hyperlink"/>
            <w:webHidden/>
          </w:rPr>
          <w:t>xvi</w:t>
        </w:r>
        <w:r w:rsidR="00796E67" w:rsidRPr="00B63DDE">
          <w:rPr>
            <w:rStyle w:val="Hyperlink"/>
            <w:webHidden/>
          </w:rPr>
          <w:fldChar w:fldCharType="end"/>
        </w:r>
      </w:hyperlink>
    </w:p>
    <w:p w14:paraId="0A8E70CF" w14:textId="3AD8299A" w:rsidR="00796E67" w:rsidRPr="00B63DDE" w:rsidRDefault="005D478B" w:rsidP="00A575DE">
      <w:pPr>
        <w:pStyle w:val="TOC1"/>
        <w:spacing w:line="240" w:lineRule="auto"/>
        <w:jc w:val="right"/>
        <w:rPr>
          <w:rStyle w:val="Hyperlink"/>
        </w:rPr>
      </w:pPr>
      <w:hyperlink w:anchor="_Toc53576012" w:history="1">
        <w:r w:rsidR="00796E67" w:rsidRPr="00B63DDE">
          <w:rPr>
            <w:rStyle w:val="Hyperlink"/>
          </w:rPr>
          <w:t>1. Introduction</w:t>
        </w:r>
        <w:r w:rsidR="00796E67" w:rsidRPr="00B63DDE">
          <w:rPr>
            <w:rStyle w:val="Hyperlink"/>
            <w:webHidden/>
          </w:rPr>
          <w:tab/>
        </w:r>
        <w:r w:rsidR="00796E67" w:rsidRPr="00B63DDE">
          <w:rPr>
            <w:rStyle w:val="Hyperlink"/>
            <w:webHidden/>
          </w:rPr>
          <w:fldChar w:fldCharType="begin"/>
        </w:r>
        <w:r w:rsidR="00796E67" w:rsidRPr="00B63DDE">
          <w:rPr>
            <w:rStyle w:val="Hyperlink"/>
            <w:webHidden/>
          </w:rPr>
          <w:instrText xml:space="preserve"> PAGEREF _Toc53576012 \h </w:instrText>
        </w:r>
        <w:r w:rsidR="00796E67" w:rsidRPr="00B63DDE">
          <w:rPr>
            <w:rStyle w:val="Hyperlink"/>
            <w:webHidden/>
          </w:rPr>
        </w:r>
        <w:r w:rsidR="00796E67" w:rsidRPr="00B63DDE">
          <w:rPr>
            <w:rStyle w:val="Hyperlink"/>
            <w:webHidden/>
          </w:rPr>
          <w:fldChar w:fldCharType="separate"/>
        </w:r>
        <w:r w:rsidR="00796E67" w:rsidRPr="00B63DDE">
          <w:rPr>
            <w:rStyle w:val="Hyperlink"/>
            <w:webHidden/>
          </w:rPr>
          <w:t>1</w:t>
        </w:r>
        <w:r w:rsidR="00796E67" w:rsidRPr="00B63DDE">
          <w:rPr>
            <w:rStyle w:val="Hyperlink"/>
            <w:webHidden/>
          </w:rPr>
          <w:fldChar w:fldCharType="end"/>
        </w:r>
      </w:hyperlink>
    </w:p>
    <w:p w14:paraId="158A5A71" w14:textId="35999412" w:rsidR="00796E67" w:rsidRPr="00A575DE" w:rsidRDefault="005D478B" w:rsidP="00462AE3">
      <w:pPr>
        <w:pStyle w:val="TOC1"/>
        <w:ind w:left="839" w:right="709" w:hanging="476"/>
        <w:rPr>
          <w:rStyle w:val="Hyperlink"/>
          <w:b w:val="0"/>
          <w:bCs w:val="0"/>
        </w:rPr>
      </w:pPr>
      <w:hyperlink w:anchor="_Toc53576013" w:history="1">
        <w:r w:rsidR="00796E67" w:rsidRPr="00A575DE">
          <w:rPr>
            <w:rStyle w:val="Hyperlink"/>
            <w:b w:val="0"/>
            <w:bCs w:val="0"/>
          </w:rPr>
          <w:t>1.1.</w:t>
        </w:r>
        <w:r w:rsidR="00796E67" w:rsidRPr="00A575DE">
          <w:rPr>
            <w:rStyle w:val="Hyperlink"/>
            <w:b w:val="0"/>
            <w:bCs w:val="0"/>
          </w:rPr>
          <w:tab/>
          <w:t>Background and purpose of the research</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_Toc53576013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w:t>
        </w:r>
        <w:r w:rsidR="00796E67" w:rsidRPr="00A575DE">
          <w:rPr>
            <w:rStyle w:val="Hyperlink"/>
            <w:b w:val="0"/>
            <w:bCs w:val="0"/>
            <w:webHidden/>
          </w:rPr>
          <w:fldChar w:fldCharType="end"/>
        </w:r>
      </w:hyperlink>
    </w:p>
    <w:p w14:paraId="77BC5F17" w14:textId="28BAB825" w:rsidR="00796E67" w:rsidRPr="00A575DE" w:rsidRDefault="005D478B" w:rsidP="00462AE3">
      <w:pPr>
        <w:pStyle w:val="TOC1"/>
        <w:ind w:left="839" w:right="709" w:hanging="476"/>
        <w:rPr>
          <w:rStyle w:val="Hyperlink"/>
          <w:b w:val="0"/>
          <w:bCs w:val="0"/>
        </w:rPr>
      </w:pPr>
      <w:hyperlink w:anchor="_Toc53576014" w:history="1">
        <w:r w:rsidR="00796E67" w:rsidRPr="00A575DE">
          <w:rPr>
            <w:rStyle w:val="Hyperlink"/>
            <w:b w:val="0"/>
            <w:bCs w:val="0"/>
          </w:rPr>
          <w:t>1.2.</w:t>
        </w:r>
        <w:r w:rsidR="00796E67" w:rsidRPr="00A575DE">
          <w:rPr>
            <w:rStyle w:val="Hyperlink"/>
            <w:b w:val="0"/>
            <w:bCs w:val="0"/>
          </w:rPr>
          <w:tab/>
          <w:t>Context, perspective and research questions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_Toc53576014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5</w:t>
        </w:r>
        <w:r w:rsidR="00796E67" w:rsidRPr="00A575DE">
          <w:rPr>
            <w:rStyle w:val="Hyperlink"/>
            <w:b w:val="0"/>
            <w:bCs w:val="0"/>
            <w:webHidden/>
          </w:rPr>
          <w:fldChar w:fldCharType="end"/>
        </w:r>
      </w:hyperlink>
    </w:p>
    <w:p w14:paraId="1098DE7C" w14:textId="152FCAA3" w:rsidR="00796E67" w:rsidRPr="00A575DE" w:rsidRDefault="005D478B" w:rsidP="00462AE3">
      <w:pPr>
        <w:pStyle w:val="TOC1"/>
        <w:ind w:left="839" w:right="709" w:hanging="476"/>
        <w:rPr>
          <w:rStyle w:val="Hyperlink"/>
          <w:b w:val="0"/>
          <w:bCs w:val="0"/>
        </w:rPr>
      </w:pPr>
      <w:hyperlink w:anchor="_Toc53576015" w:history="1">
        <w:r w:rsidR="00796E67" w:rsidRPr="00A575DE">
          <w:rPr>
            <w:rStyle w:val="Hyperlink"/>
            <w:b w:val="0"/>
            <w:bCs w:val="0"/>
          </w:rPr>
          <w:t>1.3.</w:t>
        </w:r>
        <w:r w:rsidR="00796E67" w:rsidRPr="00A575DE">
          <w:rPr>
            <w:rStyle w:val="Hyperlink"/>
            <w:b w:val="0"/>
            <w:bCs w:val="0"/>
          </w:rPr>
          <w:tab/>
          <w:t>Research methodology</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_Toc53576015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11</w:t>
        </w:r>
        <w:r w:rsidR="00796E67" w:rsidRPr="00A575DE">
          <w:rPr>
            <w:rStyle w:val="Hyperlink"/>
            <w:b w:val="0"/>
            <w:bCs w:val="0"/>
            <w:webHidden/>
          </w:rPr>
          <w:fldChar w:fldCharType="end"/>
        </w:r>
      </w:hyperlink>
    </w:p>
    <w:p w14:paraId="539BE887" w14:textId="042A12E6" w:rsidR="00796E67" w:rsidRPr="00A575DE" w:rsidRDefault="005D478B" w:rsidP="000F6E77">
      <w:pPr>
        <w:pStyle w:val="TOC1"/>
        <w:ind w:left="839" w:right="709" w:hanging="476"/>
        <w:rPr>
          <w:rStyle w:val="Hyperlink"/>
          <w:b w:val="0"/>
          <w:bCs w:val="0"/>
        </w:rPr>
      </w:pPr>
      <w:hyperlink w:anchor="_Toc53576016" w:history="1">
        <w:r w:rsidR="00796E67" w:rsidRPr="00A575DE">
          <w:rPr>
            <w:rStyle w:val="Hyperlink"/>
            <w:b w:val="0"/>
            <w:bCs w:val="0"/>
          </w:rPr>
          <w:t>1.4.</w:t>
        </w:r>
        <w:r w:rsidR="00796E67" w:rsidRPr="00A575DE">
          <w:rPr>
            <w:rStyle w:val="Hyperlink"/>
            <w:b w:val="0"/>
            <w:bCs w:val="0"/>
          </w:rPr>
          <w:tab/>
          <w:t>Case selection</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_Toc53576016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14</w:t>
        </w:r>
        <w:r w:rsidR="00796E67" w:rsidRPr="00A575DE">
          <w:rPr>
            <w:rStyle w:val="Hyperlink"/>
            <w:b w:val="0"/>
            <w:bCs w:val="0"/>
            <w:webHidden/>
          </w:rPr>
          <w:fldChar w:fldCharType="end"/>
        </w:r>
      </w:hyperlink>
    </w:p>
    <w:p w14:paraId="1F3466B3" w14:textId="7C562E92" w:rsidR="00796E67" w:rsidRPr="00A575DE" w:rsidRDefault="005D478B" w:rsidP="00462AE3">
      <w:pPr>
        <w:pStyle w:val="TOC1"/>
        <w:ind w:left="1560" w:right="709" w:hanging="709"/>
        <w:rPr>
          <w:rStyle w:val="Hyperlink"/>
          <w:b w:val="0"/>
          <w:bCs w:val="0"/>
        </w:rPr>
      </w:pPr>
      <w:hyperlink w:anchor="_Toc53576017" w:history="1">
        <w:r w:rsidR="00796E67" w:rsidRPr="00A575DE">
          <w:rPr>
            <w:rStyle w:val="Hyperlink"/>
            <w:b w:val="0"/>
            <w:bCs w:val="0"/>
          </w:rPr>
          <w:t>1.4.1.</w:t>
        </w:r>
        <w:r w:rsidR="00796E67" w:rsidRPr="00A575DE">
          <w:rPr>
            <w:rStyle w:val="Hyperlink"/>
            <w:b w:val="0"/>
            <w:bCs w:val="0"/>
          </w:rPr>
          <w:tab/>
          <w:t>Cloud Computing</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_Toc53576017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16</w:t>
        </w:r>
        <w:r w:rsidR="00796E67" w:rsidRPr="00A575DE">
          <w:rPr>
            <w:rStyle w:val="Hyperlink"/>
            <w:b w:val="0"/>
            <w:bCs w:val="0"/>
            <w:webHidden/>
          </w:rPr>
          <w:fldChar w:fldCharType="end"/>
        </w:r>
      </w:hyperlink>
    </w:p>
    <w:p w14:paraId="3854AAD5" w14:textId="784B60E6" w:rsidR="00796E67" w:rsidRPr="00A575DE" w:rsidRDefault="005D478B" w:rsidP="00462AE3">
      <w:pPr>
        <w:pStyle w:val="TOC1"/>
        <w:ind w:left="1560" w:right="709" w:hanging="709"/>
        <w:rPr>
          <w:rStyle w:val="Hyperlink"/>
          <w:b w:val="0"/>
          <w:bCs w:val="0"/>
        </w:rPr>
      </w:pPr>
      <w:hyperlink w:anchor="_Toc53576018" w:history="1">
        <w:r w:rsidR="00796E67" w:rsidRPr="00A575DE">
          <w:rPr>
            <w:rStyle w:val="Hyperlink"/>
            <w:b w:val="0"/>
            <w:bCs w:val="0"/>
          </w:rPr>
          <w:t>1.4.2.</w:t>
        </w:r>
        <w:r w:rsidR="00796E67" w:rsidRPr="00A575DE">
          <w:rPr>
            <w:rStyle w:val="Hyperlink"/>
            <w:b w:val="0"/>
            <w:bCs w:val="0"/>
          </w:rPr>
          <w:tab/>
          <w:t>The Internet of Things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_Toc53576018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18</w:t>
        </w:r>
        <w:r w:rsidR="00796E67" w:rsidRPr="00A575DE">
          <w:rPr>
            <w:rStyle w:val="Hyperlink"/>
            <w:b w:val="0"/>
            <w:bCs w:val="0"/>
            <w:webHidden/>
          </w:rPr>
          <w:fldChar w:fldCharType="end"/>
        </w:r>
      </w:hyperlink>
    </w:p>
    <w:p w14:paraId="232A8400" w14:textId="28FD4BD0" w:rsidR="00796E67" w:rsidRPr="00A575DE" w:rsidRDefault="005D478B" w:rsidP="00462AE3">
      <w:pPr>
        <w:pStyle w:val="TOC1"/>
        <w:ind w:left="839" w:right="709" w:hanging="476"/>
        <w:rPr>
          <w:rStyle w:val="Hyperlink"/>
          <w:b w:val="0"/>
          <w:bCs w:val="0"/>
        </w:rPr>
      </w:pPr>
      <w:hyperlink w:anchor="_Toc53576019" w:history="1">
        <w:r w:rsidR="00796E67" w:rsidRPr="00A575DE">
          <w:rPr>
            <w:rStyle w:val="Hyperlink"/>
            <w:b w:val="0"/>
            <w:bCs w:val="0"/>
          </w:rPr>
          <w:t>1.5.</w:t>
        </w:r>
        <w:r w:rsidR="00796E67" w:rsidRPr="00A575DE">
          <w:rPr>
            <w:rStyle w:val="Hyperlink"/>
            <w:b w:val="0"/>
            <w:bCs w:val="0"/>
          </w:rPr>
          <w:tab/>
          <w:t>Limitations and jurisdictional choice</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_Toc53576019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20</w:t>
        </w:r>
        <w:r w:rsidR="00796E67" w:rsidRPr="00A575DE">
          <w:rPr>
            <w:rStyle w:val="Hyperlink"/>
            <w:b w:val="0"/>
            <w:bCs w:val="0"/>
            <w:webHidden/>
          </w:rPr>
          <w:fldChar w:fldCharType="end"/>
        </w:r>
      </w:hyperlink>
    </w:p>
    <w:p w14:paraId="3116A694" w14:textId="7861F901" w:rsidR="00796E67" w:rsidRPr="00A575DE" w:rsidRDefault="005D478B" w:rsidP="00462AE3">
      <w:pPr>
        <w:pStyle w:val="TOC1"/>
        <w:ind w:left="839" w:right="709" w:hanging="476"/>
        <w:rPr>
          <w:rStyle w:val="Hyperlink"/>
          <w:b w:val="0"/>
          <w:bCs w:val="0"/>
        </w:rPr>
      </w:pPr>
      <w:hyperlink w:anchor="_Toc53576020" w:history="1">
        <w:r w:rsidR="00796E67" w:rsidRPr="00A575DE">
          <w:rPr>
            <w:rStyle w:val="Hyperlink"/>
            <w:b w:val="0"/>
            <w:bCs w:val="0"/>
          </w:rPr>
          <w:t>1.6.</w:t>
        </w:r>
        <w:r w:rsidR="00796E67" w:rsidRPr="00A575DE">
          <w:rPr>
            <w:rStyle w:val="Hyperlink"/>
            <w:b w:val="0"/>
            <w:bCs w:val="0"/>
          </w:rPr>
          <w:tab/>
          <w:t>Structure, outline and main findings of the research</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_Toc53576020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24</w:t>
        </w:r>
        <w:r w:rsidR="00796E67" w:rsidRPr="00A575DE">
          <w:rPr>
            <w:rStyle w:val="Hyperlink"/>
            <w:b w:val="0"/>
            <w:bCs w:val="0"/>
            <w:webHidden/>
          </w:rPr>
          <w:fldChar w:fldCharType="end"/>
        </w:r>
      </w:hyperlink>
    </w:p>
    <w:p w14:paraId="4D01468B" w14:textId="269BA164" w:rsidR="00796E67" w:rsidRPr="00A575DE" w:rsidRDefault="005D478B" w:rsidP="00462AE3">
      <w:pPr>
        <w:pStyle w:val="TOC1"/>
        <w:ind w:left="1560" w:right="709" w:hanging="709"/>
        <w:rPr>
          <w:rStyle w:val="Hyperlink"/>
          <w:b w:val="0"/>
          <w:bCs w:val="0"/>
        </w:rPr>
      </w:pPr>
      <w:hyperlink w:anchor="_Toc53576021" w:history="1">
        <w:r w:rsidR="00796E67" w:rsidRPr="00A575DE">
          <w:rPr>
            <w:rStyle w:val="Hyperlink"/>
            <w:b w:val="0"/>
            <w:bCs w:val="0"/>
          </w:rPr>
          <w:t>1.6.1.</w:t>
        </w:r>
        <w:r w:rsidR="00796E67" w:rsidRPr="00A575DE">
          <w:rPr>
            <w:rStyle w:val="Hyperlink"/>
            <w:b w:val="0"/>
            <w:bCs w:val="0"/>
          </w:rPr>
          <w:tab/>
          <w:t>Structure and outline</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_Toc53576021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24</w:t>
        </w:r>
        <w:r w:rsidR="00796E67" w:rsidRPr="00A575DE">
          <w:rPr>
            <w:rStyle w:val="Hyperlink"/>
            <w:b w:val="0"/>
            <w:bCs w:val="0"/>
            <w:webHidden/>
          </w:rPr>
          <w:fldChar w:fldCharType="end"/>
        </w:r>
      </w:hyperlink>
    </w:p>
    <w:p w14:paraId="44FC26FA" w14:textId="3A6306AD" w:rsidR="00796E67" w:rsidRPr="00A575DE" w:rsidRDefault="005D478B" w:rsidP="00462AE3">
      <w:pPr>
        <w:pStyle w:val="TOC1"/>
        <w:ind w:left="1560" w:right="709" w:hanging="709"/>
        <w:rPr>
          <w:rStyle w:val="Hyperlink"/>
          <w:b w:val="0"/>
          <w:bCs w:val="0"/>
        </w:rPr>
      </w:pPr>
      <w:hyperlink w:anchor="_Toc53576022" w:history="1">
        <w:r w:rsidR="00796E67" w:rsidRPr="00A575DE">
          <w:rPr>
            <w:rStyle w:val="Hyperlink"/>
            <w:b w:val="0"/>
            <w:bCs w:val="0"/>
          </w:rPr>
          <w:t>1.6.2.</w:t>
        </w:r>
        <w:r w:rsidR="00796E67" w:rsidRPr="00A575DE">
          <w:rPr>
            <w:rStyle w:val="Hyperlink"/>
            <w:b w:val="0"/>
            <w:bCs w:val="0"/>
          </w:rPr>
          <w:tab/>
          <w:t>Main findings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_Toc53576022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30</w:t>
        </w:r>
        <w:r w:rsidR="00796E67" w:rsidRPr="00A575DE">
          <w:rPr>
            <w:rStyle w:val="Hyperlink"/>
            <w:b w:val="0"/>
            <w:bCs w:val="0"/>
            <w:webHidden/>
          </w:rPr>
          <w:fldChar w:fldCharType="end"/>
        </w:r>
      </w:hyperlink>
    </w:p>
    <w:p w14:paraId="18700E8D" w14:textId="4CBF4458" w:rsidR="00796E67" w:rsidRPr="00A575DE" w:rsidRDefault="005D478B" w:rsidP="00462AE3">
      <w:pPr>
        <w:pStyle w:val="TOC1"/>
        <w:ind w:left="1560" w:right="709" w:hanging="709"/>
        <w:rPr>
          <w:rStyle w:val="Hyperlink"/>
          <w:b w:val="0"/>
          <w:bCs w:val="0"/>
        </w:rPr>
      </w:pPr>
      <w:hyperlink w:anchor="_Toc53576023" w:history="1">
        <w:r w:rsidR="00796E67" w:rsidRPr="00A575DE">
          <w:rPr>
            <w:rStyle w:val="Hyperlink"/>
            <w:b w:val="0"/>
            <w:bCs w:val="0"/>
          </w:rPr>
          <w:t>1.6.3.</w:t>
        </w:r>
        <w:r w:rsidR="00796E67" w:rsidRPr="00A575DE">
          <w:rPr>
            <w:rStyle w:val="Hyperlink"/>
            <w:b w:val="0"/>
            <w:bCs w:val="0"/>
          </w:rPr>
          <w:tab/>
          <w:t>Contribution to knowledge</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_Toc53576023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33</w:t>
        </w:r>
        <w:r w:rsidR="00796E67" w:rsidRPr="00A575DE">
          <w:rPr>
            <w:rStyle w:val="Hyperlink"/>
            <w:b w:val="0"/>
            <w:bCs w:val="0"/>
            <w:webHidden/>
          </w:rPr>
          <w:fldChar w:fldCharType="end"/>
        </w:r>
      </w:hyperlink>
    </w:p>
    <w:p w14:paraId="1DEB06E0" w14:textId="4132F789" w:rsidR="00796E67" w:rsidRPr="00A575DE" w:rsidRDefault="005D478B" w:rsidP="00A575DE">
      <w:pPr>
        <w:pStyle w:val="TOC1"/>
        <w:spacing w:line="240" w:lineRule="auto"/>
        <w:jc w:val="right"/>
        <w:rPr>
          <w:rStyle w:val="Hyperlink"/>
        </w:rPr>
      </w:pPr>
      <w:hyperlink w:anchor="_Toc53576024" w:history="1">
        <w:r w:rsidR="00796E67" w:rsidRPr="00B63DDE">
          <w:rPr>
            <w:rStyle w:val="Hyperlink"/>
          </w:rPr>
          <w:t>2. Interoperability in the field of ICTs</w:t>
        </w:r>
        <w:r w:rsidR="00796E67" w:rsidRPr="00A575DE">
          <w:rPr>
            <w:rStyle w:val="Hyperlink"/>
            <w:webHidden/>
          </w:rPr>
          <w:tab/>
        </w:r>
        <w:r w:rsidR="00796E67" w:rsidRPr="00A575DE">
          <w:rPr>
            <w:rStyle w:val="Hyperlink"/>
            <w:webHidden/>
          </w:rPr>
          <w:fldChar w:fldCharType="begin"/>
        </w:r>
        <w:r w:rsidR="00796E67" w:rsidRPr="00A575DE">
          <w:rPr>
            <w:rStyle w:val="Hyperlink"/>
            <w:webHidden/>
          </w:rPr>
          <w:instrText xml:space="preserve"> PAGEREF _Toc53576024 \h </w:instrText>
        </w:r>
        <w:r w:rsidR="00796E67" w:rsidRPr="00A575DE">
          <w:rPr>
            <w:rStyle w:val="Hyperlink"/>
            <w:webHidden/>
          </w:rPr>
        </w:r>
        <w:r w:rsidR="00796E67" w:rsidRPr="00A575DE">
          <w:rPr>
            <w:rStyle w:val="Hyperlink"/>
            <w:webHidden/>
          </w:rPr>
          <w:fldChar w:fldCharType="separate"/>
        </w:r>
        <w:r w:rsidR="00796E67" w:rsidRPr="00A575DE">
          <w:rPr>
            <w:rStyle w:val="Hyperlink"/>
            <w:webHidden/>
          </w:rPr>
          <w:t>39</w:t>
        </w:r>
        <w:r w:rsidR="00796E67" w:rsidRPr="00A575DE">
          <w:rPr>
            <w:rStyle w:val="Hyperlink"/>
            <w:webHidden/>
          </w:rPr>
          <w:fldChar w:fldCharType="end"/>
        </w:r>
      </w:hyperlink>
    </w:p>
    <w:p w14:paraId="5C737612" w14:textId="1D2E8453" w:rsidR="00796E67" w:rsidRPr="00A575DE" w:rsidRDefault="005D478B" w:rsidP="00462AE3">
      <w:pPr>
        <w:pStyle w:val="TOC1"/>
        <w:ind w:left="839" w:right="709" w:hanging="476"/>
        <w:rPr>
          <w:rStyle w:val="Hyperlink"/>
          <w:b w:val="0"/>
          <w:bCs w:val="0"/>
        </w:rPr>
      </w:pPr>
      <w:hyperlink w:anchor="_Toc53576025" w:history="1">
        <w:r w:rsidR="00796E67" w:rsidRPr="00A575DE">
          <w:rPr>
            <w:rStyle w:val="Hyperlink"/>
            <w:b w:val="0"/>
            <w:bCs w:val="0"/>
          </w:rPr>
          <w:t>2.1. Conceptual framework of interoperability</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_Toc53576025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39</w:t>
        </w:r>
        <w:r w:rsidR="00796E67" w:rsidRPr="00A575DE">
          <w:rPr>
            <w:rStyle w:val="Hyperlink"/>
            <w:b w:val="0"/>
            <w:bCs w:val="0"/>
            <w:webHidden/>
          </w:rPr>
          <w:fldChar w:fldCharType="end"/>
        </w:r>
      </w:hyperlink>
    </w:p>
    <w:p w14:paraId="5485814E" w14:textId="01D1F305" w:rsidR="00796E67" w:rsidRPr="00A575DE" w:rsidRDefault="005D478B" w:rsidP="00462AE3">
      <w:pPr>
        <w:pStyle w:val="TOC1"/>
        <w:ind w:left="1560" w:right="709" w:hanging="709"/>
        <w:rPr>
          <w:rStyle w:val="Hyperlink"/>
          <w:b w:val="0"/>
          <w:bCs w:val="0"/>
        </w:rPr>
      </w:pPr>
      <w:hyperlink w:anchor="_Toc53576026" w:history="1">
        <w:r w:rsidR="00796E67" w:rsidRPr="00A575DE">
          <w:rPr>
            <w:rStyle w:val="Hyperlink"/>
            <w:b w:val="0"/>
            <w:bCs w:val="0"/>
          </w:rPr>
          <w:t>2.1.1.</w:t>
        </w:r>
        <w:r w:rsidR="00796E67" w:rsidRPr="00A575DE">
          <w:rPr>
            <w:rStyle w:val="Hyperlink"/>
            <w:b w:val="0"/>
            <w:bCs w:val="0"/>
          </w:rPr>
          <w:tab/>
          <w:t>Definition of interoperability</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_Toc53576026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39</w:t>
        </w:r>
        <w:r w:rsidR="00796E67" w:rsidRPr="00A575DE">
          <w:rPr>
            <w:rStyle w:val="Hyperlink"/>
            <w:b w:val="0"/>
            <w:bCs w:val="0"/>
            <w:webHidden/>
          </w:rPr>
          <w:fldChar w:fldCharType="end"/>
        </w:r>
      </w:hyperlink>
    </w:p>
    <w:p w14:paraId="20BE7557" w14:textId="0C8D047C" w:rsidR="00796E67" w:rsidRPr="00A575DE" w:rsidRDefault="005D478B" w:rsidP="00462AE3">
      <w:pPr>
        <w:pStyle w:val="TOC1"/>
        <w:ind w:left="1560" w:right="709" w:hanging="709"/>
        <w:rPr>
          <w:rStyle w:val="Hyperlink"/>
          <w:b w:val="0"/>
          <w:bCs w:val="0"/>
        </w:rPr>
      </w:pPr>
      <w:hyperlink w:anchor="_Toc53576027" w:history="1">
        <w:r w:rsidR="00796E67" w:rsidRPr="00A575DE">
          <w:rPr>
            <w:rStyle w:val="Hyperlink"/>
            <w:b w:val="0"/>
            <w:bCs w:val="0"/>
          </w:rPr>
          <w:t>2.1.2.</w:t>
        </w:r>
        <w:r w:rsidR="00796E67" w:rsidRPr="00A575DE">
          <w:rPr>
            <w:rStyle w:val="Hyperlink"/>
            <w:b w:val="0"/>
            <w:bCs w:val="0"/>
          </w:rPr>
          <w:tab/>
          <w:t>Underlying elements of interoperability</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_Toc53576027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44</w:t>
        </w:r>
        <w:r w:rsidR="00796E67" w:rsidRPr="00A575DE">
          <w:rPr>
            <w:rStyle w:val="Hyperlink"/>
            <w:b w:val="0"/>
            <w:bCs w:val="0"/>
            <w:webHidden/>
          </w:rPr>
          <w:fldChar w:fldCharType="end"/>
        </w:r>
      </w:hyperlink>
    </w:p>
    <w:p w14:paraId="45A84294" w14:textId="2A0862AA" w:rsidR="00796E67" w:rsidRPr="00A575DE" w:rsidRDefault="005D478B" w:rsidP="00462AE3">
      <w:pPr>
        <w:pStyle w:val="TOC1"/>
        <w:ind w:left="1560" w:right="709" w:hanging="709"/>
        <w:rPr>
          <w:rStyle w:val="Hyperlink"/>
          <w:b w:val="0"/>
          <w:bCs w:val="0"/>
        </w:rPr>
      </w:pPr>
      <w:hyperlink w:anchor="_Toc53576028" w:history="1">
        <w:r w:rsidR="00796E67" w:rsidRPr="00A575DE">
          <w:rPr>
            <w:rStyle w:val="Hyperlink"/>
            <w:b w:val="0"/>
            <w:bCs w:val="0"/>
          </w:rPr>
          <w:t>2.1.3.</w:t>
        </w:r>
        <w:r w:rsidR="00796E67" w:rsidRPr="00A575DE">
          <w:rPr>
            <w:rStyle w:val="Hyperlink"/>
            <w:b w:val="0"/>
            <w:bCs w:val="0"/>
          </w:rPr>
          <w:tab/>
          <w:t>Open and proprietary systems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_Toc53576028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46</w:t>
        </w:r>
        <w:r w:rsidR="00796E67" w:rsidRPr="00A575DE">
          <w:rPr>
            <w:rStyle w:val="Hyperlink"/>
            <w:b w:val="0"/>
            <w:bCs w:val="0"/>
            <w:webHidden/>
          </w:rPr>
          <w:fldChar w:fldCharType="end"/>
        </w:r>
      </w:hyperlink>
    </w:p>
    <w:p w14:paraId="630EF58A" w14:textId="1C9EF762" w:rsidR="00796E67" w:rsidRPr="00A575DE" w:rsidRDefault="005D478B" w:rsidP="00462AE3">
      <w:pPr>
        <w:pStyle w:val="TOC1"/>
        <w:ind w:left="1560" w:right="709" w:hanging="709"/>
        <w:rPr>
          <w:rStyle w:val="Hyperlink"/>
          <w:b w:val="0"/>
          <w:bCs w:val="0"/>
        </w:rPr>
      </w:pPr>
      <w:hyperlink w:anchor="_Toc53576029" w:history="1">
        <w:r w:rsidR="00796E67" w:rsidRPr="00A575DE">
          <w:rPr>
            <w:rStyle w:val="Hyperlink"/>
            <w:b w:val="0"/>
            <w:bCs w:val="0"/>
          </w:rPr>
          <w:t>2.1.4.</w:t>
        </w:r>
        <w:r w:rsidR="00796E67" w:rsidRPr="00A575DE">
          <w:rPr>
            <w:rStyle w:val="Hyperlink"/>
            <w:b w:val="0"/>
            <w:bCs w:val="0"/>
          </w:rPr>
          <w:tab/>
          <w:t>Standardisation</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_Toc53576029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49</w:t>
        </w:r>
        <w:r w:rsidR="00796E67" w:rsidRPr="00A575DE">
          <w:rPr>
            <w:rStyle w:val="Hyperlink"/>
            <w:b w:val="0"/>
            <w:bCs w:val="0"/>
            <w:webHidden/>
          </w:rPr>
          <w:fldChar w:fldCharType="end"/>
        </w:r>
      </w:hyperlink>
    </w:p>
    <w:p w14:paraId="4FEE9DCD" w14:textId="1DB962EC" w:rsidR="00796E67" w:rsidRPr="00A575DE" w:rsidRDefault="005D478B" w:rsidP="00462AE3">
      <w:pPr>
        <w:pStyle w:val="TOC1"/>
        <w:ind w:left="1560" w:right="709" w:hanging="709"/>
        <w:rPr>
          <w:rStyle w:val="Hyperlink"/>
          <w:b w:val="0"/>
          <w:bCs w:val="0"/>
        </w:rPr>
      </w:pPr>
      <w:hyperlink w:anchor="_Toc53576030" w:history="1">
        <w:r w:rsidR="00796E67" w:rsidRPr="00A575DE">
          <w:rPr>
            <w:rStyle w:val="Hyperlink"/>
            <w:b w:val="0"/>
            <w:bCs w:val="0"/>
          </w:rPr>
          <w:t>2.1.5.</w:t>
        </w:r>
        <w:r w:rsidR="00796E67" w:rsidRPr="00A575DE">
          <w:rPr>
            <w:rStyle w:val="Hyperlink"/>
            <w:b w:val="0"/>
            <w:bCs w:val="0"/>
          </w:rPr>
          <w:tab/>
          <w:t>Network effects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_Toc53576030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54</w:t>
        </w:r>
        <w:r w:rsidR="00796E67" w:rsidRPr="00A575DE">
          <w:rPr>
            <w:rStyle w:val="Hyperlink"/>
            <w:b w:val="0"/>
            <w:bCs w:val="0"/>
            <w:webHidden/>
          </w:rPr>
          <w:fldChar w:fldCharType="end"/>
        </w:r>
      </w:hyperlink>
    </w:p>
    <w:p w14:paraId="1028A62E" w14:textId="6CD232AA" w:rsidR="00796E67" w:rsidRPr="00A575DE" w:rsidRDefault="005D478B" w:rsidP="00462AE3">
      <w:pPr>
        <w:pStyle w:val="TOC1"/>
        <w:ind w:left="839" w:right="709" w:hanging="476"/>
        <w:rPr>
          <w:rStyle w:val="Hyperlink"/>
          <w:b w:val="0"/>
          <w:bCs w:val="0"/>
        </w:rPr>
      </w:pPr>
      <w:hyperlink w:anchor="_Toc53576031" w:history="1">
        <w:r w:rsidR="00796E67" w:rsidRPr="00A575DE">
          <w:rPr>
            <w:rStyle w:val="Hyperlink"/>
            <w:b w:val="0"/>
            <w:bCs w:val="0"/>
          </w:rPr>
          <w:t>2.2.</w:t>
        </w:r>
        <w:r w:rsidR="00796E67" w:rsidRPr="00A575DE">
          <w:rPr>
            <w:rStyle w:val="Hyperlink"/>
            <w:b w:val="0"/>
            <w:bCs w:val="0"/>
          </w:rPr>
          <w:tab/>
          <w:t>Main characteristics and evolution of ICT networks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_Toc53576031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58</w:t>
        </w:r>
        <w:r w:rsidR="00796E67" w:rsidRPr="00A575DE">
          <w:rPr>
            <w:rStyle w:val="Hyperlink"/>
            <w:b w:val="0"/>
            <w:bCs w:val="0"/>
            <w:webHidden/>
          </w:rPr>
          <w:fldChar w:fldCharType="end"/>
        </w:r>
      </w:hyperlink>
    </w:p>
    <w:p w14:paraId="027BEAFC" w14:textId="0616A52E" w:rsidR="00796E67" w:rsidRPr="00A575DE" w:rsidRDefault="005D478B" w:rsidP="00462AE3">
      <w:pPr>
        <w:pStyle w:val="TOC1"/>
        <w:ind w:left="1560" w:right="709" w:hanging="709"/>
        <w:rPr>
          <w:rStyle w:val="Hyperlink"/>
          <w:b w:val="0"/>
          <w:bCs w:val="0"/>
        </w:rPr>
      </w:pPr>
      <w:hyperlink w:anchor="_Toc53576032" w:history="1">
        <w:r w:rsidR="00796E67" w:rsidRPr="00A575DE">
          <w:rPr>
            <w:rStyle w:val="Hyperlink"/>
            <w:b w:val="0"/>
            <w:bCs w:val="0"/>
          </w:rPr>
          <w:t>2.2.1.</w:t>
        </w:r>
        <w:r w:rsidR="00796E67" w:rsidRPr="00A575DE">
          <w:rPr>
            <w:rStyle w:val="Hyperlink"/>
            <w:b w:val="0"/>
            <w:bCs w:val="0"/>
          </w:rPr>
          <w:tab/>
          <w:t>Architectural underpinnings of the internet: Layered IP Stack</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_Toc53576032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58</w:t>
        </w:r>
        <w:r w:rsidR="00796E67" w:rsidRPr="00A575DE">
          <w:rPr>
            <w:rStyle w:val="Hyperlink"/>
            <w:b w:val="0"/>
            <w:bCs w:val="0"/>
            <w:webHidden/>
          </w:rPr>
          <w:fldChar w:fldCharType="end"/>
        </w:r>
      </w:hyperlink>
    </w:p>
    <w:p w14:paraId="66F288D5" w14:textId="33402402" w:rsidR="00796E67" w:rsidRPr="00A575DE" w:rsidRDefault="005D478B" w:rsidP="00462AE3">
      <w:pPr>
        <w:pStyle w:val="TOC1"/>
        <w:ind w:left="1560" w:right="709" w:hanging="709"/>
        <w:rPr>
          <w:rStyle w:val="Hyperlink"/>
          <w:b w:val="0"/>
          <w:bCs w:val="0"/>
        </w:rPr>
      </w:pPr>
      <w:hyperlink w:anchor="_Toc53576033" w:history="1">
        <w:r w:rsidR="00796E67" w:rsidRPr="00A575DE">
          <w:rPr>
            <w:rStyle w:val="Hyperlink"/>
            <w:b w:val="0"/>
            <w:bCs w:val="0"/>
          </w:rPr>
          <w:t>2.2.2.</w:t>
        </w:r>
        <w:r w:rsidR="00796E67" w:rsidRPr="00A575DE">
          <w:rPr>
            <w:rStyle w:val="Hyperlink"/>
            <w:b w:val="0"/>
            <w:bCs w:val="0"/>
          </w:rPr>
          <w:tab/>
          <w:t>Convergence</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_Toc53576033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62</w:t>
        </w:r>
        <w:r w:rsidR="00796E67" w:rsidRPr="00A575DE">
          <w:rPr>
            <w:rStyle w:val="Hyperlink"/>
            <w:b w:val="0"/>
            <w:bCs w:val="0"/>
            <w:webHidden/>
          </w:rPr>
          <w:fldChar w:fldCharType="end"/>
        </w:r>
      </w:hyperlink>
    </w:p>
    <w:p w14:paraId="01783192" w14:textId="7C3AEEBC" w:rsidR="00796E67" w:rsidRPr="00A575DE" w:rsidRDefault="005D478B" w:rsidP="00462AE3">
      <w:pPr>
        <w:pStyle w:val="TOC1"/>
        <w:ind w:left="1560" w:right="709" w:hanging="709"/>
        <w:rPr>
          <w:rStyle w:val="Hyperlink"/>
          <w:b w:val="0"/>
          <w:bCs w:val="0"/>
        </w:rPr>
      </w:pPr>
      <w:hyperlink w:anchor="_Toc53576034" w:history="1">
        <w:r w:rsidR="00796E67" w:rsidRPr="00A575DE">
          <w:rPr>
            <w:rStyle w:val="Hyperlink"/>
            <w:b w:val="0"/>
            <w:bCs w:val="0"/>
          </w:rPr>
          <w:t>2.2.3.</w:t>
        </w:r>
        <w:r w:rsidR="00796E67" w:rsidRPr="00A575DE">
          <w:rPr>
            <w:rStyle w:val="Hyperlink"/>
            <w:b w:val="0"/>
            <w:bCs w:val="0"/>
          </w:rPr>
          <w:tab/>
          <w:t>Transition from legacy networks to NGNs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_Toc53576034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66</w:t>
        </w:r>
        <w:r w:rsidR="00796E67" w:rsidRPr="00A575DE">
          <w:rPr>
            <w:rStyle w:val="Hyperlink"/>
            <w:b w:val="0"/>
            <w:bCs w:val="0"/>
            <w:webHidden/>
          </w:rPr>
          <w:fldChar w:fldCharType="end"/>
        </w:r>
      </w:hyperlink>
    </w:p>
    <w:p w14:paraId="7B125E84" w14:textId="3B247030" w:rsidR="00796E67" w:rsidRPr="00A575DE" w:rsidRDefault="005D478B" w:rsidP="00A575DE">
      <w:pPr>
        <w:pStyle w:val="TOC1"/>
        <w:spacing w:line="240" w:lineRule="auto"/>
        <w:jc w:val="right"/>
        <w:rPr>
          <w:rStyle w:val="Hyperlink"/>
        </w:rPr>
      </w:pPr>
      <w:hyperlink w:anchor="_Toc53576035" w:history="1">
        <w:r w:rsidR="00796E67" w:rsidRPr="00B63DDE">
          <w:rPr>
            <w:rStyle w:val="Hyperlink"/>
          </w:rPr>
          <w:t>3.</w:t>
        </w:r>
        <w:r w:rsidR="00796E67" w:rsidRPr="00A575DE">
          <w:rPr>
            <w:rStyle w:val="Hyperlink"/>
          </w:rPr>
          <w:tab/>
        </w:r>
        <w:r w:rsidR="00796E67" w:rsidRPr="00B63DDE">
          <w:rPr>
            <w:rStyle w:val="Hyperlink"/>
          </w:rPr>
          <w:t>Legal regulation of interoperability</w:t>
        </w:r>
        <w:r w:rsidR="00796E67" w:rsidRPr="00A575DE">
          <w:rPr>
            <w:rStyle w:val="Hyperlink"/>
            <w:webHidden/>
          </w:rPr>
          <w:tab/>
        </w:r>
        <w:r w:rsidR="00796E67" w:rsidRPr="00A575DE">
          <w:rPr>
            <w:rStyle w:val="Hyperlink"/>
            <w:webHidden/>
          </w:rPr>
          <w:fldChar w:fldCharType="begin"/>
        </w:r>
        <w:r w:rsidR="00796E67" w:rsidRPr="00A575DE">
          <w:rPr>
            <w:rStyle w:val="Hyperlink"/>
            <w:webHidden/>
          </w:rPr>
          <w:instrText xml:space="preserve"> PAGEREF _Toc53576035 \h </w:instrText>
        </w:r>
        <w:r w:rsidR="00796E67" w:rsidRPr="00A575DE">
          <w:rPr>
            <w:rStyle w:val="Hyperlink"/>
            <w:webHidden/>
          </w:rPr>
        </w:r>
        <w:r w:rsidR="00796E67" w:rsidRPr="00A575DE">
          <w:rPr>
            <w:rStyle w:val="Hyperlink"/>
            <w:webHidden/>
          </w:rPr>
          <w:fldChar w:fldCharType="separate"/>
        </w:r>
        <w:r w:rsidR="00796E67" w:rsidRPr="00A575DE">
          <w:rPr>
            <w:rStyle w:val="Hyperlink"/>
            <w:webHidden/>
          </w:rPr>
          <w:t>72</w:t>
        </w:r>
        <w:r w:rsidR="00796E67" w:rsidRPr="00A575DE">
          <w:rPr>
            <w:rStyle w:val="Hyperlink"/>
            <w:webHidden/>
          </w:rPr>
          <w:fldChar w:fldCharType="end"/>
        </w:r>
      </w:hyperlink>
    </w:p>
    <w:p w14:paraId="0AC0DBCE" w14:textId="6726878B" w:rsidR="00796E67" w:rsidRPr="00A575DE" w:rsidRDefault="005D478B" w:rsidP="00462AE3">
      <w:pPr>
        <w:pStyle w:val="TOC1"/>
        <w:ind w:left="839" w:right="709" w:hanging="476"/>
        <w:rPr>
          <w:rStyle w:val="Hyperlink"/>
          <w:b w:val="0"/>
          <w:bCs w:val="0"/>
        </w:rPr>
      </w:pPr>
      <w:hyperlink w:anchor="_Toc53576036" w:history="1">
        <w:r w:rsidR="00796E67" w:rsidRPr="00A575DE">
          <w:rPr>
            <w:rStyle w:val="Hyperlink"/>
            <w:b w:val="0"/>
            <w:bCs w:val="0"/>
          </w:rPr>
          <w:t>3.1.</w:t>
        </w:r>
        <w:r w:rsidR="00796E67" w:rsidRPr="00A575DE">
          <w:rPr>
            <w:rStyle w:val="Hyperlink"/>
            <w:b w:val="0"/>
            <w:bCs w:val="0"/>
          </w:rPr>
          <w:tab/>
          <w:t>General overview</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_Toc53576036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72</w:t>
        </w:r>
        <w:r w:rsidR="00796E67" w:rsidRPr="00A575DE">
          <w:rPr>
            <w:rStyle w:val="Hyperlink"/>
            <w:b w:val="0"/>
            <w:bCs w:val="0"/>
            <w:webHidden/>
          </w:rPr>
          <w:fldChar w:fldCharType="end"/>
        </w:r>
      </w:hyperlink>
    </w:p>
    <w:p w14:paraId="23BD116E" w14:textId="43C9564D" w:rsidR="00796E67" w:rsidRPr="00A575DE" w:rsidRDefault="005D478B" w:rsidP="00462AE3">
      <w:pPr>
        <w:pStyle w:val="TOC1"/>
        <w:ind w:left="1560" w:right="709" w:hanging="709"/>
        <w:rPr>
          <w:rStyle w:val="Hyperlink"/>
          <w:b w:val="0"/>
          <w:bCs w:val="0"/>
        </w:rPr>
      </w:pPr>
      <w:hyperlink w:anchor="_Toc53576037" w:history="1">
        <w:r w:rsidR="00796E67" w:rsidRPr="00A575DE">
          <w:rPr>
            <w:rStyle w:val="Hyperlink"/>
            <w:b w:val="0"/>
            <w:bCs w:val="0"/>
          </w:rPr>
          <w:t>3.1.1.</w:t>
        </w:r>
        <w:r w:rsidR="00796E67" w:rsidRPr="00A575DE">
          <w:rPr>
            <w:rStyle w:val="Hyperlink"/>
            <w:b w:val="0"/>
            <w:bCs w:val="0"/>
          </w:rPr>
          <w:tab/>
          <w:t>Interoperability debate</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_Toc53576037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72</w:t>
        </w:r>
        <w:r w:rsidR="00796E67" w:rsidRPr="00A575DE">
          <w:rPr>
            <w:rStyle w:val="Hyperlink"/>
            <w:b w:val="0"/>
            <w:bCs w:val="0"/>
            <w:webHidden/>
          </w:rPr>
          <w:fldChar w:fldCharType="end"/>
        </w:r>
      </w:hyperlink>
    </w:p>
    <w:p w14:paraId="27526727" w14:textId="77EFDBF2" w:rsidR="00796E67" w:rsidRPr="00A575DE" w:rsidRDefault="005D478B" w:rsidP="00462AE3">
      <w:pPr>
        <w:pStyle w:val="TOC1"/>
        <w:ind w:left="1560" w:right="709" w:hanging="709"/>
        <w:rPr>
          <w:rStyle w:val="Hyperlink"/>
          <w:b w:val="0"/>
          <w:bCs w:val="0"/>
        </w:rPr>
      </w:pPr>
      <w:hyperlink w:anchor="_Toc53576038" w:history="1">
        <w:r w:rsidR="00796E67" w:rsidRPr="00A575DE">
          <w:rPr>
            <w:rStyle w:val="Hyperlink"/>
            <w:b w:val="0"/>
            <w:bCs w:val="0"/>
          </w:rPr>
          <w:t>3.1.2.</w:t>
        </w:r>
        <w:r w:rsidR="00796E67" w:rsidRPr="00A575DE">
          <w:rPr>
            <w:rStyle w:val="Hyperlink"/>
            <w:b w:val="0"/>
            <w:bCs w:val="0"/>
          </w:rPr>
          <w:tab/>
          <w:t>Main concerns surrounding lack of interoperability</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_Toc53576038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74</w:t>
        </w:r>
        <w:r w:rsidR="00796E67" w:rsidRPr="00A575DE">
          <w:rPr>
            <w:rStyle w:val="Hyperlink"/>
            <w:b w:val="0"/>
            <w:bCs w:val="0"/>
            <w:webHidden/>
          </w:rPr>
          <w:fldChar w:fldCharType="end"/>
        </w:r>
      </w:hyperlink>
    </w:p>
    <w:p w14:paraId="1F4C13DE" w14:textId="011E9D4D" w:rsidR="00796E67" w:rsidRPr="00A575DE" w:rsidRDefault="005D478B" w:rsidP="00462AE3">
      <w:pPr>
        <w:pStyle w:val="TOC1"/>
        <w:ind w:left="1560" w:right="709" w:hanging="709"/>
        <w:rPr>
          <w:rStyle w:val="Hyperlink"/>
          <w:b w:val="0"/>
          <w:bCs w:val="0"/>
        </w:rPr>
      </w:pPr>
      <w:hyperlink w:anchor="_Toc53576039" w:history="1">
        <w:r w:rsidR="00796E67" w:rsidRPr="00A575DE">
          <w:rPr>
            <w:rStyle w:val="Hyperlink"/>
            <w:b w:val="0"/>
            <w:bCs w:val="0"/>
          </w:rPr>
          <w:t>3.1.3.</w:t>
        </w:r>
        <w:r w:rsidR="00796E67" w:rsidRPr="00A575DE">
          <w:rPr>
            <w:rStyle w:val="Hyperlink"/>
            <w:b w:val="0"/>
            <w:bCs w:val="0"/>
          </w:rPr>
          <w:tab/>
          <w:t>Brief analysis of major concerns on the cumulative ground of ‘gatekeeping’</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_Toc53576039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82</w:t>
        </w:r>
        <w:r w:rsidR="00796E67" w:rsidRPr="00A575DE">
          <w:rPr>
            <w:rStyle w:val="Hyperlink"/>
            <w:b w:val="0"/>
            <w:bCs w:val="0"/>
            <w:webHidden/>
          </w:rPr>
          <w:fldChar w:fldCharType="end"/>
        </w:r>
      </w:hyperlink>
    </w:p>
    <w:p w14:paraId="44A2F72D" w14:textId="519B4018" w:rsidR="00796E67" w:rsidRPr="00A575DE" w:rsidRDefault="005D478B" w:rsidP="00462AE3">
      <w:pPr>
        <w:pStyle w:val="TOC1"/>
        <w:ind w:left="839" w:right="709" w:hanging="476"/>
        <w:rPr>
          <w:rStyle w:val="Hyperlink"/>
          <w:b w:val="0"/>
          <w:bCs w:val="0"/>
        </w:rPr>
      </w:pPr>
      <w:hyperlink w:anchor="_Toc53576040" w:history="1">
        <w:r w:rsidR="00796E67" w:rsidRPr="00A575DE">
          <w:rPr>
            <w:rStyle w:val="Hyperlink"/>
            <w:b w:val="0"/>
            <w:bCs w:val="0"/>
          </w:rPr>
          <w:t>3.2.</w:t>
        </w:r>
        <w:r w:rsidR="00796E67" w:rsidRPr="00A575DE">
          <w:rPr>
            <w:rStyle w:val="Hyperlink"/>
            <w:b w:val="0"/>
            <w:bCs w:val="0"/>
          </w:rPr>
          <w:tab/>
          <w:t>Pertinent legal regimes and rules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_Toc53576040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91</w:t>
        </w:r>
        <w:r w:rsidR="00796E67" w:rsidRPr="00A575DE">
          <w:rPr>
            <w:rStyle w:val="Hyperlink"/>
            <w:b w:val="0"/>
            <w:bCs w:val="0"/>
            <w:webHidden/>
          </w:rPr>
          <w:fldChar w:fldCharType="end"/>
        </w:r>
      </w:hyperlink>
    </w:p>
    <w:p w14:paraId="3AF156C9" w14:textId="10297610" w:rsidR="00796E67" w:rsidRPr="00A575DE" w:rsidRDefault="005D478B" w:rsidP="00462AE3">
      <w:pPr>
        <w:pStyle w:val="TOC1"/>
        <w:ind w:left="1560" w:right="709" w:hanging="709"/>
        <w:rPr>
          <w:rStyle w:val="Hyperlink"/>
          <w:b w:val="0"/>
          <w:bCs w:val="0"/>
        </w:rPr>
      </w:pPr>
      <w:hyperlink w:anchor="_Toc53576041" w:history="1">
        <w:r w:rsidR="00796E67" w:rsidRPr="00A575DE">
          <w:rPr>
            <w:rStyle w:val="Hyperlink"/>
            <w:b w:val="0"/>
            <w:bCs w:val="0"/>
          </w:rPr>
          <w:t>3.2.1.</w:t>
        </w:r>
        <w:r w:rsidR="00796E67" w:rsidRPr="00A575DE">
          <w:rPr>
            <w:rStyle w:val="Hyperlink"/>
            <w:b w:val="0"/>
            <w:bCs w:val="0"/>
          </w:rPr>
          <w:tab/>
          <w:t>Intellectual property rights (IPRs) and legislation</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_Toc53576041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91</w:t>
        </w:r>
        <w:r w:rsidR="00796E67" w:rsidRPr="00A575DE">
          <w:rPr>
            <w:rStyle w:val="Hyperlink"/>
            <w:b w:val="0"/>
            <w:bCs w:val="0"/>
            <w:webHidden/>
          </w:rPr>
          <w:fldChar w:fldCharType="end"/>
        </w:r>
      </w:hyperlink>
    </w:p>
    <w:p w14:paraId="579B23E7" w14:textId="24F08AEE" w:rsidR="00796E67" w:rsidRPr="00A575DE" w:rsidRDefault="005D478B" w:rsidP="00462AE3">
      <w:pPr>
        <w:pStyle w:val="TOC1"/>
        <w:ind w:left="1560" w:right="709" w:hanging="709"/>
        <w:rPr>
          <w:rStyle w:val="Hyperlink"/>
          <w:b w:val="0"/>
          <w:bCs w:val="0"/>
        </w:rPr>
      </w:pPr>
      <w:hyperlink w:anchor="_Toc53576042" w:history="1">
        <w:r w:rsidR="00796E67" w:rsidRPr="00A575DE">
          <w:rPr>
            <w:rStyle w:val="Hyperlink"/>
            <w:b w:val="0"/>
            <w:bCs w:val="0"/>
          </w:rPr>
          <w:t>3.2.2.</w:t>
        </w:r>
        <w:r w:rsidR="00796E67" w:rsidRPr="00A575DE">
          <w:rPr>
            <w:rStyle w:val="Hyperlink"/>
            <w:b w:val="0"/>
            <w:bCs w:val="0"/>
          </w:rPr>
          <w:tab/>
          <w:t>Competition law</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_Toc53576042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97</w:t>
        </w:r>
        <w:r w:rsidR="00796E67" w:rsidRPr="00A575DE">
          <w:rPr>
            <w:rStyle w:val="Hyperlink"/>
            <w:b w:val="0"/>
            <w:bCs w:val="0"/>
            <w:webHidden/>
          </w:rPr>
          <w:fldChar w:fldCharType="end"/>
        </w:r>
      </w:hyperlink>
    </w:p>
    <w:p w14:paraId="75BD284F" w14:textId="581BD823" w:rsidR="00796E67" w:rsidRPr="00A575DE" w:rsidRDefault="005D478B" w:rsidP="00462AE3">
      <w:pPr>
        <w:pStyle w:val="TOC1"/>
        <w:ind w:left="1560" w:right="709" w:hanging="709"/>
        <w:rPr>
          <w:rStyle w:val="Hyperlink"/>
          <w:b w:val="0"/>
          <w:bCs w:val="0"/>
        </w:rPr>
      </w:pPr>
      <w:hyperlink w:anchor="_Toc53576043" w:history="1">
        <w:r w:rsidR="00796E67" w:rsidRPr="00A575DE">
          <w:rPr>
            <w:rStyle w:val="Hyperlink"/>
            <w:b w:val="0"/>
            <w:bCs w:val="0"/>
          </w:rPr>
          <w:t>3.2.3.</w:t>
        </w:r>
        <w:r w:rsidR="00796E67" w:rsidRPr="00A575DE">
          <w:rPr>
            <w:rStyle w:val="Hyperlink"/>
            <w:b w:val="0"/>
            <w:bCs w:val="0"/>
          </w:rPr>
          <w:tab/>
          <w:t>Sector-specific rules: Electronic communications law and regulations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_Toc53576043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102</w:t>
        </w:r>
        <w:r w:rsidR="00796E67" w:rsidRPr="00A575DE">
          <w:rPr>
            <w:rStyle w:val="Hyperlink"/>
            <w:b w:val="0"/>
            <w:bCs w:val="0"/>
            <w:webHidden/>
          </w:rPr>
          <w:fldChar w:fldCharType="end"/>
        </w:r>
      </w:hyperlink>
    </w:p>
    <w:p w14:paraId="74C06544" w14:textId="52F08A21" w:rsidR="00796E67" w:rsidRPr="00A575DE" w:rsidRDefault="005D478B" w:rsidP="00462AE3">
      <w:pPr>
        <w:pStyle w:val="TOC1"/>
        <w:ind w:left="1560" w:right="709" w:hanging="709"/>
        <w:rPr>
          <w:rStyle w:val="Hyperlink"/>
          <w:b w:val="0"/>
          <w:bCs w:val="0"/>
        </w:rPr>
      </w:pPr>
      <w:hyperlink w:anchor="_Toc53576044" w:history="1">
        <w:r w:rsidR="00796E67" w:rsidRPr="00A575DE">
          <w:rPr>
            <w:rStyle w:val="Hyperlink"/>
            <w:b w:val="0"/>
            <w:bCs w:val="0"/>
          </w:rPr>
          <w:t>3.2.4.</w:t>
        </w:r>
        <w:r w:rsidR="00796E67" w:rsidRPr="00A575DE">
          <w:rPr>
            <w:rStyle w:val="Hyperlink"/>
            <w:b w:val="0"/>
            <w:bCs w:val="0"/>
          </w:rPr>
          <w:tab/>
          <w:t>Data protection rules: Right to data portability</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_Toc53576044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105</w:t>
        </w:r>
        <w:r w:rsidR="00796E67" w:rsidRPr="00A575DE">
          <w:rPr>
            <w:rStyle w:val="Hyperlink"/>
            <w:b w:val="0"/>
            <w:bCs w:val="0"/>
            <w:webHidden/>
          </w:rPr>
          <w:fldChar w:fldCharType="end"/>
        </w:r>
      </w:hyperlink>
    </w:p>
    <w:p w14:paraId="13F9EA9A" w14:textId="673DF159" w:rsidR="00796E67" w:rsidRPr="00A575DE" w:rsidRDefault="005D478B" w:rsidP="00A575DE">
      <w:pPr>
        <w:pStyle w:val="TOC1"/>
        <w:spacing w:line="240" w:lineRule="auto"/>
        <w:jc w:val="right"/>
        <w:rPr>
          <w:rStyle w:val="Hyperlink"/>
        </w:rPr>
      </w:pPr>
      <w:hyperlink w:anchor="_Toc53576045" w:history="1">
        <w:r w:rsidR="00796E67" w:rsidRPr="00B63DDE">
          <w:rPr>
            <w:rStyle w:val="Hyperlink"/>
          </w:rPr>
          <w:t>4. Intellectual property rights: European IPR regime</w:t>
        </w:r>
        <w:r w:rsidR="00796E67" w:rsidRPr="00A575DE">
          <w:rPr>
            <w:rStyle w:val="Hyperlink"/>
            <w:webHidden/>
          </w:rPr>
          <w:tab/>
        </w:r>
        <w:r w:rsidR="00796E67" w:rsidRPr="00A575DE">
          <w:rPr>
            <w:rStyle w:val="Hyperlink"/>
            <w:webHidden/>
          </w:rPr>
          <w:fldChar w:fldCharType="begin"/>
        </w:r>
        <w:r w:rsidR="00796E67" w:rsidRPr="00A575DE">
          <w:rPr>
            <w:rStyle w:val="Hyperlink"/>
            <w:webHidden/>
          </w:rPr>
          <w:instrText xml:space="preserve"> PAGEREF _Toc53576045 \h </w:instrText>
        </w:r>
        <w:r w:rsidR="00796E67" w:rsidRPr="00A575DE">
          <w:rPr>
            <w:rStyle w:val="Hyperlink"/>
            <w:webHidden/>
          </w:rPr>
        </w:r>
        <w:r w:rsidR="00796E67" w:rsidRPr="00A575DE">
          <w:rPr>
            <w:rStyle w:val="Hyperlink"/>
            <w:webHidden/>
          </w:rPr>
          <w:fldChar w:fldCharType="separate"/>
        </w:r>
        <w:r w:rsidR="00796E67" w:rsidRPr="00A575DE">
          <w:rPr>
            <w:rStyle w:val="Hyperlink"/>
            <w:webHidden/>
          </w:rPr>
          <w:t>108</w:t>
        </w:r>
        <w:r w:rsidR="00796E67" w:rsidRPr="00A575DE">
          <w:rPr>
            <w:rStyle w:val="Hyperlink"/>
            <w:webHidden/>
          </w:rPr>
          <w:fldChar w:fldCharType="end"/>
        </w:r>
      </w:hyperlink>
    </w:p>
    <w:p w14:paraId="75A9C406" w14:textId="57CDB9E6" w:rsidR="00796E67" w:rsidRPr="00A575DE" w:rsidRDefault="005D478B" w:rsidP="00462AE3">
      <w:pPr>
        <w:pStyle w:val="TOC1"/>
        <w:ind w:left="839" w:right="709" w:hanging="476"/>
        <w:rPr>
          <w:rStyle w:val="Hyperlink"/>
          <w:b w:val="0"/>
          <w:bCs w:val="0"/>
        </w:rPr>
      </w:pPr>
      <w:hyperlink w:anchor="_Toc53576046" w:history="1">
        <w:r w:rsidR="00796E67" w:rsidRPr="00A575DE">
          <w:rPr>
            <w:rStyle w:val="Hyperlink"/>
            <w:b w:val="0"/>
            <w:bCs w:val="0"/>
          </w:rPr>
          <w:t>4.1.</w:t>
        </w:r>
        <w:r w:rsidR="00796E67" w:rsidRPr="00A575DE">
          <w:rPr>
            <w:rStyle w:val="Hyperlink"/>
            <w:b w:val="0"/>
            <w:bCs w:val="0"/>
          </w:rPr>
          <w:tab/>
          <w:t>Copyright</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_Toc53576046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111</w:t>
        </w:r>
        <w:r w:rsidR="00796E67" w:rsidRPr="00A575DE">
          <w:rPr>
            <w:rStyle w:val="Hyperlink"/>
            <w:b w:val="0"/>
            <w:bCs w:val="0"/>
            <w:webHidden/>
          </w:rPr>
          <w:fldChar w:fldCharType="end"/>
        </w:r>
      </w:hyperlink>
    </w:p>
    <w:p w14:paraId="0CD20F39" w14:textId="3227091D" w:rsidR="00796E67" w:rsidRPr="00A575DE" w:rsidRDefault="005D478B" w:rsidP="00462AE3">
      <w:pPr>
        <w:pStyle w:val="TOC1"/>
        <w:ind w:left="1560" w:right="709" w:hanging="709"/>
        <w:rPr>
          <w:rStyle w:val="Hyperlink"/>
          <w:b w:val="0"/>
          <w:bCs w:val="0"/>
        </w:rPr>
      </w:pPr>
      <w:hyperlink w:anchor="_Toc53576047" w:history="1">
        <w:r w:rsidR="00796E67" w:rsidRPr="00A575DE">
          <w:rPr>
            <w:rStyle w:val="Hyperlink"/>
            <w:b w:val="0"/>
            <w:bCs w:val="0"/>
          </w:rPr>
          <w:t>4.1.1.</w:t>
        </w:r>
        <w:r w:rsidR="00796E67" w:rsidRPr="00A575DE">
          <w:rPr>
            <w:rStyle w:val="Hyperlink"/>
            <w:b w:val="0"/>
            <w:bCs w:val="0"/>
          </w:rPr>
          <w:tab/>
          <w:t>General pillars of EU Copyright Law and its applicability to ICTs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_Toc53576047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111</w:t>
        </w:r>
        <w:r w:rsidR="00796E67" w:rsidRPr="00A575DE">
          <w:rPr>
            <w:rStyle w:val="Hyperlink"/>
            <w:b w:val="0"/>
            <w:bCs w:val="0"/>
            <w:webHidden/>
          </w:rPr>
          <w:fldChar w:fldCharType="end"/>
        </w:r>
      </w:hyperlink>
    </w:p>
    <w:p w14:paraId="719EA6B1" w14:textId="389B099A" w:rsidR="00796E67" w:rsidRPr="00A575DE" w:rsidRDefault="005D478B" w:rsidP="00462AE3">
      <w:pPr>
        <w:pStyle w:val="TOC1"/>
        <w:ind w:left="1560" w:right="709" w:hanging="709"/>
        <w:rPr>
          <w:rStyle w:val="Hyperlink"/>
          <w:b w:val="0"/>
          <w:bCs w:val="0"/>
        </w:rPr>
      </w:pPr>
      <w:hyperlink w:anchor="_Toc53576048" w:history="1">
        <w:r w:rsidR="00796E67" w:rsidRPr="00A575DE">
          <w:rPr>
            <w:rStyle w:val="Hyperlink"/>
            <w:b w:val="0"/>
            <w:bCs w:val="0"/>
          </w:rPr>
          <w:t>4.1.2.</w:t>
        </w:r>
        <w:r w:rsidR="00796E67" w:rsidRPr="00A575DE">
          <w:rPr>
            <w:rStyle w:val="Hyperlink"/>
            <w:b w:val="0"/>
            <w:bCs w:val="0"/>
          </w:rPr>
          <w:tab/>
          <w:t>Reverse engineering and achievement of interoperability under EU copyright law</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_Toc53576048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116</w:t>
        </w:r>
        <w:r w:rsidR="00796E67" w:rsidRPr="00A575DE">
          <w:rPr>
            <w:rStyle w:val="Hyperlink"/>
            <w:b w:val="0"/>
            <w:bCs w:val="0"/>
            <w:webHidden/>
          </w:rPr>
          <w:fldChar w:fldCharType="end"/>
        </w:r>
      </w:hyperlink>
    </w:p>
    <w:p w14:paraId="6E6DBBD9" w14:textId="5FFDF7D0" w:rsidR="00796E67" w:rsidRPr="00A575DE" w:rsidRDefault="005D478B" w:rsidP="00462AE3">
      <w:pPr>
        <w:pStyle w:val="TOC1"/>
        <w:ind w:left="1560" w:right="709" w:hanging="709"/>
        <w:rPr>
          <w:rStyle w:val="Hyperlink"/>
          <w:b w:val="0"/>
          <w:bCs w:val="0"/>
        </w:rPr>
      </w:pPr>
      <w:hyperlink w:anchor="_Toc53576049" w:history="1">
        <w:r w:rsidR="00796E67" w:rsidRPr="00A575DE">
          <w:rPr>
            <w:rStyle w:val="Hyperlink"/>
            <w:b w:val="0"/>
            <w:bCs w:val="0"/>
          </w:rPr>
          <w:t>4.1.3.</w:t>
        </w:r>
        <w:r w:rsidR="00796E67" w:rsidRPr="00A575DE">
          <w:rPr>
            <w:rStyle w:val="Hyperlink"/>
            <w:b w:val="0"/>
            <w:bCs w:val="0"/>
          </w:rPr>
          <w:tab/>
          <w:t>Copyrightability of interfaces: Analysis through the lens of Softwarová and SAS v WPL cases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_Toc53576049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119</w:t>
        </w:r>
        <w:r w:rsidR="00796E67" w:rsidRPr="00A575DE">
          <w:rPr>
            <w:rStyle w:val="Hyperlink"/>
            <w:b w:val="0"/>
            <w:bCs w:val="0"/>
            <w:webHidden/>
          </w:rPr>
          <w:fldChar w:fldCharType="end"/>
        </w:r>
      </w:hyperlink>
    </w:p>
    <w:p w14:paraId="02CC753D" w14:textId="3BE11915" w:rsidR="00796E67" w:rsidRPr="00A575DE" w:rsidRDefault="005D478B" w:rsidP="00462AE3">
      <w:pPr>
        <w:pStyle w:val="TOC1"/>
        <w:ind w:left="839" w:right="709" w:hanging="476"/>
        <w:rPr>
          <w:rStyle w:val="Hyperlink"/>
          <w:b w:val="0"/>
          <w:bCs w:val="0"/>
        </w:rPr>
      </w:pPr>
      <w:hyperlink w:anchor="_Toc53576050" w:history="1">
        <w:r w:rsidR="00796E67" w:rsidRPr="00A575DE">
          <w:rPr>
            <w:rStyle w:val="Hyperlink"/>
            <w:b w:val="0"/>
            <w:bCs w:val="0"/>
          </w:rPr>
          <w:t>4.2.</w:t>
        </w:r>
        <w:r w:rsidR="00796E67" w:rsidRPr="00A575DE">
          <w:rPr>
            <w:rStyle w:val="Hyperlink"/>
            <w:b w:val="0"/>
            <w:bCs w:val="0"/>
          </w:rPr>
          <w:tab/>
          <w:t>Patents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_Toc53576050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124</w:t>
        </w:r>
        <w:r w:rsidR="00796E67" w:rsidRPr="00A575DE">
          <w:rPr>
            <w:rStyle w:val="Hyperlink"/>
            <w:b w:val="0"/>
            <w:bCs w:val="0"/>
            <w:webHidden/>
          </w:rPr>
          <w:fldChar w:fldCharType="end"/>
        </w:r>
      </w:hyperlink>
    </w:p>
    <w:p w14:paraId="78BA4CF2" w14:textId="1A575D1F" w:rsidR="00796E67" w:rsidRPr="00A575DE" w:rsidRDefault="005D478B" w:rsidP="00462AE3">
      <w:pPr>
        <w:pStyle w:val="TOC1"/>
        <w:ind w:left="1560" w:right="709" w:hanging="709"/>
        <w:rPr>
          <w:rStyle w:val="Hyperlink"/>
          <w:b w:val="0"/>
          <w:bCs w:val="0"/>
        </w:rPr>
      </w:pPr>
      <w:hyperlink w:anchor="_Toc53576051" w:history="1">
        <w:r w:rsidR="00796E67" w:rsidRPr="00A575DE">
          <w:rPr>
            <w:rStyle w:val="Hyperlink"/>
            <w:b w:val="0"/>
            <w:bCs w:val="0"/>
          </w:rPr>
          <w:t>4.2.1.</w:t>
        </w:r>
        <w:r w:rsidR="00796E67" w:rsidRPr="00A575DE">
          <w:rPr>
            <w:rStyle w:val="Hyperlink"/>
            <w:b w:val="0"/>
            <w:bCs w:val="0"/>
          </w:rPr>
          <w:tab/>
          <w:t>General overview of the EU patent regime</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_Toc53576051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124</w:t>
        </w:r>
        <w:r w:rsidR="00796E67" w:rsidRPr="00A575DE">
          <w:rPr>
            <w:rStyle w:val="Hyperlink"/>
            <w:b w:val="0"/>
            <w:bCs w:val="0"/>
            <w:webHidden/>
          </w:rPr>
          <w:fldChar w:fldCharType="end"/>
        </w:r>
      </w:hyperlink>
    </w:p>
    <w:p w14:paraId="1E26CB11" w14:textId="36A3C953" w:rsidR="00796E67" w:rsidRPr="00A575DE" w:rsidRDefault="005D478B" w:rsidP="00462AE3">
      <w:pPr>
        <w:pStyle w:val="TOC1"/>
        <w:ind w:left="1560" w:right="709" w:hanging="709"/>
        <w:rPr>
          <w:rStyle w:val="Hyperlink"/>
          <w:b w:val="0"/>
          <w:bCs w:val="0"/>
        </w:rPr>
      </w:pPr>
      <w:hyperlink w:anchor="_Toc53576052" w:history="1">
        <w:r w:rsidR="00796E67" w:rsidRPr="00A575DE">
          <w:rPr>
            <w:rStyle w:val="Hyperlink"/>
            <w:b w:val="0"/>
            <w:bCs w:val="0"/>
          </w:rPr>
          <w:t>4.2.2.</w:t>
        </w:r>
        <w:r w:rsidR="00796E67" w:rsidRPr="00A575DE">
          <w:rPr>
            <w:rStyle w:val="Hyperlink"/>
            <w:b w:val="0"/>
            <w:bCs w:val="0"/>
          </w:rPr>
          <w:tab/>
          <w:t>Patentability of software and interfaces under the EU patent regime</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_Toc53576052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127</w:t>
        </w:r>
        <w:r w:rsidR="00796E67" w:rsidRPr="00A575DE">
          <w:rPr>
            <w:rStyle w:val="Hyperlink"/>
            <w:b w:val="0"/>
            <w:bCs w:val="0"/>
            <w:webHidden/>
          </w:rPr>
          <w:fldChar w:fldCharType="end"/>
        </w:r>
      </w:hyperlink>
    </w:p>
    <w:p w14:paraId="51490BFD" w14:textId="0C8A9325" w:rsidR="00796E67" w:rsidRPr="00A575DE" w:rsidRDefault="005D478B" w:rsidP="00462AE3">
      <w:pPr>
        <w:pStyle w:val="TOC1"/>
        <w:ind w:left="1560" w:right="709" w:hanging="709"/>
        <w:rPr>
          <w:rStyle w:val="Hyperlink"/>
          <w:b w:val="0"/>
          <w:bCs w:val="0"/>
        </w:rPr>
      </w:pPr>
      <w:hyperlink w:anchor="_Toc53576053" w:history="1">
        <w:r w:rsidR="00796E67" w:rsidRPr="00A575DE">
          <w:rPr>
            <w:rStyle w:val="Hyperlink"/>
            <w:b w:val="0"/>
            <w:bCs w:val="0"/>
          </w:rPr>
          <w:t>4.2.3.</w:t>
        </w:r>
        <w:r w:rsidR="00796E67" w:rsidRPr="00A575DE">
          <w:rPr>
            <w:rStyle w:val="Hyperlink"/>
            <w:b w:val="0"/>
            <w:bCs w:val="0"/>
          </w:rPr>
          <w:tab/>
          <w:t>Comparative analysis through the Nintendo case</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_Toc53576053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131</w:t>
        </w:r>
        <w:r w:rsidR="00796E67" w:rsidRPr="00A575DE">
          <w:rPr>
            <w:rStyle w:val="Hyperlink"/>
            <w:b w:val="0"/>
            <w:bCs w:val="0"/>
            <w:webHidden/>
          </w:rPr>
          <w:fldChar w:fldCharType="end"/>
        </w:r>
      </w:hyperlink>
    </w:p>
    <w:p w14:paraId="7A5DC751" w14:textId="6802AECC" w:rsidR="00796E67" w:rsidRPr="00A575DE" w:rsidRDefault="005D478B" w:rsidP="000F6E77">
      <w:pPr>
        <w:pStyle w:val="TOC1"/>
        <w:ind w:left="2268" w:right="709" w:hanging="760"/>
        <w:rPr>
          <w:rStyle w:val="Hyperlink"/>
          <w:b w:val="0"/>
          <w:bCs w:val="0"/>
        </w:rPr>
      </w:pPr>
      <w:hyperlink w:anchor="_Toc53576054" w:history="1">
        <w:r w:rsidR="00796E67" w:rsidRPr="00A575DE">
          <w:rPr>
            <w:rStyle w:val="Hyperlink"/>
            <w:b w:val="0"/>
            <w:bCs w:val="0"/>
          </w:rPr>
          <w:t>4.2.3.1.</w:t>
        </w:r>
        <w:r w:rsidR="00796E67" w:rsidRPr="00A575DE">
          <w:rPr>
            <w:rStyle w:val="Hyperlink"/>
            <w:b w:val="0"/>
            <w:bCs w:val="0"/>
          </w:rPr>
          <w:tab/>
          <w:t>Brief analysis of the case</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_Toc53576054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131</w:t>
        </w:r>
        <w:r w:rsidR="00796E67" w:rsidRPr="00A575DE">
          <w:rPr>
            <w:rStyle w:val="Hyperlink"/>
            <w:b w:val="0"/>
            <w:bCs w:val="0"/>
            <w:webHidden/>
          </w:rPr>
          <w:fldChar w:fldCharType="end"/>
        </w:r>
      </w:hyperlink>
    </w:p>
    <w:p w14:paraId="7AB46988" w14:textId="757AB204" w:rsidR="00796E67" w:rsidRPr="00A575DE" w:rsidRDefault="005D478B" w:rsidP="00B63DDE">
      <w:pPr>
        <w:pStyle w:val="TOC1"/>
        <w:ind w:left="2268" w:right="709" w:hanging="760"/>
        <w:rPr>
          <w:rStyle w:val="Hyperlink"/>
          <w:b w:val="0"/>
          <w:bCs w:val="0"/>
        </w:rPr>
      </w:pPr>
      <w:hyperlink w:anchor="_Toc53576055" w:history="1">
        <w:r w:rsidR="00796E67" w:rsidRPr="00A575DE">
          <w:rPr>
            <w:rStyle w:val="Hyperlink"/>
            <w:b w:val="0"/>
            <w:bCs w:val="0"/>
          </w:rPr>
          <w:t>4.2.3.2.</w:t>
        </w:r>
        <w:r w:rsidR="00796E67" w:rsidRPr="00A575DE">
          <w:rPr>
            <w:rStyle w:val="Hyperlink"/>
            <w:b w:val="0"/>
            <w:bCs w:val="0"/>
          </w:rPr>
          <w:tab/>
          <w:t>Beyond Nintendo: Balancing between legitimate rights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_Toc53576055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135</w:t>
        </w:r>
        <w:r w:rsidR="00796E67" w:rsidRPr="00A575DE">
          <w:rPr>
            <w:rStyle w:val="Hyperlink"/>
            <w:b w:val="0"/>
            <w:bCs w:val="0"/>
            <w:webHidden/>
          </w:rPr>
          <w:fldChar w:fldCharType="end"/>
        </w:r>
      </w:hyperlink>
    </w:p>
    <w:p w14:paraId="76417107" w14:textId="17987E2B" w:rsidR="00796E67" w:rsidRPr="00A575DE" w:rsidRDefault="005D478B" w:rsidP="00462AE3">
      <w:pPr>
        <w:pStyle w:val="TOC1"/>
        <w:ind w:left="839" w:right="709" w:hanging="476"/>
        <w:rPr>
          <w:rStyle w:val="Hyperlink"/>
          <w:b w:val="0"/>
          <w:bCs w:val="0"/>
        </w:rPr>
      </w:pPr>
      <w:hyperlink w:anchor="_Toc53576056" w:history="1">
        <w:r w:rsidR="00796E67" w:rsidRPr="00A575DE">
          <w:rPr>
            <w:rStyle w:val="Hyperlink"/>
            <w:b w:val="0"/>
            <w:bCs w:val="0"/>
          </w:rPr>
          <w:t>4.3.</w:t>
        </w:r>
        <w:r w:rsidR="00796E67" w:rsidRPr="00A575DE">
          <w:rPr>
            <w:rStyle w:val="Hyperlink"/>
            <w:b w:val="0"/>
            <w:bCs w:val="0"/>
          </w:rPr>
          <w:tab/>
          <w:t>Trade secrets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_Toc53576056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138</w:t>
        </w:r>
        <w:r w:rsidR="00796E67" w:rsidRPr="00A575DE">
          <w:rPr>
            <w:rStyle w:val="Hyperlink"/>
            <w:b w:val="0"/>
            <w:bCs w:val="0"/>
            <w:webHidden/>
          </w:rPr>
          <w:fldChar w:fldCharType="end"/>
        </w:r>
      </w:hyperlink>
    </w:p>
    <w:p w14:paraId="479A05AA" w14:textId="6E79AB66" w:rsidR="00796E67" w:rsidRPr="00A575DE" w:rsidRDefault="005D478B" w:rsidP="00462AE3">
      <w:pPr>
        <w:pStyle w:val="TOC1"/>
        <w:ind w:left="839" w:right="709" w:hanging="476"/>
        <w:rPr>
          <w:rStyle w:val="Hyperlink"/>
          <w:b w:val="0"/>
          <w:bCs w:val="0"/>
        </w:rPr>
      </w:pPr>
      <w:hyperlink w:anchor="_Toc53576057" w:history="1">
        <w:r w:rsidR="00796E67" w:rsidRPr="00A575DE">
          <w:rPr>
            <w:rStyle w:val="Hyperlink"/>
            <w:b w:val="0"/>
            <w:bCs w:val="0"/>
          </w:rPr>
          <w:t>4.4.</w:t>
        </w:r>
        <w:r w:rsidR="00796E67" w:rsidRPr="00A575DE">
          <w:rPr>
            <w:rStyle w:val="Hyperlink"/>
            <w:b w:val="0"/>
            <w:bCs w:val="0"/>
          </w:rPr>
          <w:tab/>
          <w:t>Databases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_Toc53576057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143</w:t>
        </w:r>
        <w:r w:rsidR="00796E67" w:rsidRPr="00A575DE">
          <w:rPr>
            <w:rStyle w:val="Hyperlink"/>
            <w:b w:val="0"/>
            <w:bCs w:val="0"/>
            <w:webHidden/>
          </w:rPr>
          <w:fldChar w:fldCharType="end"/>
        </w:r>
      </w:hyperlink>
    </w:p>
    <w:p w14:paraId="7AD828CA" w14:textId="587F8A1D" w:rsidR="00796E67" w:rsidRPr="00A575DE" w:rsidRDefault="005D478B" w:rsidP="00462AE3">
      <w:pPr>
        <w:pStyle w:val="TOC1"/>
        <w:ind w:left="839" w:right="709" w:hanging="476"/>
        <w:rPr>
          <w:rStyle w:val="Hyperlink"/>
          <w:b w:val="0"/>
          <w:bCs w:val="0"/>
        </w:rPr>
      </w:pPr>
      <w:hyperlink w:anchor="_Toc53576058" w:history="1">
        <w:r w:rsidR="00796E67" w:rsidRPr="00A575DE">
          <w:rPr>
            <w:rStyle w:val="Hyperlink"/>
            <w:b w:val="0"/>
            <w:bCs w:val="0"/>
          </w:rPr>
          <w:t>4.5.</w:t>
        </w:r>
        <w:r w:rsidR="00796E67" w:rsidRPr="00A575DE">
          <w:rPr>
            <w:rStyle w:val="Hyperlink"/>
            <w:b w:val="0"/>
            <w:bCs w:val="0"/>
          </w:rPr>
          <w:tab/>
          <w:t>Assessment of intellectual property rights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_Toc53576058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147</w:t>
        </w:r>
        <w:r w:rsidR="00796E67" w:rsidRPr="00A575DE">
          <w:rPr>
            <w:rStyle w:val="Hyperlink"/>
            <w:b w:val="0"/>
            <w:bCs w:val="0"/>
            <w:webHidden/>
          </w:rPr>
          <w:fldChar w:fldCharType="end"/>
        </w:r>
      </w:hyperlink>
    </w:p>
    <w:p w14:paraId="51A1CC03" w14:textId="3226DE6D" w:rsidR="00796E67" w:rsidRPr="00A575DE" w:rsidRDefault="005D478B" w:rsidP="00A575DE">
      <w:pPr>
        <w:pStyle w:val="TOC1"/>
        <w:spacing w:line="240" w:lineRule="auto"/>
        <w:jc w:val="right"/>
        <w:rPr>
          <w:rStyle w:val="Hyperlink"/>
        </w:rPr>
      </w:pPr>
      <w:hyperlink w:anchor="_Toc53576059" w:history="1">
        <w:r w:rsidR="00796E67" w:rsidRPr="00B63DDE">
          <w:rPr>
            <w:rStyle w:val="Hyperlink"/>
          </w:rPr>
          <w:t>5.</w:t>
        </w:r>
        <w:r w:rsidR="00796E67" w:rsidRPr="00A575DE">
          <w:rPr>
            <w:rStyle w:val="Hyperlink"/>
          </w:rPr>
          <w:tab/>
        </w:r>
        <w:r w:rsidR="00796E67" w:rsidRPr="00B63DDE">
          <w:rPr>
            <w:rStyle w:val="Hyperlink"/>
          </w:rPr>
          <w:t>EU Competition Law</w:t>
        </w:r>
        <w:r w:rsidR="00796E67" w:rsidRPr="00A575DE">
          <w:rPr>
            <w:rStyle w:val="Hyperlink"/>
            <w:webHidden/>
          </w:rPr>
          <w:tab/>
        </w:r>
        <w:r w:rsidR="00796E67" w:rsidRPr="00A575DE">
          <w:rPr>
            <w:rStyle w:val="Hyperlink"/>
            <w:webHidden/>
          </w:rPr>
          <w:fldChar w:fldCharType="begin"/>
        </w:r>
        <w:r w:rsidR="00796E67" w:rsidRPr="00A575DE">
          <w:rPr>
            <w:rStyle w:val="Hyperlink"/>
            <w:webHidden/>
          </w:rPr>
          <w:instrText xml:space="preserve"> PAGEREF _Toc53576059 \h </w:instrText>
        </w:r>
        <w:r w:rsidR="00796E67" w:rsidRPr="00A575DE">
          <w:rPr>
            <w:rStyle w:val="Hyperlink"/>
            <w:webHidden/>
          </w:rPr>
        </w:r>
        <w:r w:rsidR="00796E67" w:rsidRPr="00A575DE">
          <w:rPr>
            <w:rStyle w:val="Hyperlink"/>
            <w:webHidden/>
          </w:rPr>
          <w:fldChar w:fldCharType="separate"/>
        </w:r>
        <w:r w:rsidR="00796E67" w:rsidRPr="00A575DE">
          <w:rPr>
            <w:rStyle w:val="Hyperlink"/>
            <w:webHidden/>
          </w:rPr>
          <w:t>153</w:t>
        </w:r>
        <w:r w:rsidR="00796E67" w:rsidRPr="00A575DE">
          <w:rPr>
            <w:rStyle w:val="Hyperlink"/>
            <w:webHidden/>
          </w:rPr>
          <w:fldChar w:fldCharType="end"/>
        </w:r>
      </w:hyperlink>
    </w:p>
    <w:p w14:paraId="471C6808" w14:textId="74CED742" w:rsidR="00796E67" w:rsidRPr="00A575DE" w:rsidRDefault="005D478B" w:rsidP="00462AE3">
      <w:pPr>
        <w:pStyle w:val="TOC1"/>
        <w:ind w:left="839" w:right="709" w:hanging="476"/>
        <w:rPr>
          <w:rStyle w:val="Hyperlink"/>
          <w:b w:val="0"/>
          <w:bCs w:val="0"/>
        </w:rPr>
      </w:pPr>
      <w:hyperlink w:anchor="_Toc53576060" w:history="1">
        <w:r w:rsidR="00796E67" w:rsidRPr="00A575DE">
          <w:rPr>
            <w:rStyle w:val="Hyperlink"/>
            <w:b w:val="0"/>
            <w:bCs w:val="0"/>
          </w:rPr>
          <w:t>5.1.</w:t>
        </w:r>
        <w:r w:rsidR="00796E67" w:rsidRPr="00A575DE">
          <w:rPr>
            <w:rStyle w:val="Hyperlink"/>
            <w:b w:val="0"/>
            <w:bCs w:val="0"/>
          </w:rPr>
          <w:tab/>
          <w:t>Market definition</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_Toc53576060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154</w:t>
        </w:r>
        <w:r w:rsidR="00796E67" w:rsidRPr="00A575DE">
          <w:rPr>
            <w:rStyle w:val="Hyperlink"/>
            <w:b w:val="0"/>
            <w:bCs w:val="0"/>
            <w:webHidden/>
          </w:rPr>
          <w:fldChar w:fldCharType="end"/>
        </w:r>
      </w:hyperlink>
    </w:p>
    <w:p w14:paraId="27CFC5B0" w14:textId="2BAFE1E7" w:rsidR="00796E67" w:rsidRPr="00A575DE" w:rsidRDefault="005D478B" w:rsidP="00462AE3">
      <w:pPr>
        <w:pStyle w:val="TOC1"/>
        <w:ind w:left="839" w:right="709" w:hanging="476"/>
        <w:rPr>
          <w:rStyle w:val="Hyperlink"/>
          <w:b w:val="0"/>
          <w:bCs w:val="0"/>
        </w:rPr>
      </w:pPr>
      <w:hyperlink w:anchor="_Toc53576061" w:history="1">
        <w:r w:rsidR="00796E67" w:rsidRPr="00A575DE">
          <w:rPr>
            <w:rStyle w:val="Hyperlink"/>
            <w:b w:val="0"/>
            <w:bCs w:val="0"/>
          </w:rPr>
          <w:t>5.2.</w:t>
        </w:r>
        <w:r w:rsidR="00796E67" w:rsidRPr="00A575DE">
          <w:rPr>
            <w:rStyle w:val="Hyperlink"/>
            <w:b w:val="0"/>
            <w:bCs w:val="0"/>
          </w:rPr>
          <w:tab/>
          <w:t>Article 101 of the TFEU</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_Toc53576061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158</w:t>
        </w:r>
        <w:r w:rsidR="00796E67" w:rsidRPr="00A575DE">
          <w:rPr>
            <w:rStyle w:val="Hyperlink"/>
            <w:b w:val="0"/>
            <w:bCs w:val="0"/>
            <w:webHidden/>
          </w:rPr>
          <w:fldChar w:fldCharType="end"/>
        </w:r>
      </w:hyperlink>
    </w:p>
    <w:p w14:paraId="68DFAF0D" w14:textId="4B5A59E7" w:rsidR="00796E67" w:rsidRPr="00A575DE" w:rsidRDefault="005D478B" w:rsidP="00462AE3">
      <w:pPr>
        <w:pStyle w:val="TOC1"/>
        <w:ind w:left="1560" w:right="709" w:hanging="709"/>
        <w:rPr>
          <w:rStyle w:val="Hyperlink"/>
          <w:b w:val="0"/>
          <w:bCs w:val="0"/>
        </w:rPr>
      </w:pPr>
      <w:hyperlink w:anchor="_Toc53576062" w:history="1">
        <w:r w:rsidR="00796E67" w:rsidRPr="00A575DE">
          <w:rPr>
            <w:rStyle w:val="Hyperlink"/>
            <w:b w:val="0"/>
            <w:bCs w:val="0"/>
          </w:rPr>
          <w:t>5.2.1.</w:t>
        </w:r>
        <w:r w:rsidR="00796E67" w:rsidRPr="00A575DE">
          <w:rPr>
            <w:rStyle w:val="Hyperlink"/>
            <w:b w:val="0"/>
            <w:bCs w:val="0"/>
          </w:rPr>
          <w:tab/>
          <w:t>General overview</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_Toc53576062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158</w:t>
        </w:r>
        <w:r w:rsidR="00796E67" w:rsidRPr="00A575DE">
          <w:rPr>
            <w:rStyle w:val="Hyperlink"/>
            <w:b w:val="0"/>
            <w:bCs w:val="0"/>
            <w:webHidden/>
          </w:rPr>
          <w:fldChar w:fldCharType="end"/>
        </w:r>
      </w:hyperlink>
    </w:p>
    <w:p w14:paraId="684B75D0" w14:textId="77B0662E" w:rsidR="00796E67" w:rsidRPr="00A575DE" w:rsidRDefault="005D478B" w:rsidP="00462AE3">
      <w:pPr>
        <w:pStyle w:val="TOC1"/>
        <w:ind w:left="1560" w:right="709" w:hanging="709"/>
        <w:rPr>
          <w:rStyle w:val="Hyperlink"/>
          <w:b w:val="0"/>
          <w:bCs w:val="0"/>
        </w:rPr>
      </w:pPr>
      <w:hyperlink w:anchor="_Toc53576063" w:history="1">
        <w:r w:rsidR="00796E67" w:rsidRPr="00A575DE">
          <w:rPr>
            <w:rStyle w:val="Hyperlink"/>
            <w:b w:val="0"/>
            <w:bCs w:val="0"/>
          </w:rPr>
          <w:t>5.2.2.</w:t>
        </w:r>
        <w:r w:rsidR="00796E67" w:rsidRPr="00A575DE">
          <w:rPr>
            <w:rStyle w:val="Hyperlink"/>
            <w:b w:val="0"/>
            <w:bCs w:val="0"/>
          </w:rPr>
          <w:tab/>
          <w:t>Standardisation agreements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_Toc53576063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160</w:t>
        </w:r>
        <w:r w:rsidR="00796E67" w:rsidRPr="00A575DE">
          <w:rPr>
            <w:rStyle w:val="Hyperlink"/>
            <w:b w:val="0"/>
            <w:bCs w:val="0"/>
            <w:webHidden/>
          </w:rPr>
          <w:fldChar w:fldCharType="end"/>
        </w:r>
      </w:hyperlink>
    </w:p>
    <w:p w14:paraId="31F3A293" w14:textId="56D7C76F" w:rsidR="00796E67" w:rsidRPr="00A575DE" w:rsidRDefault="005D478B" w:rsidP="00462AE3">
      <w:pPr>
        <w:pStyle w:val="TOC1"/>
        <w:ind w:left="839" w:right="709" w:hanging="476"/>
        <w:rPr>
          <w:rStyle w:val="Hyperlink"/>
          <w:b w:val="0"/>
          <w:bCs w:val="0"/>
        </w:rPr>
      </w:pPr>
      <w:hyperlink w:anchor="_Toc53576064" w:history="1">
        <w:r w:rsidR="00796E67" w:rsidRPr="00A575DE">
          <w:rPr>
            <w:rStyle w:val="Hyperlink"/>
            <w:b w:val="0"/>
            <w:bCs w:val="0"/>
          </w:rPr>
          <w:t>5.3.</w:t>
        </w:r>
        <w:r w:rsidR="00796E67" w:rsidRPr="00A575DE">
          <w:rPr>
            <w:rStyle w:val="Hyperlink"/>
            <w:b w:val="0"/>
            <w:bCs w:val="0"/>
          </w:rPr>
          <w:tab/>
          <w:t>Article 102 of the TFEU</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_Toc53576064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162</w:t>
        </w:r>
        <w:r w:rsidR="00796E67" w:rsidRPr="00A575DE">
          <w:rPr>
            <w:rStyle w:val="Hyperlink"/>
            <w:b w:val="0"/>
            <w:bCs w:val="0"/>
            <w:webHidden/>
          </w:rPr>
          <w:fldChar w:fldCharType="end"/>
        </w:r>
      </w:hyperlink>
    </w:p>
    <w:p w14:paraId="6AB0BE76" w14:textId="05C998E6" w:rsidR="00796E67" w:rsidRPr="00A575DE" w:rsidRDefault="005D478B" w:rsidP="00462AE3">
      <w:pPr>
        <w:pStyle w:val="TOC1"/>
        <w:ind w:left="1560" w:right="709" w:hanging="709"/>
        <w:rPr>
          <w:rStyle w:val="Hyperlink"/>
          <w:b w:val="0"/>
          <w:bCs w:val="0"/>
        </w:rPr>
      </w:pPr>
      <w:hyperlink w:anchor="_Toc53576065" w:history="1">
        <w:r w:rsidR="00796E67" w:rsidRPr="00A575DE">
          <w:rPr>
            <w:rStyle w:val="Hyperlink"/>
            <w:b w:val="0"/>
            <w:bCs w:val="0"/>
          </w:rPr>
          <w:t>5.3.1.</w:t>
        </w:r>
        <w:r w:rsidR="00796E67" w:rsidRPr="00A575DE">
          <w:rPr>
            <w:rStyle w:val="Hyperlink"/>
            <w:b w:val="0"/>
            <w:bCs w:val="0"/>
          </w:rPr>
          <w:tab/>
          <w:t>Abuse of dominant position: Main thrusts, types and conducts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_Toc53576065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162</w:t>
        </w:r>
        <w:r w:rsidR="00796E67" w:rsidRPr="00A575DE">
          <w:rPr>
            <w:rStyle w:val="Hyperlink"/>
            <w:b w:val="0"/>
            <w:bCs w:val="0"/>
            <w:webHidden/>
          </w:rPr>
          <w:fldChar w:fldCharType="end"/>
        </w:r>
      </w:hyperlink>
    </w:p>
    <w:p w14:paraId="1987A5A3" w14:textId="552F0B39" w:rsidR="00796E67" w:rsidRPr="00A575DE" w:rsidRDefault="005D478B" w:rsidP="000F6E77">
      <w:pPr>
        <w:pStyle w:val="TOC1"/>
        <w:ind w:left="2268" w:right="709" w:hanging="760"/>
        <w:rPr>
          <w:rStyle w:val="Hyperlink"/>
          <w:b w:val="0"/>
          <w:bCs w:val="0"/>
        </w:rPr>
      </w:pPr>
      <w:hyperlink w:anchor="_Toc53576066" w:history="1">
        <w:r w:rsidR="00796E67" w:rsidRPr="00A575DE">
          <w:rPr>
            <w:rStyle w:val="Hyperlink"/>
            <w:b w:val="0"/>
            <w:bCs w:val="0"/>
          </w:rPr>
          <w:t>5.3.1.1.</w:t>
        </w:r>
        <w:r w:rsidR="00796E67" w:rsidRPr="00A575DE">
          <w:rPr>
            <w:rStyle w:val="Hyperlink"/>
            <w:b w:val="0"/>
            <w:bCs w:val="0"/>
          </w:rPr>
          <w:tab/>
          <w:t>Refusal to supply</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_Toc53576066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165</w:t>
        </w:r>
        <w:r w:rsidR="00796E67" w:rsidRPr="00A575DE">
          <w:rPr>
            <w:rStyle w:val="Hyperlink"/>
            <w:b w:val="0"/>
            <w:bCs w:val="0"/>
            <w:webHidden/>
          </w:rPr>
          <w:fldChar w:fldCharType="end"/>
        </w:r>
      </w:hyperlink>
    </w:p>
    <w:p w14:paraId="03EA1FDB" w14:textId="22C53EC2" w:rsidR="00796E67" w:rsidRPr="00A575DE" w:rsidRDefault="005D478B" w:rsidP="000F6E77">
      <w:pPr>
        <w:pStyle w:val="TOC1"/>
        <w:ind w:left="2835" w:right="709" w:hanging="992"/>
        <w:jc w:val="left"/>
        <w:rPr>
          <w:rStyle w:val="Hyperlink"/>
          <w:b w:val="0"/>
          <w:bCs w:val="0"/>
        </w:rPr>
      </w:pPr>
      <w:hyperlink w:anchor="_Toc53576067" w:history="1">
        <w:r w:rsidR="00796E67" w:rsidRPr="00A575DE">
          <w:rPr>
            <w:rStyle w:val="Hyperlink"/>
            <w:b w:val="0"/>
            <w:bCs w:val="0"/>
          </w:rPr>
          <w:t>5.3.1.1.1.</w:t>
        </w:r>
        <w:r w:rsidR="00796E67" w:rsidRPr="00A575DE">
          <w:rPr>
            <w:rStyle w:val="Hyperlink"/>
            <w:b w:val="0"/>
            <w:bCs w:val="0"/>
          </w:rPr>
          <w:tab/>
          <w:t>Historical and jurisprudential background</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_Toc53576067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165</w:t>
        </w:r>
        <w:r w:rsidR="00796E67" w:rsidRPr="00A575DE">
          <w:rPr>
            <w:rStyle w:val="Hyperlink"/>
            <w:b w:val="0"/>
            <w:bCs w:val="0"/>
            <w:webHidden/>
          </w:rPr>
          <w:fldChar w:fldCharType="end"/>
        </w:r>
      </w:hyperlink>
    </w:p>
    <w:p w14:paraId="47D4CC88" w14:textId="2732DF9A" w:rsidR="00796E67" w:rsidRPr="00A575DE" w:rsidRDefault="005D478B" w:rsidP="00B63DDE">
      <w:pPr>
        <w:pStyle w:val="TOC1"/>
        <w:ind w:left="2835" w:right="709" w:hanging="992"/>
        <w:jc w:val="left"/>
        <w:rPr>
          <w:rStyle w:val="Hyperlink"/>
          <w:b w:val="0"/>
          <w:bCs w:val="0"/>
        </w:rPr>
      </w:pPr>
      <w:hyperlink w:anchor="_Toc53576068" w:history="1">
        <w:r w:rsidR="00796E67" w:rsidRPr="00A575DE">
          <w:rPr>
            <w:rStyle w:val="Hyperlink"/>
            <w:b w:val="0"/>
            <w:bCs w:val="0"/>
          </w:rPr>
          <w:t>5.3.1.1.2.</w:t>
        </w:r>
        <w:r w:rsidR="00796E67" w:rsidRPr="00A575DE">
          <w:rPr>
            <w:rStyle w:val="Hyperlink"/>
            <w:b w:val="0"/>
            <w:bCs w:val="0"/>
          </w:rPr>
          <w:tab/>
          <w:t>Essential facilities doctrine and related cases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_Toc53576068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168</w:t>
        </w:r>
        <w:r w:rsidR="00796E67" w:rsidRPr="00A575DE">
          <w:rPr>
            <w:rStyle w:val="Hyperlink"/>
            <w:b w:val="0"/>
            <w:bCs w:val="0"/>
            <w:webHidden/>
          </w:rPr>
          <w:fldChar w:fldCharType="end"/>
        </w:r>
      </w:hyperlink>
    </w:p>
    <w:p w14:paraId="49B74B2E" w14:textId="647DCF31" w:rsidR="00796E67" w:rsidRPr="00A575DE" w:rsidRDefault="005D478B" w:rsidP="000F6E77">
      <w:pPr>
        <w:pStyle w:val="TOC1"/>
        <w:ind w:left="2268" w:right="709" w:hanging="760"/>
        <w:rPr>
          <w:rStyle w:val="Hyperlink"/>
          <w:b w:val="0"/>
          <w:bCs w:val="0"/>
        </w:rPr>
      </w:pPr>
      <w:hyperlink w:anchor="_Toc53576069" w:history="1">
        <w:r w:rsidR="00796E67" w:rsidRPr="00A575DE">
          <w:rPr>
            <w:rStyle w:val="Hyperlink"/>
            <w:b w:val="0"/>
            <w:bCs w:val="0"/>
          </w:rPr>
          <w:t>5.3.1.2.</w:t>
        </w:r>
        <w:r w:rsidR="00796E67" w:rsidRPr="00A575DE">
          <w:rPr>
            <w:rStyle w:val="Hyperlink"/>
            <w:b w:val="0"/>
            <w:bCs w:val="0"/>
          </w:rPr>
          <w:tab/>
          <w:t>Refusal to licence</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_Toc53576069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172</w:t>
        </w:r>
        <w:r w:rsidR="00796E67" w:rsidRPr="00A575DE">
          <w:rPr>
            <w:rStyle w:val="Hyperlink"/>
            <w:b w:val="0"/>
            <w:bCs w:val="0"/>
            <w:webHidden/>
          </w:rPr>
          <w:fldChar w:fldCharType="end"/>
        </w:r>
      </w:hyperlink>
    </w:p>
    <w:p w14:paraId="17CC1262" w14:textId="5FBBFC6C" w:rsidR="00796E67" w:rsidRPr="00A575DE" w:rsidRDefault="005D478B" w:rsidP="000F6E77">
      <w:pPr>
        <w:pStyle w:val="TOC1"/>
        <w:ind w:left="2268" w:right="709" w:hanging="760"/>
        <w:rPr>
          <w:rStyle w:val="Hyperlink"/>
          <w:b w:val="0"/>
          <w:bCs w:val="0"/>
        </w:rPr>
      </w:pPr>
      <w:hyperlink w:anchor="_Toc53576070" w:history="1">
        <w:r w:rsidR="00796E67" w:rsidRPr="00A575DE">
          <w:rPr>
            <w:rStyle w:val="Hyperlink"/>
            <w:b w:val="0"/>
            <w:bCs w:val="0"/>
          </w:rPr>
          <w:t>5.3.1.3.</w:t>
        </w:r>
        <w:r w:rsidR="00796E67" w:rsidRPr="00A575DE">
          <w:rPr>
            <w:rStyle w:val="Hyperlink"/>
            <w:b w:val="0"/>
            <w:bCs w:val="0"/>
          </w:rPr>
          <w:tab/>
          <w:t>Refusal to license/supply interoperability information</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_Toc53576070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176</w:t>
        </w:r>
        <w:r w:rsidR="00796E67" w:rsidRPr="00A575DE">
          <w:rPr>
            <w:rStyle w:val="Hyperlink"/>
            <w:b w:val="0"/>
            <w:bCs w:val="0"/>
            <w:webHidden/>
          </w:rPr>
          <w:fldChar w:fldCharType="end"/>
        </w:r>
      </w:hyperlink>
    </w:p>
    <w:p w14:paraId="0AE9F7F2" w14:textId="086E5335" w:rsidR="00796E67" w:rsidRPr="00A575DE" w:rsidRDefault="005D478B" w:rsidP="00462AE3">
      <w:pPr>
        <w:pStyle w:val="TOC1"/>
        <w:ind w:left="1560" w:right="709" w:hanging="709"/>
        <w:rPr>
          <w:rStyle w:val="Hyperlink"/>
          <w:b w:val="0"/>
          <w:bCs w:val="0"/>
        </w:rPr>
      </w:pPr>
      <w:hyperlink w:anchor="_Toc53576071" w:history="1">
        <w:r w:rsidR="00796E67" w:rsidRPr="00A575DE">
          <w:rPr>
            <w:rStyle w:val="Hyperlink"/>
            <w:b w:val="0"/>
            <w:bCs w:val="0"/>
          </w:rPr>
          <w:t>5.3.2.</w:t>
        </w:r>
        <w:r w:rsidR="00796E67" w:rsidRPr="00A575DE">
          <w:rPr>
            <w:rStyle w:val="Hyperlink"/>
            <w:b w:val="0"/>
            <w:bCs w:val="0"/>
          </w:rPr>
          <w:tab/>
          <w:t>Commission Guidance on Article 102: Filtered criteria and effects-based approach</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_Toc53576071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181</w:t>
        </w:r>
        <w:r w:rsidR="00796E67" w:rsidRPr="00A575DE">
          <w:rPr>
            <w:rStyle w:val="Hyperlink"/>
            <w:b w:val="0"/>
            <w:bCs w:val="0"/>
            <w:webHidden/>
          </w:rPr>
          <w:fldChar w:fldCharType="end"/>
        </w:r>
      </w:hyperlink>
    </w:p>
    <w:p w14:paraId="4CD9B72F" w14:textId="2E2D7EE4" w:rsidR="00796E67" w:rsidRPr="00A575DE" w:rsidRDefault="005D478B" w:rsidP="00B63DDE">
      <w:pPr>
        <w:pStyle w:val="TOC1"/>
        <w:ind w:left="839" w:right="709" w:hanging="476"/>
        <w:rPr>
          <w:rStyle w:val="Hyperlink"/>
          <w:b w:val="0"/>
          <w:bCs w:val="0"/>
        </w:rPr>
      </w:pPr>
      <w:hyperlink w:anchor="_Toc53576072" w:history="1">
        <w:r w:rsidR="00796E67" w:rsidRPr="00A575DE">
          <w:rPr>
            <w:rStyle w:val="Hyperlink"/>
            <w:b w:val="0"/>
            <w:bCs w:val="0"/>
          </w:rPr>
          <w:t>5.4.</w:t>
        </w:r>
        <w:r w:rsidR="00796E67" w:rsidRPr="00A575DE">
          <w:rPr>
            <w:rStyle w:val="Hyperlink"/>
            <w:b w:val="0"/>
            <w:bCs w:val="0"/>
          </w:rPr>
          <w:tab/>
          <w:t>Merger regulation</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_Toc53576072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186</w:t>
        </w:r>
        <w:r w:rsidR="00796E67" w:rsidRPr="00A575DE">
          <w:rPr>
            <w:rStyle w:val="Hyperlink"/>
            <w:b w:val="0"/>
            <w:bCs w:val="0"/>
            <w:webHidden/>
          </w:rPr>
          <w:fldChar w:fldCharType="end"/>
        </w:r>
      </w:hyperlink>
    </w:p>
    <w:p w14:paraId="57556FB9" w14:textId="489219EB" w:rsidR="00796E67" w:rsidRPr="00A575DE" w:rsidRDefault="005D478B" w:rsidP="00462AE3">
      <w:pPr>
        <w:pStyle w:val="TOC1"/>
        <w:ind w:left="1560" w:right="709" w:hanging="709"/>
        <w:rPr>
          <w:rStyle w:val="Hyperlink"/>
          <w:b w:val="0"/>
          <w:bCs w:val="0"/>
        </w:rPr>
      </w:pPr>
      <w:hyperlink w:anchor="_Toc53576073" w:history="1">
        <w:r w:rsidR="00796E67" w:rsidRPr="00A575DE">
          <w:rPr>
            <w:rStyle w:val="Hyperlink"/>
            <w:b w:val="0"/>
            <w:bCs w:val="0"/>
          </w:rPr>
          <w:t>5.4.1.</w:t>
        </w:r>
        <w:r w:rsidR="00796E67" w:rsidRPr="00A575DE">
          <w:rPr>
            <w:rStyle w:val="Hyperlink"/>
            <w:b w:val="0"/>
            <w:bCs w:val="0"/>
          </w:rPr>
          <w:tab/>
          <w:t>General overview</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_Toc53576073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186</w:t>
        </w:r>
        <w:r w:rsidR="00796E67" w:rsidRPr="00A575DE">
          <w:rPr>
            <w:rStyle w:val="Hyperlink"/>
            <w:b w:val="0"/>
            <w:bCs w:val="0"/>
            <w:webHidden/>
          </w:rPr>
          <w:fldChar w:fldCharType="end"/>
        </w:r>
      </w:hyperlink>
    </w:p>
    <w:p w14:paraId="03ABEA65" w14:textId="646C1EDC" w:rsidR="00796E67" w:rsidRPr="00A575DE" w:rsidRDefault="005D478B" w:rsidP="00462AE3">
      <w:pPr>
        <w:pStyle w:val="TOC1"/>
        <w:ind w:left="1560" w:right="709" w:hanging="709"/>
        <w:rPr>
          <w:rStyle w:val="Hyperlink"/>
          <w:b w:val="0"/>
          <w:bCs w:val="0"/>
        </w:rPr>
      </w:pPr>
      <w:hyperlink w:anchor="_Toc53576074" w:history="1">
        <w:r w:rsidR="00796E67" w:rsidRPr="00A575DE">
          <w:rPr>
            <w:rStyle w:val="Hyperlink"/>
            <w:b w:val="0"/>
            <w:bCs w:val="0"/>
          </w:rPr>
          <w:t>5.4.2.</w:t>
        </w:r>
        <w:r w:rsidR="00796E67" w:rsidRPr="00A575DE">
          <w:rPr>
            <w:rStyle w:val="Hyperlink"/>
            <w:b w:val="0"/>
            <w:bCs w:val="0"/>
          </w:rPr>
          <w:tab/>
          <w:t>Interoperability related merger cases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_Toc53576074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190</w:t>
        </w:r>
        <w:r w:rsidR="00796E67" w:rsidRPr="00A575DE">
          <w:rPr>
            <w:rStyle w:val="Hyperlink"/>
            <w:b w:val="0"/>
            <w:bCs w:val="0"/>
            <w:webHidden/>
          </w:rPr>
          <w:fldChar w:fldCharType="end"/>
        </w:r>
      </w:hyperlink>
    </w:p>
    <w:p w14:paraId="754BE487" w14:textId="0E15374D" w:rsidR="00796E67" w:rsidRPr="00A575DE" w:rsidRDefault="005D478B" w:rsidP="000F6E77">
      <w:pPr>
        <w:pStyle w:val="TOC1"/>
        <w:ind w:left="2268" w:right="709" w:hanging="760"/>
        <w:rPr>
          <w:rStyle w:val="Hyperlink"/>
          <w:b w:val="0"/>
          <w:bCs w:val="0"/>
        </w:rPr>
      </w:pPr>
      <w:hyperlink w:anchor="_Toc53576075" w:history="1">
        <w:r w:rsidR="00796E67" w:rsidRPr="00A575DE">
          <w:rPr>
            <w:rStyle w:val="Hyperlink"/>
            <w:b w:val="0"/>
            <w:bCs w:val="0"/>
          </w:rPr>
          <w:t>5.4.2.1.</w:t>
        </w:r>
        <w:r w:rsidR="00796E67" w:rsidRPr="00A575DE">
          <w:rPr>
            <w:rStyle w:val="Hyperlink"/>
            <w:b w:val="0"/>
            <w:bCs w:val="0"/>
          </w:rPr>
          <w:tab/>
          <w:t>First set of case law</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_Toc53576075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190</w:t>
        </w:r>
        <w:r w:rsidR="00796E67" w:rsidRPr="00A575DE">
          <w:rPr>
            <w:rStyle w:val="Hyperlink"/>
            <w:b w:val="0"/>
            <w:bCs w:val="0"/>
            <w:webHidden/>
          </w:rPr>
          <w:fldChar w:fldCharType="end"/>
        </w:r>
      </w:hyperlink>
    </w:p>
    <w:p w14:paraId="7B8B05F3" w14:textId="2A4D3F67" w:rsidR="00796E67" w:rsidRPr="00A575DE" w:rsidRDefault="005D478B" w:rsidP="000F6E77">
      <w:pPr>
        <w:pStyle w:val="TOC1"/>
        <w:ind w:left="2268" w:right="709" w:hanging="760"/>
        <w:rPr>
          <w:rStyle w:val="Hyperlink"/>
          <w:b w:val="0"/>
          <w:bCs w:val="0"/>
        </w:rPr>
      </w:pPr>
      <w:hyperlink w:anchor="_Toc53576076" w:history="1">
        <w:r w:rsidR="00796E67" w:rsidRPr="00A575DE">
          <w:rPr>
            <w:rStyle w:val="Hyperlink"/>
            <w:b w:val="0"/>
            <w:bCs w:val="0"/>
          </w:rPr>
          <w:t>5.4.2.2.</w:t>
        </w:r>
        <w:r w:rsidR="00796E67" w:rsidRPr="00A575DE">
          <w:rPr>
            <w:rStyle w:val="Hyperlink"/>
            <w:b w:val="0"/>
            <w:bCs w:val="0"/>
          </w:rPr>
          <w:tab/>
          <w:t>Second set of case law</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_Toc53576076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196</w:t>
        </w:r>
        <w:r w:rsidR="00796E67" w:rsidRPr="00A575DE">
          <w:rPr>
            <w:rStyle w:val="Hyperlink"/>
            <w:b w:val="0"/>
            <w:bCs w:val="0"/>
            <w:webHidden/>
          </w:rPr>
          <w:fldChar w:fldCharType="end"/>
        </w:r>
      </w:hyperlink>
    </w:p>
    <w:p w14:paraId="1F7045AC" w14:textId="0AF33754" w:rsidR="00796E67" w:rsidRPr="00A575DE" w:rsidRDefault="005D478B" w:rsidP="000F6E77">
      <w:pPr>
        <w:pStyle w:val="TOC1"/>
        <w:ind w:left="2268" w:right="709" w:hanging="760"/>
        <w:rPr>
          <w:rStyle w:val="Hyperlink"/>
          <w:b w:val="0"/>
          <w:bCs w:val="0"/>
        </w:rPr>
      </w:pPr>
      <w:hyperlink w:anchor="_Toc53576077" w:history="1">
        <w:r w:rsidR="00796E67" w:rsidRPr="00A575DE">
          <w:rPr>
            <w:rStyle w:val="Hyperlink"/>
            <w:b w:val="0"/>
            <w:bCs w:val="0"/>
          </w:rPr>
          <w:t>5.4.2.3.</w:t>
        </w:r>
        <w:r w:rsidR="00796E67" w:rsidRPr="00A575DE">
          <w:rPr>
            <w:rStyle w:val="Hyperlink"/>
            <w:b w:val="0"/>
            <w:bCs w:val="0"/>
          </w:rPr>
          <w:tab/>
          <w:t>Microsoft/LinkedIn: Revisiting the interoperability concerns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_Toc53576077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201</w:t>
        </w:r>
        <w:r w:rsidR="00796E67" w:rsidRPr="00A575DE">
          <w:rPr>
            <w:rStyle w:val="Hyperlink"/>
            <w:b w:val="0"/>
            <w:bCs w:val="0"/>
            <w:webHidden/>
          </w:rPr>
          <w:fldChar w:fldCharType="end"/>
        </w:r>
      </w:hyperlink>
    </w:p>
    <w:p w14:paraId="312D9DD8" w14:textId="40FEAEAF" w:rsidR="00796E67" w:rsidRPr="00A575DE" w:rsidRDefault="005D478B" w:rsidP="00462AE3">
      <w:pPr>
        <w:pStyle w:val="TOC1"/>
        <w:ind w:left="839" w:right="709" w:hanging="476"/>
        <w:rPr>
          <w:rStyle w:val="Hyperlink"/>
          <w:b w:val="0"/>
          <w:bCs w:val="0"/>
        </w:rPr>
      </w:pPr>
      <w:hyperlink w:anchor="_Toc53576078" w:history="1">
        <w:r w:rsidR="00796E67" w:rsidRPr="00A575DE">
          <w:rPr>
            <w:rStyle w:val="Hyperlink"/>
            <w:b w:val="0"/>
            <w:bCs w:val="0"/>
          </w:rPr>
          <w:t>5.5.</w:t>
        </w:r>
        <w:r w:rsidR="00796E67" w:rsidRPr="00A575DE">
          <w:rPr>
            <w:rStyle w:val="Hyperlink"/>
            <w:b w:val="0"/>
            <w:bCs w:val="0"/>
          </w:rPr>
          <w:tab/>
          <w:t>Assessment of EU competition law</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_Toc53576078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207</w:t>
        </w:r>
        <w:r w:rsidR="00796E67" w:rsidRPr="00A575DE">
          <w:rPr>
            <w:rStyle w:val="Hyperlink"/>
            <w:b w:val="0"/>
            <w:bCs w:val="0"/>
            <w:webHidden/>
          </w:rPr>
          <w:fldChar w:fldCharType="end"/>
        </w:r>
      </w:hyperlink>
    </w:p>
    <w:p w14:paraId="3E0D3073" w14:textId="2C0C7E4A" w:rsidR="00796E67" w:rsidRPr="00A575DE" w:rsidRDefault="005D478B" w:rsidP="00A575DE">
      <w:pPr>
        <w:pStyle w:val="TOC1"/>
        <w:spacing w:line="240" w:lineRule="auto"/>
        <w:jc w:val="right"/>
        <w:rPr>
          <w:rStyle w:val="Hyperlink"/>
        </w:rPr>
      </w:pPr>
      <w:hyperlink w:anchor="_Toc53576079" w:history="1">
        <w:r w:rsidR="00796E67" w:rsidRPr="00B63DDE">
          <w:rPr>
            <w:rStyle w:val="Hyperlink"/>
          </w:rPr>
          <w:t>6.</w:t>
        </w:r>
        <w:r w:rsidR="00796E67" w:rsidRPr="00A575DE">
          <w:rPr>
            <w:rStyle w:val="Hyperlink"/>
          </w:rPr>
          <w:tab/>
        </w:r>
        <w:r w:rsidR="00796E67" w:rsidRPr="00B63DDE">
          <w:rPr>
            <w:rStyle w:val="Hyperlink"/>
          </w:rPr>
          <w:t>Sector-specific regulations: Electronic communications law</w:t>
        </w:r>
        <w:r w:rsidR="00796E67" w:rsidRPr="00A575DE">
          <w:rPr>
            <w:rStyle w:val="Hyperlink"/>
            <w:webHidden/>
          </w:rPr>
          <w:tab/>
        </w:r>
        <w:r w:rsidR="00796E67" w:rsidRPr="00A575DE">
          <w:rPr>
            <w:rStyle w:val="Hyperlink"/>
            <w:webHidden/>
          </w:rPr>
          <w:fldChar w:fldCharType="begin"/>
        </w:r>
        <w:r w:rsidR="00796E67" w:rsidRPr="00A575DE">
          <w:rPr>
            <w:rStyle w:val="Hyperlink"/>
            <w:webHidden/>
          </w:rPr>
          <w:instrText xml:space="preserve"> PAGEREF _Toc53576079 \h </w:instrText>
        </w:r>
        <w:r w:rsidR="00796E67" w:rsidRPr="00A575DE">
          <w:rPr>
            <w:rStyle w:val="Hyperlink"/>
            <w:webHidden/>
          </w:rPr>
        </w:r>
        <w:r w:rsidR="00796E67" w:rsidRPr="00A575DE">
          <w:rPr>
            <w:rStyle w:val="Hyperlink"/>
            <w:webHidden/>
          </w:rPr>
          <w:fldChar w:fldCharType="separate"/>
        </w:r>
        <w:r w:rsidR="00796E67" w:rsidRPr="00A575DE">
          <w:rPr>
            <w:rStyle w:val="Hyperlink"/>
            <w:webHidden/>
          </w:rPr>
          <w:t>212</w:t>
        </w:r>
        <w:r w:rsidR="00796E67" w:rsidRPr="00A575DE">
          <w:rPr>
            <w:rStyle w:val="Hyperlink"/>
            <w:webHidden/>
          </w:rPr>
          <w:fldChar w:fldCharType="end"/>
        </w:r>
      </w:hyperlink>
    </w:p>
    <w:p w14:paraId="1B088279" w14:textId="5A974CD8" w:rsidR="00796E67" w:rsidRPr="00A575DE" w:rsidRDefault="005D478B" w:rsidP="00462AE3">
      <w:pPr>
        <w:pStyle w:val="TOC1"/>
        <w:ind w:left="839" w:right="709" w:hanging="476"/>
        <w:rPr>
          <w:rStyle w:val="Hyperlink"/>
          <w:b w:val="0"/>
          <w:bCs w:val="0"/>
        </w:rPr>
      </w:pPr>
      <w:hyperlink w:anchor="_Toc53576080" w:history="1">
        <w:r w:rsidR="00796E67" w:rsidRPr="00A575DE">
          <w:rPr>
            <w:rStyle w:val="Hyperlink"/>
            <w:b w:val="0"/>
            <w:bCs w:val="0"/>
          </w:rPr>
          <w:t>6.1.</w:t>
        </w:r>
        <w:r w:rsidR="00796E67" w:rsidRPr="00A575DE">
          <w:rPr>
            <w:rStyle w:val="Hyperlink"/>
            <w:b w:val="0"/>
            <w:bCs w:val="0"/>
          </w:rPr>
          <w:tab/>
          <w:t>Main elements of the ECRF</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_Toc53576080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212</w:t>
        </w:r>
        <w:r w:rsidR="00796E67" w:rsidRPr="00A575DE">
          <w:rPr>
            <w:rStyle w:val="Hyperlink"/>
            <w:b w:val="0"/>
            <w:bCs w:val="0"/>
            <w:webHidden/>
          </w:rPr>
          <w:fldChar w:fldCharType="end"/>
        </w:r>
      </w:hyperlink>
    </w:p>
    <w:p w14:paraId="30821581" w14:textId="6099860E" w:rsidR="00796E67" w:rsidRPr="00A575DE" w:rsidRDefault="005D478B" w:rsidP="00462AE3">
      <w:pPr>
        <w:pStyle w:val="TOC1"/>
        <w:ind w:left="1560" w:right="709" w:hanging="709"/>
        <w:rPr>
          <w:rStyle w:val="Hyperlink"/>
          <w:b w:val="0"/>
          <w:bCs w:val="0"/>
        </w:rPr>
      </w:pPr>
      <w:hyperlink w:anchor="_Toc53576081" w:history="1">
        <w:r w:rsidR="00796E67" w:rsidRPr="00A575DE">
          <w:rPr>
            <w:rStyle w:val="Hyperlink"/>
            <w:b w:val="0"/>
            <w:bCs w:val="0"/>
          </w:rPr>
          <w:t>6.1.1.</w:t>
        </w:r>
        <w:r w:rsidR="00796E67" w:rsidRPr="00A575DE">
          <w:rPr>
            <w:rStyle w:val="Hyperlink"/>
            <w:b w:val="0"/>
            <w:bCs w:val="0"/>
          </w:rPr>
          <w:tab/>
          <w:t>Main pillars and evolution of the ECRF</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_Toc53576081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212</w:t>
        </w:r>
        <w:r w:rsidR="00796E67" w:rsidRPr="00A575DE">
          <w:rPr>
            <w:rStyle w:val="Hyperlink"/>
            <w:b w:val="0"/>
            <w:bCs w:val="0"/>
            <w:webHidden/>
          </w:rPr>
          <w:fldChar w:fldCharType="end"/>
        </w:r>
      </w:hyperlink>
    </w:p>
    <w:p w14:paraId="097FBC86" w14:textId="0FFB30C6" w:rsidR="00796E67" w:rsidRPr="00A575DE" w:rsidRDefault="005D478B" w:rsidP="00462AE3">
      <w:pPr>
        <w:pStyle w:val="TOC1"/>
        <w:ind w:left="1560" w:right="709" w:hanging="709"/>
        <w:rPr>
          <w:rStyle w:val="Hyperlink"/>
          <w:b w:val="0"/>
          <w:bCs w:val="0"/>
        </w:rPr>
      </w:pPr>
      <w:hyperlink w:anchor="_Toc53576082" w:history="1">
        <w:r w:rsidR="00796E67" w:rsidRPr="00A575DE">
          <w:rPr>
            <w:rStyle w:val="Hyperlink"/>
            <w:b w:val="0"/>
            <w:bCs w:val="0"/>
          </w:rPr>
          <w:t>6.1.2.</w:t>
        </w:r>
        <w:r w:rsidR="00796E67" w:rsidRPr="00A575DE">
          <w:rPr>
            <w:rStyle w:val="Hyperlink"/>
            <w:b w:val="0"/>
            <w:bCs w:val="0"/>
          </w:rPr>
          <w:tab/>
          <w:t>Regulatory structure and policy objectives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_Toc53576082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218</w:t>
        </w:r>
        <w:r w:rsidR="00796E67" w:rsidRPr="00A575DE">
          <w:rPr>
            <w:rStyle w:val="Hyperlink"/>
            <w:b w:val="0"/>
            <w:bCs w:val="0"/>
            <w:webHidden/>
          </w:rPr>
          <w:fldChar w:fldCharType="end"/>
        </w:r>
      </w:hyperlink>
    </w:p>
    <w:p w14:paraId="04701F2D" w14:textId="77F4A6F9" w:rsidR="00796E67" w:rsidRPr="00A575DE" w:rsidRDefault="005D478B" w:rsidP="00462AE3">
      <w:pPr>
        <w:pStyle w:val="TOC1"/>
        <w:ind w:left="1560" w:right="709" w:hanging="709"/>
        <w:rPr>
          <w:rStyle w:val="Hyperlink"/>
          <w:b w:val="0"/>
          <w:bCs w:val="0"/>
        </w:rPr>
      </w:pPr>
      <w:hyperlink w:anchor="_Toc53576083" w:history="1">
        <w:r w:rsidR="00796E67" w:rsidRPr="00A575DE">
          <w:rPr>
            <w:rStyle w:val="Hyperlink"/>
            <w:b w:val="0"/>
            <w:bCs w:val="0"/>
          </w:rPr>
          <w:t>6.1.3.</w:t>
        </w:r>
        <w:r w:rsidR="00796E67" w:rsidRPr="00A575DE">
          <w:rPr>
            <w:rStyle w:val="Hyperlink"/>
            <w:b w:val="0"/>
            <w:bCs w:val="0"/>
          </w:rPr>
          <w:tab/>
          <w:t>SMP Regime and market remedies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_Toc53576083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223</w:t>
        </w:r>
        <w:r w:rsidR="00796E67" w:rsidRPr="00A575DE">
          <w:rPr>
            <w:rStyle w:val="Hyperlink"/>
            <w:b w:val="0"/>
            <w:bCs w:val="0"/>
            <w:webHidden/>
          </w:rPr>
          <w:fldChar w:fldCharType="end"/>
        </w:r>
      </w:hyperlink>
    </w:p>
    <w:p w14:paraId="5C68A131" w14:textId="37D2C918" w:rsidR="00796E67" w:rsidRPr="00A575DE" w:rsidRDefault="005D478B" w:rsidP="00462AE3">
      <w:pPr>
        <w:pStyle w:val="TOC1"/>
        <w:ind w:left="1560" w:right="709" w:hanging="709"/>
        <w:rPr>
          <w:rStyle w:val="Hyperlink"/>
          <w:b w:val="0"/>
          <w:bCs w:val="0"/>
        </w:rPr>
      </w:pPr>
      <w:hyperlink w:anchor="_Toc53576084" w:history="1">
        <w:r w:rsidR="00796E67" w:rsidRPr="00A575DE">
          <w:rPr>
            <w:rStyle w:val="Hyperlink"/>
            <w:b w:val="0"/>
            <w:bCs w:val="0"/>
          </w:rPr>
          <w:t>6.1.4.</w:t>
        </w:r>
        <w:r w:rsidR="00796E67" w:rsidRPr="00A575DE">
          <w:rPr>
            <w:rStyle w:val="Hyperlink"/>
            <w:b w:val="0"/>
            <w:bCs w:val="0"/>
          </w:rPr>
          <w:tab/>
          <w:t>A deeper look at the ECRF: Critical review of the regulatory mind-set</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_Toc53576084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229</w:t>
        </w:r>
        <w:r w:rsidR="00796E67" w:rsidRPr="00A575DE">
          <w:rPr>
            <w:rStyle w:val="Hyperlink"/>
            <w:b w:val="0"/>
            <w:bCs w:val="0"/>
            <w:webHidden/>
          </w:rPr>
          <w:fldChar w:fldCharType="end"/>
        </w:r>
      </w:hyperlink>
    </w:p>
    <w:p w14:paraId="34FCB635" w14:textId="7D172D29" w:rsidR="00796E67" w:rsidRPr="00A575DE" w:rsidRDefault="005D478B" w:rsidP="00462AE3">
      <w:pPr>
        <w:pStyle w:val="TOC1"/>
        <w:ind w:left="839" w:right="709" w:hanging="476"/>
        <w:rPr>
          <w:rStyle w:val="Hyperlink"/>
          <w:b w:val="0"/>
          <w:bCs w:val="0"/>
        </w:rPr>
      </w:pPr>
      <w:hyperlink w:anchor="_Toc53576085" w:history="1">
        <w:r w:rsidR="00796E67" w:rsidRPr="00A575DE">
          <w:rPr>
            <w:rStyle w:val="Hyperlink"/>
            <w:b w:val="0"/>
            <w:bCs w:val="0"/>
          </w:rPr>
          <w:t>6.2.</w:t>
        </w:r>
        <w:r w:rsidR="00796E67" w:rsidRPr="00A575DE">
          <w:rPr>
            <w:rStyle w:val="Hyperlink"/>
            <w:b w:val="0"/>
            <w:bCs w:val="0"/>
          </w:rPr>
          <w:tab/>
          <w:t>Interoperability under the ECRF</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_Toc53576085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234</w:t>
        </w:r>
        <w:r w:rsidR="00796E67" w:rsidRPr="00A575DE">
          <w:rPr>
            <w:rStyle w:val="Hyperlink"/>
            <w:b w:val="0"/>
            <w:bCs w:val="0"/>
            <w:webHidden/>
          </w:rPr>
          <w:fldChar w:fldCharType="end"/>
        </w:r>
      </w:hyperlink>
    </w:p>
    <w:p w14:paraId="5DE6EE30" w14:textId="1ACC21A5" w:rsidR="00796E67" w:rsidRPr="00A575DE" w:rsidRDefault="005D478B" w:rsidP="00462AE3">
      <w:pPr>
        <w:pStyle w:val="TOC1"/>
        <w:ind w:left="1560" w:right="709" w:hanging="709"/>
        <w:rPr>
          <w:rStyle w:val="Hyperlink"/>
          <w:b w:val="0"/>
          <w:bCs w:val="0"/>
        </w:rPr>
      </w:pPr>
      <w:hyperlink w:anchor="_Toc53576086" w:history="1">
        <w:r w:rsidR="00796E67" w:rsidRPr="00A575DE">
          <w:rPr>
            <w:rStyle w:val="Hyperlink"/>
            <w:b w:val="0"/>
            <w:bCs w:val="0"/>
          </w:rPr>
          <w:t>6.2.1.</w:t>
        </w:r>
        <w:r w:rsidR="00796E67" w:rsidRPr="00A575DE">
          <w:rPr>
            <w:rStyle w:val="Hyperlink"/>
            <w:b w:val="0"/>
            <w:bCs w:val="0"/>
          </w:rPr>
          <w:tab/>
          <w:t>Interoperability concerns and obligations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_Toc53576086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234</w:t>
        </w:r>
        <w:r w:rsidR="00796E67" w:rsidRPr="00A575DE">
          <w:rPr>
            <w:rStyle w:val="Hyperlink"/>
            <w:b w:val="0"/>
            <w:bCs w:val="0"/>
            <w:webHidden/>
          </w:rPr>
          <w:fldChar w:fldCharType="end"/>
        </w:r>
      </w:hyperlink>
    </w:p>
    <w:p w14:paraId="7F4C8698" w14:textId="128776E1" w:rsidR="00796E67" w:rsidRPr="00A575DE" w:rsidRDefault="005D478B" w:rsidP="000F6E77">
      <w:pPr>
        <w:pStyle w:val="TOC1"/>
        <w:ind w:left="2268" w:right="709" w:hanging="760"/>
        <w:rPr>
          <w:rStyle w:val="Hyperlink"/>
          <w:b w:val="0"/>
          <w:bCs w:val="0"/>
        </w:rPr>
      </w:pPr>
      <w:hyperlink w:anchor="_Toc53576087" w:history="1">
        <w:r w:rsidR="00796E67" w:rsidRPr="00A575DE">
          <w:rPr>
            <w:rStyle w:val="Hyperlink"/>
            <w:b w:val="0"/>
            <w:bCs w:val="0"/>
          </w:rPr>
          <w:t>6.2.1.1.</w:t>
        </w:r>
        <w:r w:rsidR="00796E67" w:rsidRPr="00A575DE">
          <w:rPr>
            <w:rStyle w:val="Hyperlink"/>
            <w:b w:val="0"/>
            <w:bCs w:val="0"/>
          </w:rPr>
          <w:tab/>
          <w:t>Interconnection</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_Toc53576087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235</w:t>
        </w:r>
        <w:r w:rsidR="00796E67" w:rsidRPr="00A575DE">
          <w:rPr>
            <w:rStyle w:val="Hyperlink"/>
            <w:b w:val="0"/>
            <w:bCs w:val="0"/>
            <w:webHidden/>
          </w:rPr>
          <w:fldChar w:fldCharType="end"/>
        </w:r>
      </w:hyperlink>
    </w:p>
    <w:p w14:paraId="35D46949" w14:textId="4E4881E6" w:rsidR="00796E67" w:rsidRPr="00A575DE" w:rsidRDefault="005D478B" w:rsidP="000F6E77">
      <w:pPr>
        <w:pStyle w:val="TOC1"/>
        <w:ind w:left="2268" w:right="709" w:hanging="760"/>
        <w:rPr>
          <w:rStyle w:val="Hyperlink"/>
          <w:b w:val="0"/>
          <w:bCs w:val="0"/>
        </w:rPr>
      </w:pPr>
      <w:hyperlink w:anchor="_Toc53576088" w:history="1">
        <w:r w:rsidR="00796E67" w:rsidRPr="00A575DE">
          <w:rPr>
            <w:rStyle w:val="Hyperlink"/>
            <w:b w:val="0"/>
            <w:bCs w:val="0"/>
          </w:rPr>
          <w:t>6.2.1.2.</w:t>
        </w:r>
        <w:r w:rsidR="00796E67" w:rsidRPr="00A575DE">
          <w:rPr>
            <w:rStyle w:val="Hyperlink"/>
            <w:b w:val="0"/>
            <w:bCs w:val="0"/>
          </w:rPr>
          <w:tab/>
          <w:t>Conditional access obligations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_Toc53576088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238</w:t>
        </w:r>
        <w:r w:rsidR="00796E67" w:rsidRPr="00A575DE">
          <w:rPr>
            <w:rStyle w:val="Hyperlink"/>
            <w:b w:val="0"/>
            <w:bCs w:val="0"/>
            <w:webHidden/>
          </w:rPr>
          <w:fldChar w:fldCharType="end"/>
        </w:r>
      </w:hyperlink>
    </w:p>
    <w:p w14:paraId="30D7D6EF" w14:textId="6EFFB6F8" w:rsidR="00796E67" w:rsidRPr="00A575DE" w:rsidRDefault="005D478B" w:rsidP="000F6E77">
      <w:pPr>
        <w:pStyle w:val="TOC1"/>
        <w:ind w:left="2268" w:right="709" w:hanging="760"/>
        <w:rPr>
          <w:rStyle w:val="Hyperlink"/>
          <w:b w:val="0"/>
          <w:bCs w:val="0"/>
        </w:rPr>
      </w:pPr>
      <w:hyperlink w:anchor="_Toc53576089" w:history="1">
        <w:r w:rsidR="00796E67" w:rsidRPr="00A575DE">
          <w:rPr>
            <w:rStyle w:val="Hyperlink"/>
            <w:b w:val="0"/>
            <w:bCs w:val="0"/>
          </w:rPr>
          <w:t>6.2.1.3.</w:t>
        </w:r>
        <w:r w:rsidR="00796E67" w:rsidRPr="00A575DE">
          <w:rPr>
            <w:rStyle w:val="Hyperlink"/>
            <w:b w:val="0"/>
            <w:bCs w:val="0"/>
          </w:rPr>
          <w:tab/>
          <w:t>NGN based implications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_Toc53576089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241</w:t>
        </w:r>
        <w:r w:rsidR="00796E67" w:rsidRPr="00A575DE">
          <w:rPr>
            <w:rStyle w:val="Hyperlink"/>
            <w:b w:val="0"/>
            <w:bCs w:val="0"/>
            <w:webHidden/>
          </w:rPr>
          <w:fldChar w:fldCharType="end"/>
        </w:r>
      </w:hyperlink>
    </w:p>
    <w:p w14:paraId="635D5841" w14:textId="2D1BA387" w:rsidR="00796E67" w:rsidRPr="00A575DE" w:rsidRDefault="005D478B" w:rsidP="00462AE3">
      <w:pPr>
        <w:pStyle w:val="TOC1"/>
        <w:ind w:left="1560" w:right="709" w:hanging="709"/>
        <w:rPr>
          <w:rStyle w:val="Hyperlink"/>
          <w:b w:val="0"/>
          <w:bCs w:val="0"/>
        </w:rPr>
      </w:pPr>
      <w:hyperlink w:anchor="_Toc53576090" w:history="1">
        <w:r w:rsidR="00796E67" w:rsidRPr="00A575DE">
          <w:rPr>
            <w:rStyle w:val="Hyperlink"/>
            <w:b w:val="0"/>
            <w:bCs w:val="0"/>
          </w:rPr>
          <w:t>6.2.2.</w:t>
        </w:r>
        <w:r w:rsidR="00796E67" w:rsidRPr="00A575DE">
          <w:rPr>
            <w:rStyle w:val="Hyperlink"/>
            <w:b w:val="0"/>
            <w:bCs w:val="0"/>
          </w:rPr>
          <w:tab/>
          <w:t>Introduction of new ECS categories and the reach of interoperability problems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_Toc53576090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245</w:t>
        </w:r>
        <w:r w:rsidR="00796E67" w:rsidRPr="00A575DE">
          <w:rPr>
            <w:rStyle w:val="Hyperlink"/>
            <w:b w:val="0"/>
            <w:bCs w:val="0"/>
            <w:webHidden/>
          </w:rPr>
          <w:fldChar w:fldCharType="end"/>
        </w:r>
      </w:hyperlink>
    </w:p>
    <w:p w14:paraId="0F0F8FC1" w14:textId="0FE23BEE" w:rsidR="00796E67" w:rsidRPr="00A575DE" w:rsidRDefault="005D478B" w:rsidP="000F6E77">
      <w:pPr>
        <w:pStyle w:val="TOC1"/>
        <w:ind w:left="2268" w:right="709" w:hanging="760"/>
        <w:rPr>
          <w:rStyle w:val="Hyperlink"/>
          <w:b w:val="0"/>
          <w:bCs w:val="0"/>
        </w:rPr>
      </w:pPr>
      <w:hyperlink w:anchor="_Toc53576091" w:history="1">
        <w:r w:rsidR="00796E67" w:rsidRPr="00A575DE">
          <w:rPr>
            <w:rStyle w:val="Hyperlink"/>
            <w:b w:val="0"/>
            <w:bCs w:val="0"/>
          </w:rPr>
          <w:t>6.2.2.1.</w:t>
        </w:r>
        <w:r w:rsidR="00796E67" w:rsidRPr="00A575DE">
          <w:rPr>
            <w:rStyle w:val="Hyperlink"/>
            <w:b w:val="0"/>
            <w:bCs w:val="0"/>
          </w:rPr>
          <w:tab/>
          <w:t>OTT Impact and a new carve-out under the EECC</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_Toc53576091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245</w:t>
        </w:r>
        <w:r w:rsidR="00796E67" w:rsidRPr="00A575DE">
          <w:rPr>
            <w:rStyle w:val="Hyperlink"/>
            <w:b w:val="0"/>
            <w:bCs w:val="0"/>
            <w:webHidden/>
          </w:rPr>
          <w:fldChar w:fldCharType="end"/>
        </w:r>
      </w:hyperlink>
    </w:p>
    <w:p w14:paraId="630AA64B" w14:textId="162F22DF" w:rsidR="00796E67" w:rsidRPr="00A575DE" w:rsidRDefault="005D478B" w:rsidP="000F6E77">
      <w:pPr>
        <w:pStyle w:val="TOC1"/>
        <w:ind w:left="2268" w:right="709" w:hanging="760"/>
        <w:rPr>
          <w:rStyle w:val="Hyperlink"/>
          <w:b w:val="0"/>
          <w:bCs w:val="0"/>
        </w:rPr>
      </w:pPr>
      <w:hyperlink w:anchor="_Toc53576092" w:history="1">
        <w:r w:rsidR="00796E67" w:rsidRPr="00A575DE">
          <w:rPr>
            <w:rStyle w:val="Hyperlink"/>
            <w:b w:val="0"/>
            <w:bCs w:val="0"/>
          </w:rPr>
          <w:t>6.2.2.2.</w:t>
        </w:r>
        <w:r w:rsidR="00796E67" w:rsidRPr="00A575DE">
          <w:rPr>
            <w:rStyle w:val="Hyperlink"/>
            <w:b w:val="0"/>
            <w:bCs w:val="0"/>
          </w:rPr>
          <w:tab/>
          <w:t>Introduction of new ECS categories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_Toc53576092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248</w:t>
        </w:r>
        <w:r w:rsidR="00796E67" w:rsidRPr="00A575DE">
          <w:rPr>
            <w:rStyle w:val="Hyperlink"/>
            <w:b w:val="0"/>
            <w:bCs w:val="0"/>
            <w:webHidden/>
          </w:rPr>
          <w:fldChar w:fldCharType="end"/>
        </w:r>
      </w:hyperlink>
    </w:p>
    <w:p w14:paraId="2A9A7A84" w14:textId="44081D21" w:rsidR="00796E67" w:rsidRPr="00A575DE" w:rsidRDefault="005D478B" w:rsidP="00B63DDE">
      <w:pPr>
        <w:pStyle w:val="TOC1"/>
        <w:ind w:left="2835" w:right="709" w:hanging="992"/>
        <w:jc w:val="left"/>
        <w:rPr>
          <w:rStyle w:val="Hyperlink"/>
          <w:b w:val="0"/>
          <w:bCs w:val="0"/>
        </w:rPr>
      </w:pPr>
      <w:hyperlink w:anchor="_Toc53576093" w:history="1">
        <w:r w:rsidR="00796E67" w:rsidRPr="00A575DE">
          <w:rPr>
            <w:rStyle w:val="Hyperlink"/>
            <w:b w:val="0"/>
            <w:bCs w:val="0"/>
          </w:rPr>
          <w:t>6.2.2.2.1.</w:t>
        </w:r>
        <w:r w:rsidR="00796E67" w:rsidRPr="00A575DE">
          <w:rPr>
            <w:rStyle w:val="Hyperlink"/>
            <w:b w:val="0"/>
            <w:bCs w:val="0"/>
          </w:rPr>
          <w:tab/>
          <w:t>Number-independent inter-personal communications services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_Toc53576093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251</w:t>
        </w:r>
        <w:r w:rsidR="00796E67" w:rsidRPr="00A575DE">
          <w:rPr>
            <w:rStyle w:val="Hyperlink"/>
            <w:b w:val="0"/>
            <w:bCs w:val="0"/>
            <w:webHidden/>
          </w:rPr>
          <w:fldChar w:fldCharType="end"/>
        </w:r>
      </w:hyperlink>
    </w:p>
    <w:p w14:paraId="035AE9AE" w14:textId="5D31B81F" w:rsidR="00796E67" w:rsidRPr="00A575DE" w:rsidRDefault="005D478B" w:rsidP="00B63DDE">
      <w:pPr>
        <w:pStyle w:val="TOC1"/>
        <w:ind w:left="2835" w:right="709" w:hanging="992"/>
        <w:jc w:val="left"/>
        <w:rPr>
          <w:rStyle w:val="Hyperlink"/>
          <w:b w:val="0"/>
          <w:bCs w:val="0"/>
        </w:rPr>
      </w:pPr>
      <w:hyperlink w:anchor="_Toc53576094" w:history="1">
        <w:r w:rsidR="00796E67" w:rsidRPr="00A575DE">
          <w:rPr>
            <w:rStyle w:val="Hyperlink"/>
            <w:b w:val="0"/>
            <w:bCs w:val="0"/>
          </w:rPr>
          <w:t>6.2.2.2.2.</w:t>
        </w:r>
        <w:r w:rsidR="00796E67" w:rsidRPr="00A575DE">
          <w:rPr>
            <w:rStyle w:val="Hyperlink"/>
            <w:b w:val="0"/>
            <w:bCs w:val="0"/>
          </w:rPr>
          <w:tab/>
          <w:t>M2M transmission services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_Toc53576094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254</w:t>
        </w:r>
        <w:r w:rsidR="00796E67" w:rsidRPr="00A575DE">
          <w:rPr>
            <w:rStyle w:val="Hyperlink"/>
            <w:b w:val="0"/>
            <w:bCs w:val="0"/>
            <w:webHidden/>
          </w:rPr>
          <w:fldChar w:fldCharType="end"/>
        </w:r>
      </w:hyperlink>
    </w:p>
    <w:p w14:paraId="51C375E0" w14:textId="65B4876F" w:rsidR="00796E67" w:rsidRPr="00A575DE" w:rsidRDefault="005D478B" w:rsidP="00462AE3">
      <w:pPr>
        <w:pStyle w:val="TOC1"/>
        <w:ind w:left="839" w:right="709" w:hanging="476"/>
        <w:rPr>
          <w:rStyle w:val="Hyperlink"/>
          <w:b w:val="0"/>
          <w:bCs w:val="0"/>
        </w:rPr>
      </w:pPr>
      <w:hyperlink w:anchor="_Toc53576095" w:history="1">
        <w:r w:rsidR="00796E67" w:rsidRPr="00A575DE">
          <w:rPr>
            <w:rStyle w:val="Hyperlink"/>
            <w:b w:val="0"/>
            <w:bCs w:val="0"/>
          </w:rPr>
          <w:t>6.3.</w:t>
        </w:r>
        <w:r w:rsidR="00796E67" w:rsidRPr="00A575DE">
          <w:rPr>
            <w:rStyle w:val="Hyperlink"/>
            <w:b w:val="0"/>
            <w:bCs w:val="0"/>
          </w:rPr>
          <w:tab/>
          <w:t>Assessment of the ECRF</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_Toc53576095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257</w:t>
        </w:r>
        <w:r w:rsidR="00796E67" w:rsidRPr="00A575DE">
          <w:rPr>
            <w:rStyle w:val="Hyperlink"/>
            <w:b w:val="0"/>
            <w:bCs w:val="0"/>
            <w:webHidden/>
          </w:rPr>
          <w:fldChar w:fldCharType="end"/>
        </w:r>
      </w:hyperlink>
    </w:p>
    <w:p w14:paraId="528DFF05" w14:textId="4F0BED70" w:rsidR="00796E67" w:rsidRPr="00A575DE" w:rsidRDefault="005D478B" w:rsidP="00A575DE">
      <w:pPr>
        <w:pStyle w:val="TOC1"/>
        <w:spacing w:line="240" w:lineRule="auto"/>
        <w:jc w:val="right"/>
        <w:rPr>
          <w:rStyle w:val="Hyperlink"/>
        </w:rPr>
      </w:pPr>
      <w:hyperlink w:anchor="_Toc53576096" w:history="1">
        <w:r w:rsidR="00796E67" w:rsidRPr="00B63DDE">
          <w:rPr>
            <w:rStyle w:val="Hyperlink"/>
          </w:rPr>
          <w:t>7.</w:t>
        </w:r>
        <w:r w:rsidR="00796E67" w:rsidRPr="00A575DE">
          <w:rPr>
            <w:rStyle w:val="Hyperlink"/>
          </w:rPr>
          <w:tab/>
        </w:r>
        <w:r w:rsidR="00796E67" w:rsidRPr="00B63DDE">
          <w:rPr>
            <w:rStyle w:val="Hyperlink"/>
          </w:rPr>
          <w:t>Case studies: Cloud computing and the Internet of Things</w:t>
        </w:r>
        <w:r w:rsidR="00796E67" w:rsidRPr="00A575DE">
          <w:rPr>
            <w:rStyle w:val="Hyperlink"/>
            <w:webHidden/>
          </w:rPr>
          <w:tab/>
        </w:r>
        <w:r w:rsidR="00796E67" w:rsidRPr="00A575DE">
          <w:rPr>
            <w:rStyle w:val="Hyperlink"/>
            <w:webHidden/>
          </w:rPr>
          <w:fldChar w:fldCharType="begin"/>
        </w:r>
        <w:r w:rsidR="00796E67" w:rsidRPr="00A575DE">
          <w:rPr>
            <w:rStyle w:val="Hyperlink"/>
            <w:webHidden/>
          </w:rPr>
          <w:instrText xml:space="preserve"> PAGEREF _Toc53576096 \h </w:instrText>
        </w:r>
        <w:r w:rsidR="00796E67" w:rsidRPr="00A575DE">
          <w:rPr>
            <w:rStyle w:val="Hyperlink"/>
            <w:webHidden/>
          </w:rPr>
        </w:r>
        <w:r w:rsidR="00796E67" w:rsidRPr="00A575DE">
          <w:rPr>
            <w:rStyle w:val="Hyperlink"/>
            <w:webHidden/>
          </w:rPr>
          <w:fldChar w:fldCharType="separate"/>
        </w:r>
        <w:r w:rsidR="00796E67" w:rsidRPr="00A575DE">
          <w:rPr>
            <w:rStyle w:val="Hyperlink"/>
            <w:webHidden/>
          </w:rPr>
          <w:t>262</w:t>
        </w:r>
        <w:r w:rsidR="00796E67" w:rsidRPr="00A575DE">
          <w:rPr>
            <w:rStyle w:val="Hyperlink"/>
            <w:webHidden/>
          </w:rPr>
          <w:fldChar w:fldCharType="end"/>
        </w:r>
      </w:hyperlink>
    </w:p>
    <w:p w14:paraId="2C7D4B31" w14:textId="1FE505B2" w:rsidR="00796E67" w:rsidRPr="00A575DE" w:rsidRDefault="005D478B" w:rsidP="00462AE3">
      <w:pPr>
        <w:pStyle w:val="TOC1"/>
        <w:ind w:left="839" w:right="709" w:hanging="476"/>
        <w:rPr>
          <w:rStyle w:val="Hyperlink"/>
          <w:b w:val="0"/>
          <w:bCs w:val="0"/>
        </w:rPr>
      </w:pPr>
      <w:hyperlink w:anchor="_Toc53576097" w:history="1">
        <w:r w:rsidR="00796E67" w:rsidRPr="00A575DE">
          <w:rPr>
            <w:rStyle w:val="Hyperlink"/>
            <w:b w:val="0"/>
            <w:bCs w:val="0"/>
          </w:rPr>
          <w:t>7.1.</w:t>
        </w:r>
        <w:r w:rsidR="00796E67" w:rsidRPr="00A575DE">
          <w:rPr>
            <w:rStyle w:val="Hyperlink"/>
            <w:b w:val="0"/>
            <w:bCs w:val="0"/>
          </w:rPr>
          <w:tab/>
          <w:t>Cloud computing</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_Toc53576097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262</w:t>
        </w:r>
        <w:r w:rsidR="00796E67" w:rsidRPr="00A575DE">
          <w:rPr>
            <w:rStyle w:val="Hyperlink"/>
            <w:b w:val="0"/>
            <w:bCs w:val="0"/>
            <w:webHidden/>
          </w:rPr>
          <w:fldChar w:fldCharType="end"/>
        </w:r>
      </w:hyperlink>
    </w:p>
    <w:p w14:paraId="5DBA719D" w14:textId="2568FDC7" w:rsidR="00796E67" w:rsidRPr="00A575DE" w:rsidRDefault="005D478B" w:rsidP="00462AE3">
      <w:pPr>
        <w:pStyle w:val="TOC1"/>
        <w:ind w:left="1560" w:right="709" w:hanging="709"/>
        <w:rPr>
          <w:rStyle w:val="Hyperlink"/>
          <w:b w:val="0"/>
          <w:bCs w:val="0"/>
        </w:rPr>
      </w:pPr>
      <w:hyperlink w:anchor="_Toc53576098" w:history="1">
        <w:r w:rsidR="00796E67" w:rsidRPr="00A575DE">
          <w:rPr>
            <w:rStyle w:val="Hyperlink"/>
            <w:b w:val="0"/>
            <w:bCs w:val="0"/>
          </w:rPr>
          <w:t>7.1.1.</w:t>
        </w:r>
        <w:r w:rsidR="00796E67" w:rsidRPr="00A575DE">
          <w:rPr>
            <w:rStyle w:val="Hyperlink"/>
            <w:b w:val="0"/>
            <w:bCs w:val="0"/>
          </w:rPr>
          <w:tab/>
          <w:t>Definition, main characteristics and featured models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_Toc53576098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262</w:t>
        </w:r>
        <w:r w:rsidR="00796E67" w:rsidRPr="00A575DE">
          <w:rPr>
            <w:rStyle w:val="Hyperlink"/>
            <w:b w:val="0"/>
            <w:bCs w:val="0"/>
            <w:webHidden/>
          </w:rPr>
          <w:fldChar w:fldCharType="end"/>
        </w:r>
      </w:hyperlink>
    </w:p>
    <w:p w14:paraId="54A57391" w14:textId="2D6287AF" w:rsidR="00796E67" w:rsidRPr="00A575DE" w:rsidRDefault="005D478B" w:rsidP="00462AE3">
      <w:pPr>
        <w:pStyle w:val="TOC1"/>
        <w:ind w:left="1560" w:right="709" w:hanging="709"/>
        <w:rPr>
          <w:rStyle w:val="Hyperlink"/>
          <w:b w:val="0"/>
          <w:bCs w:val="0"/>
        </w:rPr>
      </w:pPr>
      <w:hyperlink w:anchor="_Toc53576099" w:history="1">
        <w:r w:rsidR="00796E67" w:rsidRPr="00A575DE">
          <w:rPr>
            <w:rStyle w:val="Hyperlink"/>
            <w:b w:val="0"/>
            <w:bCs w:val="0"/>
          </w:rPr>
          <w:t>7.1.2.</w:t>
        </w:r>
        <w:r w:rsidR="00796E67" w:rsidRPr="00A575DE">
          <w:rPr>
            <w:rStyle w:val="Hyperlink"/>
            <w:b w:val="0"/>
            <w:bCs w:val="0"/>
          </w:rPr>
          <w:tab/>
          <w:t>Technical and economic underpinnings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_Toc53576099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265</w:t>
        </w:r>
        <w:r w:rsidR="00796E67" w:rsidRPr="00A575DE">
          <w:rPr>
            <w:rStyle w:val="Hyperlink"/>
            <w:b w:val="0"/>
            <w:bCs w:val="0"/>
            <w:webHidden/>
          </w:rPr>
          <w:fldChar w:fldCharType="end"/>
        </w:r>
      </w:hyperlink>
    </w:p>
    <w:p w14:paraId="6A4F7237" w14:textId="26441286" w:rsidR="00796E67" w:rsidRPr="00A575DE" w:rsidRDefault="005D478B" w:rsidP="000F6E77">
      <w:pPr>
        <w:pStyle w:val="TOC1"/>
        <w:ind w:left="2268" w:right="709" w:hanging="760"/>
        <w:rPr>
          <w:rStyle w:val="Hyperlink"/>
          <w:b w:val="0"/>
          <w:bCs w:val="0"/>
        </w:rPr>
      </w:pPr>
      <w:hyperlink w:anchor="_Toc53576100" w:history="1">
        <w:r w:rsidR="00796E67" w:rsidRPr="00A575DE">
          <w:rPr>
            <w:rStyle w:val="Hyperlink"/>
            <w:b w:val="0"/>
            <w:bCs w:val="0"/>
          </w:rPr>
          <w:t>7.1.2.1.</w:t>
        </w:r>
        <w:r w:rsidR="00796E67" w:rsidRPr="00A575DE">
          <w:rPr>
            <w:rStyle w:val="Hyperlink"/>
            <w:b w:val="0"/>
            <w:bCs w:val="0"/>
          </w:rPr>
          <w:tab/>
          <w:t>Cloud layers and components (internal elements)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_Toc53576100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266</w:t>
        </w:r>
        <w:r w:rsidR="00796E67" w:rsidRPr="00A575DE">
          <w:rPr>
            <w:rStyle w:val="Hyperlink"/>
            <w:b w:val="0"/>
            <w:bCs w:val="0"/>
            <w:webHidden/>
          </w:rPr>
          <w:fldChar w:fldCharType="end"/>
        </w:r>
      </w:hyperlink>
    </w:p>
    <w:p w14:paraId="04DDA171" w14:textId="793EDF9F" w:rsidR="00796E67" w:rsidRPr="00A575DE" w:rsidRDefault="005D478B" w:rsidP="000F6E77">
      <w:pPr>
        <w:pStyle w:val="TOC1"/>
        <w:ind w:left="2268" w:right="709" w:hanging="760"/>
        <w:rPr>
          <w:rStyle w:val="Hyperlink"/>
          <w:b w:val="0"/>
          <w:bCs w:val="0"/>
        </w:rPr>
      </w:pPr>
      <w:hyperlink w:anchor="_Toc53576101" w:history="1">
        <w:r w:rsidR="00796E67" w:rsidRPr="00A575DE">
          <w:rPr>
            <w:rStyle w:val="Hyperlink"/>
            <w:b w:val="0"/>
            <w:bCs w:val="0"/>
          </w:rPr>
          <w:t>7.1.2.2.</w:t>
        </w:r>
        <w:r w:rsidR="00796E67" w:rsidRPr="00A575DE">
          <w:rPr>
            <w:rStyle w:val="Hyperlink"/>
            <w:b w:val="0"/>
            <w:bCs w:val="0"/>
          </w:rPr>
          <w:tab/>
          <w:t>Cloud ecosystem with external elements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_Toc53576101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268</w:t>
        </w:r>
        <w:r w:rsidR="00796E67" w:rsidRPr="00A575DE">
          <w:rPr>
            <w:rStyle w:val="Hyperlink"/>
            <w:b w:val="0"/>
            <w:bCs w:val="0"/>
            <w:webHidden/>
          </w:rPr>
          <w:fldChar w:fldCharType="end"/>
        </w:r>
      </w:hyperlink>
    </w:p>
    <w:p w14:paraId="45873063" w14:textId="760B4D18" w:rsidR="00796E67" w:rsidRPr="00A575DE" w:rsidRDefault="005D478B" w:rsidP="000F6E77">
      <w:pPr>
        <w:pStyle w:val="TOC1"/>
        <w:ind w:left="2268" w:right="709" w:hanging="760"/>
        <w:rPr>
          <w:rStyle w:val="Hyperlink"/>
          <w:b w:val="0"/>
          <w:bCs w:val="0"/>
        </w:rPr>
      </w:pPr>
      <w:hyperlink w:anchor="_Toc53576102" w:history="1">
        <w:r w:rsidR="00796E67" w:rsidRPr="00A575DE">
          <w:rPr>
            <w:rStyle w:val="Hyperlink"/>
            <w:b w:val="0"/>
            <w:bCs w:val="0"/>
          </w:rPr>
          <w:t>7.1.2.3.</w:t>
        </w:r>
        <w:r w:rsidR="00796E67" w:rsidRPr="00A575DE">
          <w:rPr>
            <w:rStyle w:val="Hyperlink"/>
            <w:b w:val="0"/>
            <w:bCs w:val="0"/>
          </w:rPr>
          <w:tab/>
          <w:t>The differences and relationship between the organisational (supply) structures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_Toc53576102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272</w:t>
        </w:r>
        <w:r w:rsidR="00796E67" w:rsidRPr="00A575DE">
          <w:rPr>
            <w:rStyle w:val="Hyperlink"/>
            <w:b w:val="0"/>
            <w:bCs w:val="0"/>
            <w:webHidden/>
          </w:rPr>
          <w:fldChar w:fldCharType="end"/>
        </w:r>
      </w:hyperlink>
    </w:p>
    <w:p w14:paraId="6E58129D" w14:textId="3851E6BC" w:rsidR="00796E67" w:rsidRPr="00A575DE" w:rsidRDefault="005D478B" w:rsidP="00462AE3">
      <w:pPr>
        <w:pStyle w:val="TOC1"/>
        <w:ind w:left="1560" w:right="709" w:hanging="709"/>
        <w:rPr>
          <w:rStyle w:val="Hyperlink"/>
          <w:b w:val="0"/>
          <w:bCs w:val="0"/>
        </w:rPr>
      </w:pPr>
      <w:hyperlink w:anchor="_Toc53576103" w:history="1">
        <w:r w:rsidR="00796E67" w:rsidRPr="00A575DE">
          <w:rPr>
            <w:rStyle w:val="Hyperlink"/>
            <w:b w:val="0"/>
            <w:bCs w:val="0"/>
          </w:rPr>
          <w:t>7.1.3.</w:t>
        </w:r>
        <w:r w:rsidR="00796E67" w:rsidRPr="00A575DE">
          <w:rPr>
            <w:rStyle w:val="Hyperlink"/>
            <w:b w:val="0"/>
            <w:bCs w:val="0"/>
          </w:rPr>
          <w:tab/>
          <w:t>Interoperability debate in the cloud context</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_Toc53576103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275</w:t>
        </w:r>
        <w:r w:rsidR="00796E67" w:rsidRPr="00A575DE">
          <w:rPr>
            <w:rStyle w:val="Hyperlink"/>
            <w:b w:val="0"/>
            <w:bCs w:val="0"/>
            <w:webHidden/>
          </w:rPr>
          <w:fldChar w:fldCharType="end"/>
        </w:r>
      </w:hyperlink>
    </w:p>
    <w:p w14:paraId="43CF0A45" w14:textId="53DD9952" w:rsidR="00796E67" w:rsidRPr="00A575DE" w:rsidRDefault="005D478B" w:rsidP="000F6E77">
      <w:pPr>
        <w:pStyle w:val="TOC1"/>
        <w:ind w:left="2268" w:right="709" w:hanging="760"/>
        <w:rPr>
          <w:rStyle w:val="Hyperlink"/>
          <w:b w:val="0"/>
          <w:bCs w:val="0"/>
        </w:rPr>
      </w:pPr>
      <w:hyperlink w:anchor="_Toc53576104" w:history="1">
        <w:r w:rsidR="00796E67" w:rsidRPr="00A575DE">
          <w:rPr>
            <w:rStyle w:val="Hyperlink"/>
            <w:b w:val="0"/>
            <w:bCs w:val="0"/>
          </w:rPr>
          <w:t>7.1.3.1.</w:t>
        </w:r>
        <w:r w:rsidR="00796E67" w:rsidRPr="00A575DE">
          <w:rPr>
            <w:rStyle w:val="Hyperlink"/>
            <w:b w:val="0"/>
            <w:bCs w:val="0"/>
          </w:rPr>
          <w:tab/>
          <w:t>Interoperability in the cloud environment</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_Toc53576104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277</w:t>
        </w:r>
        <w:r w:rsidR="00796E67" w:rsidRPr="00A575DE">
          <w:rPr>
            <w:rStyle w:val="Hyperlink"/>
            <w:b w:val="0"/>
            <w:bCs w:val="0"/>
            <w:webHidden/>
          </w:rPr>
          <w:fldChar w:fldCharType="end"/>
        </w:r>
      </w:hyperlink>
    </w:p>
    <w:p w14:paraId="78C9CF02" w14:textId="2BDD77DB" w:rsidR="00796E67" w:rsidRPr="00A575DE" w:rsidRDefault="005D478B" w:rsidP="000F6E77">
      <w:pPr>
        <w:pStyle w:val="TOC1"/>
        <w:ind w:left="2268" w:right="709" w:hanging="760"/>
        <w:rPr>
          <w:rStyle w:val="Hyperlink"/>
          <w:b w:val="0"/>
          <w:bCs w:val="0"/>
        </w:rPr>
      </w:pPr>
      <w:hyperlink w:anchor="_Toc53576105" w:history="1">
        <w:r w:rsidR="00796E67" w:rsidRPr="00A575DE">
          <w:rPr>
            <w:rStyle w:val="Hyperlink"/>
            <w:b w:val="0"/>
            <w:bCs w:val="0"/>
          </w:rPr>
          <w:t>7.1.3.2.</w:t>
        </w:r>
        <w:r w:rsidR="00796E67" w:rsidRPr="00A575DE">
          <w:rPr>
            <w:rStyle w:val="Hyperlink"/>
            <w:b w:val="0"/>
            <w:bCs w:val="0"/>
          </w:rPr>
          <w:tab/>
          <w:t>Interoperability in the cloud ecosystem</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_Toc53576105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281</w:t>
        </w:r>
        <w:r w:rsidR="00796E67" w:rsidRPr="00A575DE">
          <w:rPr>
            <w:rStyle w:val="Hyperlink"/>
            <w:b w:val="0"/>
            <w:bCs w:val="0"/>
            <w:webHidden/>
          </w:rPr>
          <w:fldChar w:fldCharType="end"/>
        </w:r>
      </w:hyperlink>
    </w:p>
    <w:p w14:paraId="711766AD" w14:textId="3210649A" w:rsidR="00796E67" w:rsidRPr="00A575DE" w:rsidRDefault="005D478B" w:rsidP="00462AE3">
      <w:pPr>
        <w:pStyle w:val="TOC1"/>
        <w:ind w:left="1560" w:right="709" w:hanging="709"/>
        <w:rPr>
          <w:rStyle w:val="Hyperlink"/>
          <w:b w:val="0"/>
          <w:bCs w:val="0"/>
        </w:rPr>
      </w:pPr>
      <w:hyperlink w:anchor="_Toc53576106" w:history="1">
        <w:r w:rsidR="00796E67" w:rsidRPr="00A575DE">
          <w:rPr>
            <w:rStyle w:val="Hyperlink"/>
            <w:b w:val="0"/>
            <w:bCs w:val="0"/>
          </w:rPr>
          <w:t>7.1.4.</w:t>
        </w:r>
        <w:r w:rsidR="00796E67" w:rsidRPr="00A575DE">
          <w:rPr>
            <w:rStyle w:val="Hyperlink"/>
            <w:b w:val="0"/>
            <w:bCs w:val="0"/>
          </w:rPr>
          <w:tab/>
          <w:t>Analysis of cloud settings under the EU legal framework</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_Toc53576106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285</w:t>
        </w:r>
        <w:r w:rsidR="00796E67" w:rsidRPr="00A575DE">
          <w:rPr>
            <w:rStyle w:val="Hyperlink"/>
            <w:b w:val="0"/>
            <w:bCs w:val="0"/>
            <w:webHidden/>
          </w:rPr>
          <w:fldChar w:fldCharType="end"/>
        </w:r>
      </w:hyperlink>
    </w:p>
    <w:p w14:paraId="29CAEADE" w14:textId="60A742DA" w:rsidR="00796E67" w:rsidRPr="00A575DE" w:rsidRDefault="005D478B" w:rsidP="00B63DDE">
      <w:pPr>
        <w:pStyle w:val="TOC1"/>
        <w:ind w:left="839" w:right="709" w:hanging="476"/>
        <w:rPr>
          <w:rStyle w:val="Hyperlink"/>
          <w:b w:val="0"/>
          <w:bCs w:val="0"/>
        </w:rPr>
      </w:pPr>
      <w:hyperlink w:anchor="_Toc53576107" w:history="1">
        <w:r w:rsidR="00796E67" w:rsidRPr="00A575DE">
          <w:rPr>
            <w:rStyle w:val="Hyperlink"/>
            <w:b w:val="0"/>
            <w:bCs w:val="0"/>
          </w:rPr>
          <w:t>7.2.</w:t>
        </w:r>
        <w:r w:rsidR="00796E67" w:rsidRPr="00A575DE">
          <w:rPr>
            <w:rStyle w:val="Hyperlink"/>
            <w:b w:val="0"/>
            <w:bCs w:val="0"/>
          </w:rPr>
          <w:tab/>
          <w:t>The Internet of Things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_Toc53576107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288</w:t>
        </w:r>
        <w:r w:rsidR="00796E67" w:rsidRPr="00A575DE">
          <w:rPr>
            <w:rStyle w:val="Hyperlink"/>
            <w:b w:val="0"/>
            <w:bCs w:val="0"/>
            <w:webHidden/>
          </w:rPr>
          <w:fldChar w:fldCharType="end"/>
        </w:r>
      </w:hyperlink>
    </w:p>
    <w:p w14:paraId="68A10F67" w14:textId="46DA27E4" w:rsidR="00796E67" w:rsidRPr="00A575DE" w:rsidRDefault="005D478B" w:rsidP="00462AE3">
      <w:pPr>
        <w:pStyle w:val="TOC1"/>
        <w:ind w:left="1560" w:right="709" w:hanging="709"/>
        <w:rPr>
          <w:rStyle w:val="Hyperlink"/>
          <w:b w:val="0"/>
          <w:bCs w:val="0"/>
        </w:rPr>
      </w:pPr>
      <w:hyperlink w:anchor="_Toc53576108" w:history="1">
        <w:r w:rsidR="00796E67" w:rsidRPr="00A575DE">
          <w:rPr>
            <w:rStyle w:val="Hyperlink"/>
            <w:b w:val="0"/>
            <w:bCs w:val="0"/>
          </w:rPr>
          <w:t>7.2.1.</w:t>
        </w:r>
        <w:r w:rsidR="00796E67" w:rsidRPr="00A575DE">
          <w:rPr>
            <w:rStyle w:val="Hyperlink"/>
            <w:b w:val="0"/>
            <w:bCs w:val="0"/>
          </w:rPr>
          <w:tab/>
          <w:t>General Overview</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_Toc53576108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288</w:t>
        </w:r>
        <w:r w:rsidR="00796E67" w:rsidRPr="00A575DE">
          <w:rPr>
            <w:rStyle w:val="Hyperlink"/>
            <w:b w:val="0"/>
            <w:bCs w:val="0"/>
            <w:webHidden/>
          </w:rPr>
          <w:fldChar w:fldCharType="end"/>
        </w:r>
      </w:hyperlink>
    </w:p>
    <w:p w14:paraId="05D8CA92" w14:textId="798132EC" w:rsidR="00796E67" w:rsidRPr="00A575DE" w:rsidRDefault="005D478B" w:rsidP="00462AE3">
      <w:pPr>
        <w:pStyle w:val="TOC1"/>
        <w:ind w:left="1560" w:right="709" w:hanging="709"/>
        <w:rPr>
          <w:rStyle w:val="Hyperlink"/>
          <w:b w:val="0"/>
          <w:bCs w:val="0"/>
        </w:rPr>
      </w:pPr>
      <w:hyperlink w:anchor="_Toc53576109" w:history="1">
        <w:r w:rsidR="00796E67" w:rsidRPr="00A575DE">
          <w:rPr>
            <w:rStyle w:val="Hyperlink"/>
            <w:b w:val="0"/>
            <w:bCs w:val="0"/>
          </w:rPr>
          <w:t>7.2.2.</w:t>
        </w:r>
        <w:r w:rsidR="00796E67" w:rsidRPr="00A575DE">
          <w:rPr>
            <w:rStyle w:val="Hyperlink"/>
            <w:b w:val="0"/>
            <w:bCs w:val="0"/>
          </w:rPr>
          <w:tab/>
          <w:t>Technical and economic underpinnings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_Toc53576109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291</w:t>
        </w:r>
        <w:r w:rsidR="00796E67" w:rsidRPr="00A575DE">
          <w:rPr>
            <w:rStyle w:val="Hyperlink"/>
            <w:b w:val="0"/>
            <w:bCs w:val="0"/>
            <w:webHidden/>
          </w:rPr>
          <w:fldChar w:fldCharType="end"/>
        </w:r>
      </w:hyperlink>
    </w:p>
    <w:p w14:paraId="68E008F2" w14:textId="17A433F6" w:rsidR="00796E67" w:rsidRPr="00A575DE" w:rsidRDefault="005D478B" w:rsidP="00462AE3">
      <w:pPr>
        <w:pStyle w:val="TOC1"/>
        <w:ind w:left="1560" w:right="709" w:hanging="709"/>
        <w:rPr>
          <w:rStyle w:val="Hyperlink"/>
          <w:b w:val="0"/>
          <w:bCs w:val="0"/>
        </w:rPr>
      </w:pPr>
      <w:hyperlink w:anchor="_Toc53576110" w:history="1">
        <w:r w:rsidR="00796E67" w:rsidRPr="00A575DE">
          <w:rPr>
            <w:rStyle w:val="Hyperlink"/>
            <w:b w:val="0"/>
            <w:bCs w:val="0"/>
          </w:rPr>
          <w:t>7.2.3.</w:t>
        </w:r>
        <w:r w:rsidR="00796E67" w:rsidRPr="00A575DE">
          <w:rPr>
            <w:rStyle w:val="Hyperlink"/>
            <w:b w:val="0"/>
            <w:bCs w:val="0"/>
          </w:rPr>
          <w:tab/>
          <w:t>Architectural elements and layers in IoT</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_Toc53576110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292</w:t>
        </w:r>
        <w:r w:rsidR="00796E67" w:rsidRPr="00A575DE">
          <w:rPr>
            <w:rStyle w:val="Hyperlink"/>
            <w:b w:val="0"/>
            <w:bCs w:val="0"/>
            <w:webHidden/>
          </w:rPr>
          <w:fldChar w:fldCharType="end"/>
        </w:r>
      </w:hyperlink>
    </w:p>
    <w:p w14:paraId="75C417CF" w14:textId="56E37AAD" w:rsidR="00796E67" w:rsidRPr="00A575DE" w:rsidRDefault="005D478B" w:rsidP="00462AE3">
      <w:pPr>
        <w:pStyle w:val="TOC1"/>
        <w:ind w:left="1560" w:right="709" w:hanging="709"/>
        <w:rPr>
          <w:rStyle w:val="Hyperlink"/>
          <w:b w:val="0"/>
          <w:bCs w:val="0"/>
        </w:rPr>
      </w:pPr>
      <w:hyperlink w:anchor="_Toc53576111" w:history="1">
        <w:r w:rsidR="00796E67" w:rsidRPr="00A575DE">
          <w:rPr>
            <w:rStyle w:val="Hyperlink"/>
            <w:b w:val="0"/>
            <w:bCs w:val="0"/>
          </w:rPr>
          <w:t>7.2.4.</w:t>
        </w:r>
        <w:r w:rsidR="00796E67" w:rsidRPr="00A575DE">
          <w:rPr>
            <w:rStyle w:val="Hyperlink"/>
            <w:b w:val="0"/>
            <w:bCs w:val="0"/>
          </w:rPr>
          <w:tab/>
          <w:t>Interoperability debate in the IoT context</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_Toc53576111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299</w:t>
        </w:r>
        <w:r w:rsidR="00796E67" w:rsidRPr="00A575DE">
          <w:rPr>
            <w:rStyle w:val="Hyperlink"/>
            <w:b w:val="0"/>
            <w:bCs w:val="0"/>
            <w:webHidden/>
          </w:rPr>
          <w:fldChar w:fldCharType="end"/>
        </w:r>
      </w:hyperlink>
    </w:p>
    <w:p w14:paraId="7ED24F9D" w14:textId="492CDA20" w:rsidR="00796E67" w:rsidRPr="00A575DE" w:rsidRDefault="005D478B" w:rsidP="000F6E77">
      <w:pPr>
        <w:pStyle w:val="TOC1"/>
        <w:ind w:left="2268" w:right="709" w:hanging="760"/>
        <w:rPr>
          <w:rStyle w:val="Hyperlink"/>
          <w:b w:val="0"/>
          <w:bCs w:val="0"/>
        </w:rPr>
      </w:pPr>
      <w:hyperlink w:anchor="_Toc53576112" w:history="1">
        <w:r w:rsidR="00796E67" w:rsidRPr="00A575DE">
          <w:rPr>
            <w:rStyle w:val="Hyperlink"/>
            <w:b w:val="0"/>
            <w:bCs w:val="0"/>
          </w:rPr>
          <w:t>7.2.4.1.</w:t>
        </w:r>
        <w:r w:rsidR="00796E67" w:rsidRPr="00A575DE">
          <w:rPr>
            <w:rStyle w:val="Hyperlink"/>
            <w:b w:val="0"/>
            <w:bCs w:val="0"/>
          </w:rPr>
          <w:tab/>
          <w:t>IoT interoperability in general: Overview of different settings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_Toc53576112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299</w:t>
        </w:r>
        <w:r w:rsidR="00796E67" w:rsidRPr="00A575DE">
          <w:rPr>
            <w:rStyle w:val="Hyperlink"/>
            <w:b w:val="0"/>
            <w:bCs w:val="0"/>
            <w:webHidden/>
          </w:rPr>
          <w:fldChar w:fldCharType="end"/>
        </w:r>
      </w:hyperlink>
    </w:p>
    <w:p w14:paraId="65453E22" w14:textId="0F6664E1" w:rsidR="00796E67" w:rsidRPr="00A575DE" w:rsidRDefault="005D478B" w:rsidP="000F6E77">
      <w:pPr>
        <w:pStyle w:val="TOC1"/>
        <w:ind w:left="2268" w:right="709" w:hanging="760"/>
        <w:rPr>
          <w:rStyle w:val="Hyperlink"/>
          <w:b w:val="0"/>
          <w:bCs w:val="0"/>
        </w:rPr>
      </w:pPr>
      <w:hyperlink w:anchor="_Toc53576113" w:history="1">
        <w:r w:rsidR="00796E67" w:rsidRPr="00A575DE">
          <w:rPr>
            <w:rStyle w:val="Hyperlink"/>
            <w:b w:val="0"/>
            <w:bCs w:val="0"/>
          </w:rPr>
          <w:t>7.2.4.2.</w:t>
        </w:r>
        <w:r w:rsidR="00796E67" w:rsidRPr="00A575DE">
          <w:rPr>
            <w:rStyle w:val="Hyperlink"/>
            <w:b w:val="0"/>
            <w:bCs w:val="0"/>
          </w:rPr>
          <w:tab/>
          <w:t>Interoperability in the IoT ecosystems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_Toc53576113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302</w:t>
        </w:r>
        <w:r w:rsidR="00796E67" w:rsidRPr="00A575DE">
          <w:rPr>
            <w:rStyle w:val="Hyperlink"/>
            <w:b w:val="0"/>
            <w:bCs w:val="0"/>
            <w:webHidden/>
          </w:rPr>
          <w:fldChar w:fldCharType="end"/>
        </w:r>
      </w:hyperlink>
    </w:p>
    <w:p w14:paraId="2C6D812F" w14:textId="292C73FD" w:rsidR="00796E67" w:rsidRPr="00A575DE" w:rsidRDefault="005D478B" w:rsidP="000F6E77">
      <w:pPr>
        <w:pStyle w:val="TOC1"/>
        <w:ind w:left="2268" w:right="709" w:hanging="760"/>
        <w:rPr>
          <w:rStyle w:val="Hyperlink"/>
          <w:b w:val="0"/>
          <w:bCs w:val="0"/>
        </w:rPr>
      </w:pPr>
      <w:hyperlink w:anchor="_Toc53576114" w:history="1">
        <w:r w:rsidR="00796E67" w:rsidRPr="00A575DE">
          <w:rPr>
            <w:rStyle w:val="Hyperlink"/>
            <w:b w:val="0"/>
            <w:bCs w:val="0"/>
          </w:rPr>
          <w:t>7.2.4.3.</w:t>
        </w:r>
        <w:r w:rsidR="00796E67" w:rsidRPr="00A575DE">
          <w:rPr>
            <w:rStyle w:val="Hyperlink"/>
            <w:b w:val="0"/>
            <w:bCs w:val="0"/>
          </w:rPr>
          <w:tab/>
          <w:t>Analysis of interoperability related problems from the ecosystem perspective</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_Toc53576114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305</w:t>
        </w:r>
        <w:r w:rsidR="00796E67" w:rsidRPr="00A575DE">
          <w:rPr>
            <w:rStyle w:val="Hyperlink"/>
            <w:b w:val="0"/>
            <w:bCs w:val="0"/>
            <w:webHidden/>
          </w:rPr>
          <w:fldChar w:fldCharType="end"/>
        </w:r>
      </w:hyperlink>
    </w:p>
    <w:p w14:paraId="0001B1F5" w14:textId="3C5DBD54" w:rsidR="00796E67" w:rsidRPr="00A575DE" w:rsidRDefault="005D478B" w:rsidP="000F6E77">
      <w:pPr>
        <w:pStyle w:val="TOC1"/>
        <w:ind w:left="1560" w:right="709" w:hanging="709"/>
        <w:rPr>
          <w:rStyle w:val="Hyperlink"/>
          <w:b w:val="0"/>
          <w:bCs w:val="0"/>
        </w:rPr>
      </w:pPr>
      <w:hyperlink w:anchor="_Toc53576115" w:history="1">
        <w:r w:rsidR="00796E67" w:rsidRPr="00A575DE">
          <w:rPr>
            <w:rStyle w:val="Hyperlink"/>
            <w:b w:val="0"/>
            <w:bCs w:val="0"/>
          </w:rPr>
          <w:t>7.2.5.</w:t>
        </w:r>
        <w:r w:rsidR="00796E67" w:rsidRPr="00A575DE">
          <w:rPr>
            <w:rStyle w:val="Hyperlink"/>
            <w:b w:val="0"/>
            <w:bCs w:val="0"/>
          </w:rPr>
          <w:tab/>
          <w:t>Analysis of the IoT settings under the EU legal framework</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_Toc53576115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310</w:t>
        </w:r>
        <w:r w:rsidR="00796E67" w:rsidRPr="00A575DE">
          <w:rPr>
            <w:rStyle w:val="Hyperlink"/>
            <w:b w:val="0"/>
            <w:bCs w:val="0"/>
            <w:webHidden/>
          </w:rPr>
          <w:fldChar w:fldCharType="end"/>
        </w:r>
      </w:hyperlink>
    </w:p>
    <w:p w14:paraId="5C14BB3A" w14:textId="1BE5245C" w:rsidR="00796E67" w:rsidRPr="00B63DDE" w:rsidRDefault="005D478B" w:rsidP="00B63DDE">
      <w:pPr>
        <w:pStyle w:val="TOC1"/>
        <w:ind w:right="709"/>
        <w:jc w:val="left"/>
        <w:rPr>
          <w:rStyle w:val="Hyperlink"/>
        </w:rPr>
      </w:pPr>
      <w:hyperlink w:anchor="_Toc53576116" w:history="1">
        <w:r w:rsidR="00796E67" w:rsidRPr="00B63DDE">
          <w:rPr>
            <w:rStyle w:val="Hyperlink"/>
          </w:rPr>
          <w:t>8.</w:t>
        </w:r>
        <w:r w:rsidR="00796E67" w:rsidRPr="00B63DDE">
          <w:rPr>
            <w:rStyle w:val="Hyperlink"/>
          </w:rPr>
          <w:tab/>
          <w:t>Conclusion: Building up the appropriate policy approach and regulatory model</w:t>
        </w:r>
        <w:r w:rsidR="00796E67" w:rsidRPr="00B63DDE">
          <w:rPr>
            <w:rStyle w:val="Hyperlink"/>
            <w:webHidden/>
          </w:rPr>
          <w:tab/>
        </w:r>
        <w:r w:rsidR="00796E67" w:rsidRPr="00B63DDE">
          <w:rPr>
            <w:rStyle w:val="Hyperlink"/>
            <w:webHidden/>
          </w:rPr>
          <w:fldChar w:fldCharType="begin"/>
        </w:r>
        <w:r w:rsidR="00796E67" w:rsidRPr="00B63DDE">
          <w:rPr>
            <w:rStyle w:val="Hyperlink"/>
            <w:webHidden/>
          </w:rPr>
          <w:instrText xml:space="preserve"> PAGEREF _Toc53576116 \h </w:instrText>
        </w:r>
        <w:r w:rsidR="00796E67" w:rsidRPr="00B63DDE">
          <w:rPr>
            <w:rStyle w:val="Hyperlink"/>
            <w:webHidden/>
          </w:rPr>
        </w:r>
        <w:r w:rsidR="00796E67" w:rsidRPr="00B63DDE">
          <w:rPr>
            <w:rStyle w:val="Hyperlink"/>
            <w:webHidden/>
          </w:rPr>
          <w:fldChar w:fldCharType="separate"/>
        </w:r>
        <w:r w:rsidR="00796E67" w:rsidRPr="00B63DDE">
          <w:rPr>
            <w:rStyle w:val="Hyperlink"/>
            <w:webHidden/>
          </w:rPr>
          <w:t>315</w:t>
        </w:r>
        <w:r w:rsidR="00796E67" w:rsidRPr="00B63DDE">
          <w:rPr>
            <w:rStyle w:val="Hyperlink"/>
            <w:webHidden/>
          </w:rPr>
          <w:fldChar w:fldCharType="end"/>
        </w:r>
      </w:hyperlink>
    </w:p>
    <w:p w14:paraId="225F74E5" w14:textId="46902DAF" w:rsidR="00796E67" w:rsidRPr="00A575DE" w:rsidRDefault="005D478B" w:rsidP="00462AE3">
      <w:pPr>
        <w:pStyle w:val="TOC1"/>
        <w:ind w:left="839" w:right="709" w:hanging="476"/>
        <w:rPr>
          <w:rStyle w:val="Hyperlink"/>
          <w:b w:val="0"/>
          <w:bCs w:val="0"/>
        </w:rPr>
      </w:pPr>
      <w:hyperlink w:anchor="_Toc53576117" w:history="1">
        <w:r w:rsidR="00796E67" w:rsidRPr="00A575DE">
          <w:rPr>
            <w:rStyle w:val="Hyperlink"/>
            <w:b w:val="0"/>
            <w:bCs w:val="0"/>
          </w:rPr>
          <w:t>8.1.</w:t>
        </w:r>
        <w:r w:rsidR="00796E67" w:rsidRPr="00A575DE">
          <w:rPr>
            <w:rStyle w:val="Hyperlink"/>
            <w:b w:val="0"/>
            <w:bCs w:val="0"/>
          </w:rPr>
          <w:tab/>
          <w:t>Summary of the findings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_Toc53576117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315</w:t>
        </w:r>
        <w:r w:rsidR="00796E67" w:rsidRPr="00A575DE">
          <w:rPr>
            <w:rStyle w:val="Hyperlink"/>
            <w:b w:val="0"/>
            <w:bCs w:val="0"/>
            <w:webHidden/>
          </w:rPr>
          <w:fldChar w:fldCharType="end"/>
        </w:r>
      </w:hyperlink>
    </w:p>
    <w:p w14:paraId="431427D8" w14:textId="0393E4AC" w:rsidR="00796E67" w:rsidRPr="00A575DE" w:rsidRDefault="005D478B" w:rsidP="000F6E77">
      <w:pPr>
        <w:pStyle w:val="TOC1"/>
        <w:ind w:left="1560" w:right="709" w:hanging="709"/>
        <w:rPr>
          <w:rStyle w:val="Hyperlink"/>
          <w:b w:val="0"/>
          <w:bCs w:val="0"/>
        </w:rPr>
      </w:pPr>
      <w:hyperlink w:anchor="_Toc53576118" w:history="1">
        <w:r w:rsidR="00796E67" w:rsidRPr="00A575DE">
          <w:rPr>
            <w:rStyle w:val="Hyperlink"/>
            <w:b w:val="0"/>
            <w:bCs w:val="0"/>
          </w:rPr>
          <w:t>8.1.1.</w:t>
        </w:r>
        <w:r w:rsidR="00796E67" w:rsidRPr="00A575DE">
          <w:rPr>
            <w:rStyle w:val="Hyperlink"/>
            <w:b w:val="0"/>
            <w:bCs w:val="0"/>
          </w:rPr>
          <w:tab/>
          <w:t>Assessment of the EU legal framework</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_Toc53576118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315</w:t>
        </w:r>
        <w:r w:rsidR="00796E67" w:rsidRPr="00A575DE">
          <w:rPr>
            <w:rStyle w:val="Hyperlink"/>
            <w:b w:val="0"/>
            <w:bCs w:val="0"/>
            <w:webHidden/>
          </w:rPr>
          <w:fldChar w:fldCharType="end"/>
        </w:r>
      </w:hyperlink>
    </w:p>
    <w:p w14:paraId="77495B36" w14:textId="10CFB235" w:rsidR="00796E67" w:rsidRPr="00A575DE" w:rsidRDefault="005D478B" w:rsidP="000F6E77">
      <w:pPr>
        <w:pStyle w:val="TOC1"/>
        <w:ind w:left="1560" w:right="709" w:hanging="709"/>
        <w:rPr>
          <w:rStyle w:val="Hyperlink"/>
          <w:b w:val="0"/>
          <w:bCs w:val="0"/>
        </w:rPr>
      </w:pPr>
      <w:hyperlink w:anchor="_Toc53576119" w:history="1">
        <w:r w:rsidR="00796E67" w:rsidRPr="00A575DE">
          <w:rPr>
            <w:rStyle w:val="Hyperlink"/>
            <w:b w:val="0"/>
            <w:bCs w:val="0"/>
          </w:rPr>
          <w:t>8.1.2.</w:t>
        </w:r>
        <w:r w:rsidR="00796E67" w:rsidRPr="00A575DE">
          <w:rPr>
            <w:rStyle w:val="Hyperlink"/>
            <w:b w:val="0"/>
            <w:bCs w:val="0"/>
          </w:rPr>
          <w:tab/>
          <w:t>Assessment through the lens of case studies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_Toc53576119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320</w:t>
        </w:r>
        <w:r w:rsidR="00796E67" w:rsidRPr="00A575DE">
          <w:rPr>
            <w:rStyle w:val="Hyperlink"/>
            <w:b w:val="0"/>
            <w:bCs w:val="0"/>
            <w:webHidden/>
          </w:rPr>
          <w:fldChar w:fldCharType="end"/>
        </w:r>
      </w:hyperlink>
    </w:p>
    <w:p w14:paraId="543D2D56" w14:textId="503E241F" w:rsidR="00796E67" w:rsidRPr="00A575DE" w:rsidRDefault="005D478B" w:rsidP="00462AE3">
      <w:pPr>
        <w:pStyle w:val="TOC1"/>
        <w:ind w:left="839" w:right="709" w:hanging="476"/>
        <w:rPr>
          <w:rStyle w:val="Hyperlink"/>
          <w:b w:val="0"/>
          <w:bCs w:val="0"/>
        </w:rPr>
      </w:pPr>
      <w:hyperlink w:anchor="_Toc53576120" w:history="1">
        <w:r w:rsidR="00796E67" w:rsidRPr="00A575DE">
          <w:rPr>
            <w:rStyle w:val="Hyperlink"/>
            <w:b w:val="0"/>
            <w:bCs w:val="0"/>
          </w:rPr>
          <w:t>8.2.</w:t>
        </w:r>
        <w:r w:rsidR="00796E67" w:rsidRPr="00A575DE">
          <w:rPr>
            <w:rStyle w:val="Hyperlink"/>
            <w:b w:val="0"/>
            <w:bCs w:val="0"/>
          </w:rPr>
          <w:tab/>
          <w:t>Policy refinement and elaboration for the EU legal framework</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_Toc53576120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325</w:t>
        </w:r>
        <w:r w:rsidR="00796E67" w:rsidRPr="00A575DE">
          <w:rPr>
            <w:rStyle w:val="Hyperlink"/>
            <w:b w:val="0"/>
            <w:bCs w:val="0"/>
            <w:webHidden/>
          </w:rPr>
          <w:fldChar w:fldCharType="end"/>
        </w:r>
      </w:hyperlink>
    </w:p>
    <w:p w14:paraId="4A012CDC" w14:textId="742E42D3" w:rsidR="00796E67" w:rsidRPr="00A575DE" w:rsidRDefault="005D478B" w:rsidP="000F6E77">
      <w:pPr>
        <w:pStyle w:val="TOC1"/>
        <w:ind w:left="1560" w:right="709" w:hanging="709"/>
        <w:rPr>
          <w:rStyle w:val="Hyperlink"/>
          <w:b w:val="0"/>
          <w:bCs w:val="0"/>
        </w:rPr>
      </w:pPr>
      <w:hyperlink w:anchor="_Toc53576121" w:history="1">
        <w:r w:rsidR="00796E67" w:rsidRPr="00A575DE">
          <w:rPr>
            <w:rStyle w:val="Hyperlink"/>
            <w:b w:val="0"/>
            <w:bCs w:val="0"/>
          </w:rPr>
          <w:t>8.2.1.</w:t>
        </w:r>
        <w:r w:rsidR="00796E67" w:rsidRPr="00A575DE">
          <w:rPr>
            <w:rStyle w:val="Hyperlink"/>
            <w:b w:val="0"/>
            <w:bCs w:val="0"/>
          </w:rPr>
          <w:tab/>
          <w:t>Refining the assessments: Setting out the baseline policy approach</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_Toc53576121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325</w:t>
        </w:r>
        <w:r w:rsidR="00796E67" w:rsidRPr="00A575DE">
          <w:rPr>
            <w:rStyle w:val="Hyperlink"/>
            <w:b w:val="0"/>
            <w:bCs w:val="0"/>
            <w:webHidden/>
          </w:rPr>
          <w:fldChar w:fldCharType="end"/>
        </w:r>
      </w:hyperlink>
    </w:p>
    <w:p w14:paraId="2A22CDFD" w14:textId="1D6012CF" w:rsidR="00796E67" w:rsidRPr="00A575DE" w:rsidRDefault="005D478B" w:rsidP="000F6E77">
      <w:pPr>
        <w:pStyle w:val="TOC1"/>
        <w:ind w:left="1560" w:right="709" w:hanging="709"/>
        <w:rPr>
          <w:rStyle w:val="Hyperlink"/>
          <w:b w:val="0"/>
          <w:bCs w:val="0"/>
        </w:rPr>
      </w:pPr>
      <w:hyperlink w:anchor="_Toc53576122" w:history="1">
        <w:r w:rsidR="00796E67" w:rsidRPr="00A575DE">
          <w:rPr>
            <w:rStyle w:val="Hyperlink"/>
            <w:b w:val="0"/>
            <w:bCs w:val="0"/>
          </w:rPr>
          <w:t>8.2.2.</w:t>
        </w:r>
        <w:r w:rsidR="00796E67" w:rsidRPr="00A575DE">
          <w:rPr>
            <w:rStyle w:val="Hyperlink"/>
            <w:b w:val="0"/>
            <w:bCs w:val="0"/>
          </w:rPr>
          <w:tab/>
          <w:t>Policy choices between ex ante and ex post</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_Toc53576122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327</w:t>
        </w:r>
        <w:r w:rsidR="00796E67" w:rsidRPr="00A575DE">
          <w:rPr>
            <w:rStyle w:val="Hyperlink"/>
            <w:b w:val="0"/>
            <w:bCs w:val="0"/>
            <w:webHidden/>
          </w:rPr>
          <w:fldChar w:fldCharType="end"/>
        </w:r>
      </w:hyperlink>
    </w:p>
    <w:p w14:paraId="14452320" w14:textId="78EF6A9E" w:rsidR="00796E67" w:rsidRPr="00A575DE" w:rsidRDefault="005D478B" w:rsidP="00462AE3">
      <w:pPr>
        <w:pStyle w:val="TOC1"/>
        <w:ind w:left="839" w:right="709" w:hanging="476"/>
        <w:rPr>
          <w:rStyle w:val="Hyperlink"/>
          <w:b w:val="0"/>
          <w:bCs w:val="0"/>
        </w:rPr>
      </w:pPr>
      <w:hyperlink w:anchor="_Toc53576123" w:history="1">
        <w:r w:rsidR="00796E67" w:rsidRPr="00A575DE">
          <w:rPr>
            <w:rStyle w:val="Hyperlink"/>
            <w:b w:val="0"/>
            <w:bCs w:val="0"/>
          </w:rPr>
          <w:t>8.3.</w:t>
        </w:r>
        <w:r w:rsidR="00796E67" w:rsidRPr="00A575DE">
          <w:rPr>
            <w:rStyle w:val="Hyperlink"/>
            <w:b w:val="0"/>
            <w:bCs w:val="0"/>
          </w:rPr>
          <w:tab/>
          <w:t>Layering theory and regulatory implications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_Toc53576123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331</w:t>
        </w:r>
        <w:r w:rsidR="00796E67" w:rsidRPr="00A575DE">
          <w:rPr>
            <w:rStyle w:val="Hyperlink"/>
            <w:b w:val="0"/>
            <w:bCs w:val="0"/>
            <w:webHidden/>
          </w:rPr>
          <w:fldChar w:fldCharType="end"/>
        </w:r>
      </w:hyperlink>
    </w:p>
    <w:p w14:paraId="3B614FA7" w14:textId="6F7974F3" w:rsidR="00796E67" w:rsidRPr="00A575DE" w:rsidRDefault="005D478B" w:rsidP="000F6E77">
      <w:pPr>
        <w:pStyle w:val="TOC1"/>
        <w:ind w:left="1560" w:right="709" w:hanging="709"/>
        <w:rPr>
          <w:rStyle w:val="Hyperlink"/>
          <w:b w:val="0"/>
          <w:bCs w:val="0"/>
        </w:rPr>
      </w:pPr>
      <w:hyperlink w:anchor="_Toc53576124" w:history="1">
        <w:r w:rsidR="00796E67" w:rsidRPr="00A575DE">
          <w:rPr>
            <w:rStyle w:val="Hyperlink"/>
            <w:b w:val="0"/>
            <w:bCs w:val="0"/>
          </w:rPr>
          <w:t>8.3.1.</w:t>
        </w:r>
        <w:r w:rsidR="00796E67" w:rsidRPr="00A575DE">
          <w:rPr>
            <w:rStyle w:val="Hyperlink"/>
            <w:b w:val="0"/>
            <w:bCs w:val="0"/>
          </w:rPr>
          <w:tab/>
          <w:t>Layering theory and models in general</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_Toc53576124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332</w:t>
        </w:r>
        <w:r w:rsidR="00796E67" w:rsidRPr="00A575DE">
          <w:rPr>
            <w:rStyle w:val="Hyperlink"/>
            <w:b w:val="0"/>
            <w:bCs w:val="0"/>
            <w:webHidden/>
          </w:rPr>
          <w:fldChar w:fldCharType="end"/>
        </w:r>
      </w:hyperlink>
    </w:p>
    <w:p w14:paraId="1F398905" w14:textId="333608B1" w:rsidR="00796E67" w:rsidRPr="00A575DE" w:rsidRDefault="005D478B" w:rsidP="000F6E77">
      <w:pPr>
        <w:pStyle w:val="TOC1"/>
        <w:ind w:left="1560" w:right="709" w:hanging="709"/>
        <w:rPr>
          <w:rStyle w:val="Hyperlink"/>
          <w:b w:val="0"/>
          <w:bCs w:val="0"/>
        </w:rPr>
      </w:pPr>
      <w:hyperlink w:anchor="_Toc53576125" w:history="1">
        <w:r w:rsidR="00796E67" w:rsidRPr="00A575DE">
          <w:rPr>
            <w:rStyle w:val="Hyperlink"/>
            <w:b w:val="0"/>
            <w:bCs w:val="0"/>
          </w:rPr>
          <w:t>8.3.2.</w:t>
        </w:r>
        <w:r w:rsidR="00796E67" w:rsidRPr="00A575DE">
          <w:rPr>
            <w:rStyle w:val="Hyperlink"/>
            <w:b w:val="0"/>
            <w:bCs w:val="0"/>
          </w:rPr>
          <w:tab/>
          <w:t>Critical analysis of the layering models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_Toc53576125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335</w:t>
        </w:r>
        <w:r w:rsidR="00796E67" w:rsidRPr="00A575DE">
          <w:rPr>
            <w:rStyle w:val="Hyperlink"/>
            <w:b w:val="0"/>
            <w:bCs w:val="0"/>
            <w:webHidden/>
          </w:rPr>
          <w:fldChar w:fldCharType="end"/>
        </w:r>
      </w:hyperlink>
    </w:p>
    <w:p w14:paraId="7D4A4600" w14:textId="5CF2E431" w:rsidR="00796E67" w:rsidRPr="00A575DE" w:rsidRDefault="005D478B" w:rsidP="00462AE3">
      <w:pPr>
        <w:pStyle w:val="TOC1"/>
        <w:ind w:left="839" w:right="709" w:hanging="476"/>
        <w:rPr>
          <w:rStyle w:val="Hyperlink"/>
          <w:b w:val="0"/>
          <w:bCs w:val="0"/>
        </w:rPr>
      </w:pPr>
      <w:hyperlink w:anchor="_Toc53576126" w:history="1">
        <w:r w:rsidR="00796E67" w:rsidRPr="00A575DE">
          <w:rPr>
            <w:rStyle w:val="Hyperlink"/>
            <w:b w:val="0"/>
            <w:bCs w:val="0"/>
          </w:rPr>
          <w:t>8.4.</w:t>
        </w:r>
        <w:r w:rsidR="00796E67" w:rsidRPr="00A575DE">
          <w:rPr>
            <w:rStyle w:val="Hyperlink"/>
            <w:b w:val="0"/>
            <w:bCs w:val="0"/>
          </w:rPr>
          <w:tab/>
          <w:t>Construction of the ‘layered regulatory model’</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_Toc53576126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339</w:t>
        </w:r>
        <w:r w:rsidR="00796E67" w:rsidRPr="00A575DE">
          <w:rPr>
            <w:rStyle w:val="Hyperlink"/>
            <w:b w:val="0"/>
            <w:bCs w:val="0"/>
            <w:webHidden/>
          </w:rPr>
          <w:fldChar w:fldCharType="end"/>
        </w:r>
      </w:hyperlink>
    </w:p>
    <w:p w14:paraId="256C6F41" w14:textId="450660AB" w:rsidR="00796E67" w:rsidRPr="00A575DE" w:rsidRDefault="005D478B" w:rsidP="000F6E77">
      <w:pPr>
        <w:pStyle w:val="TOC1"/>
        <w:ind w:left="1560" w:right="709" w:hanging="709"/>
        <w:rPr>
          <w:rStyle w:val="Hyperlink"/>
          <w:b w:val="0"/>
          <w:bCs w:val="0"/>
        </w:rPr>
      </w:pPr>
      <w:hyperlink w:anchor="_Toc53576127" w:history="1">
        <w:r w:rsidR="00796E67" w:rsidRPr="00A575DE">
          <w:rPr>
            <w:rStyle w:val="Hyperlink"/>
            <w:b w:val="0"/>
            <w:bCs w:val="0"/>
          </w:rPr>
          <w:t>8.4.1.</w:t>
        </w:r>
        <w:r w:rsidR="00796E67" w:rsidRPr="00A575DE">
          <w:rPr>
            <w:rStyle w:val="Hyperlink"/>
            <w:b w:val="0"/>
            <w:bCs w:val="0"/>
          </w:rPr>
          <w:tab/>
          <w:t>Main features of the model</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_Toc53576127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339</w:t>
        </w:r>
        <w:r w:rsidR="00796E67" w:rsidRPr="00A575DE">
          <w:rPr>
            <w:rStyle w:val="Hyperlink"/>
            <w:b w:val="0"/>
            <w:bCs w:val="0"/>
            <w:webHidden/>
          </w:rPr>
          <w:fldChar w:fldCharType="end"/>
        </w:r>
      </w:hyperlink>
    </w:p>
    <w:p w14:paraId="4BF4D0D4" w14:textId="1F6FDFAC" w:rsidR="00796E67" w:rsidRPr="00A575DE" w:rsidRDefault="005D478B" w:rsidP="000F6E77">
      <w:pPr>
        <w:pStyle w:val="TOC1"/>
        <w:ind w:left="1560" w:right="709" w:hanging="709"/>
        <w:rPr>
          <w:rStyle w:val="Hyperlink"/>
          <w:b w:val="0"/>
          <w:bCs w:val="0"/>
        </w:rPr>
      </w:pPr>
      <w:hyperlink w:anchor="_Toc53576128" w:history="1">
        <w:r w:rsidR="00796E67" w:rsidRPr="00A575DE">
          <w:rPr>
            <w:rStyle w:val="Hyperlink"/>
            <w:b w:val="0"/>
            <w:bCs w:val="0"/>
          </w:rPr>
          <w:t>8.4.2.</w:t>
        </w:r>
        <w:r w:rsidR="00796E67" w:rsidRPr="00A575DE">
          <w:rPr>
            <w:rStyle w:val="Hyperlink"/>
            <w:b w:val="0"/>
            <w:bCs w:val="0"/>
          </w:rPr>
          <w:tab/>
          <w:t>Revitalising gatekeeping and gatekeeping activities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_Toc53576128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342</w:t>
        </w:r>
        <w:r w:rsidR="00796E67" w:rsidRPr="00A575DE">
          <w:rPr>
            <w:rStyle w:val="Hyperlink"/>
            <w:b w:val="0"/>
            <w:bCs w:val="0"/>
            <w:webHidden/>
          </w:rPr>
          <w:fldChar w:fldCharType="end"/>
        </w:r>
      </w:hyperlink>
    </w:p>
    <w:p w14:paraId="09FC220C" w14:textId="4CC45640" w:rsidR="00796E67" w:rsidRPr="00A575DE" w:rsidRDefault="005D478B" w:rsidP="000F6E77">
      <w:pPr>
        <w:pStyle w:val="TOC1"/>
        <w:ind w:left="1560" w:right="709" w:hanging="709"/>
        <w:rPr>
          <w:rStyle w:val="Hyperlink"/>
          <w:b w:val="0"/>
          <w:bCs w:val="0"/>
        </w:rPr>
      </w:pPr>
      <w:hyperlink w:anchor="_Toc53576129" w:history="1">
        <w:r w:rsidR="00796E67" w:rsidRPr="00A575DE">
          <w:rPr>
            <w:rStyle w:val="Hyperlink"/>
            <w:b w:val="0"/>
            <w:bCs w:val="0"/>
          </w:rPr>
          <w:t>8.4.3.</w:t>
        </w:r>
        <w:r w:rsidR="00796E67" w:rsidRPr="00A575DE">
          <w:rPr>
            <w:rStyle w:val="Hyperlink"/>
            <w:b w:val="0"/>
            <w:bCs w:val="0"/>
          </w:rPr>
          <w:tab/>
          <w:t>‘Gatekeeping’ from the perspective of underlying concerns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_Toc53576129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349</w:t>
        </w:r>
        <w:r w:rsidR="00796E67" w:rsidRPr="00A575DE">
          <w:rPr>
            <w:rStyle w:val="Hyperlink"/>
            <w:b w:val="0"/>
            <w:bCs w:val="0"/>
            <w:webHidden/>
          </w:rPr>
          <w:fldChar w:fldCharType="end"/>
        </w:r>
      </w:hyperlink>
    </w:p>
    <w:p w14:paraId="28B2CF59" w14:textId="75DAB351" w:rsidR="00796E67" w:rsidRPr="00A575DE" w:rsidRDefault="005D478B" w:rsidP="000F6E77">
      <w:pPr>
        <w:pStyle w:val="TOC1"/>
        <w:ind w:left="1560" w:right="709" w:hanging="709"/>
        <w:rPr>
          <w:rStyle w:val="Hyperlink"/>
          <w:b w:val="0"/>
          <w:bCs w:val="0"/>
        </w:rPr>
      </w:pPr>
      <w:hyperlink w:anchor="_Toc53576130" w:history="1">
        <w:r w:rsidR="00796E67" w:rsidRPr="00A575DE">
          <w:rPr>
            <w:rStyle w:val="Hyperlink"/>
            <w:b w:val="0"/>
            <w:bCs w:val="0"/>
          </w:rPr>
          <w:t>8.4.4.</w:t>
        </w:r>
        <w:r w:rsidR="00796E67" w:rsidRPr="00A575DE">
          <w:rPr>
            <w:rStyle w:val="Hyperlink"/>
            <w:b w:val="0"/>
            <w:bCs w:val="0"/>
          </w:rPr>
          <w:tab/>
          <w:t>Matching the gatekeeping roles and functionalities with the layered regulatory model</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_Toc53576130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355</w:t>
        </w:r>
        <w:r w:rsidR="00796E67" w:rsidRPr="00A575DE">
          <w:rPr>
            <w:rStyle w:val="Hyperlink"/>
            <w:b w:val="0"/>
            <w:bCs w:val="0"/>
            <w:webHidden/>
          </w:rPr>
          <w:fldChar w:fldCharType="end"/>
        </w:r>
      </w:hyperlink>
    </w:p>
    <w:p w14:paraId="6EC94A84" w14:textId="21308E9A" w:rsidR="00796E67" w:rsidRPr="00A575DE" w:rsidRDefault="005D478B" w:rsidP="00B63DDE">
      <w:pPr>
        <w:pStyle w:val="TOC1"/>
        <w:ind w:left="2268" w:right="709" w:hanging="760"/>
        <w:rPr>
          <w:rStyle w:val="Hyperlink"/>
          <w:b w:val="0"/>
          <w:bCs w:val="0"/>
        </w:rPr>
      </w:pPr>
      <w:hyperlink w:anchor="_Toc53576131" w:history="1">
        <w:r w:rsidR="00796E67" w:rsidRPr="00A575DE">
          <w:rPr>
            <w:rStyle w:val="Hyperlink"/>
            <w:b w:val="0"/>
            <w:bCs w:val="0"/>
          </w:rPr>
          <w:t>8.4.4.1.</w:t>
        </w:r>
        <w:r w:rsidR="00796E67" w:rsidRPr="00A575DE">
          <w:rPr>
            <w:rStyle w:val="Hyperlink"/>
            <w:b w:val="0"/>
            <w:bCs w:val="0"/>
          </w:rPr>
          <w:tab/>
          <w:t>Setting the governing principles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_Toc53576131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355</w:t>
        </w:r>
        <w:r w:rsidR="00796E67" w:rsidRPr="00A575DE">
          <w:rPr>
            <w:rStyle w:val="Hyperlink"/>
            <w:b w:val="0"/>
            <w:bCs w:val="0"/>
            <w:webHidden/>
          </w:rPr>
          <w:fldChar w:fldCharType="end"/>
        </w:r>
      </w:hyperlink>
    </w:p>
    <w:p w14:paraId="3B3CAB34" w14:textId="57A5FCE3" w:rsidR="00796E67" w:rsidRPr="00A575DE" w:rsidRDefault="005D478B" w:rsidP="00B63DDE">
      <w:pPr>
        <w:pStyle w:val="TOC1"/>
        <w:ind w:left="2268" w:right="709" w:hanging="760"/>
        <w:rPr>
          <w:rStyle w:val="Hyperlink"/>
          <w:b w:val="0"/>
          <w:bCs w:val="0"/>
        </w:rPr>
      </w:pPr>
      <w:hyperlink w:anchor="_Toc53576132" w:history="1">
        <w:r w:rsidR="00796E67" w:rsidRPr="00A575DE">
          <w:rPr>
            <w:rStyle w:val="Hyperlink"/>
            <w:b w:val="0"/>
            <w:bCs w:val="0"/>
          </w:rPr>
          <w:t>8.4.4.2.</w:t>
        </w:r>
        <w:r w:rsidR="00796E67" w:rsidRPr="00A575DE">
          <w:rPr>
            <w:rStyle w:val="Hyperlink"/>
            <w:b w:val="0"/>
            <w:bCs w:val="0"/>
          </w:rPr>
          <w:tab/>
          <w:t>Further regulatory steps and obligations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_Toc53576132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358</w:t>
        </w:r>
        <w:r w:rsidR="00796E67" w:rsidRPr="00A575DE">
          <w:rPr>
            <w:rStyle w:val="Hyperlink"/>
            <w:b w:val="0"/>
            <w:bCs w:val="0"/>
            <w:webHidden/>
          </w:rPr>
          <w:fldChar w:fldCharType="end"/>
        </w:r>
      </w:hyperlink>
    </w:p>
    <w:p w14:paraId="2180D078" w14:textId="27A4E150" w:rsidR="00796E67" w:rsidRPr="00A575DE" w:rsidRDefault="005D478B" w:rsidP="000F6E77">
      <w:pPr>
        <w:pStyle w:val="TOC1"/>
        <w:ind w:left="1560" w:right="709" w:hanging="709"/>
        <w:rPr>
          <w:rStyle w:val="Hyperlink"/>
          <w:b w:val="0"/>
          <w:bCs w:val="0"/>
        </w:rPr>
      </w:pPr>
      <w:hyperlink w:anchor="_Toc53576133" w:history="1">
        <w:r w:rsidR="00796E67" w:rsidRPr="00A575DE">
          <w:rPr>
            <w:rStyle w:val="Hyperlink"/>
            <w:b w:val="0"/>
            <w:bCs w:val="0"/>
          </w:rPr>
          <w:t>8.4.5.</w:t>
        </w:r>
        <w:r w:rsidR="00796E67" w:rsidRPr="00A575DE">
          <w:rPr>
            <w:rStyle w:val="Hyperlink"/>
            <w:b w:val="0"/>
            <w:bCs w:val="0"/>
          </w:rPr>
          <w:tab/>
          <w:t>Review of the institutional roles and responsibilities</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_Toc53576133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363</w:t>
        </w:r>
        <w:r w:rsidR="00796E67" w:rsidRPr="00A575DE">
          <w:rPr>
            <w:rStyle w:val="Hyperlink"/>
            <w:b w:val="0"/>
            <w:bCs w:val="0"/>
            <w:webHidden/>
          </w:rPr>
          <w:fldChar w:fldCharType="end"/>
        </w:r>
      </w:hyperlink>
    </w:p>
    <w:p w14:paraId="65CA589E" w14:textId="2CC2BA32" w:rsidR="00796E67" w:rsidRPr="00A575DE" w:rsidRDefault="005D478B" w:rsidP="00462AE3">
      <w:pPr>
        <w:pStyle w:val="TOC1"/>
        <w:ind w:left="839" w:right="709" w:hanging="476"/>
        <w:rPr>
          <w:rStyle w:val="Hyperlink"/>
          <w:b w:val="0"/>
          <w:bCs w:val="0"/>
        </w:rPr>
      </w:pPr>
      <w:hyperlink w:anchor="_Toc53576134" w:history="1">
        <w:r w:rsidR="00796E67" w:rsidRPr="00A575DE">
          <w:rPr>
            <w:rStyle w:val="Hyperlink"/>
            <w:b w:val="0"/>
            <w:bCs w:val="0"/>
          </w:rPr>
          <w:t>8.5.</w:t>
        </w:r>
        <w:r w:rsidR="00796E67" w:rsidRPr="00A575DE">
          <w:rPr>
            <w:rStyle w:val="Hyperlink"/>
            <w:b w:val="0"/>
            <w:bCs w:val="0"/>
          </w:rPr>
          <w:tab/>
          <w:t>Concluding remarks: Brief summary and further research</w:t>
        </w:r>
        <w:r w:rsidR="00796E67" w:rsidRPr="00A575DE">
          <w:rPr>
            <w:rStyle w:val="Hyperlink"/>
            <w:b w:val="0"/>
            <w:bCs w:val="0"/>
            <w:webHidden/>
          </w:rPr>
          <w:tab/>
        </w:r>
        <w:r w:rsidR="00796E67" w:rsidRPr="00A575DE">
          <w:rPr>
            <w:rStyle w:val="Hyperlink"/>
            <w:b w:val="0"/>
            <w:bCs w:val="0"/>
            <w:webHidden/>
          </w:rPr>
          <w:fldChar w:fldCharType="begin"/>
        </w:r>
        <w:r w:rsidR="00796E67" w:rsidRPr="00A575DE">
          <w:rPr>
            <w:rStyle w:val="Hyperlink"/>
            <w:b w:val="0"/>
            <w:bCs w:val="0"/>
            <w:webHidden/>
          </w:rPr>
          <w:instrText xml:space="preserve"> PAGEREF _Toc53576134 \h </w:instrText>
        </w:r>
        <w:r w:rsidR="00796E67" w:rsidRPr="00A575DE">
          <w:rPr>
            <w:rStyle w:val="Hyperlink"/>
            <w:b w:val="0"/>
            <w:bCs w:val="0"/>
            <w:webHidden/>
          </w:rPr>
        </w:r>
        <w:r w:rsidR="00796E67" w:rsidRPr="00A575DE">
          <w:rPr>
            <w:rStyle w:val="Hyperlink"/>
            <w:b w:val="0"/>
            <w:bCs w:val="0"/>
            <w:webHidden/>
          </w:rPr>
          <w:fldChar w:fldCharType="separate"/>
        </w:r>
        <w:r w:rsidR="00796E67" w:rsidRPr="00A575DE">
          <w:rPr>
            <w:rStyle w:val="Hyperlink"/>
            <w:b w:val="0"/>
            <w:bCs w:val="0"/>
            <w:webHidden/>
          </w:rPr>
          <w:t>367</w:t>
        </w:r>
        <w:r w:rsidR="00796E67" w:rsidRPr="00A575DE">
          <w:rPr>
            <w:rStyle w:val="Hyperlink"/>
            <w:b w:val="0"/>
            <w:bCs w:val="0"/>
            <w:webHidden/>
          </w:rPr>
          <w:fldChar w:fldCharType="end"/>
        </w:r>
      </w:hyperlink>
    </w:p>
    <w:p w14:paraId="1EB69B1D" w14:textId="0D79767E" w:rsidR="00796E67" w:rsidRPr="00B63DDE" w:rsidRDefault="005D478B" w:rsidP="00A575DE">
      <w:pPr>
        <w:pStyle w:val="TOC1"/>
        <w:spacing w:line="240" w:lineRule="auto"/>
        <w:jc w:val="right"/>
        <w:rPr>
          <w:rFonts w:eastAsiaTheme="minorEastAsia"/>
          <w:lang w:eastAsia="en-GB"/>
        </w:rPr>
      </w:pPr>
      <w:hyperlink w:anchor="_Toc53576135" w:history="1">
        <w:r w:rsidR="00796E67" w:rsidRPr="00B63DDE">
          <w:rPr>
            <w:rStyle w:val="Hyperlink"/>
          </w:rPr>
          <w:t>Bibliography</w:t>
        </w:r>
        <w:r w:rsidR="00796E67" w:rsidRPr="00B63DDE">
          <w:rPr>
            <w:rStyle w:val="Hyperlink"/>
            <w:webHidden/>
          </w:rPr>
          <w:tab/>
        </w:r>
        <w:r w:rsidR="00796E67" w:rsidRPr="00B63DDE">
          <w:rPr>
            <w:rStyle w:val="Hyperlink"/>
            <w:webHidden/>
          </w:rPr>
          <w:fldChar w:fldCharType="begin"/>
        </w:r>
        <w:r w:rsidR="00796E67" w:rsidRPr="00B63DDE">
          <w:rPr>
            <w:rStyle w:val="Hyperlink"/>
            <w:webHidden/>
          </w:rPr>
          <w:instrText xml:space="preserve"> PAGEREF _Toc53576135 \h </w:instrText>
        </w:r>
        <w:r w:rsidR="00796E67" w:rsidRPr="00B63DDE">
          <w:rPr>
            <w:rStyle w:val="Hyperlink"/>
            <w:webHidden/>
          </w:rPr>
        </w:r>
        <w:r w:rsidR="00796E67" w:rsidRPr="00B63DDE">
          <w:rPr>
            <w:rStyle w:val="Hyperlink"/>
            <w:webHidden/>
          </w:rPr>
          <w:fldChar w:fldCharType="separate"/>
        </w:r>
        <w:r w:rsidR="00796E67" w:rsidRPr="00B63DDE">
          <w:rPr>
            <w:rStyle w:val="Hyperlink"/>
            <w:webHidden/>
          </w:rPr>
          <w:t>373</w:t>
        </w:r>
        <w:r w:rsidR="00796E67" w:rsidRPr="00B63DDE">
          <w:rPr>
            <w:rStyle w:val="Hyperlink"/>
            <w:webHidden/>
          </w:rPr>
          <w:fldChar w:fldCharType="end"/>
        </w:r>
      </w:hyperlink>
    </w:p>
    <w:p w14:paraId="3121EC12" w14:textId="154CA0E9" w:rsidR="00DB1617" w:rsidRPr="00796E67" w:rsidRDefault="00327E6E" w:rsidP="00A575DE">
      <w:pPr>
        <w:tabs>
          <w:tab w:val="right" w:leader="dot" w:pos="8165"/>
        </w:tabs>
        <w:spacing w:before="120" w:line="240" w:lineRule="auto"/>
        <w:ind w:right="707"/>
        <w:jc w:val="right"/>
        <w:rPr>
          <w:rFonts w:ascii="Times New Roman" w:hAnsi="Times New Roman" w:cs="Times New Roman"/>
          <w:sz w:val="24"/>
          <w:szCs w:val="24"/>
        </w:rPr>
      </w:pPr>
      <w:r w:rsidRPr="00796E67">
        <w:rPr>
          <w:rFonts w:ascii="Times New Roman" w:hAnsi="Times New Roman" w:cs="Times New Roman"/>
          <w:sz w:val="24"/>
          <w:szCs w:val="24"/>
        </w:rPr>
        <w:fldChar w:fldCharType="end"/>
      </w:r>
    </w:p>
    <w:p w14:paraId="13BEFED3" w14:textId="77777777" w:rsidR="00DB1617" w:rsidRPr="00A70042" w:rsidRDefault="00DB1617" w:rsidP="00A70042">
      <w:pPr>
        <w:spacing w:line="360" w:lineRule="auto"/>
        <w:jc w:val="both"/>
        <w:rPr>
          <w:rFonts w:ascii="Times New Roman" w:hAnsi="Times New Roman" w:cs="Times New Roman"/>
          <w:sz w:val="24"/>
          <w:szCs w:val="24"/>
        </w:rPr>
      </w:pPr>
    </w:p>
    <w:p w14:paraId="553CBB6C" w14:textId="77777777" w:rsidR="00774EDB" w:rsidRDefault="00774EDB" w:rsidP="00A70042">
      <w:pPr>
        <w:jc w:val="both"/>
        <w:rPr>
          <w:rFonts w:ascii="Times New Roman" w:eastAsiaTheme="majorEastAsia" w:hAnsi="Times New Roman" w:cs="Times New Roman"/>
          <w:b/>
          <w:bCs/>
          <w:sz w:val="24"/>
          <w:szCs w:val="24"/>
        </w:rPr>
      </w:pPr>
      <w:r>
        <w:rPr>
          <w:rFonts w:ascii="Times New Roman" w:hAnsi="Times New Roman" w:cs="Times New Roman"/>
          <w:b/>
          <w:bCs/>
          <w:sz w:val="24"/>
          <w:szCs w:val="24"/>
        </w:rPr>
        <w:br w:type="page"/>
      </w:r>
    </w:p>
    <w:p w14:paraId="4DEB9589" w14:textId="3062B168" w:rsidR="00712C8A" w:rsidRPr="00774EDB" w:rsidRDefault="00712C8A" w:rsidP="00A70042">
      <w:pPr>
        <w:pStyle w:val="Heading1"/>
        <w:ind w:left="2127" w:right="-2" w:hanging="2126"/>
        <w:jc w:val="both"/>
        <w:rPr>
          <w:rFonts w:ascii="Times New Roman" w:hAnsi="Times New Roman" w:cs="Times New Roman"/>
          <w:b/>
          <w:bCs/>
          <w:sz w:val="24"/>
          <w:szCs w:val="24"/>
        </w:rPr>
      </w:pPr>
      <w:bookmarkStart w:id="5" w:name="_Toc17611319"/>
      <w:bookmarkStart w:id="6" w:name="_Toc53576008"/>
      <w:r w:rsidRPr="00774EDB">
        <w:rPr>
          <w:rFonts w:ascii="Times New Roman" w:hAnsi="Times New Roman" w:cs="Times New Roman"/>
          <w:b/>
          <w:bCs/>
          <w:color w:val="auto"/>
          <w:sz w:val="24"/>
          <w:szCs w:val="24"/>
        </w:rPr>
        <w:lastRenderedPageBreak/>
        <w:t>List of Abbreviations</w:t>
      </w:r>
      <w:bookmarkEnd w:id="5"/>
      <w:bookmarkEnd w:id="6"/>
    </w:p>
    <w:p w14:paraId="61D4999C" w14:textId="77777777" w:rsidR="00712C8A" w:rsidRPr="00774EDB" w:rsidRDefault="00712C8A" w:rsidP="00A70042">
      <w:pPr>
        <w:spacing w:line="360" w:lineRule="auto"/>
        <w:ind w:left="2127" w:right="-2" w:hanging="2126"/>
        <w:jc w:val="both"/>
        <w:rPr>
          <w:rFonts w:ascii="Times New Roman" w:hAnsi="Times New Roman" w:cs="Times New Roman"/>
          <w:sz w:val="24"/>
          <w:szCs w:val="24"/>
        </w:rPr>
      </w:pPr>
    </w:p>
    <w:p w14:paraId="7D768A16"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3G</w:t>
      </w:r>
      <w:r w:rsidRPr="008015C6">
        <w:rPr>
          <w:rFonts w:ascii="Times New Roman" w:hAnsi="Times New Roman" w:cs="Times New Roman"/>
          <w:sz w:val="24"/>
          <w:szCs w:val="24"/>
        </w:rPr>
        <w:tab/>
        <w:t>Third-Generation Wireless</w:t>
      </w:r>
    </w:p>
    <w:p w14:paraId="479C662D"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4G</w:t>
      </w:r>
      <w:r w:rsidRPr="008015C6">
        <w:rPr>
          <w:rFonts w:ascii="Times New Roman" w:hAnsi="Times New Roman" w:cs="Times New Roman"/>
          <w:sz w:val="24"/>
          <w:szCs w:val="24"/>
        </w:rPr>
        <w:tab/>
        <w:t>Fourth-Generation Wireless</w:t>
      </w:r>
    </w:p>
    <w:p w14:paraId="5608B3AC"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5G</w:t>
      </w:r>
      <w:r w:rsidRPr="008015C6">
        <w:rPr>
          <w:rFonts w:ascii="Times New Roman" w:hAnsi="Times New Roman" w:cs="Times New Roman"/>
          <w:sz w:val="24"/>
          <w:szCs w:val="24"/>
        </w:rPr>
        <w:tab/>
        <w:t>Fifth-Generation Wireless</w:t>
      </w:r>
    </w:p>
    <w:p w14:paraId="26E1B9D5"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ABS</w:t>
      </w:r>
      <w:r w:rsidRPr="008015C6">
        <w:rPr>
          <w:rFonts w:ascii="Times New Roman" w:hAnsi="Times New Roman" w:cs="Times New Roman"/>
          <w:sz w:val="24"/>
          <w:szCs w:val="24"/>
        </w:rPr>
        <w:tab/>
        <w:t xml:space="preserve">Anti-Lock Braking Systems </w:t>
      </w:r>
    </w:p>
    <w:p w14:paraId="51665F09"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AGCM</w:t>
      </w:r>
      <w:r w:rsidRPr="008015C6">
        <w:rPr>
          <w:rFonts w:ascii="Times New Roman" w:hAnsi="Times New Roman" w:cs="Times New Roman"/>
          <w:sz w:val="24"/>
          <w:szCs w:val="24"/>
        </w:rPr>
        <w:tab/>
        <w:t>Autoria Grante della Concorrenza e del Mercato</w:t>
      </w:r>
    </w:p>
    <w:p w14:paraId="5F58BA4E"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AI</w:t>
      </w:r>
      <w:r w:rsidRPr="008015C6">
        <w:rPr>
          <w:rFonts w:ascii="Times New Roman" w:hAnsi="Times New Roman" w:cs="Times New Roman"/>
          <w:sz w:val="24"/>
          <w:szCs w:val="24"/>
        </w:rPr>
        <w:tab/>
        <w:t>Artificial Intelligence</w:t>
      </w:r>
    </w:p>
    <w:p w14:paraId="69F01A99"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AMR</w:t>
      </w:r>
      <w:r w:rsidRPr="008015C6">
        <w:rPr>
          <w:rFonts w:ascii="Times New Roman" w:hAnsi="Times New Roman" w:cs="Times New Roman"/>
          <w:sz w:val="24"/>
          <w:szCs w:val="24"/>
        </w:rPr>
        <w:tab/>
        <w:t xml:space="preserve">Automated Meter Reading </w:t>
      </w:r>
    </w:p>
    <w:p w14:paraId="3B395EBC"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ANSI</w:t>
      </w:r>
      <w:r w:rsidRPr="008015C6">
        <w:rPr>
          <w:rFonts w:ascii="Times New Roman" w:hAnsi="Times New Roman" w:cs="Times New Roman"/>
          <w:sz w:val="24"/>
          <w:szCs w:val="24"/>
        </w:rPr>
        <w:tab/>
        <w:t>American National Standards Institute</w:t>
      </w:r>
    </w:p>
    <w:p w14:paraId="22F43581"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ANT</w:t>
      </w:r>
      <w:r w:rsidRPr="008015C6">
        <w:rPr>
          <w:rFonts w:ascii="Times New Roman" w:hAnsi="Times New Roman" w:cs="Times New Roman"/>
          <w:sz w:val="24"/>
          <w:szCs w:val="24"/>
        </w:rPr>
        <w:tab/>
        <w:t>Adaptive Network Topology</w:t>
      </w:r>
    </w:p>
    <w:p w14:paraId="0DB55C39"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APIs</w:t>
      </w:r>
      <w:r w:rsidRPr="008015C6">
        <w:rPr>
          <w:rFonts w:ascii="Times New Roman" w:hAnsi="Times New Roman" w:cs="Times New Roman"/>
          <w:sz w:val="24"/>
          <w:szCs w:val="24"/>
        </w:rPr>
        <w:tab/>
        <w:t>Application Programming Interfaces</w:t>
      </w:r>
    </w:p>
    <w:p w14:paraId="019FBFB1"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AVB/TSN   </w:t>
      </w:r>
      <w:r w:rsidRPr="008015C6">
        <w:rPr>
          <w:rFonts w:ascii="Times New Roman" w:hAnsi="Times New Roman" w:cs="Times New Roman"/>
          <w:sz w:val="24"/>
          <w:szCs w:val="24"/>
        </w:rPr>
        <w:tab/>
        <w:t>AVnu Alliance</w:t>
      </w:r>
    </w:p>
    <w:p w14:paraId="688999A1"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AWS</w:t>
      </w:r>
      <w:r w:rsidRPr="008015C6">
        <w:rPr>
          <w:rFonts w:ascii="Times New Roman" w:hAnsi="Times New Roman" w:cs="Times New Roman"/>
          <w:sz w:val="24"/>
          <w:szCs w:val="24"/>
        </w:rPr>
        <w:tab/>
        <w:t>Amazon Web Services</w:t>
      </w:r>
    </w:p>
    <w:p w14:paraId="01D79567"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BEREC</w:t>
      </w:r>
      <w:r w:rsidRPr="008015C6">
        <w:rPr>
          <w:rFonts w:ascii="Times New Roman" w:hAnsi="Times New Roman" w:cs="Times New Roman"/>
          <w:sz w:val="24"/>
          <w:szCs w:val="24"/>
        </w:rPr>
        <w:tab/>
        <w:t>Body of European Regulators of Electronic Communications</w:t>
      </w:r>
    </w:p>
    <w:p w14:paraId="468B3C2D"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BSD</w:t>
      </w:r>
      <w:r w:rsidRPr="008015C6">
        <w:rPr>
          <w:rFonts w:ascii="Times New Roman" w:hAnsi="Times New Roman" w:cs="Times New Roman"/>
          <w:sz w:val="24"/>
          <w:szCs w:val="24"/>
        </w:rPr>
        <w:tab/>
        <w:t>Berkeley Software Distribution</w:t>
      </w:r>
    </w:p>
    <w:p w14:paraId="6690672F"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CAGR</w:t>
      </w:r>
      <w:r w:rsidRPr="008015C6">
        <w:rPr>
          <w:rFonts w:ascii="Times New Roman" w:hAnsi="Times New Roman" w:cs="Times New Roman"/>
          <w:sz w:val="24"/>
          <w:szCs w:val="24"/>
        </w:rPr>
        <w:tab/>
        <w:t>Compound Annual Growth Rate</w:t>
      </w:r>
    </w:p>
    <w:p w14:paraId="4CD368F0"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CAS</w:t>
      </w:r>
      <w:r w:rsidRPr="008015C6">
        <w:rPr>
          <w:rFonts w:ascii="Times New Roman" w:hAnsi="Times New Roman" w:cs="Times New Roman"/>
          <w:sz w:val="24"/>
          <w:szCs w:val="24"/>
        </w:rPr>
        <w:tab/>
        <w:t>Conditional Access System</w:t>
      </w:r>
    </w:p>
    <w:p w14:paraId="656DAA7C"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CD</w:t>
      </w:r>
      <w:r w:rsidRPr="008015C6">
        <w:rPr>
          <w:rFonts w:ascii="Times New Roman" w:hAnsi="Times New Roman" w:cs="Times New Roman"/>
          <w:sz w:val="24"/>
          <w:szCs w:val="24"/>
        </w:rPr>
        <w:tab/>
        <w:t>Compact Disc</w:t>
      </w:r>
    </w:p>
    <w:p w14:paraId="3B323515"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CDMI</w:t>
      </w:r>
      <w:r w:rsidRPr="008015C6">
        <w:rPr>
          <w:rFonts w:ascii="Times New Roman" w:hAnsi="Times New Roman" w:cs="Times New Roman"/>
          <w:sz w:val="24"/>
          <w:szCs w:val="24"/>
        </w:rPr>
        <w:tab/>
        <w:t xml:space="preserve">Cloud Data Management Interface </w:t>
      </w:r>
    </w:p>
    <w:p w14:paraId="102B3EE6"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CDN</w:t>
      </w:r>
      <w:r w:rsidRPr="008015C6">
        <w:rPr>
          <w:rFonts w:ascii="Times New Roman" w:hAnsi="Times New Roman" w:cs="Times New Roman"/>
          <w:sz w:val="24"/>
          <w:szCs w:val="24"/>
        </w:rPr>
        <w:tab/>
        <w:t xml:space="preserve">Content Delivery Network </w:t>
      </w:r>
    </w:p>
    <w:p w14:paraId="6618AFFB"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CDPA</w:t>
      </w:r>
      <w:r w:rsidRPr="008015C6">
        <w:rPr>
          <w:rFonts w:ascii="Times New Roman" w:hAnsi="Times New Roman" w:cs="Times New Roman"/>
          <w:sz w:val="24"/>
          <w:szCs w:val="24"/>
        </w:rPr>
        <w:tab/>
        <w:t xml:space="preserve">UK Copyright, Designs and Patents Act </w:t>
      </w:r>
    </w:p>
    <w:p w14:paraId="5C241363"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CMLR</w:t>
      </w:r>
      <w:r w:rsidRPr="008015C6">
        <w:rPr>
          <w:rFonts w:ascii="Times New Roman" w:hAnsi="Times New Roman" w:cs="Times New Roman"/>
          <w:sz w:val="24"/>
          <w:szCs w:val="24"/>
        </w:rPr>
        <w:tab/>
        <w:t>Common Market Law Report</w:t>
      </w:r>
    </w:p>
    <w:p w14:paraId="6F08A9AF"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CoJ</w:t>
      </w:r>
      <w:r w:rsidRPr="008015C6">
        <w:rPr>
          <w:rFonts w:ascii="Times New Roman" w:hAnsi="Times New Roman" w:cs="Times New Roman"/>
          <w:sz w:val="24"/>
          <w:szCs w:val="24"/>
        </w:rPr>
        <w:tab/>
        <w:t>Court of Justice of the European Union</w:t>
      </w:r>
    </w:p>
    <w:p w14:paraId="3A628DEB"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Commission</w:t>
      </w:r>
      <w:r w:rsidRPr="008015C6">
        <w:rPr>
          <w:rFonts w:ascii="Times New Roman" w:hAnsi="Times New Roman" w:cs="Times New Roman"/>
          <w:sz w:val="24"/>
          <w:szCs w:val="24"/>
        </w:rPr>
        <w:tab/>
        <w:t>European Commission</w:t>
      </w:r>
    </w:p>
    <w:p w14:paraId="71EB4736"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CP</w:t>
      </w:r>
      <w:r w:rsidRPr="008015C6">
        <w:rPr>
          <w:rFonts w:ascii="Times New Roman" w:hAnsi="Times New Roman" w:cs="Times New Roman"/>
          <w:sz w:val="24"/>
          <w:szCs w:val="24"/>
        </w:rPr>
        <w:tab/>
        <w:t>Content Provider</w:t>
      </w:r>
    </w:p>
    <w:p w14:paraId="6A17D076"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CPU</w:t>
      </w:r>
      <w:r w:rsidRPr="008015C6">
        <w:rPr>
          <w:rFonts w:ascii="Times New Roman" w:hAnsi="Times New Roman" w:cs="Times New Roman"/>
          <w:sz w:val="24"/>
          <w:szCs w:val="24"/>
        </w:rPr>
        <w:tab/>
        <w:t>Central Processing Unit</w:t>
      </w:r>
    </w:p>
    <w:p w14:paraId="2EA523CC"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CREATE</w:t>
      </w:r>
      <w:r w:rsidRPr="008015C6">
        <w:rPr>
          <w:rFonts w:ascii="Times New Roman" w:hAnsi="Times New Roman" w:cs="Times New Roman"/>
          <w:sz w:val="24"/>
          <w:szCs w:val="24"/>
        </w:rPr>
        <w:tab/>
        <w:t>UK Copyright and Creative Economy Centre</w:t>
      </w:r>
    </w:p>
    <w:p w14:paraId="105B164A"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CRM</w:t>
      </w:r>
      <w:r w:rsidRPr="008015C6">
        <w:rPr>
          <w:rFonts w:ascii="Times New Roman" w:hAnsi="Times New Roman" w:cs="Times New Roman"/>
          <w:sz w:val="24"/>
          <w:szCs w:val="24"/>
        </w:rPr>
        <w:tab/>
        <w:t>Customer Relationship Management</w:t>
      </w:r>
    </w:p>
    <w:p w14:paraId="1172CBCF"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DMCA</w:t>
      </w:r>
      <w:r w:rsidRPr="008015C6">
        <w:rPr>
          <w:rFonts w:ascii="Times New Roman" w:hAnsi="Times New Roman" w:cs="Times New Roman"/>
          <w:sz w:val="24"/>
          <w:szCs w:val="24"/>
        </w:rPr>
        <w:tab/>
        <w:t>Digital Millennium Copyright Act</w:t>
      </w:r>
    </w:p>
    <w:p w14:paraId="7C017D24"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DRM</w:t>
      </w:r>
      <w:r w:rsidRPr="008015C6">
        <w:rPr>
          <w:rFonts w:ascii="Times New Roman" w:hAnsi="Times New Roman" w:cs="Times New Roman"/>
          <w:sz w:val="24"/>
          <w:szCs w:val="24"/>
        </w:rPr>
        <w:tab/>
        <w:t>Digital rights management</w:t>
      </w:r>
    </w:p>
    <w:p w14:paraId="602AD014"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DSM</w:t>
      </w:r>
      <w:r w:rsidRPr="008015C6">
        <w:rPr>
          <w:rFonts w:ascii="Times New Roman" w:hAnsi="Times New Roman" w:cs="Times New Roman"/>
          <w:sz w:val="24"/>
          <w:szCs w:val="24"/>
        </w:rPr>
        <w:tab/>
        <w:t>Digital Single Market</w:t>
      </w:r>
    </w:p>
    <w:p w14:paraId="657D6ECC"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DT    </w:t>
      </w:r>
      <w:r w:rsidRPr="008015C6">
        <w:rPr>
          <w:rFonts w:ascii="Times New Roman" w:hAnsi="Times New Roman" w:cs="Times New Roman"/>
          <w:sz w:val="24"/>
          <w:szCs w:val="24"/>
        </w:rPr>
        <w:tab/>
        <w:t>Deutsche Telekom</w:t>
      </w:r>
    </w:p>
    <w:p w14:paraId="181078A8"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lastRenderedPageBreak/>
        <w:t>DVD</w:t>
      </w:r>
      <w:r w:rsidRPr="008015C6">
        <w:rPr>
          <w:rFonts w:ascii="Times New Roman" w:hAnsi="Times New Roman" w:cs="Times New Roman"/>
          <w:sz w:val="24"/>
          <w:szCs w:val="24"/>
        </w:rPr>
        <w:tab/>
        <w:t>Digital Versatile Disk</w:t>
      </w:r>
    </w:p>
    <w:p w14:paraId="4AF171C3"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ECIS</w:t>
      </w:r>
      <w:r w:rsidRPr="008015C6">
        <w:rPr>
          <w:rFonts w:ascii="Times New Roman" w:hAnsi="Times New Roman" w:cs="Times New Roman"/>
          <w:sz w:val="24"/>
          <w:szCs w:val="24"/>
        </w:rPr>
        <w:tab/>
        <w:t>European Committee for Interoperable Systems</w:t>
      </w:r>
    </w:p>
    <w:p w14:paraId="2BA6308A"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ECMA</w:t>
      </w:r>
      <w:r w:rsidRPr="008015C6">
        <w:rPr>
          <w:rFonts w:ascii="Times New Roman" w:hAnsi="Times New Roman" w:cs="Times New Roman"/>
          <w:sz w:val="24"/>
          <w:szCs w:val="24"/>
        </w:rPr>
        <w:tab/>
        <w:t>European Computer Manufacturers Association</w:t>
      </w:r>
    </w:p>
    <w:p w14:paraId="21A0EAC9"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ECRF</w:t>
      </w:r>
      <w:r w:rsidRPr="008015C6">
        <w:rPr>
          <w:rFonts w:ascii="Times New Roman" w:hAnsi="Times New Roman" w:cs="Times New Roman"/>
          <w:sz w:val="24"/>
          <w:szCs w:val="24"/>
        </w:rPr>
        <w:tab/>
        <w:t>Electronic Communications Regulatory Framework</w:t>
      </w:r>
    </w:p>
    <w:p w14:paraId="355BF3E4"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lang w:val="en-US"/>
        </w:rPr>
        <w:t>ECS</w:t>
      </w:r>
      <w:r w:rsidRPr="008015C6">
        <w:rPr>
          <w:rFonts w:ascii="Times New Roman" w:hAnsi="Times New Roman" w:cs="Times New Roman"/>
          <w:sz w:val="24"/>
          <w:szCs w:val="24"/>
        </w:rPr>
        <w:tab/>
      </w:r>
      <w:r w:rsidRPr="008015C6">
        <w:rPr>
          <w:rFonts w:ascii="Times New Roman" w:hAnsi="Times New Roman" w:cs="Times New Roman"/>
          <w:sz w:val="24"/>
          <w:szCs w:val="24"/>
          <w:lang w:val="en-US"/>
        </w:rPr>
        <w:t>Electronic Communications Service</w:t>
      </w:r>
    </w:p>
    <w:p w14:paraId="23A847A0"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lang w:val="en-US"/>
        </w:rPr>
      </w:pPr>
      <w:r w:rsidRPr="008015C6">
        <w:rPr>
          <w:rFonts w:ascii="Times New Roman" w:hAnsi="Times New Roman" w:cs="Times New Roman"/>
          <w:sz w:val="24"/>
          <w:szCs w:val="24"/>
          <w:lang w:val="en-US"/>
        </w:rPr>
        <w:t>ECU</w:t>
      </w:r>
      <w:r w:rsidRPr="008015C6">
        <w:rPr>
          <w:rFonts w:ascii="Times New Roman" w:hAnsi="Times New Roman" w:cs="Times New Roman"/>
          <w:sz w:val="24"/>
          <w:szCs w:val="24"/>
          <w:lang w:val="en-US"/>
        </w:rPr>
        <w:tab/>
        <w:t>European Currency Unit</w:t>
      </w:r>
    </w:p>
    <w:p w14:paraId="09D077C8"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lang w:val="en-US"/>
        </w:rPr>
      </w:pPr>
      <w:r w:rsidRPr="008015C6">
        <w:rPr>
          <w:rFonts w:ascii="Times New Roman" w:hAnsi="Times New Roman" w:cs="Times New Roman"/>
          <w:sz w:val="24"/>
          <w:szCs w:val="24"/>
          <w:lang w:val="en-US"/>
        </w:rPr>
        <w:t>EDGE</w:t>
      </w:r>
      <w:r w:rsidRPr="008015C6">
        <w:rPr>
          <w:rFonts w:ascii="Times New Roman" w:hAnsi="Times New Roman" w:cs="Times New Roman"/>
          <w:sz w:val="24"/>
          <w:szCs w:val="24"/>
          <w:lang w:val="en-US"/>
        </w:rPr>
        <w:tab/>
        <w:t>Enhanced Data GSM Environment</w:t>
      </w:r>
    </w:p>
    <w:p w14:paraId="1D8FDF0B"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lang w:val="en-US"/>
        </w:rPr>
      </w:pPr>
      <w:r w:rsidRPr="008015C6">
        <w:rPr>
          <w:rFonts w:ascii="Times New Roman" w:hAnsi="Times New Roman" w:cs="Times New Roman"/>
          <w:sz w:val="24"/>
          <w:szCs w:val="24"/>
          <w:lang w:val="en-US"/>
        </w:rPr>
        <w:t>EEA</w:t>
      </w:r>
      <w:r w:rsidRPr="008015C6">
        <w:rPr>
          <w:rFonts w:ascii="Times New Roman" w:hAnsi="Times New Roman" w:cs="Times New Roman"/>
          <w:sz w:val="24"/>
          <w:szCs w:val="24"/>
          <w:lang w:val="en-US"/>
        </w:rPr>
        <w:tab/>
        <w:t>European Economic Area</w:t>
      </w:r>
    </w:p>
    <w:p w14:paraId="336C62FE"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lang w:val="en-US"/>
        </w:rPr>
      </w:pPr>
      <w:r w:rsidRPr="008015C6">
        <w:rPr>
          <w:rFonts w:ascii="Times New Roman" w:hAnsi="Times New Roman" w:cs="Times New Roman"/>
          <w:sz w:val="24"/>
          <w:szCs w:val="24"/>
          <w:lang w:val="en-US"/>
        </w:rPr>
        <w:t>EEC</w:t>
      </w:r>
      <w:r w:rsidRPr="008015C6">
        <w:rPr>
          <w:rFonts w:ascii="Times New Roman" w:hAnsi="Times New Roman" w:cs="Times New Roman"/>
          <w:sz w:val="24"/>
          <w:szCs w:val="24"/>
          <w:lang w:val="en-US"/>
        </w:rPr>
        <w:tab/>
        <w:t xml:space="preserve">European Economic Community </w:t>
      </w:r>
    </w:p>
    <w:p w14:paraId="601E7460"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EECC</w:t>
      </w:r>
      <w:r w:rsidRPr="008015C6">
        <w:rPr>
          <w:rFonts w:ascii="Times New Roman" w:hAnsi="Times New Roman" w:cs="Times New Roman"/>
          <w:sz w:val="24"/>
          <w:szCs w:val="24"/>
        </w:rPr>
        <w:tab/>
        <w:t>European Electronic Communications Code</w:t>
      </w:r>
    </w:p>
    <w:p w14:paraId="0B63795E"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EIF</w:t>
      </w:r>
      <w:r w:rsidRPr="008015C6">
        <w:rPr>
          <w:rFonts w:ascii="Times New Roman" w:hAnsi="Times New Roman" w:cs="Times New Roman"/>
          <w:sz w:val="24"/>
          <w:szCs w:val="24"/>
        </w:rPr>
        <w:tab/>
        <w:t>European Interoperability Framework</w:t>
      </w:r>
    </w:p>
    <w:p w14:paraId="0233D39C"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EPC</w:t>
      </w:r>
      <w:r w:rsidRPr="008015C6">
        <w:rPr>
          <w:rFonts w:ascii="Times New Roman" w:hAnsi="Times New Roman" w:cs="Times New Roman"/>
          <w:sz w:val="24"/>
          <w:szCs w:val="24"/>
        </w:rPr>
        <w:tab/>
        <w:t>European Patent Convention</w:t>
      </w:r>
    </w:p>
    <w:p w14:paraId="1949AD97"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EPG</w:t>
      </w:r>
      <w:r w:rsidRPr="008015C6">
        <w:rPr>
          <w:rFonts w:ascii="Times New Roman" w:hAnsi="Times New Roman" w:cs="Times New Roman"/>
          <w:sz w:val="24"/>
          <w:szCs w:val="24"/>
        </w:rPr>
        <w:tab/>
        <w:t>Electronic Programming Guide</w:t>
      </w:r>
    </w:p>
    <w:p w14:paraId="3A9529E3"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EPO</w:t>
      </w:r>
      <w:r w:rsidRPr="008015C6">
        <w:rPr>
          <w:rFonts w:ascii="Times New Roman" w:hAnsi="Times New Roman" w:cs="Times New Roman"/>
          <w:sz w:val="24"/>
          <w:szCs w:val="24"/>
        </w:rPr>
        <w:tab/>
        <w:t xml:space="preserve">European Patent Office </w:t>
      </w:r>
    </w:p>
    <w:p w14:paraId="0774C482"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ERG  </w:t>
      </w:r>
      <w:r w:rsidRPr="008015C6">
        <w:rPr>
          <w:rFonts w:ascii="Times New Roman" w:hAnsi="Times New Roman" w:cs="Times New Roman"/>
          <w:sz w:val="24"/>
          <w:szCs w:val="24"/>
        </w:rPr>
        <w:tab/>
        <w:t>European Regulators Group</w:t>
      </w:r>
    </w:p>
    <w:p w14:paraId="25A356F1"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ETSI</w:t>
      </w:r>
      <w:r w:rsidRPr="008015C6">
        <w:rPr>
          <w:rFonts w:ascii="Times New Roman" w:hAnsi="Times New Roman" w:cs="Times New Roman"/>
          <w:sz w:val="24"/>
          <w:szCs w:val="24"/>
        </w:rPr>
        <w:tab/>
        <w:t>European Telecommunications Standards Institute</w:t>
      </w:r>
    </w:p>
    <w:p w14:paraId="064B195F"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EU</w:t>
      </w:r>
      <w:r w:rsidRPr="008015C6">
        <w:rPr>
          <w:rFonts w:ascii="Times New Roman" w:hAnsi="Times New Roman" w:cs="Times New Roman"/>
          <w:sz w:val="24"/>
          <w:szCs w:val="24"/>
        </w:rPr>
        <w:tab/>
        <w:t>European Union</w:t>
      </w:r>
    </w:p>
    <w:p w14:paraId="0A18FF5F"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lang w:val="en-US"/>
        </w:rPr>
        <w:t>EUMR</w:t>
      </w:r>
      <w:r w:rsidRPr="008015C6">
        <w:rPr>
          <w:rFonts w:ascii="Times New Roman" w:hAnsi="Times New Roman" w:cs="Times New Roman"/>
          <w:sz w:val="24"/>
          <w:szCs w:val="24"/>
        </w:rPr>
        <w:tab/>
      </w:r>
      <w:r w:rsidRPr="008015C6">
        <w:rPr>
          <w:rFonts w:ascii="Times New Roman" w:hAnsi="Times New Roman" w:cs="Times New Roman"/>
          <w:sz w:val="24"/>
          <w:szCs w:val="24"/>
          <w:lang w:val="en-US"/>
        </w:rPr>
        <w:t>European Union Merger Regulation</w:t>
      </w:r>
    </w:p>
    <w:p w14:paraId="7C099947"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FAGMA</w:t>
      </w:r>
      <w:r w:rsidRPr="008015C6">
        <w:rPr>
          <w:rFonts w:ascii="Times New Roman" w:hAnsi="Times New Roman" w:cs="Times New Roman"/>
          <w:sz w:val="24"/>
          <w:szCs w:val="24"/>
        </w:rPr>
        <w:tab/>
        <w:t>Facebook, Apple, Google, Microsoft and Amazon</w:t>
      </w:r>
    </w:p>
    <w:p w14:paraId="174A3AB9"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FOSS</w:t>
      </w:r>
      <w:r w:rsidRPr="008015C6">
        <w:rPr>
          <w:rFonts w:ascii="Times New Roman" w:hAnsi="Times New Roman" w:cs="Times New Roman"/>
          <w:sz w:val="24"/>
          <w:szCs w:val="24"/>
        </w:rPr>
        <w:tab/>
        <w:t>Free and Open Source Software</w:t>
      </w:r>
    </w:p>
    <w:p w14:paraId="15BB7D7D"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FRAND</w:t>
      </w:r>
      <w:r w:rsidRPr="008015C6">
        <w:rPr>
          <w:rFonts w:ascii="Times New Roman" w:hAnsi="Times New Roman" w:cs="Times New Roman"/>
          <w:sz w:val="24"/>
          <w:szCs w:val="24"/>
        </w:rPr>
        <w:tab/>
        <w:t>Fair, Reasonable and Non-Discriminatory</w:t>
      </w:r>
    </w:p>
    <w:p w14:paraId="54C9D350"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FTC</w:t>
      </w:r>
      <w:r w:rsidRPr="008015C6">
        <w:rPr>
          <w:rFonts w:ascii="Times New Roman" w:hAnsi="Times New Roman" w:cs="Times New Roman"/>
          <w:sz w:val="24"/>
          <w:szCs w:val="24"/>
        </w:rPr>
        <w:tab/>
        <w:t>Federal Trade Commission</w:t>
      </w:r>
    </w:p>
    <w:p w14:paraId="5DBC9906"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GC</w:t>
      </w:r>
      <w:r w:rsidRPr="008015C6">
        <w:rPr>
          <w:rFonts w:ascii="Times New Roman" w:hAnsi="Times New Roman" w:cs="Times New Roman"/>
          <w:sz w:val="24"/>
          <w:szCs w:val="24"/>
        </w:rPr>
        <w:tab/>
        <w:t>General Court</w:t>
      </w:r>
    </w:p>
    <w:p w14:paraId="274769C7"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GDPR</w:t>
      </w:r>
      <w:r w:rsidRPr="008015C6">
        <w:rPr>
          <w:rFonts w:ascii="Times New Roman" w:hAnsi="Times New Roman" w:cs="Times New Roman"/>
          <w:sz w:val="24"/>
          <w:szCs w:val="24"/>
        </w:rPr>
        <w:tab/>
        <w:t>General Data Protection Regulation</w:t>
      </w:r>
    </w:p>
    <w:p w14:paraId="79B1AEA9"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GPL</w:t>
      </w:r>
      <w:r w:rsidRPr="008015C6">
        <w:rPr>
          <w:rFonts w:ascii="Times New Roman" w:hAnsi="Times New Roman" w:cs="Times New Roman"/>
          <w:sz w:val="24"/>
          <w:szCs w:val="24"/>
        </w:rPr>
        <w:tab/>
        <w:t>General Public License</w:t>
      </w:r>
    </w:p>
    <w:p w14:paraId="30869284"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GSM</w:t>
      </w:r>
      <w:r w:rsidRPr="008015C6">
        <w:rPr>
          <w:rFonts w:ascii="Times New Roman" w:hAnsi="Times New Roman" w:cs="Times New Roman"/>
          <w:sz w:val="24"/>
          <w:szCs w:val="24"/>
        </w:rPr>
        <w:tab/>
        <w:t>Global System for Mobile Communications</w:t>
      </w:r>
    </w:p>
    <w:p w14:paraId="35AF9504"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GSR</w:t>
      </w:r>
      <w:r w:rsidRPr="008015C6">
        <w:rPr>
          <w:rFonts w:ascii="Times New Roman" w:hAnsi="Times New Roman" w:cs="Times New Roman"/>
          <w:sz w:val="24"/>
          <w:szCs w:val="24"/>
        </w:rPr>
        <w:tab/>
        <w:t>Global Symposium for Regulators</w:t>
      </w:r>
    </w:p>
    <w:p w14:paraId="2BF483BC"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color w:val="000000"/>
          <w:sz w:val="24"/>
          <w:szCs w:val="24"/>
        </w:rPr>
        <w:t>GUI</w:t>
      </w:r>
      <w:r w:rsidRPr="008015C6">
        <w:rPr>
          <w:rFonts w:ascii="Times New Roman" w:hAnsi="Times New Roman" w:cs="Times New Roman"/>
          <w:sz w:val="24"/>
          <w:szCs w:val="24"/>
        </w:rPr>
        <w:tab/>
      </w:r>
      <w:r w:rsidRPr="008015C6">
        <w:rPr>
          <w:rFonts w:ascii="Times New Roman" w:hAnsi="Times New Roman" w:cs="Times New Roman"/>
          <w:color w:val="000000"/>
          <w:sz w:val="24"/>
          <w:szCs w:val="24"/>
        </w:rPr>
        <w:t>Graphical User Interface</w:t>
      </w:r>
    </w:p>
    <w:p w14:paraId="5E6E8F7F"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HTTP</w:t>
      </w:r>
      <w:r w:rsidRPr="008015C6">
        <w:rPr>
          <w:rFonts w:ascii="Times New Roman" w:hAnsi="Times New Roman" w:cs="Times New Roman"/>
          <w:sz w:val="24"/>
          <w:szCs w:val="24"/>
        </w:rPr>
        <w:tab/>
        <w:t xml:space="preserve">Hyper Text Transfer Protocol </w:t>
      </w:r>
    </w:p>
    <w:p w14:paraId="5283F0EC"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HVAC    </w:t>
      </w:r>
      <w:r w:rsidRPr="008015C6">
        <w:rPr>
          <w:rFonts w:ascii="Times New Roman" w:hAnsi="Times New Roman" w:cs="Times New Roman"/>
          <w:sz w:val="24"/>
          <w:szCs w:val="24"/>
        </w:rPr>
        <w:tab/>
        <w:t>Heating, Ventilation and Air Conditioning</w:t>
      </w:r>
    </w:p>
    <w:p w14:paraId="2ABE7C41"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IaaS</w:t>
      </w:r>
      <w:r w:rsidRPr="008015C6">
        <w:rPr>
          <w:rFonts w:ascii="Times New Roman" w:hAnsi="Times New Roman" w:cs="Times New Roman"/>
          <w:sz w:val="24"/>
          <w:szCs w:val="24"/>
        </w:rPr>
        <w:tab/>
        <w:t xml:space="preserve">Infrastructure as a Service </w:t>
      </w:r>
    </w:p>
    <w:p w14:paraId="68B1A061"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IACC</w:t>
      </w:r>
      <w:r w:rsidRPr="008015C6">
        <w:rPr>
          <w:rFonts w:ascii="Times New Roman" w:hAnsi="Times New Roman" w:cs="Times New Roman"/>
          <w:sz w:val="24"/>
          <w:szCs w:val="24"/>
        </w:rPr>
        <w:tab/>
        <w:t>International Advance Computing Conference</w:t>
      </w:r>
    </w:p>
    <w:p w14:paraId="0162901E"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IAS</w:t>
      </w:r>
      <w:r w:rsidRPr="008015C6">
        <w:rPr>
          <w:rFonts w:ascii="Times New Roman" w:hAnsi="Times New Roman" w:cs="Times New Roman"/>
          <w:sz w:val="24"/>
          <w:szCs w:val="24"/>
        </w:rPr>
        <w:tab/>
        <w:t>Internet Access Service</w:t>
      </w:r>
    </w:p>
    <w:p w14:paraId="3D3F916F"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IATA</w:t>
      </w:r>
      <w:r w:rsidRPr="008015C6">
        <w:rPr>
          <w:rFonts w:ascii="Times New Roman" w:hAnsi="Times New Roman" w:cs="Times New Roman"/>
          <w:sz w:val="24"/>
          <w:szCs w:val="24"/>
        </w:rPr>
        <w:tab/>
        <w:t>International Air Transport Association</w:t>
      </w:r>
    </w:p>
    <w:p w14:paraId="4ABB348E"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lastRenderedPageBreak/>
        <w:t>Ibid</w:t>
      </w:r>
      <w:r w:rsidRPr="008015C6">
        <w:rPr>
          <w:rFonts w:ascii="Times New Roman" w:hAnsi="Times New Roman" w:cs="Times New Roman"/>
          <w:sz w:val="24"/>
          <w:szCs w:val="24"/>
        </w:rPr>
        <w:tab/>
        <w:t>Ibidem</w:t>
      </w:r>
    </w:p>
    <w:p w14:paraId="0ADBF9BD"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IBM</w:t>
      </w:r>
      <w:r w:rsidRPr="008015C6">
        <w:rPr>
          <w:rFonts w:ascii="Times New Roman" w:hAnsi="Times New Roman" w:cs="Times New Roman"/>
          <w:sz w:val="24"/>
          <w:szCs w:val="24"/>
        </w:rPr>
        <w:tab/>
        <w:t>International Business Machines</w:t>
      </w:r>
    </w:p>
    <w:p w14:paraId="34088C72"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ICS</w:t>
      </w:r>
      <w:r w:rsidRPr="008015C6">
        <w:rPr>
          <w:rFonts w:ascii="Times New Roman" w:hAnsi="Times New Roman" w:cs="Times New Roman"/>
          <w:sz w:val="24"/>
          <w:szCs w:val="24"/>
        </w:rPr>
        <w:tab/>
        <w:t>Inter-personal Communications Service</w:t>
      </w:r>
    </w:p>
    <w:p w14:paraId="4700C183"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ICT</w:t>
      </w:r>
      <w:r w:rsidRPr="008015C6">
        <w:rPr>
          <w:rFonts w:ascii="Times New Roman" w:hAnsi="Times New Roman" w:cs="Times New Roman"/>
          <w:sz w:val="24"/>
          <w:szCs w:val="24"/>
        </w:rPr>
        <w:tab/>
        <w:t>Information and Communications Technology</w:t>
      </w:r>
    </w:p>
    <w:p w14:paraId="030C9F1A"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IE</w:t>
      </w:r>
      <w:r w:rsidRPr="008015C6">
        <w:rPr>
          <w:rFonts w:ascii="Times New Roman" w:hAnsi="Times New Roman" w:cs="Times New Roman"/>
          <w:sz w:val="24"/>
          <w:szCs w:val="24"/>
        </w:rPr>
        <w:tab/>
        <w:t>Internet Explorer</w:t>
      </w:r>
    </w:p>
    <w:p w14:paraId="16405A20"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IEEE</w:t>
      </w:r>
      <w:r w:rsidRPr="008015C6">
        <w:rPr>
          <w:rFonts w:ascii="Times New Roman" w:hAnsi="Times New Roman" w:cs="Times New Roman"/>
          <w:sz w:val="24"/>
          <w:szCs w:val="24"/>
        </w:rPr>
        <w:tab/>
        <w:t>Institute of Electrical and Electronics Engineers</w:t>
      </w:r>
    </w:p>
    <w:p w14:paraId="3DCE4183"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IETF</w:t>
      </w:r>
      <w:r w:rsidRPr="008015C6">
        <w:rPr>
          <w:rFonts w:ascii="Times New Roman" w:hAnsi="Times New Roman" w:cs="Times New Roman"/>
          <w:sz w:val="24"/>
          <w:szCs w:val="24"/>
        </w:rPr>
        <w:tab/>
        <w:t>Internet Engineering Task Force</w:t>
      </w:r>
    </w:p>
    <w:p w14:paraId="2CB41ECD"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iOS</w:t>
      </w:r>
      <w:r w:rsidRPr="008015C6">
        <w:rPr>
          <w:rFonts w:ascii="Times New Roman" w:hAnsi="Times New Roman" w:cs="Times New Roman"/>
          <w:sz w:val="24"/>
          <w:szCs w:val="24"/>
        </w:rPr>
        <w:tab/>
        <w:t>iPhone Operating System</w:t>
      </w:r>
    </w:p>
    <w:p w14:paraId="150E5AA5"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IoT</w:t>
      </w:r>
      <w:r w:rsidRPr="008015C6">
        <w:rPr>
          <w:rFonts w:ascii="Times New Roman" w:hAnsi="Times New Roman" w:cs="Times New Roman"/>
          <w:sz w:val="24"/>
          <w:szCs w:val="24"/>
        </w:rPr>
        <w:tab/>
        <w:t xml:space="preserve">Internet of Things </w:t>
      </w:r>
    </w:p>
    <w:p w14:paraId="62B819F2"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IP</w:t>
      </w:r>
      <w:r w:rsidRPr="008015C6">
        <w:rPr>
          <w:rFonts w:ascii="Times New Roman" w:hAnsi="Times New Roman" w:cs="Times New Roman"/>
          <w:sz w:val="24"/>
          <w:szCs w:val="24"/>
        </w:rPr>
        <w:tab/>
        <w:t>Internet Protocol</w:t>
      </w:r>
    </w:p>
    <w:p w14:paraId="4BC846FC"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IPR</w:t>
      </w:r>
      <w:r w:rsidRPr="008015C6">
        <w:rPr>
          <w:rFonts w:ascii="Times New Roman" w:hAnsi="Times New Roman" w:cs="Times New Roman"/>
          <w:sz w:val="24"/>
          <w:szCs w:val="24"/>
        </w:rPr>
        <w:tab/>
        <w:t>Intellectual Property Right</w:t>
      </w:r>
    </w:p>
    <w:p w14:paraId="5D5804DE"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IPv4</w:t>
      </w:r>
      <w:r w:rsidRPr="008015C6">
        <w:rPr>
          <w:rFonts w:ascii="Times New Roman" w:hAnsi="Times New Roman" w:cs="Times New Roman"/>
          <w:sz w:val="24"/>
          <w:szCs w:val="24"/>
        </w:rPr>
        <w:tab/>
        <w:t>Internet Protocol version 4</w:t>
      </w:r>
    </w:p>
    <w:p w14:paraId="14BF91E4"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IPv6</w:t>
      </w:r>
      <w:r w:rsidRPr="008015C6">
        <w:rPr>
          <w:rFonts w:ascii="Times New Roman" w:hAnsi="Times New Roman" w:cs="Times New Roman"/>
          <w:sz w:val="24"/>
          <w:szCs w:val="24"/>
        </w:rPr>
        <w:tab/>
        <w:t>Internet Protocol version 6</w:t>
      </w:r>
    </w:p>
    <w:p w14:paraId="144C981F"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ISDN</w:t>
      </w:r>
      <w:r w:rsidRPr="008015C6">
        <w:rPr>
          <w:rFonts w:ascii="Times New Roman" w:hAnsi="Times New Roman" w:cs="Times New Roman"/>
          <w:sz w:val="24"/>
          <w:szCs w:val="24"/>
        </w:rPr>
        <w:tab/>
        <w:t>Integrated Services Digital Network</w:t>
      </w:r>
    </w:p>
    <w:p w14:paraId="59748AE4"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ISO</w:t>
      </w:r>
      <w:r w:rsidRPr="008015C6">
        <w:rPr>
          <w:rFonts w:ascii="Times New Roman" w:hAnsi="Times New Roman" w:cs="Times New Roman"/>
          <w:sz w:val="24"/>
          <w:szCs w:val="24"/>
        </w:rPr>
        <w:tab/>
        <w:t>International Standards Organization</w:t>
      </w:r>
    </w:p>
    <w:p w14:paraId="67013E6B"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ISOC</w:t>
      </w:r>
      <w:r w:rsidRPr="008015C6">
        <w:rPr>
          <w:rFonts w:ascii="Times New Roman" w:hAnsi="Times New Roman" w:cs="Times New Roman"/>
          <w:sz w:val="24"/>
          <w:szCs w:val="24"/>
        </w:rPr>
        <w:tab/>
        <w:t>Internet Society</w:t>
      </w:r>
    </w:p>
    <w:p w14:paraId="35C476CC"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ISP  </w:t>
      </w:r>
      <w:r w:rsidRPr="008015C6">
        <w:rPr>
          <w:rFonts w:ascii="Times New Roman" w:hAnsi="Times New Roman" w:cs="Times New Roman"/>
          <w:sz w:val="24"/>
          <w:szCs w:val="24"/>
        </w:rPr>
        <w:tab/>
        <w:t>Internet Service Provider</w:t>
      </w:r>
    </w:p>
    <w:p w14:paraId="4D0E477A"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IT   </w:t>
      </w:r>
      <w:r w:rsidRPr="008015C6">
        <w:rPr>
          <w:rFonts w:ascii="Times New Roman" w:hAnsi="Times New Roman" w:cs="Times New Roman"/>
          <w:sz w:val="24"/>
          <w:szCs w:val="24"/>
        </w:rPr>
        <w:tab/>
        <w:t>Information Technology</w:t>
      </w:r>
    </w:p>
    <w:p w14:paraId="37D8E538"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ITU</w:t>
      </w:r>
      <w:r w:rsidRPr="008015C6">
        <w:rPr>
          <w:rFonts w:ascii="Times New Roman" w:hAnsi="Times New Roman" w:cs="Times New Roman"/>
          <w:sz w:val="24"/>
          <w:szCs w:val="24"/>
        </w:rPr>
        <w:tab/>
        <w:t>International Telecommunications Union</w:t>
      </w:r>
    </w:p>
    <w:p w14:paraId="16DE5D47"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JIPITEC</w:t>
      </w:r>
      <w:r w:rsidRPr="008015C6">
        <w:rPr>
          <w:rFonts w:ascii="Times New Roman" w:hAnsi="Times New Roman" w:cs="Times New Roman"/>
          <w:sz w:val="24"/>
          <w:szCs w:val="24"/>
        </w:rPr>
        <w:tab/>
        <w:t>Journal of Intellectual Property, Information Technology and E-Commerce Law</w:t>
      </w:r>
    </w:p>
    <w:p w14:paraId="6BAD2EA7"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LAN</w:t>
      </w:r>
      <w:r w:rsidRPr="008015C6">
        <w:rPr>
          <w:rFonts w:ascii="Times New Roman" w:hAnsi="Times New Roman" w:cs="Times New Roman"/>
          <w:sz w:val="24"/>
          <w:szCs w:val="24"/>
        </w:rPr>
        <w:tab/>
        <w:t>Local Area Network</w:t>
      </w:r>
    </w:p>
    <w:p w14:paraId="6DE3AFE8"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LLU</w:t>
      </w:r>
      <w:r w:rsidRPr="008015C6">
        <w:rPr>
          <w:rFonts w:ascii="Times New Roman" w:hAnsi="Times New Roman" w:cs="Times New Roman"/>
          <w:sz w:val="24"/>
          <w:szCs w:val="24"/>
        </w:rPr>
        <w:tab/>
        <w:t>Local Loop Unbundling</w:t>
      </w:r>
    </w:p>
    <w:p w14:paraId="52E03F35"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LoRa</w:t>
      </w:r>
      <w:r w:rsidRPr="008015C6">
        <w:rPr>
          <w:rFonts w:ascii="Times New Roman" w:hAnsi="Times New Roman" w:cs="Times New Roman"/>
          <w:sz w:val="24"/>
          <w:szCs w:val="24"/>
        </w:rPr>
        <w:tab/>
        <w:t>Long Range</w:t>
      </w:r>
    </w:p>
    <w:p w14:paraId="7FE5ABB1"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LTE</w:t>
      </w:r>
      <w:r w:rsidRPr="008015C6">
        <w:rPr>
          <w:rFonts w:ascii="Times New Roman" w:hAnsi="Times New Roman" w:cs="Times New Roman"/>
          <w:sz w:val="24"/>
          <w:szCs w:val="24"/>
        </w:rPr>
        <w:tab/>
        <w:t xml:space="preserve">Long-Term Evolution </w:t>
      </w:r>
    </w:p>
    <w:p w14:paraId="28F8A488"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lang w:val="en-US"/>
        </w:rPr>
        <w:t>M&amp;A</w:t>
      </w:r>
      <w:r w:rsidRPr="008015C6">
        <w:rPr>
          <w:rFonts w:ascii="Times New Roman" w:hAnsi="Times New Roman" w:cs="Times New Roman"/>
          <w:sz w:val="24"/>
          <w:szCs w:val="24"/>
        </w:rPr>
        <w:tab/>
      </w:r>
      <w:r w:rsidRPr="008015C6">
        <w:rPr>
          <w:rFonts w:ascii="Times New Roman" w:hAnsi="Times New Roman" w:cs="Times New Roman"/>
          <w:sz w:val="24"/>
          <w:szCs w:val="24"/>
          <w:lang w:val="en-US"/>
        </w:rPr>
        <w:t>Merger and Acquisition</w:t>
      </w:r>
    </w:p>
    <w:p w14:paraId="65CCB95D"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M2M</w:t>
      </w:r>
      <w:r w:rsidRPr="008015C6">
        <w:rPr>
          <w:rFonts w:ascii="Times New Roman" w:hAnsi="Times New Roman" w:cs="Times New Roman"/>
          <w:sz w:val="24"/>
          <w:szCs w:val="24"/>
        </w:rPr>
        <w:tab/>
        <w:t>Machine-to-Machine</w:t>
      </w:r>
    </w:p>
    <w:p w14:paraId="79F01B52" w14:textId="77777777" w:rsidR="00EF76D6" w:rsidRPr="008015C6" w:rsidRDefault="00EF76D6" w:rsidP="00A70042">
      <w:pPr>
        <w:spacing w:line="360" w:lineRule="auto"/>
        <w:ind w:left="2127" w:right="-2" w:hanging="2126"/>
        <w:rPr>
          <w:rFonts w:ascii="Times New Roman" w:hAnsi="Times New Roman" w:cs="Times New Roman"/>
          <w:sz w:val="24"/>
          <w:szCs w:val="24"/>
          <w:lang w:val="en-US"/>
        </w:rPr>
      </w:pPr>
      <w:r w:rsidRPr="008015C6">
        <w:rPr>
          <w:rFonts w:ascii="Times New Roman" w:hAnsi="Times New Roman" w:cs="Times New Roman"/>
          <w:sz w:val="24"/>
          <w:szCs w:val="24"/>
          <w:lang w:val="en-US"/>
        </w:rPr>
        <w:t>MCR</w:t>
      </w:r>
      <w:r w:rsidRPr="008015C6">
        <w:rPr>
          <w:rFonts w:ascii="Times New Roman" w:hAnsi="Times New Roman" w:cs="Times New Roman"/>
          <w:sz w:val="24"/>
          <w:szCs w:val="24"/>
          <w:lang w:val="en-US"/>
        </w:rPr>
        <w:tab/>
        <w:t>Merger Control Regulation</w:t>
      </w:r>
    </w:p>
    <w:p w14:paraId="0B550045" w14:textId="77777777" w:rsidR="00EF76D6" w:rsidRPr="008015C6" w:rsidRDefault="00EF76D6" w:rsidP="00A70042">
      <w:pPr>
        <w:spacing w:line="360" w:lineRule="auto"/>
        <w:ind w:left="2127" w:right="-2" w:hanging="2126"/>
        <w:rPr>
          <w:rFonts w:ascii="Times New Roman" w:hAnsi="Times New Roman" w:cs="Times New Roman"/>
          <w:sz w:val="24"/>
          <w:szCs w:val="24"/>
          <w:lang w:val="en-US"/>
        </w:rPr>
      </w:pPr>
      <w:r w:rsidRPr="008015C6">
        <w:rPr>
          <w:rFonts w:ascii="Times New Roman" w:hAnsi="Times New Roman" w:cs="Times New Roman"/>
          <w:sz w:val="24"/>
          <w:szCs w:val="24"/>
          <w:lang w:val="en-US"/>
        </w:rPr>
        <w:t>MCU</w:t>
      </w:r>
      <w:r w:rsidRPr="008015C6">
        <w:rPr>
          <w:rFonts w:ascii="Times New Roman" w:hAnsi="Times New Roman" w:cs="Times New Roman"/>
          <w:sz w:val="24"/>
          <w:szCs w:val="24"/>
          <w:lang w:val="en-US"/>
        </w:rPr>
        <w:tab/>
        <w:t>Multi-Point Control Unit</w:t>
      </w:r>
    </w:p>
    <w:p w14:paraId="56F804B2" w14:textId="77777777" w:rsidR="00EF76D6" w:rsidRPr="008015C6" w:rsidRDefault="00EF76D6" w:rsidP="00A70042">
      <w:pPr>
        <w:spacing w:line="360" w:lineRule="auto"/>
        <w:ind w:left="2127" w:right="-2" w:hanging="2126"/>
        <w:rPr>
          <w:rFonts w:ascii="Times New Roman" w:hAnsi="Times New Roman" w:cs="Times New Roman"/>
          <w:sz w:val="24"/>
          <w:szCs w:val="24"/>
          <w:lang w:val="en-US"/>
        </w:rPr>
      </w:pPr>
      <w:r w:rsidRPr="008015C6">
        <w:rPr>
          <w:rFonts w:ascii="Times New Roman" w:hAnsi="Times New Roman" w:cs="Times New Roman"/>
          <w:sz w:val="24"/>
          <w:szCs w:val="24"/>
        </w:rPr>
        <w:t xml:space="preserve">MIT Press         </w:t>
      </w:r>
      <w:r w:rsidRPr="008015C6">
        <w:rPr>
          <w:rFonts w:ascii="Times New Roman" w:hAnsi="Times New Roman" w:cs="Times New Roman"/>
          <w:sz w:val="24"/>
          <w:szCs w:val="24"/>
          <w:lang w:val="en-US"/>
        </w:rPr>
        <w:tab/>
      </w:r>
      <w:r w:rsidRPr="008015C6">
        <w:rPr>
          <w:rFonts w:ascii="Times New Roman" w:hAnsi="Times New Roman" w:cs="Times New Roman"/>
          <w:sz w:val="24"/>
          <w:szCs w:val="24"/>
        </w:rPr>
        <w:t>Massachusetts Institute of Technology Press</w:t>
      </w:r>
    </w:p>
    <w:p w14:paraId="03D91242" w14:textId="77777777" w:rsidR="00EF76D6" w:rsidRPr="008015C6" w:rsidRDefault="00EF76D6" w:rsidP="00A70042">
      <w:pPr>
        <w:spacing w:line="360" w:lineRule="auto"/>
        <w:ind w:left="2127" w:right="-2" w:hanging="2126"/>
        <w:rPr>
          <w:rFonts w:ascii="Times New Roman" w:hAnsi="Times New Roman" w:cs="Times New Roman"/>
          <w:sz w:val="24"/>
          <w:szCs w:val="24"/>
          <w:lang w:val="en-US"/>
        </w:rPr>
      </w:pPr>
      <w:r w:rsidRPr="008015C6">
        <w:rPr>
          <w:rFonts w:ascii="Times New Roman" w:hAnsi="Times New Roman" w:cs="Times New Roman"/>
          <w:sz w:val="24"/>
          <w:szCs w:val="24"/>
        </w:rPr>
        <w:t>MNC</w:t>
      </w:r>
      <w:r w:rsidRPr="008015C6">
        <w:rPr>
          <w:rFonts w:ascii="Times New Roman" w:hAnsi="Times New Roman" w:cs="Times New Roman"/>
          <w:sz w:val="24"/>
          <w:szCs w:val="24"/>
          <w:lang w:val="en-US"/>
        </w:rPr>
        <w:tab/>
      </w:r>
      <w:r w:rsidRPr="008015C6">
        <w:rPr>
          <w:rFonts w:ascii="Times New Roman" w:hAnsi="Times New Roman" w:cs="Times New Roman"/>
          <w:sz w:val="24"/>
          <w:szCs w:val="24"/>
        </w:rPr>
        <w:t>Mobile Numbering Code</w:t>
      </w:r>
    </w:p>
    <w:p w14:paraId="399E2F8A"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NES</w:t>
      </w:r>
      <w:r w:rsidRPr="008015C6">
        <w:rPr>
          <w:rFonts w:ascii="Times New Roman" w:hAnsi="Times New Roman" w:cs="Times New Roman"/>
          <w:sz w:val="24"/>
          <w:szCs w:val="24"/>
        </w:rPr>
        <w:tab/>
        <w:t>Nintendo Entertainment System</w:t>
      </w:r>
    </w:p>
    <w:p w14:paraId="04929881"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NFC</w:t>
      </w:r>
      <w:r w:rsidRPr="008015C6">
        <w:rPr>
          <w:rFonts w:ascii="Times New Roman" w:hAnsi="Times New Roman" w:cs="Times New Roman"/>
          <w:sz w:val="24"/>
          <w:szCs w:val="24"/>
        </w:rPr>
        <w:tab/>
        <w:t>Near Field Communication</w:t>
      </w:r>
    </w:p>
    <w:p w14:paraId="06F13867"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NGN</w:t>
      </w:r>
      <w:r w:rsidRPr="008015C6">
        <w:rPr>
          <w:rFonts w:ascii="Times New Roman" w:hAnsi="Times New Roman" w:cs="Times New Roman"/>
          <w:sz w:val="24"/>
          <w:szCs w:val="24"/>
        </w:rPr>
        <w:tab/>
        <w:t>Next Generation Network</w:t>
      </w:r>
    </w:p>
    <w:p w14:paraId="6F0D68FC"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lastRenderedPageBreak/>
        <w:t>NIST</w:t>
      </w:r>
      <w:r w:rsidRPr="008015C6">
        <w:rPr>
          <w:rFonts w:ascii="Times New Roman" w:hAnsi="Times New Roman" w:cs="Times New Roman"/>
          <w:sz w:val="24"/>
          <w:szCs w:val="24"/>
        </w:rPr>
        <w:tab/>
        <w:t>National Institute for Standards and Technology</w:t>
      </w:r>
    </w:p>
    <w:p w14:paraId="708173C5"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lang w:val="en-US"/>
        </w:rPr>
        <w:t>NRA</w:t>
      </w:r>
      <w:r w:rsidRPr="008015C6">
        <w:rPr>
          <w:rFonts w:ascii="Times New Roman" w:hAnsi="Times New Roman" w:cs="Times New Roman"/>
          <w:sz w:val="24"/>
          <w:szCs w:val="24"/>
        </w:rPr>
        <w:tab/>
        <w:t>National Regulatory Authority</w:t>
      </w:r>
    </w:p>
    <w:p w14:paraId="31433FE2"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lang w:val="en-US"/>
        </w:rPr>
        <w:t>OCF</w:t>
      </w:r>
      <w:r w:rsidRPr="008015C6">
        <w:rPr>
          <w:rFonts w:ascii="Times New Roman" w:hAnsi="Times New Roman" w:cs="Times New Roman"/>
          <w:sz w:val="24"/>
          <w:szCs w:val="24"/>
          <w:lang w:val="en-US"/>
        </w:rPr>
        <w:tab/>
      </w:r>
      <w:r w:rsidRPr="008015C6">
        <w:rPr>
          <w:rFonts w:ascii="Times New Roman" w:hAnsi="Times New Roman" w:cs="Times New Roman"/>
          <w:sz w:val="24"/>
          <w:szCs w:val="24"/>
        </w:rPr>
        <w:t>Open Connectivity Foundation</w:t>
      </w:r>
    </w:p>
    <w:p w14:paraId="7BF6898E"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OCS</w:t>
      </w:r>
      <w:r w:rsidRPr="008015C6">
        <w:rPr>
          <w:rFonts w:ascii="Times New Roman" w:hAnsi="Times New Roman" w:cs="Times New Roman"/>
          <w:sz w:val="24"/>
          <w:szCs w:val="24"/>
        </w:rPr>
        <w:tab/>
        <w:t xml:space="preserve">Online Communications Service </w:t>
      </w:r>
    </w:p>
    <w:p w14:paraId="3C07FF3A"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OECD </w:t>
      </w:r>
      <w:r w:rsidRPr="008015C6">
        <w:rPr>
          <w:rFonts w:ascii="Times New Roman" w:hAnsi="Times New Roman" w:cs="Times New Roman"/>
          <w:sz w:val="24"/>
          <w:szCs w:val="24"/>
        </w:rPr>
        <w:tab/>
        <w:t>Organisation for Economic Co-operation and Development</w:t>
      </w:r>
    </w:p>
    <w:p w14:paraId="19D72A9D"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OEM</w:t>
      </w:r>
      <w:r w:rsidRPr="008015C6">
        <w:rPr>
          <w:rFonts w:ascii="Times New Roman" w:hAnsi="Times New Roman" w:cs="Times New Roman"/>
          <w:sz w:val="24"/>
          <w:szCs w:val="24"/>
        </w:rPr>
        <w:tab/>
        <w:t>Original Equipment Manufacturer</w:t>
      </w:r>
    </w:p>
    <w:p w14:paraId="6E8A9B01"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OMA</w:t>
      </w:r>
      <w:r w:rsidRPr="008015C6">
        <w:rPr>
          <w:rFonts w:ascii="Times New Roman" w:hAnsi="Times New Roman" w:cs="Times New Roman"/>
          <w:sz w:val="24"/>
          <w:szCs w:val="24"/>
        </w:rPr>
        <w:tab/>
        <w:t>Open Mobile Alliance</w:t>
      </w:r>
    </w:p>
    <w:p w14:paraId="56696AA0"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ONP    </w:t>
      </w:r>
      <w:r w:rsidRPr="008015C6">
        <w:rPr>
          <w:rFonts w:ascii="Times New Roman" w:hAnsi="Times New Roman" w:cs="Times New Roman"/>
          <w:sz w:val="24"/>
          <w:szCs w:val="24"/>
        </w:rPr>
        <w:tab/>
        <w:t>Open Network Provision</w:t>
      </w:r>
    </w:p>
    <w:p w14:paraId="252C604E"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lang w:val="en-US"/>
        </w:rPr>
        <w:t>OS</w:t>
      </w:r>
      <w:r w:rsidRPr="008015C6">
        <w:rPr>
          <w:rFonts w:ascii="Times New Roman" w:hAnsi="Times New Roman" w:cs="Times New Roman"/>
          <w:sz w:val="24"/>
          <w:szCs w:val="24"/>
        </w:rPr>
        <w:tab/>
      </w:r>
      <w:r w:rsidRPr="008015C6">
        <w:rPr>
          <w:rFonts w:ascii="Times New Roman" w:hAnsi="Times New Roman" w:cs="Times New Roman"/>
          <w:sz w:val="24"/>
          <w:szCs w:val="24"/>
          <w:lang w:val="en-US"/>
        </w:rPr>
        <w:t>Operating System</w:t>
      </w:r>
    </w:p>
    <w:p w14:paraId="3277648E"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lang w:val="en-US"/>
        </w:rPr>
      </w:pPr>
      <w:r w:rsidRPr="008015C6">
        <w:rPr>
          <w:rFonts w:ascii="Times New Roman" w:hAnsi="Times New Roman" w:cs="Times New Roman"/>
          <w:sz w:val="24"/>
          <w:szCs w:val="24"/>
        </w:rPr>
        <w:t>OSI</w:t>
      </w:r>
      <w:r w:rsidRPr="008015C6">
        <w:rPr>
          <w:rFonts w:ascii="Times New Roman" w:hAnsi="Times New Roman" w:cs="Times New Roman"/>
          <w:sz w:val="24"/>
          <w:szCs w:val="24"/>
          <w:lang w:val="en-US"/>
        </w:rPr>
        <w:tab/>
        <w:t>Open Systems Interconnection</w:t>
      </w:r>
    </w:p>
    <w:p w14:paraId="29597BB8"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OSS</w:t>
      </w:r>
      <w:r w:rsidRPr="008015C6">
        <w:rPr>
          <w:rFonts w:ascii="Times New Roman" w:hAnsi="Times New Roman" w:cs="Times New Roman"/>
          <w:sz w:val="24"/>
          <w:szCs w:val="24"/>
        </w:rPr>
        <w:tab/>
        <w:t>Open Source Software</w:t>
      </w:r>
    </w:p>
    <w:p w14:paraId="68EC1D67"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OTA</w:t>
      </w:r>
      <w:r w:rsidRPr="008015C6">
        <w:rPr>
          <w:rFonts w:ascii="Times New Roman" w:hAnsi="Times New Roman" w:cs="Times New Roman"/>
          <w:sz w:val="24"/>
          <w:szCs w:val="24"/>
        </w:rPr>
        <w:tab/>
        <w:t xml:space="preserve">Over-the-Air </w:t>
      </w:r>
    </w:p>
    <w:p w14:paraId="4530F746"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OTT</w:t>
      </w:r>
      <w:r w:rsidRPr="008015C6">
        <w:rPr>
          <w:rFonts w:ascii="Times New Roman" w:hAnsi="Times New Roman" w:cs="Times New Roman"/>
          <w:sz w:val="24"/>
          <w:szCs w:val="24"/>
        </w:rPr>
        <w:tab/>
        <w:t>Over-the-Top</w:t>
      </w:r>
    </w:p>
    <w:p w14:paraId="028AFFC4"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OUP</w:t>
      </w:r>
      <w:r w:rsidRPr="008015C6">
        <w:rPr>
          <w:rFonts w:ascii="Times New Roman" w:hAnsi="Times New Roman" w:cs="Times New Roman"/>
          <w:sz w:val="24"/>
          <w:szCs w:val="24"/>
        </w:rPr>
        <w:tab/>
        <w:t>Oxford University Press</w:t>
      </w:r>
    </w:p>
    <w:p w14:paraId="2982B2AF"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OVF</w:t>
      </w:r>
      <w:r w:rsidRPr="008015C6">
        <w:rPr>
          <w:rFonts w:ascii="Times New Roman" w:hAnsi="Times New Roman" w:cs="Times New Roman"/>
          <w:sz w:val="24"/>
          <w:szCs w:val="24"/>
        </w:rPr>
        <w:tab/>
        <w:t>Open Virtualization Format</w:t>
      </w:r>
    </w:p>
    <w:p w14:paraId="160DAB10"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P2P</w:t>
      </w:r>
      <w:r w:rsidRPr="008015C6">
        <w:rPr>
          <w:rFonts w:ascii="Times New Roman" w:hAnsi="Times New Roman" w:cs="Times New Roman"/>
          <w:sz w:val="24"/>
          <w:szCs w:val="24"/>
        </w:rPr>
        <w:tab/>
        <w:t>Point-to-Point</w:t>
      </w:r>
    </w:p>
    <w:p w14:paraId="256833DF"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PaaS</w:t>
      </w:r>
      <w:r w:rsidRPr="008015C6">
        <w:rPr>
          <w:rFonts w:ascii="Times New Roman" w:hAnsi="Times New Roman" w:cs="Times New Roman"/>
          <w:sz w:val="24"/>
          <w:szCs w:val="24"/>
        </w:rPr>
        <w:tab/>
        <w:t xml:space="preserve">Platform as a Service </w:t>
      </w:r>
    </w:p>
    <w:p w14:paraId="299AA830"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PC</w:t>
      </w:r>
      <w:r w:rsidRPr="008015C6">
        <w:rPr>
          <w:rFonts w:ascii="Times New Roman" w:hAnsi="Times New Roman" w:cs="Times New Roman"/>
          <w:sz w:val="24"/>
          <w:szCs w:val="24"/>
        </w:rPr>
        <w:tab/>
        <w:t xml:space="preserve">Personal Computer </w:t>
      </w:r>
    </w:p>
    <w:p w14:paraId="2D32F96E"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PSAP</w:t>
      </w:r>
      <w:r w:rsidRPr="008015C6">
        <w:rPr>
          <w:rFonts w:ascii="Times New Roman" w:hAnsi="Times New Roman" w:cs="Times New Roman"/>
          <w:sz w:val="24"/>
          <w:szCs w:val="24"/>
        </w:rPr>
        <w:tab/>
        <w:t>Public Safety Answering Point</w:t>
      </w:r>
    </w:p>
    <w:p w14:paraId="1797A916"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lang w:val="en-US"/>
        </w:rPr>
        <w:t>PSN</w:t>
      </w:r>
      <w:r w:rsidRPr="008015C6">
        <w:rPr>
          <w:rFonts w:ascii="Times New Roman" w:hAnsi="Times New Roman" w:cs="Times New Roman"/>
          <w:sz w:val="24"/>
          <w:szCs w:val="24"/>
        </w:rPr>
        <w:tab/>
      </w:r>
      <w:r w:rsidRPr="008015C6">
        <w:rPr>
          <w:rFonts w:ascii="Times New Roman" w:hAnsi="Times New Roman" w:cs="Times New Roman"/>
          <w:sz w:val="24"/>
          <w:szCs w:val="24"/>
          <w:lang w:val="en-US"/>
        </w:rPr>
        <w:t>Professional Social Networking</w:t>
      </w:r>
    </w:p>
    <w:p w14:paraId="303E6658"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PSTN</w:t>
      </w:r>
      <w:r w:rsidRPr="008015C6">
        <w:rPr>
          <w:rFonts w:ascii="Times New Roman" w:hAnsi="Times New Roman" w:cs="Times New Roman"/>
          <w:sz w:val="24"/>
          <w:szCs w:val="24"/>
        </w:rPr>
        <w:tab/>
        <w:t>Public Switched Telephone Network</w:t>
      </w:r>
    </w:p>
    <w:p w14:paraId="64E8FE08"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lang w:val="tr-TR"/>
        </w:rPr>
        <w:t>PTT</w:t>
      </w:r>
      <w:r w:rsidRPr="008015C6">
        <w:rPr>
          <w:rFonts w:ascii="Times New Roman" w:hAnsi="Times New Roman" w:cs="Times New Roman"/>
          <w:sz w:val="24"/>
          <w:szCs w:val="24"/>
        </w:rPr>
        <w:tab/>
      </w:r>
      <w:r w:rsidRPr="008015C6">
        <w:rPr>
          <w:rFonts w:ascii="Times New Roman" w:hAnsi="Times New Roman" w:cs="Times New Roman"/>
          <w:sz w:val="24"/>
          <w:szCs w:val="24"/>
          <w:lang w:val="tr-TR"/>
        </w:rPr>
        <w:t xml:space="preserve">Postal Telegraph and Telephone </w:t>
      </w:r>
    </w:p>
    <w:p w14:paraId="59665E5C"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QoS  </w:t>
      </w:r>
      <w:r w:rsidRPr="008015C6">
        <w:rPr>
          <w:rFonts w:ascii="Times New Roman" w:hAnsi="Times New Roman" w:cs="Times New Roman"/>
          <w:sz w:val="24"/>
          <w:szCs w:val="24"/>
        </w:rPr>
        <w:tab/>
        <w:t>Quality of Service</w:t>
      </w:r>
    </w:p>
    <w:p w14:paraId="473EC703"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QWERTY</w:t>
      </w:r>
      <w:r w:rsidRPr="008015C6">
        <w:rPr>
          <w:rFonts w:ascii="Times New Roman" w:hAnsi="Times New Roman" w:cs="Times New Roman"/>
          <w:sz w:val="24"/>
          <w:szCs w:val="24"/>
        </w:rPr>
        <w:tab/>
        <w:t>Standard computer or typewriter keyboard</w:t>
      </w:r>
    </w:p>
    <w:p w14:paraId="4E65A4E4"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RAND</w:t>
      </w:r>
      <w:r w:rsidRPr="008015C6">
        <w:rPr>
          <w:rFonts w:ascii="Times New Roman" w:hAnsi="Times New Roman" w:cs="Times New Roman"/>
          <w:sz w:val="24"/>
          <w:szCs w:val="24"/>
        </w:rPr>
        <w:tab/>
        <w:t>Reasonable and Non-Discriminatory</w:t>
      </w:r>
    </w:p>
    <w:p w14:paraId="2C73A0C3"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RAR</w:t>
      </w:r>
      <w:r w:rsidRPr="008015C6">
        <w:rPr>
          <w:rFonts w:ascii="Times New Roman" w:hAnsi="Times New Roman" w:cs="Times New Roman"/>
          <w:sz w:val="24"/>
          <w:szCs w:val="24"/>
        </w:rPr>
        <w:tab/>
        <w:t>Roshal Archive</w:t>
      </w:r>
    </w:p>
    <w:p w14:paraId="6AEB1BD3"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RFID</w:t>
      </w:r>
      <w:r w:rsidRPr="008015C6">
        <w:rPr>
          <w:rFonts w:ascii="Times New Roman" w:hAnsi="Times New Roman" w:cs="Times New Roman"/>
          <w:sz w:val="24"/>
          <w:szCs w:val="24"/>
        </w:rPr>
        <w:tab/>
        <w:t>Radio Frequency Identification</w:t>
      </w:r>
    </w:p>
    <w:p w14:paraId="58975653"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lang w:eastAsia="en-GB"/>
        </w:rPr>
        <w:t>RtDP</w:t>
      </w:r>
      <w:r w:rsidRPr="008015C6">
        <w:rPr>
          <w:rFonts w:ascii="Times New Roman" w:hAnsi="Times New Roman" w:cs="Times New Roman"/>
          <w:sz w:val="24"/>
          <w:szCs w:val="24"/>
        </w:rPr>
        <w:tab/>
      </w:r>
      <w:r w:rsidRPr="008015C6">
        <w:rPr>
          <w:rFonts w:ascii="Times New Roman" w:hAnsi="Times New Roman" w:cs="Times New Roman"/>
          <w:sz w:val="24"/>
          <w:szCs w:val="24"/>
          <w:lang w:eastAsia="en-GB"/>
        </w:rPr>
        <w:t>Right to Data Portability</w:t>
      </w:r>
    </w:p>
    <w:p w14:paraId="40D7A4EA"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SaaS</w:t>
      </w:r>
      <w:r w:rsidRPr="008015C6">
        <w:rPr>
          <w:rFonts w:ascii="Times New Roman" w:hAnsi="Times New Roman" w:cs="Times New Roman"/>
          <w:sz w:val="24"/>
          <w:szCs w:val="24"/>
        </w:rPr>
        <w:tab/>
        <w:t>Software as a Service</w:t>
      </w:r>
    </w:p>
    <w:p w14:paraId="2BDE7B07"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SAP</w:t>
      </w:r>
      <w:r w:rsidRPr="008015C6">
        <w:rPr>
          <w:rFonts w:ascii="Times New Roman" w:hAnsi="Times New Roman" w:cs="Times New Roman"/>
          <w:sz w:val="24"/>
          <w:szCs w:val="24"/>
        </w:rPr>
        <w:tab/>
        <w:t xml:space="preserve">Systems, Applications &amp; Products  </w:t>
      </w:r>
    </w:p>
    <w:p w14:paraId="1122831A"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SDK</w:t>
      </w:r>
      <w:r w:rsidRPr="008015C6">
        <w:rPr>
          <w:rFonts w:ascii="Times New Roman" w:hAnsi="Times New Roman" w:cs="Times New Roman"/>
          <w:sz w:val="24"/>
          <w:szCs w:val="24"/>
        </w:rPr>
        <w:tab/>
        <w:t>Software Development Kit</w:t>
      </w:r>
    </w:p>
    <w:p w14:paraId="740C41D3"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SDN</w:t>
      </w:r>
      <w:r w:rsidRPr="008015C6">
        <w:rPr>
          <w:rFonts w:ascii="Times New Roman" w:hAnsi="Times New Roman" w:cs="Times New Roman"/>
          <w:sz w:val="24"/>
          <w:szCs w:val="24"/>
        </w:rPr>
        <w:tab/>
        <w:t>Software Defined Networking</w:t>
      </w:r>
    </w:p>
    <w:p w14:paraId="15464380"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SEP</w:t>
      </w:r>
      <w:r w:rsidRPr="008015C6">
        <w:rPr>
          <w:rFonts w:ascii="Times New Roman" w:hAnsi="Times New Roman" w:cs="Times New Roman"/>
          <w:sz w:val="24"/>
          <w:szCs w:val="24"/>
        </w:rPr>
        <w:tab/>
        <w:t>Standard Essential Patent</w:t>
      </w:r>
    </w:p>
    <w:p w14:paraId="4398451D"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SIEC</w:t>
      </w:r>
      <w:r w:rsidRPr="008015C6">
        <w:rPr>
          <w:rFonts w:ascii="Times New Roman" w:hAnsi="Times New Roman" w:cs="Times New Roman"/>
          <w:sz w:val="24"/>
          <w:szCs w:val="24"/>
        </w:rPr>
        <w:tab/>
        <w:t>Significant Impediment to Effective Competition</w:t>
      </w:r>
    </w:p>
    <w:p w14:paraId="43A04B8B"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lastRenderedPageBreak/>
        <w:t>SIM</w:t>
      </w:r>
      <w:r w:rsidRPr="008015C6">
        <w:rPr>
          <w:rFonts w:ascii="Times New Roman" w:hAnsi="Times New Roman" w:cs="Times New Roman"/>
          <w:sz w:val="24"/>
          <w:szCs w:val="24"/>
        </w:rPr>
        <w:tab/>
        <w:t>Subscriber Identity Module</w:t>
      </w:r>
    </w:p>
    <w:p w14:paraId="777EDD72"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SME</w:t>
      </w:r>
      <w:r w:rsidRPr="008015C6">
        <w:rPr>
          <w:rFonts w:ascii="Times New Roman" w:hAnsi="Times New Roman" w:cs="Times New Roman"/>
          <w:sz w:val="24"/>
          <w:szCs w:val="24"/>
        </w:rPr>
        <w:tab/>
        <w:t>Small and Medium-sized Enterprise</w:t>
      </w:r>
    </w:p>
    <w:p w14:paraId="59026954"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SMP</w:t>
      </w:r>
      <w:r w:rsidRPr="008015C6">
        <w:rPr>
          <w:rFonts w:ascii="Times New Roman" w:hAnsi="Times New Roman" w:cs="Times New Roman"/>
          <w:sz w:val="24"/>
          <w:szCs w:val="24"/>
        </w:rPr>
        <w:tab/>
        <w:t>Significant Market Power</w:t>
      </w:r>
    </w:p>
    <w:p w14:paraId="4C8FB2BA"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SSNIP</w:t>
      </w:r>
      <w:r w:rsidRPr="008015C6">
        <w:rPr>
          <w:rFonts w:ascii="Times New Roman" w:hAnsi="Times New Roman" w:cs="Times New Roman"/>
          <w:sz w:val="24"/>
          <w:szCs w:val="24"/>
        </w:rPr>
        <w:tab/>
        <w:t>Small but Significant and Non-Transitory Increase in Price</w:t>
      </w:r>
    </w:p>
    <w:p w14:paraId="3FC86309"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SSO</w:t>
      </w:r>
      <w:r w:rsidRPr="008015C6">
        <w:rPr>
          <w:rFonts w:ascii="Times New Roman" w:hAnsi="Times New Roman" w:cs="Times New Roman"/>
          <w:sz w:val="24"/>
          <w:szCs w:val="24"/>
        </w:rPr>
        <w:tab/>
        <w:t>Standard Setting Organisation</w:t>
      </w:r>
    </w:p>
    <w:p w14:paraId="058C2578"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SSRN</w:t>
      </w:r>
      <w:r w:rsidRPr="008015C6">
        <w:rPr>
          <w:rFonts w:ascii="Times New Roman" w:hAnsi="Times New Roman" w:cs="Times New Roman"/>
          <w:sz w:val="24"/>
          <w:szCs w:val="24"/>
        </w:rPr>
        <w:tab/>
        <w:t>Social Science Research Network</w:t>
      </w:r>
    </w:p>
    <w:p w14:paraId="6C860DDC"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SSV</w:t>
      </w:r>
      <w:r w:rsidRPr="008015C6">
        <w:rPr>
          <w:rFonts w:ascii="Times New Roman" w:hAnsi="Times New Roman" w:cs="Times New Roman"/>
          <w:sz w:val="24"/>
          <w:szCs w:val="24"/>
        </w:rPr>
        <w:tab/>
        <w:t>Software Security Vendor</w:t>
      </w:r>
    </w:p>
    <w:p w14:paraId="6DCEA3A2"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TCP</w:t>
      </w:r>
      <w:r w:rsidRPr="008015C6">
        <w:rPr>
          <w:rFonts w:ascii="Times New Roman" w:hAnsi="Times New Roman" w:cs="Times New Roman"/>
          <w:sz w:val="24"/>
          <w:szCs w:val="24"/>
        </w:rPr>
        <w:tab/>
        <w:t>Transmission Control Protocol</w:t>
      </w:r>
    </w:p>
    <w:p w14:paraId="2B6881A7"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TDM</w:t>
      </w:r>
      <w:r w:rsidRPr="008015C6">
        <w:rPr>
          <w:rFonts w:ascii="Times New Roman" w:hAnsi="Times New Roman" w:cs="Times New Roman"/>
          <w:sz w:val="24"/>
          <w:szCs w:val="24"/>
        </w:rPr>
        <w:tab/>
        <w:t>Time Division Multiplexing</w:t>
      </w:r>
    </w:p>
    <w:p w14:paraId="6342AAA0"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TEEC</w:t>
      </w:r>
      <w:r w:rsidRPr="008015C6">
        <w:rPr>
          <w:rFonts w:ascii="Times New Roman" w:hAnsi="Times New Roman" w:cs="Times New Roman"/>
          <w:sz w:val="24"/>
          <w:szCs w:val="24"/>
        </w:rPr>
        <w:tab/>
        <w:t>Treaty Establishing the European Community</w:t>
      </w:r>
    </w:p>
    <w:p w14:paraId="0F98967E"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Telco   </w:t>
      </w:r>
      <w:r w:rsidRPr="008015C6">
        <w:rPr>
          <w:rFonts w:ascii="Times New Roman" w:hAnsi="Times New Roman" w:cs="Times New Roman"/>
          <w:sz w:val="24"/>
          <w:szCs w:val="24"/>
        </w:rPr>
        <w:tab/>
        <w:t>Telecommunications company</w:t>
      </w:r>
    </w:p>
    <w:p w14:paraId="6BD2157F"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lang w:val="en-US"/>
        </w:rPr>
        <w:t>TFEU</w:t>
      </w:r>
      <w:r w:rsidRPr="008015C6">
        <w:rPr>
          <w:rFonts w:ascii="Times New Roman" w:hAnsi="Times New Roman" w:cs="Times New Roman"/>
          <w:sz w:val="24"/>
          <w:szCs w:val="24"/>
        </w:rPr>
        <w:tab/>
      </w:r>
      <w:r w:rsidRPr="008015C6">
        <w:rPr>
          <w:rFonts w:ascii="Times New Roman" w:hAnsi="Times New Roman" w:cs="Times New Roman"/>
          <w:sz w:val="24"/>
          <w:szCs w:val="24"/>
          <w:lang w:val="en-US"/>
        </w:rPr>
        <w:t>Treaty on the Functioning of the European Union</w:t>
      </w:r>
    </w:p>
    <w:p w14:paraId="758F8C0A" w14:textId="77777777" w:rsidR="00EF76D6" w:rsidRPr="008015C6" w:rsidRDefault="00EF76D6" w:rsidP="00A70042">
      <w:pPr>
        <w:spacing w:line="360" w:lineRule="auto"/>
        <w:ind w:left="2127" w:right="-2" w:hanging="2126"/>
        <w:rPr>
          <w:rFonts w:ascii="Times New Roman" w:hAnsi="Times New Roman" w:cs="Times New Roman"/>
          <w:sz w:val="24"/>
          <w:szCs w:val="24"/>
          <w:lang w:val="en-US"/>
        </w:rPr>
      </w:pPr>
      <w:r w:rsidRPr="008015C6">
        <w:rPr>
          <w:rFonts w:ascii="Times New Roman" w:hAnsi="Times New Roman" w:cs="Times New Roman"/>
          <w:sz w:val="24"/>
          <w:szCs w:val="24"/>
          <w:lang w:val="en-US"/>
        </w:rPr>
        <w:t>TILEC</w:t>
      </w:r>
      <w:r w:rsidRPr="008015C6">
        <w:rPr>
          <w:rFonts w:ascii="Times New Roman" w:hAnsi="Times New Roman" w:cs="Times New Roman"/>
          <w:sz w:val="24"/>
          <w:szCs w:val="24"/>
          <w:lang w:val="en-US"/>
        </w:rPr>
        <w:tab/>
        <w:t>Tilburg Law and Economics Center</w:t>
      </w:r>
    </w:p>
    <w:p w14:paraId="1EFC52D9"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lang w:val="en-US"/>
        </w:rPr>
        <w:t>TIP</w:t>
      </w:r>
      <w:r w:rsidRPr="008015C6">
        <w:rPr>
          <w:rFonts w:ascii="Times New Roman" w:hAnsi="Times New Roman" w:cs="Times New Roman"/>
          <w:sz w:val="24"/>
          <w:szCs w:val="24"/>
        </w:rPr>
        <w:tab/>
      </w:r>
      <w:r w:rsidRPr="008015C6">
        <w:rPr>
          <w:rFonts w:ascii="Times New Roman" w:hAnsi="Times New Roman" w:cs="Times New Roman"/>
          <w:sz w:val="24"/>
          <w:szCs w:val="24"/>
          <w:lang w:val="en-US"/>
        </w:rPr>
        <w:t xml:space="preserve">Telepresence Interoperability Protocol </w:t>
      </w:r>
    </w:p>
    <w:p w14:paraId="51030202"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TPM</w:t>
      </w:r>
      <w:r w:rsidRPr="008015C6">
        <w:rPr>
          <w:rFonts w:ascii="Times New Roman" w:hAnsi="Times New Roman" w:cs="Times New Roman"/>
          <w:sz w:val="24"/>
          <w:szCs w:val="24"/>
        </w:rPr>
        <w:tab/>
        <w:t>Technology Protection Measure to control use of copyrighted work</w:t>
      </w:r>
    </w:p>
    <w:p w14:paraId="7B70E2E3"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TRIPS</w:t>
      </w:r>
      <w:r w:rsidRPr="008015C6">
        <w:rPr>
          <w:rFonts w:ascii="Times New Roman" w:hAnsi="Times New Roman" w:cs="Times New Roman"/>
          <w:sz w:val="24"/>
          <w:szCs w:val="24"/>
        </w:rPr>
        <w:tab/>
        <w:t>Agreement on Trade-Related Aspects of Intellectual Property Rights</w:t>
      </w:r>
    </w:p>
    <w:p w14:paraId="34BD0857"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TSM   </w:t>
      </w:r>
      <w:r w:rsidRPr="008015C6">
        <w:rPr>
          <w:rFonts w:ascii="Times New Roman" w:hAnsi="Times New Roman" w:cs="Times New Roman"/>
          <w:sz w:val="24"/>
          <w:szCs w:val="24"/>
        </w:rPr>
        <w:tab/>
        <w:t>Telecom Single Market</w:t>
      </w:r>
    </w:p>
    <w:p w14:paraId="52F5BE68"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UMTS</w:t>
      </w:r>
      <w:r w:rsidRPr="008015C6">
        <w:rPr>
          <w:rFonts w:ascii="Times New Roman" w:hAnsi="Times New Roman" w:cs="Times New Roman"/>
          <w:sz w:val="24"/>
          <w:szCs w:val="24"/>
        </w:rPr>
        <w:tab/>
        <w:t>Universal Mobile Telecommunications System</w:t>
      </w:r>
    </w:p>
    <w:p w14:paraId="38967C97"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UN</w:t>
      </w:r>
      <w:r w:rsidRPr="008015C6">
        <w:rPr>
          <w:rFonts w:ascii="Times New Roman" w:hAnsi="Times New Roman" w:cs="Times New Roman"/>
          <w:sz w:val="24"/>
          <w:szCs w:val="24"/>
        </w:rPr>
        <w:tab/>
        <w:t>United Nations</w:t>
      </w:r>
    </w:p>
    <w:p w14:paraId="00367A69"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UNCTAD</w:t>
      </w:r>
      <w:r w:rsidRPr="008015C6">
        <w:rPr>
          <w:rFonts w:ascii="Times New Roman" w:hAnsi="Times New Roman" w:cs="Times New Roman"/>
          <w:sz w:val="24"/>
          <w:szCs w:val="24"/>
        </w:rPr>
        <w:tab/>
        <w:t>United Nations Conference on Trade and Development</w:t>
      </w:r>
    </w:p>
    <w:p w14:paraId="4502C18C"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US</w:t>
      </w:r>
      <w:r w:rsidRPr="008015C6">
        <w:rPr>
          <w:rFonts w:ascii="Times New Roman" w:hAnsi="Times New Roman" w:cs="Times New Roman"/>
          <w:sz w:val="24"/>
          <w:szCs w:val="24"/>
        </w:rPr>
        <w:tab/>
        <w:t>United States</w:t>
      </w:r>
    </w:p>
    <w:p w14:paraId="15C7E291"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USB</w:t>
      </w:r>
      <w:r w:rsidRPr="008015C6">
        <w:rPr>
          <w:rFonts w:ascii="Times New Roman" w:hAnsi="Times New Roman" w:cs="Times New Roman"/>
          <w:sz w:val="24"/>
          <w:szCs w:val="24"/>
        </w:rPr>
        <w:tab/>
        <w:t>Universal Serial Bus</w:t>
      </w:r>
    </w:p>
    <w:p w14:paraId="304B9A36"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VCS</w:t>
      </w:r>
      <w:r w:rsidRPr="008015C6">
        <w:rPr>
          <w:rFonts w:ascii="Times New Roman" w:hAnsi="Times New Roman" w:cs="Times New Roman"/>
          <w:sz w:val="24"/>
          <w:szCs w:val="24"/>
        </w:rPr>
        <w:tab/>
        <w:t>Video Communications Solution</w:t>
      </w:r>
    </w:p>
    <w:p w14:paraId="5F67D2AC"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VLAN</w:t>
      </w:r>
      <w:r w:rsidRPr="008015C6">
        <w:rPr>
          <w:rFonts w:ascii="Times New Roman" w:hAnsi="Times New Roman" w:cs="Times New Roman"/>
          <w:sz w:val="24"/>
          <w:szCs w:val="24"/>
        </w:rPr>
        <w:tab/>
        <w:t xml:space="preserve">Virtual Local Area Network  </w:t>
      </w:r>
    </w:p>
    <w:p w14:paraId="2D09EE25"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VM</w:t>
      </w:r>
      <w:r w:rsidRPr="008015C6">
        <w:rPr>
          <w:rFonts w:ascii="Times New Roman" w:hAnsi="Times New Roman" w:cs="Times New Roman"/>
          <w:sz w:val="24"/>
          <w:szCs w:val="24"/>
        </w:rPr>
        <w:tab/>
        <w:t>Virtual Machine</w:t>
      </w:r>
    </w:p>
    <w:p w14:paraId="7101DD3A"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VoIP</w:t>
      </w:r>
      <w:r w:rsidRPr="008015C6">
        <w:rPr>
          <w:rFonts w:ascii="Times New Roman" w:hAnsi="Times New Roman" w:cs="Times New Roman"/>
          <w:sz w:val="24"/>
          <w:szCs w:val="24"/>
        </w:rPr>
        <w:tab/>
        <w:t>Voice over Internet Protocol</w:t>
      </w:r>
    </w:p>
    <w:p w14:paraId="6F90E777"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W3C</w:t>
      </w:r>
      <w:r w:rsidRPr="008015C6">
        <w:rPr>
          <w:rFonts w:ascii="Times New Roman" w:hAnsi="Times New Roman" w:cs="Times New Roman"/>
          <w:sz w:val="24"/>
          <w:szCs w:val="24"/>
        </w:rPr>
        <w:tab/>
        <w:t>World Wide Web Consortium</w:t>
      </w:r>
    </w:p>
    <w:p w14:paraId="250CA190"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WCT</w:t>
      </w:r>
      <w:r w:rsidRPr="008015C6">
        <w:rPr>
          <w:rFonts w:ascii="Times New Roman" w:hAnsi="Times New Roman" w:cs="Times New Roman"/>
          <w:sz w:val="24"/>
          <w:szCs w:val="24"/>
        </w:rPr>
        <w:tab/>
        <w:t>WIPO Copyright Treaty</w:t>
      </w:r>
    </w:p>
    <w:p w14:paraId="709EE95A"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Wi-Fi </w:t>
      </w:r>
      <w:r w:rsidRPr="008015C6">
        <w:rPr>
          <w:rFonts w:ascii="Times New Roman" w:hAnsi="Times New Roman" w:cs="Times New Roman"/>
          <w:sz w:val="24"/>
          <w:szCs w:val="24"/>
        </w:rPr>
        <w:tab/>
        <w:t>Wireless Fidelity</w:t>
      </w:r>
    </w:p>
    <w:p w14:paraId="1B6B0BF2"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Wi-Max</w:t>
      </w:r>
      <w:r w:rsidRPr="008015C6">
        <w:rPr>
          <w:rFonts w:ascii="Times New Roman" w:hAnsi="Times New Roman" w:cs="Times New Roman"/>
          <w:sz w:val="24"/>
          <w:szCs w:val="24"/>
        </w:rPr>
        <w:tab/>
        <w:t>Worldwide Interoperability for Microwave Access</w:t>
      </w:r>
    </w:p>
    <w:p w14:paraId="74B60C44" w14:textId="77777777" w:rsidR="00EF76D6" w:rsidRPr="008015C6" w:rsidRDefault="00EF76D6" w:rsidP="00A70042">
      <w:pPr>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WIPO</w:t>
      </w:r>
      <w:r w:rsidRPr="008015C6">
        <w:rPr>
          <w:rFonts w:ascii="Times New Roman" w:hAnsi="Times New Roman" w:cs="Times New Roman"/>
          <w:sz w:val="24"/>
          <w:szCs w:val="24"/>
        </w:rPr>
        <w:tab/>
        <w:t>World Intellectual Property Organization</w:t>
      </w:r>
    </w:p>
    <w:p w14:paraId="0701863E"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WLAN</w:t>
      </w:r>
      <w:r w:rsidRPr="008015C6">
        <w:rPr>
          <w:rFonts w:ascii="Times New Roman" w:hAnsi="Times New Roman" w:cs="Times New Roman"/>
          <w:sz w:val="24"/>
          <w:szCs w:val="24"/>
        </w:rPr>
        <w:tab/>
        <w:t xml:space="preserve">Wireless Local Area Network </w:t>
      </w:r>
    </w:p>
    <w:p w14:paraId="60879D9C"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lastRenderedPageBreak/>
        <w:t>WMP</w:t>
      </w:r>
      <w:r w:rsidRPr="008015C6">
        <w:rPr>
          <w:rFonts w:ascii="Times New Roman" w:hAnsi="Times New Roman" w:cs="Times New Roman"/>
          <w:sz w:val="24"/>
          <w:szCs w:val="24"/>
        </w:rPr>
        <w:tab/>
        <w:t>Windows Media Player</w:t>
      </w:r>
    </w:p>
    <w:p w14:paraId="4DB66680"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WPL</w:t>
      </w:r>
      <w:r w:rsidRPr="008015C6">
        <w:rPr>
          <w:rFonts w:ascii="Times New Roman" w:hAnsi="Times New Roman" w:cs="Times New Roman"/>
          <w:sz w:val="24"/>
          <w:szCs w:val="24"/>
        </w:rPr>
        <w:tab/>
      </w:r>
      <w:r w:rsidRPr="008015C6">
        <w:rPr>
          <w:rFonts w:ascii="Times New Roman" w:hAnsi="Times New Roman" w:cs="Times New Roman"/>
          <w:color w:val="000000"/>
          <w:sz w:val="24"/>
          <w:szCs w:val="24"/>
        </w:rPr>
        <w:t xml:space="preserve">World Programming Ltd </w:t>
      </w:r>
    </w:p>
    <w:p w14:paraId="69872DDD"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WTO</w:t>
      </w:r>
      <w:r w:rsidRPr="008015C6">
        <w:rPr>
          <w:rFonts w:ascii="Times New Roman" w:hAnsi="Times New Roman" w:cs="Times New Roman"/>
          <w:sz w:val="24"/>
          <w:szCs w:val="24"/>
        </w:rPr>
        <w:tab/>
        <w:t>World Trade Organisation</w:t>
      </w:r>
    </w:p>
    <w:p w14:paraId="01F770AC"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 xml:space="preserve">WWW   </w:t>
      </w:r>
      <w:r w:rsidRPr="008015C6">
        <w:rPr>
          <w:rFonts w:ascii="Times New Roman" w:hAnsi="Times New Roman" w:cs="Times New Roman"/>
          <w:sz w:val="24"/>
          <w:szCs w:val="24"/>
        </w:rPr>
        <w:tab/>
        <w:t>World Wide Web</w:t>
      </w:r>
    </w:p>
    <w:p w14:paraId="0CAA33DB" w14:textId="77777777" w:rsidR="00EF76D6" w:rsidRPr="008015C6" w:rsidRDefault="00EF76D6" w:rsidP="00A70042">
      <w:pPr>
        <w:tabs>
          <w:tab w:val="left" w:pos="2127"/>
        </w:tabs>
        <w:spacing w:line="360" w:lineRule="auto"/>
        <w:ind w:left="2127" w:right="-2" w:hanging="2126"/>
        <w:rPr>
          <w:rFonts w:ascii="Times New Roman" w:hAnsi="Times New Roman" w:cs="Times New Roman"/>
          <w:sz w:val="24"/>
          <w:szCs w:val="24"/>
        </w:rPr>
      </w:pPr>
      <w:r w:rsidRPr="008015C6">
        <w:rPr>
          <w:rFonts w:ascii="Times New Roman" w:hAnsi="Times New Roman" w:cs="Times New Roman"/>
          <w:sz w:val="24"/>
          <w:szCs w:val="24"/>
        </w:rPr>
        <w:t>XML</w:t>
      </w:r>
      <w:r w:rsidRPr="008015C6">
        <w:rPr>
          <w:rFonts w:ascii="Times New Roman" w:hAnsi="Times New Roman" w:cs="Times New Roman"/>
          <w:sz w:val="24"/>
          <w:szCs w:val="24"/>
        </w:rPr>
        <w:tab/>
      </w:r>
      <w:r w:rsidRPr="008015C6">
        <w:rPr>
          <w:rFonts w:ascii="Times New Roman" w:hAnsi="Times New Roman" w:cs="Times New Roman"/>
          <w:sz w:val="24"/>
          <w:szCs w:val="24"/>
        </w:rPr>
        <w:tab/>
        <w:t>Extensible Markup Language</w:t>
      </w:r>
    </w:p>
    <w:p w14:paraId="3AD79233" w14:textId="77777777"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1D7FE11B" w14:textId="015A3DBF"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7DFF7D6F" w14:textId="4D7BFC3E"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2888B1B7" w14:textId="5EA5F911"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2050DA45" w14:textId="362D80A7"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0AAD4F47" w14:textId="2B8B9F81"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2672E7F7" w14:textId="5DDBD9C1"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563DB0AE" w14:textId="09FEBD2C"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0CABF4EA" w14:textId="05911320"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29976940" w14:textId="57D9B29F"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55A6756C" w14:textId="036FF263"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78B27E27" w14:textId="65A071BF"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57389C7A" w14:textId="607C36F4"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185516A5" w14:textId="6F2EB453"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6DC8B8DA" w14:textId="719D5ED5"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3D4BF39C" w14:textId="1D17B9F8" w:rsidR="00712C8A" w:rsidRPr="00A70042" w:rsidRDefault="00712C8A" w:rsidP="00A70042">
      <w:pPr>
        <w:spacing w:line="360" w:lineRule="auto"/>
        <w:ind w:left="2127" w:right="-2" w:hanging="2126"/>
        <w:jc w:val="both"/>
        <w:rPr>
          <w:rFonts w:ascii="Times New Roman" w:hAnsi="Times New Roman" w:cs="Times New Roman"/>
          <w:sz w:val="24"/>
          <w:szCs w:val="24"/>
        </w:rPr>
      </w:pPr>
    </w:p>
    <w:p w14:paraId="32462740" w14:textId="44AA206A" w:rsidR="00DB1617" w:rsidRPr="00A70042" w:rsidRDefault="00DB1617" w:rsidP="00A70042">
      <w:pPr>
        <w:spacing w:line="360" w:lineRule="auto"/>
        <w:ind w:left="2127" w:right="-2" w:hanging="2126"/>
        <w:jc w:val="both"/>
        <w:rPr>
          <w:rFonts w:ascii="Times New Roman" w:hAnsi="Times New Roman" w:cs="Times New Roman"/>
          <w:sz w:val="24"/>
          <w:szCs w:val="24"/>
        </w:rPr>
      </w:pPr>
    </w:p>
    <w:p w14:paraId="4D2257C1" w14:textId="77777777" w:rsidR="00EF76D6" w:rsidRDefault="00EF76D6" w:rsidP="00A70042">
      <w:pPr>
        <w:ind w:left="2127" w:right="-2" w:hanging="2126"/>
        <w:rPr>
          <w:rFonts w:ascii="Times New Roman" w:eastAsiaTheme="majorEastAsia" w:hAnsi="Times New Roman" w:cs="Times New Roman"/>
          <w:b/>
          <w:bCs/>
          <w:sz w:val="24"/>
          <w:szCs w:val="24"/>
        </w:rPr>
      </w:pPr>
      <w:r>
        <w:rPr>
          <w:rFonts w:ascii="Times New Roman" w:hAnsi="Times New Roman" w:cs="Times New Roman"/>
          <w:b/>
          <w:bCs/>
          <w:sz w:val="24"/>
          <w:szCs w:val="24"/>
        </w:rPr>
        <w:br w:type="page"/>
      </w:r>
    </w:p>
    <w:p w14:paraId="60D188DD" w14:textId="01F27294" w:rsidR="00544F48" w:rsidRPr="00774EDB" w:rsidRDefault="00544F48" w:rsidP="00A70042">
      <w:pPr>
        <w:pStyle w:val="Heading1"/>
        <w:ind w:left="2127" w:right="-2" w:hanging="2126"/>
        <w:jc w:val="both"/>
        <w:rPr>
          <w:rFonts w:ascii="Times New Roman" w:hAnsi="Times New Roman" w:cs="Times New Roman"/>
          <w:b/>
          <w:bCs/>
          <w:sz w:val="24"/>
          <w:szCs w:val="24"/>
        </w:rPr>
      </w:pPr>
      <w:bookmarkStart w:id="7" w:name="_Toc17611320"/>
      <w:bookmarkStart w:id="8" w:name="_Toc53576009"/>
      <w:r w:rsidRPr="00774EDB">
        <w:rPr>
          <w:rFonts w:ascii="Times New Roman" w:hAnsi="Times New Roman" w:cs="Times New Roman"/>
          <w:b/>
          <w:bCs/>
          <w:color w:val="auto"/>
          <w:sz w:val="24"/>
          <w:szCs w:val="24"/>
        </w:rPr>
        <w:lastRenderedPageBreak/>
        <w:t>Copyright declaration</w:t>
      </w:r>
      <w:bookmarkEnd w:id="7"/>
      <w:bookmarkEnd w:id="8"/>
    </w:p>
    <w:p w14:paraId="0D720653" w14:textId="77777777" w:rsidR="00544F48" w:rsidRPr="00774EDB" w:rsidRDefault="00544F48" w:rsidP="00A70042">
      <w:pPr>
        <w:ind w:left="2127" w:right="-2" w:hanging="2126"/>
        <w:jc w:val="both"/>
        <w:rPr>
          <w:rFonts w:ascii="Times New Roman" w:hAnsi="Times New Roman" w:cs="Times New Roman"/>
          <w:b/>
          <w:bCs/>
          <w:sz w:val="24"/>
          <w:szCs w:val="24"/>
        </w:rPr>
      </w:pPr>
    </w:p>
    <w:p w14:paraId="3B7F91B4" w14:textId="0CC44258" w:rsidR="00544F48" w:rsidRPr="00774EDB" w:rsidRDefault="00544F48" w:rsidP="00A70042">
      <w:pPr>
        <w:ind w:right="-2" w:firstLine="1"/>
        <w:jc w:val="both"/>
        <w:rPr>
          <w:rFonts w:ascii="Times New Roman" w:hAnsi="Times New Roman" w:cs="Times New Roman"/>
          <w:sz w:val="24"/>
          <w:szCs w:val="24"/>
        </w:rPr>
      </w:pPr>
      <w:r w:rsidRPr="00774EDB">
        <w:rPr>
          <w:rFonts w:ascii="Times New Roman" w:hAnsi="Times New Roman" w:cs="Times New Roman"/>
          <w:sz w:val="24"/>
          <w:szCs w:val="24"/>
        </w:rPr>
        <w:t>I declare that the thesis I have presented for examination for the PhD degree of Anglia Ruskin University is solely my own work. The copyright of this thesis rest with the author. Quotation from it is permitted, provided that full acknowledgment is made. This thesis may not be reproduced without my prior consent. I warrant that this authorisation does not, to the best of my belief, infringe the rights of any third party.</w:t>
      </w:r>
    </w:p>
    <w:p w14:paraId="6031DEDE" w14:textId="77777777" w:rsidR="00544F48" w:rsidRPr="00774EDB" w:rsidRDefault="00544F48" w:rsidP="00A70042">
      <w:pPr>
        <w:ind w:right="-2" w:firstLine="1"/>
        <w:jc w:val="both"/>
        <w:rPr>
          <w:rFonts w:ascii="Times New Roman" w:hAnsi="Times New Roman" w:cs="Times New Roman"/>
          <w:sz w:val="24"/>
          <w:szCs w:val="24"/>
        </w:rPr>
      </w:pPr>
    </w:p>
    <w:p w14:paraId="10A89EF1" w14:textId="78B5CA15" w:rsidR="00544F48" w:rsidRPr="00A70042" w:rsidRDefault="00544F48" w:rsidP="00A70042">
      <w:pPr>
        <w:ind w:right="-2" w:firstLine="1"/>
        <w:jc w:val="both"/>
        <w:rPr>
          <w:rFonts w:ascii="Times New Roman" w:hAnsi="Times New Roman" w:cs="Times New Roman"/>
          <w:sz w:val="24"/>
          <w:szCs w:val="24"/>
        </w:rPr>
      </w:pPr>
      <w:r w:rsidRPr="00774EDB">
        <w:rPr>
          <w:rFonts w:ascii="Times New Roman" w:hAnsi="Times New Roman" w:cs="Times New Roman"/>
          <w:sz w:val="24"/>
          <w:szCs w:val="24"/>
        </w:rPr>
        <w:t xml:space="preserve">I declare that my thesis consists of </w:t>
      </w:r>
      <w:r w:rsidR="004E7D4F">
        <w:rPr>
          <w:rFonts w:ascii="Times New Roman" w:hAnsi="Times New Roman" w:cs="Times New Roman"/>
          <w:sz w:val="24"/>
          <w:szCs w:val="24"/>
        </w:rPr>
        <w:t>81</w:t>
      </w:r>
      <w:r w:rsidRPr="00774EDB">
        <w:rPr>
          <w:rFonts w:ascii="Times New Roman" w:hAnsi="Times New Roman" w:cs="Times New Roman"/>
          <w:sz w:val="24"/>
          <w:szCs w:val="24"/>
        </w:rPr>
        <w:t>,</w:t>
      </w:r>
      <w:r w:rsidR="004E7D4F">
        <w:rPr>
          <w:rFonts w:ascii="Times New Roman" w:hAnsi="Times New Roman" w:cs="Times New Roman"/>
          <w:sz w:val="24"/>
          <w:szCs w:val="24"/>
        </w:rPr>
        <w:t>902</w:t>
      </w:r>
      <w:r w:rsidR="00DC6E74" w:rsidRPr="00774EDB">
        <w:rPr>
          <w:rFonts w:ascii="Times New Roman" w:hAnsi="Times New Roman" w:cs="Times New Roman"/>
          <w:sz w:val="24"/>
          <w:szCs w:val="24"/>
        </w:rPr>
        <w:t xml:space="preserve"> </w:t>
      </w:r>
      <w:r w:rsidRPr="00774EDB">
        <w:rPr>
          <w:rFonts w:ascii="Times New Roman" w:hAnsi="Times New Roman" w:cs="Times New Roman"/>
          <w:sz w:val="24"/>
          <w:szCs w:val="24"/>
        </w:rPr>
        <w:t>words</w:t>
      </w:r>
      <w:r w:rsidR="00970583" w:rsidRPr="00774EDB">
        <w:rPr>
          <w:rFonts w:ascii="Times New Roman" w:hAnsi="Times New Roman" w:cs="Times New Roman"/>
          <w:sz w:val="24"/>
          <w:szCs w:val="24"/>
        </w:rPr>
        <w:t>.</w:t>
      </w:r>
    </w:p>
    <w:p w14:paraId="028C7AF2" w14:textId="6255353B" w:rsidR="00544F48" w:rsidRPr="00A70042" w:rsidRDefault="00544F48" w:rsidP="00A70042">
      <w:pPr>
        <w:spacing w:line="360" w:lineRule="auto"/>
        <w:jc w:val="both"/>
        <w:rPr>
          <w:rFonts w:ascii="Times New Roman" w:hAnsi="Times New Roman" w:cs="Times New Roman"/>
          <w:sz w:val="24"/>
          <w:szCs w:val="24"/>
        </w:rPr>
      </w:pPr>
    </w:p>
    <w:p w14:paraId="79E815CA" w14:textId="3E6E0362" w:rsidR="00544F48" w:rsidRPr="00A70042" w:rsidRDefault="00544F48" w:rsidP="00A70042">
      <w:pPr>
        <w:spacing w:line="360" w:lineRule="auto"/>
        <w:jc w:val="both"/>
        <w:rPr>
          <w:rFonts w:ascii="Times New Roman" w:hAnsi="Times New Roman" w:cs="Times New Roman"/>
          <w:sz w:val="24"/>
          <w:szCs w:val="24"/>
        </w:rPr>
      </w:pPr>
    </w:p>
    <w:p w14:paraId="1D84A0E5" w14:textId="24098707" w:rsidR="00544F48" w:rsidRPr="00A70042" w:rsidRDefault="00544F48" w:rsidP="00A70042">
      <w:pPr>
        <w:spacing w:line="360" w:lineRule="auto"/>
        <w:jc w:val="both"/>
        <w:rPr>
          <w:rFonts w:ascii="Times New Roman" w:hAnsi="Times New Roman" w:cs="Times New Roman"/>
          <w:sz w:val="24"/>
          <w:szCs w:val="24"/>
        </w:rPr>
      </w:pPr>
    </w:p>
    <w:p w14:paraId="1C8DCE51" w14:textId="4DCAE39E" w:rsidR="00544F48" w:rsidRPr="00A70042" w:rsidRDefault="00544F48" w:rsidP="00A70042">
      <w:pPr>
        <w:spacing w:line="360" w:lineRule="auto"/>
        <w:jc w:val="both"/>
        <w:rPr>
          <w:rFonts w:ascii="Times New Roman" w:hAnsi="Times New Roman" w:cs="Times New Roman"/>
          <w:sz w:val="24"/>
          <w:szCs w:val="24"/>
        </w:rPr>
      </w:pPr>
    </w:p>
    <w:p w14:paraId="7B8B1503" w14:textId="296FD82D" w:rsidR="00544F48" w:rsidRPr="00A70042" w:rsidRDefault="00544F48" w:rsidP="00A70042">
      <w:pPr>
        <w:spacing w:line="360" w:lineRule="auto"/>
        <w:jc w:val="both"/>
        <w:rPr>
          <w:rFonts w:ascii="Times New Roman" w:hAnsi="Times New Roman" w:cs="Times New Roman"/>
          <w:sz w:val="24"/>
          <w:szCs w:val="24"/>
        </w:rPr>
      </w:pPr>
    </w:p>
    <w:p w14:paraId="42C4FD74" w14:textId="77B5B9D8" w:rsidR="00544F48" w:rsidRPr="00A70042" w:rsidRDefault="00544F48" w:rsidP="00A70042">
      <w:pPr>
        <w:spacing w:line="360" w:lineRule="auto"/>
        <w:jc w:val="both"/>
        <w:rPr>
          <w:rFonts w:ascii="Times New Roman" w:hAnsi="Times New Roman" w:cs="Times New Roman"/>
          <w:sz w:val="24"/>
          <w:szCs w:val="24"/>
        </w:rPr>
      </w:pPr>
    </w:p>
    <w:p w14:paraId="11A783A4" w14:textId="0D10DC76" w:rsidR="00544F48" w:rsidRPr="00A70042" w:rsidRDefault="00544F48" w:rsidP="00A70042">
      <w:pPr>
        <w:spacing w:line="360" w:lineRule="auto"/>
        <w:jc w:val="both"/>
        <w:rPr>
          <w:rFonts w:ascii="Times New Roman" w:hAnsi="Times New Roman" w:cs="Times New Roman"/>
          <w:sz w:val="24"/>
          <w:szCs w:val="24"/>
        </w:rPr>
      </w:pPr>
    </w:p>
    <w:p w14:paraId="1F3B1247" w14:textId="77777777" w:rsidR="00EF76D6" w:rsidRDefault="00EF76D6">
      <w:pPr>
        <w:rPr>
          <w:rFonts w:ascii="Times New Roman" w:eastAsiaTheme="majorEastAsia" w:hAnsi="Times New Roman" w:cs="Times New Roman"/>
          <w:b/>
          <w:bCs/>
          <w:sz w:val="24"/>
          <w:szCs w:val="24"/>
        </w:rPr>
      </w:pPr>
      <w:r>
        <w:rPr>
          <w:rFonts w:ascii="Times New Roman" w:hAnsi="Times New Roman" w:cs="Times New Roman"/>
          <w:b/>
          <w:bCs/>
          <w:sz w:val="24"/>
          <w:szCs w:val="24"/>
        </w:rPr>
        <w:br w:type="page"/>
      </w:r>
    </w:p>
    <w:p w14:paraId="06EA23AB" w14:textId="26301FA7" w:rsidR="00E536EC" w:rsidRPr="00774EDB" w:rsidRDefault="00E536EC" w:rsidP="00A70042">
      <w:pPr>
        <w:pStyle w:val="Heading1"/>
        <w:jc w:val="both"/>
        <w:rPr>
          <w:rFonts w:ascii="Times New Roman" w:hAnsi="Times New Roman" w:cs="Times New Roman"/>
          <w:b/>
          <w:bCs/>
          <w:color w:val="auto"/>
          <w:sz w:val="24"/>
          <w:szCs w:val="24"/>
        </w:rPr>
      </w:pPr>
      <w:bookmarkStart w:id="9" w:name="_Toc17611321"/>
      <w:bookmarkStart w:id="10" w:name="_Toc53576010"/>
      <w:r w:rsidRPr="00774EDB">
        <w:rPr>
          <w:rFonts w:ascii="Times New Roman" w:hAnsi="Times New Roman" w:cs="Times New Roman"/>
          <w:b/>
          <w:bCs/>
          <w:color w:val="auto"/>
          <w:sz w:val="24"/>
          <w:szCs w:val="24"/>
        </w:rPr>
        <w:lastRenderedPageBreak/>
        <w:t>List of Figures</w:t>
      </w:r>
      <w:bookmarkEnd w:id="9"/>
      <w:bookmarkEnd w:id="10"/>
    </w:p>
    <w:p w14:paraId="7F89D6E5" w14:textId="66061ED4" w:rsidR="00E536EC" w:rsidRPr="00774EDB" w:rsidRDefault="00E536EC" w:rsidP="00A70042">
      <w:pPr>
        <w:spacing w:line="360" w:lineRule="auto"/>
        <w:jc w:val="both"/>
        <w:rPr>
          <w:rFonts w:ascii="Times New Roman" w:hAnsi="Times New Roman" w:cs="Times New Roman"/>
          <w:b/>
          <w:bCs/>
          <w:sz w:val="24"/>
          <w:szCs w:val="24"/>
        </w:rPr>
      </w:pPr>
    </w:p>
    <w:p w14:paraId="43A2A0CB" w14:textId="66CAF68C" w:rsidR="00327E6E" w:rsidRPr="00A70042" w:rsidRDefault="00327E6E"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r>
        <w:rPr>
          <w:rFonts w:ascii="Times New Roman" w:hAnsi="Times New Roman" w:cs="Times New Roman"/>
          <w:b/>
          <w:bCs/>
          <w:sz w:val="24"/>
          <w:szCs w:val="24"/>
        </w:rPr>
        <w:fldChar w:fldCharType="begin"/>
      </w:r>
      <w:r>
        <w:rPr>
          <w:rFonts w:ascii="Times New Roman" w:hAnsi="Times New Roman" w:cs="Times New Roman"/>
          <w:b/>
          <w:bCs/>
          <w:sz w:val="24"/>
          <w:szCs w:val="24"/>
        </w:rPr>
        <w:instrText xml:space="preserve"> TOC \o "8-8" \h \z \u \t "Başlık 11;1;Başlık 31;3" </w:instrText>
      </w:r>
      <w:r>
        <w:rPr>
          <w:rFonts w:ascii="Times New Roman" w:hAnsi="Times New Roman" w:cs="Times New Roman"/>
          <w:b/>
          <w:bCs/>
          <w:sz w:val="24"/>
          <w:szCs w:val="24"/>
        </w:rPr>
        <w:fldChar w:fldCharType="separate"/>
      </w:r>
      <w:hyperlink w:anchor="_Toc17612464" w:history="1">
        <w:r w:rsidRPr="00A70042">
          <w:rPr>
            <w:rStyle w:val="Hyperlink"/>
            <w:rFonts w:ascii="Times New Roman" w:hAnsi="Times New Roman" w:cs="Times New Roman"/>
            <w:b/>
            <w:bCs/>
            <w:noProof/>
            <w:sz w:val="24"/>
            <w:szCs w:val="24"/>
          </w:rPr>
          <w:t>Figure 1:</w:t>
        </w:r>
        <w:r w:rsidRPr="00A70042">
          <w:rPr>
            <w:rStyle w:val="Hyperlink"/>
            <w:rFonts w:ascii="Times New Roman" w:hAnsi="Times New Roman" w:cs="Times New Roman"/>
            <w:noProof/>
            <w:sz w:val="24"/>
            <w:szCs w:val="24"/>
          </w:rPr>
          <w:t xml:space="preserve"> Progressive steps of the research</w:t>
        </w:r>
        <w:r w:rsidRPr="00A70042">
          <w:rPr>
            <w:rFonts w:ascii="Times New Roman" w:hAnsi="Times New Roman" w:cs="Times New Roman"/>
            <w:noProof/>
            <w:webHidden/>
            <w:sz w:val="24"/>
            <w:szCs w:val="24"/>
          </w:rPr>
          <w:tab/>
        </w:r>
        <w:r w:rsidRPr="00A70042">
          <w:rPr>
            <w:rFonts w:ascii="Times New Roman" w:hAnsi="Times New Roman" w:cs="Times New Roman"/>
            <w:noProof/>
            <w:webHidden/>
            <w:sz w:val="24"/>
            <w:szCs w:val="24"/>
          </w:rPr>
          <w:fldChar w:fldCharType="begin"/>
        </w:r>
        <w:r w:rsidRPr="00A70042">
          <w:rPr>
            <w:rFonts w:ascii="Times New Roman" w:hAnsi="Times New Roman" w:cs="Times New Roman"/>
            <w:noProof/>
            <w:webHidden/>
            <w:sz w:val="24"/>
            <w:szCs w:val="24"/>
          </w:rPr>
          <w:instrText xml:space="preserve"> PAGEREF _Toc17612464 \h </w:instrText>
        </w:r>
        <w:r w:rsidRPr="00A70042">
          <w:rPr>
            <w:rFonts w:ascii="Times New Roman" w:hAnsi="Times New Roman" w:cs="Times New Roman"/>
            <w:noProof/>
            <w:webHidden/>
            <w:sz w:val="24"/>
            <w:szCs w:val="24"/>
          </w:rPr>
        </w:r>
        <w:r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11</w:t>
        </w:r>
        <w:r w:rsidRPr="00A70042">
          <w:rPr>
            <w:rFonts w:ascii="Times New Roman" w:hAnsi="Times New Roman" w:cs="Times New Roman"/>
            <w:noProof/>
            <w:webHidden/>
            <w:sz w:val="24"/>
            <w:szCs w:val="24"/>
          </w:rPr>
          <w:fldChar w:fldCharType="end"/>
        </w:r>
      </w:hyperlink>
    </w:p>
    <w:p w14:paraId="50FF7446" w14:textId="509FAFB3"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65" w:history="1">
        <w:r w:rsidR="00327E6E" w:rsidRPr="00A70042">
          <w:rPr>
            <w:rStyle w:val="Hyperlink"/>
            <w:rFonts w:ascii="Times New Roman" w:hAnsi="Times New Roman" w:cs="Times New Roman"/>
            <w:b/>
            <w:noProof/>
            <w:sz w:val="24"/>
            <w:szCs w:val="24"/>
          </w:rPr>
          <w:t>Figure 2:</w:t>
        </w:r>
        <w:r w:rsidR="00327E6E" w:rsidRPr="00A70042">
          <w:rPr>
            <w:rStyle w:val="Hyperlink"/>
            <w:rFonts w:ascii="Times New Roman" w:hAnsi="Times New Roman" w:cs="Times New Roman"/>
            <w:bCs/>
            <w:noProof/>
            <w:sz w:val="24"/>
            <w:szCs w:val="24"/>
          </w:rPr>
          <w:t xml:space="preserve"> The Hourglass Model of the Internet Protocol Stack</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_Toc17612465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60</w:t>
        </w:r>
        <w:r w:rsidR="00327E6E" w:rsidRPr="00A70042">
          <w:rPr>
            <w:rFonts w:ascii="Times New Roman" w:hAnsi="Times New Roman" w:cs="Times New Roman"/>
            <w:noProof/>
            <w:webHidden/>
            <w:sz w:val="24"/>
            <w:szCs w:val="24"/>
          </w:rPr>
          <w:fldChar w:fldCharType="end"/>
        </w:r>
      </w:hyperlink>
    </w:p>
    <w:p w14:paraId="731C6F47" w14:textId="439E3D74"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66" w:history="1">
        <w:r w:rsidR="00327E6E" w:rsidRPr="00A70042">
          <w:rPr>
            <w:rStyle w:val="Hyperlink"/>
            <w:rFonts w:ascii="Times New Roman" w:hAnsi="Times New Roman" w:cs="Times New Roman"/>
            <w:b/>
            <w:bCs/>
            <w:noProof/>
            <w:sz w:val="24"/>
            <w:szCs w:val="24"/>
          </w:rPr>
          <w:t>Figure 3:</w:t>
        </w:r>
        <w:r w:rsidR="00327E6E" w:rsidRPr="00A70042">
          <w:rPr>
            <w:rStyle w:val="Hyperlink"/>
            <w:rFonts w:ascii="Times New Roman" w:hAnsi="Times New Roman" w:cs="Times New Roman"/>
            <w:noProof/>
            <w:sz w:val="24"/>
            <w:szCs w:val="24"/>
          </w:rPr>
          <w:t xml:space="preserve"> Before convergence</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_Toc17612466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64</w:t>
        </w:r>
        <w:r w:rsidR="00327E6E" w:rsidRPr="00A70042">
          <w:rPr>
            <w:rFonts w:ascii="Times New Roman" w:hAnsi="Times New Roman" w:cs="Times New Roman"/>
            <w:noProof/>
            <w:webHidden/>
            <w:sz w:val="24"/>
            <w:szCs w:val="24"/>
          </w:rPr>
          <w:fldChar w:fldCharType="end"/>
        </w:r>
      </w:hyperlink>
    </w:p>
    <w:p w14:paraId="24E5EC6F" w14:textId="5A98D24F"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67" w:history="1">
        <w:r w:rsidR="00327E6E" w:rsidRPr="00A70042">
          <w:rPr>
            <w:rStyle w:val="Hyperlink"/>
            <w:rFonts w:ascii="Times New Roman" w:hAnsi="Times New Roman" w:cs="Times New Roman"/>
            <w:b/>
            <w:bCs/>
            <w:noProof/>
            <w:sz w:val="24"/>
            <w:szCs w:val="24"/>
          </w:rPr>
          <w:t>Figure 4:</w:t>
        </w:r>
        <w:r w:rsidR="00327E6E" w:rsidRPr="00A70042">
          <w:rPr>
            <w:rStyle w:val="Hyperlink"/>
            <w:rFonts w:ascii="Times New Roman" w:hAnsi="Times New Roman" w:cs="Times New Roman"/>
            <w:noProof/>
            <w:sz w:val="24"/>
            <w:szCs w:val="24"/>
          </w:rPr>
          <w:t xml:space="preserve"> After convergence</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_Toc17612467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65</w:t>
        </w:r>
        <w:r w:rsidR="00327E6E" w:rsidRPr="00A70042">
          <w:rPr>
            <w:rFonts w:ascii="Times New Roman" w:hAnsi="Times New Roman" w:cs="Times New Roman"/>
            <w:noProof/>
            <w:webHidden/>
            <w:sz w:val="24"/>
            <w:szCs w:val="24"/>
          </w:rPr>
          <w:fldChar w:fldCharType="end"/>
        </w:r>
      </w:hyperlink>
    </w:p>
    <w:p w14:paraId="23AC18B2" w14:textId="60926AFC"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68" w:history="1">
        <w:r w:rsidR="00327E6E" w:rsidRPr="00A70042">
          <w:rPr>
            <w:rStyle w:val="Hyperlink"/>
            <w:rFonts w:ascii="Times New Roman" w:hAnsi="Times New Roman" w:cs="Times New Roman"/>
            <w:b/>
            <w:bCs/>
            <w:noProof/>
            <w:sz w:val="24"/>
            <w:szCs w:val="24"/>
          </w:rPr>
          <w:t>Figure 5:</w:t>
        </w:r>
        <w:r w:rsidR="00327E6E" w:rsidRPr="00A70042">
          <w:rPr>
            <w:rStyle w:val="Hyperlink"/>
            <w:rFonts w:ascii="Times New Roman" w:hAnsi="Times New Roman" w:cs="Times New Roman"/>
            <w:noProof/>
            <w:sz w:val="24"/>
            <w:szCs w:val="24"/>
          </w:rPr>
          <w:t xml:space="preserve">  Major concerns surrounding lack of interoperability</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_Toc17612468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81</w:t>
        </w:r>
        <w:r w:rsidR="00327E6E" w:rsidRPr="00A70042">
          <w:rPr>
            <w:rFonts w:ascii="Times New Roman" w:hAnsi="Times New Roman" w:cs="Times New Roman"/>
            <w:noProof/>
            <w:webHidden/>
            <w:sz w:val="24"/>
            <w:szCs w:val="24"/>
          </w:rPr>
          <w:fldChar w:fldCharType="end"/>
        </w:r>
      </w:hyperlink>
    </w:p>
    <w:p w14:paraId="1C3C2B40" w14:textId="1A13F863"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69" w:history="1">
        <w:r w:rsidR="00327E6E" w:rsidRPr="00A70042">
          <w:rPr>
            <w:rStyle w:val="Hyperlink"/>
            <w:rFonts w:ascii="Times New Roman" w:hAnsi="Times New Roman" w:cs="Times New Roman"/>
            <w:b/>
            <w:noProof/>
            <w:sz w:val="24"/>
            <w:szCs w:val="24"/>
          </w:rPr>
          <w:t>Figure 6:</w:t>
        </w:r>
        <w:r w:rsidR="00327E6E" w:rsidRPr="00A70042">
          <w:rPr>
            <w:rStyle w:val="Hyperlink"/>
            <w:rFonts w:ascii="Times New Roman" w:hAnsi="Times New Roman" w:cs="Times New Roman"/>
            <w:noProof/>
            <w:sz w:val="24"/>
            <w:szCs w:val="24"/>
          </w:rPr>
          <w:t xml:space="preserve"> SMP regime</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_Toc17612469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225</w:t>
        </w:r>
        <w:r w:rsidR="00327E6E" w:rsidRPr="00A70042">
          <w:rPr>
            <w:rFonts w:ascii="Times New Roman" w:hAnsi="Times New Roman" w:cs="Times New Roman"/>
            <w:noProof/>
            <w:webHidden/>
            <w:sz w:val="24"/>
            <w:szCs w:val="24"/>
          </w:rPr>
          <w:fldChar w:fldCharType="end"/>
        </w:r>
      </w:hyperlink>
    </w:p>
    <w:p w14:paraId="4B53EDC6" w14:textId="3EEBC10B"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70" w:history="1">
        <w:r w:rsidR="00327E6E" w:rsidRPr="00A70042">
          <w:rPr>
            <w:rStyle w:val="Hyperlink"/>
            <w:rFonts w:ascii="Times New Roman" w:hAnsi="Times New Roman" w:cs="Times New Roman"/>
            <w:b/>
            <w:noProof/>
            <w:sz w:val="24"/>
            <w:szCs w:val="24"/>
          </w:rPr>
          <w:t>Figure 7:</w:t>
        </w:r>
        <w:r w:rsidR="00327E6E" w:rsidRPr="00A70042">
          <w:rPr>
            <w:rStyle w:val="Hyperlink"/>
            <w:rFonts w:ascii="Times New Roman" w:hAnsi="Times New Roman" w:cs="Times New Roman"/>
            <w:noProof/>
            <w:sz w:val="24"/>
            <w:szCs w:val="24"/>
          </w:rPr>
          <w:t xml:space="preserve"> Interconnection</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_Toc17612470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235</w:t>
        </w:r>
        <w:r w:rsidR="00327E6E" w:rsidRPr="00A70042">
          <w:rPr>
            <w:rFonts w:ascii="Times New Roman" w:hAnsi="Times New Roman" w:cs="Times New Roman"/>
            <w:noProof/>
            <w:webHidden/>
            <w:sz w:val="24"/>
            <w:szCs w:val="24"/>
          </w:rPr>
          <w:fldChar w:fldCharType="end"/>
        </w:r>
      </w:hyperlink>
    </w:p>
    <w:p w14:paraId="6DD58F42" w14:textId="538591DD"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71" w:history="1">
        <w:r w:rsidR="00327E6E" w:rsidRPr="00A70042">
          <w:rPr>
            <w:rStyle w:val="Hyperlink"/>
            <w:rFonts w:ascii="Times New Roman" w:hAnsi="Times New Roman" w:cs="Times New Roman"/>
            <w:b/>
            <w:bCs/>
            <w:noProof/>
            <w:sz w:val="24"/>
            <w:szCs w:val="24"/>
          </w:rPr>
          <w:t>Figure 8:</w:t>
        </w:r>
        <w:r w:rsidR="00327E6E" w:rsidRPr="00A70042">
          <w:rPr>
            <w:rStyle w:val="Hyperlink"/>
            <w:rFonts w:ascii="Times New Roman" w:hAnsi="Times New Roman" w:cs="Times New Roman"/>
            <w:noProof/>
            <w:sz w:val="24"/>
            <w:szCs w:val="24"/>
          </w:rPr>
          <w:t xml:space="preserve"> Cloud layers (internal elements)</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_Toc17612471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266</w:t>
        </w:r>
        <w:r w:rsidR="00327E6E" w:rsidRPr="00A70042">
          <w:rPr>
            <w:rFonts w:ascii="Times New Roman" w:hAnsi="Times New Roman" w:cs="Times New Roman"/>
            <w:noProof/>
            <w:webHidden/>
            <w:sz w:val="24"/>
            <w:szCs w:val="24"/>
          </w:rPr>
          <w:fldChar w:fldCharType="end"/>
        </w:r>
      </w:hyperlink>
    </w:p>
    <w:p w14:paraId="34E5B802" w14:textId="25369C3F"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72" w:history="1">
        <w:r w:rsidR="00327E6E" w:rsidRPr="00A70042">
          <w:rPr>
            <w:rStyle w:val="Hyperlink"/>
            <w:rFonts w:ascii="Times New Roman" w:hAnsi="Times New Roman" w:cs="Times New Roman"/>
            <w:b/>
            <w:bCs/>
            <w:noProof/>
            <w:sz w:val="24"/>
            <w:szCs w:val="24"/>
          </w:rPr>
          <w:t>Figure 9:</w:t>
        </w:r>
        <w:r w:rsidR="00327E6E" w:rsidRPr="00A70042">
          <w:rPr>
            <w:rStyle w:val="Hyperlink"/>
            <w:rFonts w:ascii="Times New Roman" w:hAnsi="Times New Roman" w:cs="Times New Roman"/>
            <w:noProof/>
            <w:sz w:val="24"/>
            <w:szCs w:val="24"/>
          </w:rPr>
          <w:t xml:space="preserve"> Cloud ecosystem (with internal and external elements)</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_Toc17612472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271</w:t>
        </w:r>
        <w:r w:rsidR="00327E6E" w:rsidRPr="00A70042">
          <w:rPr>
            <w:rFonts w:ascii="Times New Roman" w:hAnsi="Times New Roman" w:cs="Times New Roman"/>
            <w:noProof/>
            <w:webHidden/>
            <w:sz w:val="24"/>
            <w:szCs w:val="24"/>
          </w:rPr>
          <w:fldChar w:fldCharType="end"/>
        </w:r>
      </w:hyperlink>
    </w:p>
    <w:p w14:paraId="6BD10741" w14:textId="72CC1005"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73" w:history="1">
        <w:r w:rsidR="00327E6E" w:rsidRPr="00A70042">
          <w:rPr>
            <w:rStyle w:val="Hyperlink"/>
            <w:rFonts w:ascii="Times New Roman" w:hAnsi="Times New Roman" w:cs="Times New Roman"/>
            <w:b/>
            <w:bCs/>
            <w:noProof/>
            <w:sz w:val="24"/>
            <w:szCs w:val="24"/>
          </w:rPr>
          <w:t>Figure 10:</w:t>
        </w:r>
        <w:r w:rsidR="00327E6E" w:rsidRPr="00A70042">
          <w:rPr>
            <w:rStyle w:val="Hyperlink"/>
            <w:rFonts w:ascii="Times New Roman" w:hAnsi="Times New Roman" w:cs="Times New Roman"/>
            <w:noProof/>
            <w:sz w:val="24"/>
            <w:szCs w:val="24"/>
          </w:rPr>
          <w:t xml:space="preserve"> Proliferation of the IoT services, devices and applications</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_Toc17612473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289</w:t>
        </w:r>
        <w:r w:rsidR="00327E6E" w:rsidRPr="00A70042">
          <w:rPr>
            <w:rFonts w:ascii="Times New Roman" w:hAnsi="Times New Roman" w:cs="Times New Roman"/>
            <w:noProof/>
            <w:webHidden/>
            <w:sz w:val="24"/>
            <w:szCs w:val="24"/>
          </w:rPr>
          <w:fldChar w:fldCharType="end"/>
        </w:r>
      </w:hyperlink>
    </w:p>
    <w:p w14:paraId="4D104358" w14:textId="0B2EB262"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74" w:history="1">
        <w:r w:rsidR="00327E6E" w:rsidRPr="00A70042">
          <w:rPr>
            <w:rStyle w:val="Hyperlink"/>
            <w:rFonts w:ascii="Times New Roman" w:hAnsi="Times New Roman" w:cs="Times New Roman"/>
            <w:b/>
            <w:bCs/>
            <w:noProof/>
            <w:sz w:val="24"/>
            <w:szCs w:val="24"/>
          </w:rPr>
          <w:t>Figure 11:</w:t>
        </w:r>
        <w:r w:rsidR="00327E6E" w:rsidRPr="00A70042">
          <w:rPr>
            <w:rStyle w:val="Hyperlink"/>
            <w:rFonts w:ascii="Times New Roman" w:hAnsi="Times New Roman" w:cs="Times New Roman"/>
            <w:noProof/>
            <w:sz w:val="24"/>
            <w:szCs w:val="24"/>
          </w:rPr>
          <w:t xml:space="preserve"> IoT architecture and layers</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_Toc17612474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294</w:t>
        </w:r>
        <w:r w:rsidR="00327E6E" w:rsidRPr="00A70042">
          <w:rPr>
            <w:rFonts w:ascii="Times New Roman" w:hAnsi="Times New Roman" w:cs="Times New Roman"/>
            <w:noProof/>
            <w:webHidden/>
            <w:sz w:val="24"/>
            <w:szCs w:val="24"/>
          </w:rPr>
          <w:fldChar w:fldCharType="end"/>
        </w:r>
      </w:hyperlink>
    </w:p>
    <w:p w14:paraId="03F47531" w14:textId="4A9F5B6B"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75" w:history="1">
        <w:r w:rsidR="00327E6E" w:rsidRPr="00A70042">
          <w:rPr>
            <w:rStyle w:val="Hyperlink"/>
            <w:rFonts w:ascii="Times New Roman" w:hAnsi="Times New Roman" w:cs="Times New Roman"/>
            <w:b/>
            <w:bCs/>
            <w:noProof/>
            <w:sz w:val="24"/>
            <w:szCs w:val="24"/>
          </w:rPr>
          <w:t>Figure 12:</w:t>
        </w:r>
        <w:r w:rsidR="00327E6E" w:rsidRPr="00A70042">
          <w:rPr>
            <w:rStyle w:val="Hyperlink"/>
            <w:rFonts w:ascii="Times New Roman" w:hAnsi="Times New Roman" w:cs="Times New Roman"/>
            <w:noProof/>
            <w:sz w:val="24"/>
            <w:szCs w:val="24"/>
          </w:rPr>
          <w:t xml:space="preserve"> IoT layers (with cloud layer)</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_Toc17612475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296</w:t>
        </w:r>
        <w:r w:rsidR="00327E6E" w:rsidRPr="00A70042">
          <w:rPr>
            <w:rFonts w:ascii="Times New Roman" w:hAnsi="Times New Roman" w:cs="Times New Roman"/>
            <w:noProof/>
            <w:webHidden/>
            <w:sz w:val="24"/>
            <w:szCs w:val="24"/>
          </w:rPr>
          <w:fldChar w:fldCharType="end"/>
        </w:r>
      </w:hyperlink>
    </w:p>
    <w:p w14:paraId="544093B2" w14:textId="0C4D3AF2"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76" w:history="1">
        <w:r w:rsidR="00327E6E" w:rsidRPr="00A70042">
          <w:rPr>
            <w:rStyle w:val="Hyperlink"/>
            <w:rFonts w:ascii="Times New Roman" w:hAnsi="Times New Roman" w:cs="Times New Roman"/>
            <w:b/>
            <w:bCs/>
            <w:noProof/>
            <w:sz w:val="24"/>
            <w:szCs w:val="24"/>
          </w:rPr>
          <w:t>Figure 13:</w:t>
        </w:r>
        <w:r w:rsidR="00327E6E" w:rsidRPr="00A70042">
          <w:rPr>
            <w:rStyle w:val="Hyperlink"/>
            <w:rFonts w:ascii="Times New Roman" w:hAnsi="Times New Roman" w:cs="Times New Roman"/>
            <w:noProof/>
            <w:sz w:val="24"/>
            <w:szCs w:val="24"/>
          </w:rPr>
          <w:t xml:space="preserve"> IoT loops showing different industrial settings</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_Toc17612476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300</w:t>
        </w:r>
        <w:r w:rsidR="00327E6E" w:rsidRPr="00A70042">
          <w:rPr>
            <w:rFonts w:ascii="Times New Roman" w:hAnsi="Times New Roman" w:cs="Times New Roman"/>
            <w:noProof/>
            <w:webHidden/>
            <w:sz w:val="24"/>
            <w:szCs w:val="24"/>
          </w:rPr>
          <w:fldChar w:fldCharType="end"/>
        </w:r>
      </w:hyperlink>
    </w:p>
    <w:p w14:paraId="4C6EE4A9" w14:textId="38A51433"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77" w:history="1">
        <w:r w:rsidR="00327E6E" w:rsidRPr="00A70042">
          <w:rPr>
            <w:rStyle w:val="Hyperlink"/>
            <w:rFonts w:ascii="Times New Roman" w:hAnsi="Times New Roman" w:cs="Times New Roman"/>
            <w:b/>
            <w:bCs/>
            <w:noProof/>
            <w:sz w:val="24"/>
            <w:szCs w:val="24"/>
          </w:rPr>
          <w:t>Figure 14:</w:t>
        </w:r>
        <w:r w:rsidR="00327E6E" w:rsidRPr="00A70042">
          <w:rPr>
            <w:rStyle w:val="Hyperlink"/>
            <w:rFonts w:ascii="Times New Roman" w:hAnsi="Times New Roman" w:cs="Times New Roman"/>
            <w:noProof/>
            <w:sz w:val="24"/>
            <w:szCs w:val="24"/>
          </w:rPr>
          <w:t xml:space="preserve"> Main features of the layered regulatory model</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_Toc17612477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341</w:t>
        </w:r>
        <w:r w:rsidR="00327E6E" w:rsidRPr="00A70042">
          <w:rPr>
            <w:rFonts w:ascii="Times New Roman" w:hAnsi="Times New Roman" w:cs="Times New Roman"/>
            <w:noProof/>
            <w:webHidden/>
            <w:sz w:val="24"/>
            <w:szCs w:val="24"/>
          </w:rPr>
          <w:fldChar w:fldCharType="end"/>
        </w:r>
      </w:hyperlink>
    </w:p>
    <w:p w14:paraId="55470ECB" w14:textId="3798ED43"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78" w:history="1">
        <w:r w:rsidR="00327E6E" w:rsidRPr="00A70042">
          <w:rPr>
            <w:rStyle w:val="Hyperlink"/>
            <w:rFonts w:ascii="Times New Roman" w:hAnsi="Times New Roman" w:cs="Times New Roman"/>
            <w:b/>
            <w:bCs/>
            <w:noProof/>
            <w:sz w:val="24"/>
            <w:szCs w:val="24"/>
          </w:rPr>
          <w:t>Figure 15:</w:t>
        </w:r>
        <w:r w:rsidR="00327E6E" w:rsidRPr="00A70042">
          <w:rPr>
            <w:rStyle w:val="Hyperlink"/>
            <w:rFonts w:ascii="Times New Roman" w:hAnsi="Times New Roman" w:cs="Times New Roman"/>
            <w:noProof/>
            <w:sz w:val="24"/>
            <w:szCs w:val="24"/>
          </w:rPr>
          <w:t xml:space="preserve"> Key </w:t>
        </w:r>
        <w:r w:rsidR="00921828">
          <w:rPr>
            <w:rStyle w:val="Hyperlink"/>
            <w:rFonts w:ascii="Times New Roman" w:hAnsi="Times New Roman" w:cs="Times New Roman"/>
            <w:noProof/>
            <w:sz w:val="24"/>
            <w:szCs w:val="24"/>
          </w:rPr>
          <w:t>mileston</w:t>
        </w:r>
        <w:r w:rsidR="00327E6E" w:rsidRPr="00A70042">
          <w:rPr>
            <w:rStyle w:val="Hyperlink"/>
            <w:rFonts w:ascii="Times New Roman" w:hAnsi="Times New Roman" w:cs="Times New Roman"/>
            <w:noProof/>
            <w:sz w:val="24"/>
            <w:szCs w:val="24"/>
          </w:rPr>
          <w:t>es of the layered regulatory model</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_Toc17612478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362</w:t>
        </w:r>
        <w:r w:rsidR="00327E6E" w:rsidRPr="00A70042">
          <w:rPr>
            <w:rFonts w:ascii="Times New Roman" w:hAnsi="Times New Roman" w:cs="Times New Roman"/>
            <w:noProof/>
            <w:webHidden/>
            <w:sz w:val="24"/>
            <w:szCs w:val="24"/>
          </w:rPr>
          <w:fldChar w:fldCharType="end"/>
        </w:r>
      </w:hyperlink>
    </w:p>
    <w:p w14:paraId="220F7510" w14:textId="094B1A27" w:rsidR="00327E6E" w:rsidRPr="00A70042" w:rsidRDefault="005D478B" w:rsidP="00A70042">
      <w:pPr>
        <w:pStyle w:val="TOC8"/>
        <w:tabs>
          <w:tab w:val="right" w:leader="dot" w:pos="8210"/>
        </w:tabs>
        <w:spacing w:after="120" w:line="240" w:lineRule="auto"/>
        <w:ind w:left="1134" w:hanging="1134"/>
        <w:rPr>
          <w:rFonts w:ascii="Times New Roman" w:hAnsi="Times New Roman" w:cs="Times New Roman"/>
          <w:noProof/>
          <w:sz w:val="24"/>
          <w:szCs w:val="24"/>
          <w:lang w:val="tr-TR" w:eastAsia="tr-TR"/>
        </w:rPr>
      </w:pPr>
      <w:hyperlink w:anchor="_Toc17612479" w:history="1">
        <w:r w:rsidR="00327E6E" w:rsidRPr="00A70042">
          <w:rPr>
            <w:rStyle w:val="Hyperlink"/>
            <w:rFonts w:ascii="Times New Roman" w:hAnsi="Times New Roman" w:cs="Times New Roman"/>
            <w:b/>
            <w:bCs/>
            <w:noProof/>
            <w:sz w:val="24"/>
            <w:szCs w:val="24"/>
          </w:rPr>
          <w:t>Figure 16:</w:t>
        </w:r>
        <w:r w:rsidR="00327E6E" w:rsidRPr="00A70042">
          <w:rPr>
            <w:rStyle w:val="Hyperlink"/>
            <w:rFonts w:ascii="Times New Roman" w:hAnsi="Times New Roman" w:cs="Times New Roman"/>
            <w:noProof/>
            <w:sz w:val="24"/>
            <w:szCs w:val="24"/>
          </w:rPr>
          <w:t xml:space="preserve"> Stage-by-stage outputs of the research</w:t>
        </w:r>
        <w:r w:rsidR="00327E6E" w:rsidRPr="00A70042">
          <w:rPr>
            <w:rFonts w:ascii="Times New Roman" w:hAnsi="Times New Roman" w:cs="Times New Roman"/>
            <w:noProof/>
            <w:webHidden/>
            <w:sz w:val="24"/>
            <w:szCs w:val="24"/>
          </w:rPr>
          <w:tab/>
        </w:r>
        <w:r w:rsidR="00327E6E" w:rsidRPr="00A70042">
          <w:rPr>
            <w:rFonts w:ascii="Times New Roman" w:hAnsi="Times New Roman" w:cs="Times New Roman"/>
            <w:noProof/>
            <w:webHidden/>
            <w:sz w:val="24"/>
            <w:szCs w:val="24"/>
          </w:rPr>
          <w:fldChar w:fldCharType="begin"/>
        </w:r>
        <w:r w:rsidR="00327E6E" w:rsidRPr="00A70042">
          <w:rPr>
            <w:rFonts w:ascii="Times New Roman" w:hAnsi="Times New Roman" w:cs="Times New Roman"/>
            <w:noProof/>
            <w:webHidden/>
            <w:sz w:val="24"/>
            <w:szCs w:val="24"/>
          </w:rPr>
          <w:instrText xml:space="preserve"> PAGEREF _Toc17612479 \h </w:instrText>
        </w:r>
        <w:r w:rsidR="00327E6E" w:rsidRPr="00A70042">
          <w:rPr>
            <w:rFonts w:ascii="Times New Roman" w:hAnsi="Times New Roman" w:cs="Times New Roman"/>
            <w:noProof/>
            <w:webHidden/>
            <w:sz w:val="24"/>
            <w:szCs w:val="24"/>
          </w:rPr>
        </w:r>
        <w:r w:rsidR="00327E6E" w:rsidRPr="00A70042">
          <w:rPr>
            <w:rFonts w:ascii="Times New Roman" w:hAnsi="Times New Roman" w:cs="Times New Roman"/>
            <w:noProof/>
            <w:webHidden/>
            <w:sz w:val="24"/>
            <w:szCs w:val="24"/>
          </w:rPr>
          <w:fldChar w:fldCharType="separate"/>
        </w:r>
        <w:r w:rsidR="004E7D4F">
          <w:rPr>
            <w:rFonts w:ascii="Times New Roman" w:hAnsi="Times New Roman" w:cs="Times New Roman"/>
            <w:noProof/>
            <w:webHidden/>
            <w:sz w:val="24"/>
            <w:szCs w:val="24"/>
          </w:rPr>
          <w:t>370</w:t>
        </w:r>
        <w:r w:rsidR="00327E6E" w:rsidRPr="00A70042">
          <w:rPr>
            <w:rFonts w:ascii="Times New Roman" w:hAnsi="Times New Roman" w:cs="Times New Roman"/>
            <w:noProof/>
            <w:webHidden/>
            <w:sz w:val="24"/>
            <w:szCs w:val="24"/>
          </w:rPr>
          <w:fldChar w:fldCharType="end"/>
        </w:r>
      </w:hyperlink>
    </w:p>
    <w:p w14:paraId="13D98CCD" w14:textId="0184183E" w:rsidR="00E536EC" w:rsidRPr="00774EDB" w:rsidRDefault="00327E6E" w:rsidP="00A70042">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fldChar w:fldCharType="end"/>
      </w:r>
    </w:p>
    <w:p w14:paraId="1240643D" w14:textId="4B52215F" w:rsidR="00E536EC" w:rsidRPr="00774EDB" w:rsidRDefault="00E536EC" w:rsidP="00A70042">
      <w:pPr>
        <w:spacing w:line="360" w:lineRule="auto"/>
        <w:jc w:val="both"/>
        <w:rPr>
          <w:rFonts w:ascii="Times New Roman" w:hAnsi="Times New Roman" w:cs="Times New Roman"/>
          <w:b/>
          <w:bCs/>
          <w:sz w:val="24"/>
          <w:szCs w:val="24"/>
        </w:rPr>
      </w:pPr>
    </w:p>
    <w:p w14:paraId="28D70F9B" w14:textId="5D7E7BD5" w:rsidR="00E536EC" w:rsidRPr="00774EDB" w:rsidRDefault="00E536EC" w:rsidP="00A70042">
      <w:pPr>
        <w:spacing w:line="360" w:lineRule="auto"/>
        <w:jc w:val="both"/>
        <w:rPr>
          <w:rFonts w:ascii="Times New Roman" w:hAnsi="Times New Roman" w:cs="Times New Roman"/>
          <w:b/>
          <w:bCs/>
          <w:sz w:val="24"/>
          <w:szCs w:val="24"/>
        </w:rPr>
      </w:pPr>
    </w:p>
    <w:p w14:paraId="58618201" w14:textId="2FC54239" w:rsidR="00E536EC" w:rsidRPr="00774EDB" w:rsidRDefault="00E536EC" w:rsidP="00A70042">
      <w:pPr>
        <w:spacing w:line="360" w:lineRule="auto"/>
        <w:jc w:val="both"/>
        <w:rPr>
          <w:rFonts w:ascii="Times New Roman" w:hAnsi="Times New Roman" w:cs="Times New Roman"/>
          <w:b/>
          <w:bCs/>
          <w:sz w:val="24"/>
          <w:szCs w:val="24"/>
        </w:rPr>
      </w:pPr>
    </w:p>
    <w:p w14:paraId="0CFA0041" w14:textId="6DE884A5" w:rsidR="00E536EC" w:rsidRPr="00774EDB" w:rsidRDefault="00E536EC" w:rsidP="00A70042">
      <w:pPr>
        <w:spacing w:line="360" w:lineRule="auto"/>
        <w:jc w:val="both"/>
        <w:rPr>
          <w:rFonts w:ascii="Times New Roman" w:hAnsi="Times New Roman" w:cs="Times New Roman"/>
          <w:b/>
          <w:bCs/>
          <w:sz w:val="24"/>
          <w:szCs w:val="24"/>
        </w:rPr>
      </w:pPr>
    </w:p>
    <w:p w14:paraId="0C358F47" w14:textId="7DC64878" w:rsidR="00E536EC" w:rsidRPr="00774EDB" w:rsidRDefault="00E536EC" w:rsidP="00A70042">
      <w:pPr>
        <w:spacing w:line="360" w:lineRule="auto"/>
        <w:jc w:val="both"/>
        <w:rPr>
          <w:rFonts w:ascii="Times New Roman" w:hAnsi="Times New Roman" w:cs="Times New Roman"/>
          <w:b/>
          <w:bCs/>
          <w:sz w:val="24"/>
          <w:szCs w:val="24"/>
        </w:rPr>
      </w:pPr>
    </w:p>
    <w:p w14:paraId="3AD70DD8" w14:textId="673AE0D2" w:rsidR="00E536EC" w:rsidRPr="00774EDB" w:rsidRDefault="00E536EC" w:rsidP="00A70042">
      <w:pPr>
        <w:spacing w:line="360" w:lineRule="auto"/>
        <w:jc w:val="both"/>
        <w:rPr>
          <w:rFonts w:ascii="Times New Roman" w:hAnsi="Times New Roman" w:cs="Times New Roman"/>
          <w:b/>
          <w:bCs/>
          <w:sz w:val="24"/>
          <w:szCs w:val="24"/>
        </w:rPr>
      </w:pPr>
    </w:p>
    <w:p w14:paraId="58CFD1D2" w14:textId="37B156F5" w:rsidR="00E536EC" w:rsidRPr="00774EDB" w:rsidRDefault="00E536EC" w:rsidP="00A70042">
      <w:pPr>
        <w:spacing w:line="360" w:lineRule="auto"/>
        <w:jc w:val="both"/>
        <w:rPr>
          <w:rFonts w:ascii="Times New Roman" w:hAnsi="Times New Roman" w:cs="Times New Roman"/>
          <w:b/>
          <w:bCs/>
          <w:sz w:val="24"/>
          <w:szCs w:val="24"/>
        </w:rPr>
      </w:pPr>
    </w:p>
    <w:p w14:paraId="2961BD89" w14:textId="25B10404" w:rsidR="00E536EC" w:rsidRPr="00774EDB" w:rsidRDefault="00E536EC" w:rsidP="00A70042">
      <w:pPr>
        <w:spacing w:line="360" w:lineRule="auto"/>
        <w:jc w:val="both"/>
        <w:rPr>
          <w:rFonts w:ascii="Times New Roman" w:hAnsi="Times New Roman" w:cs="Times New Roman"/>
          <w:b/>
          <w:bCs/>
          <w:sz w:val="24"/>
          <w:szCs w:val="24"/>
        </w:rPr>
      </w:pPr>
    </w:p>
    <w:p w14:paraId="12F3DFBA" w14:textId="15EEF381" w:rsidR="00774EDB" w:rsidRDefault="00774EDB" w:rsidP="00A70042">
      <w:pPr>
        <w:jc w:val="both"/>
        <w:rPr>
          <w:rFonts w:ascii="Times New Roman" w:eastAsiaTheme="majorEastAsia" w:hAnsi="Times New Roman" w:cs="Times New Roman"/>
          <w:b/>
          <w:bCs/>
          <w:color w:val="2E74B5" w:themeColor="accent1" w:themeShade="BF"/>
          <w:sz w:val="24"/>
          <w:szCs w:val="24"/>
        </w:rPr>
      </w:pPr>
      <w:r>
        <w:rPr>
          <w:rFonts w:ascii="Times New Roman" w:hAnsi="Times New Roman" w:cs="Times New Roman"/>
          <w:b/>
          <w:bCs/>
          <w:sz w:val="24"/>
          <w:szCs w:val="24"/>
        </w:rPr>
        <w:br w:type="page"/>
      </w:r>
    </w:p>
    <w:p w14:paraId="55936E74" w14:textId="7754E48A" w:rsidR="00544F48" w:rsidRPr="00774EDB" w:rsidRDefault="00E536EC" w:rsidP="00A70042">
      <w:pPr>
        <w:pStyle w:val="Heading1"/>
        <w:ind w:right="-2"/>
        <w:jc w:val="both"/>
        <w:rPr>
          <w:rFonts w:ascii="Times New Roman" w:hAnsi="Times New Roman" w:cs="Times New Roman"/>
          <w:b/>
          <w:bCs/>
          <w:sz w:val="24"/>
          <w:szCs w:val="24"/>
        </w:rPr>
      </w:pPr>
      <w:bookmarkStart w:id="11" w:name="_Toc17611322"/>
      <w:bookmarkStart w:id="12" w:name="_Toc53576011"/>
      <w:r w:rsidRPr="00774EDB">
        <w:rPr>
          <w:rFonts w:ascii="Times New Roman" w:hAnsi="Times New Roman" w:cs="Times New Roman"/>
          <w:b/>
          <w:bCs/>
          <w:color w:val="auto"/>
          <w:sz w:val="24"/>
          <w:szCs w:val="24"/>
        </w:rPr>
        <w:lastRenderedPageBreak/>
        <w:t>List of Tables</w:t>
      </w:r>
      <w:bookmarkEnd w:id="11"/>
      <w:bookmarkEnd w:id="12"/>
    </w:p>
    <w:p w14:paraId="5766B2FE" w14:textId="19EDAC3E" w:rsidR="00E536EC" w:rsidRPr="00774EDB" w:rsidRDefault="00E536EC" w:rsidP="00A70042">
      <w:pPr>
        <w:spacing w:line="360" w:lineRule="auto"/>
        <w:ind w:right="-2"/>
        <w:jc w:val="both"/>
        <w:rPr>
          <w:rFonts w:ascii="Times New Roman" w:hAnsi="Times New Roman" w:cs="Times New Roman"/>
          <w:b/>
          <w:bCs/>
          <w:sz w:val="24"/>
          <w:szCs w:val="24"/>
        </w:rPr>
      </w:pPr>
    </w:p>
    <w:p w14:paraId="01C65392" w14:textId="76DAC6FA" w:rsidR="0016413B" w:rsidRPr="00A70042" w:rsidRDefault="0016413B" w:rsidP="00A70042">
      <w:pPr>
        <w:pStyle w:val="TOC9"/>
        <w:tabs>
          <w:tab w:val="right" w:leader="dot" w:pos="9582"/>
        </w:tabs>
        <w:spacing w:after="120" w:line="240" w:lineRule="auto"/>
        <w:ind w:left="0" w:right="-2"/>
        <w:rPr>
          <w:rFonts w:ascii="Times New Roman" w:hAnsi="Times New Roman" w:cs="Times New Roman"/>
          <w:noProof/>
          <w:sz w:val="24"/>
          <w:szCs w:val="24"/>
          <w:lang w:val="tr-TR" w:eastAsia="tr-TR"/>
        </w:rPr>
      </w:pPr>
      <w:r>
        <w:rPr>
          <w:rFonts w:ascii="Times New Roman" w:hAnsi="Times New Roman" w:cs="Times New Roman"/>
          <w:b/>
          <w:bCs/>
          <w:sz w:val="24"/>
          <w:szCs w:val="24"/>
        </w:rPr>
        <w:fldChar w:fldCharType="begin"/>
      </w:r>
      <w:r>
        <w:rPr>
          <w:rFonts w:ascii="Times New Roman" w:hAnsi="Times New Roman" w:cs="Times New Roman"/>
          <w:b/>
          <w:bCs/>
          <w:sz w:val="24"/>
          <w:szCs w:val="24"/>
        </w:rPr>
        <w:instrText xml:space="preserve"> TOC \o "9-9" \h \z \u \t "Başlık 11;1;Başlık 31;3" </w:instrText>
      </w:r>
      <w:r>
        <w:rPr>
          <w:rFonts w:ascii="Times New Roman" w:hAnsi="Times New Roman" w:cs="Times New Roman"/>
          <w:b/>
          <w:bCs/>
          <w:sz w:val="24"/>
          <w:szCs w:val="24"/>
        </w:rPr>
        <w:fldChar w:fldCharType="separate"/>
      </w:r>
      <w:hyperlink w:anchor="_Toc17613622" w:history="1">
        <w:r w:rsidRPr="00A70042">
          <w:rPr>
            <w:rStyle w:val="Hyperlink"/>
            <w:rFonts w:ascii="Times New Roman" w:hAnsi="Times New Roman" w:cs="Times New Roman"/>
            <w:b/>
            <w:bCs/>
            <w:noProof/>
            <w:sz w:val="24"/>
            <w:szCs w:val="24"/>
          </w:rPr>
          <w:t>Table 1:</w:t>
        </w:r>
        <w:r w:rsidRPr="00A70042">
          <w:rPr>
            <w:rStyle w:val="Hyperlink"/>
            <w:rFonts w:ascii="Times New Roman" w:hAnsi="Times New Roman" w:cs="Times New Roman"/>
            <w:noProof/>
            <w:sz w:val="24"/>
            <w:szCs w:val="24"/>
          </w:rPr>
          <w:t xml:space="preserve"> Evaluation of parameters for cloud settings</w:t>
        </w:r>
        <w:r w:rsidRPr="00A70042">
          <w:rPr>
            <w:rFonts w:ascii="Times New Roman" w:hAnsi="Times New Roman" w:cs="Times New Roman"/>
            <w:noProof/>
            <w:webHidden/>
            <w:sz w:val="24"/>
            <w:szCs w:val="24"/>
          </w:rPr>
          <w:tab/>
        </w:r>
        <w:r w:rsidRPr="00A70042">
          <w:rPr>
            <w:rFonts w:ascii="Times New Roman" w:hAnsi="Times New Roman" w:cs="Times New Roman"/>
            <w:noProof/>
            <w:webHidden/>
            <w:sz w:val="24"/>
            <w:szCs w:val="24"/>
          </w:rPr>
          <w:fldChar w:fldCharType="begin"/>
        </w:r>
        <w:r w:rsidRPr="00A70042">
          <w:rPr>
            <w:rFonts w:ascii="Times New Roman" w:hAnsi="Times New Roman" w:cs="Times New Roman"/>
            <w:noProof/>
            <w:webHidden/>
            <w:sz w:val="24"/>
            <w:szCs w:val="24"/>
          </w:rPr>
          <w:instrText xml:space="preserve"> PAGEREF _Toc17613622 \h </w:instrText>
        </w:r>
        <w:r w:rsidRPr="00A70042">
          <w:rPr>
            <w:rFonts w:ascii="Times New Roman" w:hAnsi="Times New Roman" w:cs="Times New Roman"/>
            <w:noProof/>
            <w:webHidden/>
            <w:sz w:val="24"/>
            <w:szCs w:val="24"/>
          </w:rPr>
        </w:r>
        <w:r w:rsidRPr="00A70042">
          <w:rPr>
            <w:rFonts w:ascii="Times New Roman" w:hAnsi="Times New Roman" w:cs="Times New Roman"/>
            <w:noProof/>
            <w:webHidden/>
            <w:sz w:val="24"/>
            <w:szCs w:val="24"/>
          </w:rPr>
          <w:fldChar w:fldCharType="separate"/>
        </w:r>
        <w:r w:rsidR="00A90D28">
          <w:rPr>
            <w:rFonts w:ascii="Times New Roman" w:hAnsi="Times New Roman" w:cs="Times New Roman"/>
            <w:noProof/>
            <w:webHidden/>
            <w:sz w:val="24"/>
            <w:szCs w:val="24"/>
          </w:rPr>
          <w:t>262</w:t>
        </w:r>
        <w:r w:rsidRPr="00A70042">
          <w:rPr>
            <w:rFonts w:ascii="Times New Roman" w:hAnsi="Times New Roman" w:cs="Times New Roman"/>
            <w:noProof/>
            <w:webHidden/>
            <w:sz w:val="24"/>
            <w:szCs w:val="24"/>
          </w:rPr>
          <w:fldChar w:fldCharType="end"/>
        </w:r>
      </w:hyperlink>
    </w:p>
    <w:p w14:paraId="3080AA82" w14:textId="061DD5AD" w:rsidR="0016413B" w:rsidRPr="00A70042" w:rsidRDefault="005D478B" w:rsidP="00A70042">
      <w:pPr>
        <w:pStyle w:val="TOC9"/>
        <w:tabs>
          <w:tab w:val="right" w:leader="dot" w:pos="9582"/>
        </w:tabs>
        <w:spacing w:after="120" w:line="240" w:lineRule="auto"/>
        <w:ind w:left="0" w:right="-2"/>
        <w:rPr>
          <w:rFonts w:ascii="Times New Roman" w:hAnsi="Times New Roman" w:cs="Times New Roman"/>
          <w:noProof/>
          <w:sz w:val="24"/>
          <w:szCs w:val="24"/>
          <w:lang w:val="tr-TR" w:eastAsia="tr-TR"/>
        </w:rPr>
      </w:pPr>
      <w:hyperlink w:anchor="_Toc17613623" w:history="1">
        <w:r w:rsidR="0016413B" w:rsidRPr="00A70042">
          <w:rPr>
            <w:rStyle w:val="Hyperlink"/>
            <w:rFonts w:ascii="Times New Roman" w:hAnsi="Times New Roman" w:cs="Times New Roman"/>
            <w:b/>
            <w:bCs/>
            <w:noProof/>
            <w:sz w:val="24"/>
            <w:szCs w:val="24"/>
          </w:rPr>
          <w:t>Table 2:</w:t>
        </w:r>
        <w:r w:rsidR="0016413B" w:rsidRPr="00A70042">
          <w:rPr>
            <w:rStyle w:val="Hyperlink"/>
            <w:rFonts w:ascii="Times New Roman" w:hAnsi="Times New Roman" w:cs="Times New Roman"/>
            <w:noProof/>
            <w:sz w:val="24"/>
            <w:szCs w:val="24"/>
          </w:rPr>
          <w:t xml:space="preserve"> Potential gatekeepers and gatekeeping activities across the layers</w:t>
        </w:r>
        <w:r w:rsidR="0016413B" w:rsidRPr="00A70042">
          <w:rPr>
            <w:rFonts w:ascii="Times New Roman" w:hAnsi="Times New Roman" w:cs="Times New Roman"/>
            <w:noProof/>
            <w:webHidden/>
            <w:sz w:val="24"/>
            <w:szCs w:val="24"/>
          </w:rPr>
          <w:tab/>
        </w:r>
        <w:r w:rsidR="0016413B" w:rsidRPr="00A70042">
          <w:rPr>
            <w:rFonts w:ascii="Times New Roman" w:hAnsi="Times New Roman" w:cs="Times New Roman"/>
            <w:noProof/>
            <w:webHidden/>
            <w:sz w:val="24"/>
            <w:szCs w:val="24"/>
          </w:rPr>
          <w:fldChar w:fldCharType="begin"/>
        </w:r>
        <w:r w:rsidR="0016413B" w:rsidRPr="00A70042">
          <w:rPr>
            <w:rFonts w:ascii="Times New Roman" w:hAnsi="Times New Roman" w:cs="Times New Roman"/>
            <w:noProof/>
            <w:webHidden/>
            <w:sz w:val="24"/>
            <w:szCs w:val="24"/>
          </w:rPr>
          <w:instrText xml:space="preserve"> PAGEREF _Toc17613623 \h </w:instrText>
        </w:r>
        <w:r w:rsidR="0016413B" w:rsidRPr="00A70042">
          <w:rPr>
            <w:rFonts w:ascii="Times New Roman" w:hAnsi="Times New Roman" w:cs="Times New Roman"/>
            <w:noProof/>
            <w:webHidden/>
            <w:sz w:val="24"/>
            <w:szCs w:val="24"/>
          </w:rPr>
        </w:r>
        <w:r w:rsidR="0016413B" w:rsidRPr="00A70042">
          <w:rPr>
            <w:rFonts w:ascii="Times New Roman" w:hAnsi="Times New Roman" w:cs="Times New Roman"/>
            <w:noProof/>
            <w:webHidden/>
            <w:sz w:val="24"/>
            <w:szCs w:val="24"/>
          </w:rPr>
          <w:fldChar w:fldCharType="separate"/>
        </w:r>
        <w:r w:rsidR="00A90D28">
          <w:rPr>
            <w:rFonts w:ascii="Times New Roman" w:hAnsi="Times New Roman" w:cs="Times New Roman"/>
            <w:noProof/>
            <w:webHidden/>
            <w:sz w:val="24"/>
            <w:szCs w:val="24"/>
          </w:rPr>
          <w:t>322</w:t>
        </w:r>
        <w:r w:rsidR="0016413B" w:rsidRPr="00A70042">
          <w:rPr>
            <w:rFonts w:ascii="Times New Roman" w:hAnsi="Times New Roman" w:cs="Times New Roman"/>
            <w:noProof/>
            <w:webHidden/>
            <w:sz w:val="24"/>
            <w:szCs w:val="24"/>
          </w:rPr>
          <w:fldChar w:fldCharType="end"/>
        </w:r>
      </w:hyperlink>
    </w:p>
    <w:p w14:paraId="4DF58490" w14:textId="499323F1" w:rsidR="00E536EC" w:rsidRPr="00774EDB" w:rsidRDefault="0016413B" w:rsidP="00A70042">
      <w:pPr>
        <w:spacing w:line="360" w:lineRule="auto"/>
        <w:ind w:right="-2"/>
        <w:jc w:val="both"/>
        <w:rPr>
          <w:rFonts w:ascii="Times New Roman" w:hAnsi="Times New Roman" w:cs="Times New Roman"/>
          <w:b/>
          <w:bCs/>
          <w:sz w:val="24"/>
          <w:szCs w:val="24"/>
        </w:rPr>
      </w:pPr>
      <w:r>
        <w:rPr>
          <w:rFonts w:ascii="Times New Roman" w:hAnsi="Times New Roman" w:cs="Times New Roman"/>
          <w:b/>
          <w:bCs/>
          <w:sz w:val="24"/>
          <w:szCs w:val="24"/>
        </w:rPr>
        <w:fldChar w:fldCharType="end"/>
      </w:r>
    </w:p>
    <w:p w14:paraId="53B69E93" w14:textId="31EA60D5" w:rsidR="00E536EC" w:rsidRPr="00A70042" w:rsidRDefault="00E536EC" w:rsidP="00A70042">
      <w:pPr>
        <w:spacing w:line="360" w:lineRule="auto"/>
        <w:jc w:val="both"/>
        <w:rPr>
          <w:rFonts w:ascii="Times New Roman" w:hAnsi="Times New Roman" w:cs="Times New Roman"/>
          <w:sz w:val="24"/>
          <w:szCs w:val="24"/>
        </w:rPr>
      </w:pPr>
    </w:p>
    <w:p w14:paraId="07919CC1" w14:textId="1D91CEC9" w:rsidR="00E536EC" w:rsidRPr="00A70042" w:rsidRDefault="00E536EC" w:rsidP="00A70042">
      <w:pPr>
        <w:spacing w:line="360" w:lineRule="auto"/>
        <w:jc w:val="both"/>
        <w:rPr>
          <w:rFonts w:ascii="Times New Roman" w:hAnsi="Times New Roman" w:cs="Times New Roman"/>
          <w:sz w:val="24"/>
          <w:szCs w:val="24"/>
        </w:rPr>
      </w:pPr>
    </w:p>
    <w:p w14:paraId="7DB6A8CB" w14:textId="6045BEA2" w:rsidR="00E536EC" w:rsidRPr="00A70042" w:rsidRDefault="00E536EC" w:rsidP="00A70042">
      <w:pPr>
        <w:spacing w:line="360" w:lineRule="auto"/>
        <w:jc w:val="both"/>
        <w:rPr>
          <w:rFonts w:ascii="Times New Roman" w:hAnsi="Times New Roman" w:cs="Times New Roman"/>
          <w:sz w:val="24"/>
          <w:szCs w:val="24"/>
        </w:rPr>
      </w:pPr>
    </w:p>
    <w:p w14:paraId="6EAF28A3" w14:textId="5B766A54" w:rsidR="00E536EC" w:rsidRPr="00A70042" w:rsidRDefault="00E536EC" w:rsidP="00A70042">
      <w:pPr>
        <w:spacing w:line="360" w:lineRule="auto"/>
        <w:jc w:val="both"/>
        <w:rPr>
          <w:rFonts w:ascii="Times New Roman" w:hAnsi="Times New Roman" w:cs="Times New Roman"/>
          <w:sz w:val="24"/>
          <w:szCs w:val="24"/>
        </w:rPr>
      </w:pPr>
    </w:p>
    <w:p w14:paraId="68D9FBCB" w14:textId="4C5688ED" w:rsidR="00E536EC" w:rsidRPr="00A70042" w:rsidRDefault="00E536EC" w:rsidP="00A70042">
      <w:pPr>
        <w:spacing w:line="360" w:lineRule="auto"/>
        <w:jc w:val="both"/>
        <w:rPr>
          <w:rFonts w:ascii="Times New Roman" w:hAnsi="Times New Roman" w:cs="Times New Roman"/>
          <w:sz w:val="24"/>
          <w:szCs w:val="24"/>
        </w:rPr>
      </w:pPr>
    </w:p>
    <w:p w14:paraId="3CEFDA88" w14:textId="77777777" w:rsidR="00774EDB" w:rsidRDefault="00774EDB" w:rsidP="00774EDB">
      <w:pPr>
        <w:pStyle w:val="Heading1"/>
        <w:spacing w:before="0" w:line="360" w:lineRule="auto"/>
        <w:jc w:val="both"/>
        <w:rPr>
          <w:rFonts w:ascii="Times New Roman" w:hAnsi="Times New Roman" w:cs="Times New Roman"/>
          <w:b/>
          <w:color w:val="auto"/>
          <w:sz w:val="24"/>
          <w:szCs w:val="24"/>
        </w:rPr>
        <w:sectPr w:rsidR="00774EDB" w:rsidSect="00796E67">
          <w:footerReference w:type="even" r:id="rId10"/>
          <w:footerReference w:type="default" r:id="rId11"/>
          <w:pgSz w:w="11906" w:h="16838" w:code="9"/>
          <w:pgMar w:top="1440" w:right="1080" w:bottom="1440" w:left="1080" w:header="709" w:footer="851" w:gutter="1418"/>
          <w:pgNumType w:fmt="lowerRoman" w:start="1"/>
          <w:cols w:space="708"/>
          <w:docGrid w:linePitch="360"/>
        </w:sectPr>
      </w:pPr>
    </w:p>
    <w:p w14:paraId="0D38B4DF" w14:textId="33605381" w:rsidR="002A2A79" w:rsidRPr="00774EDB" w:rsidRDefault="00774EDB" w:rsidP="00A70042">
      <w:pPr>
        <w:pStyle w:val="Heading1"/>
        <w:spacing w:before="0" w:line="360" w:lineRule="auto"/>
        <w:jc w:val="both"/>
        <w:rPr>
          <w:rFonts w:ascii="Times New Roman" w:hAnsi="Times New Roman" w:cs="Times New Roman"/>
          <w:b/>
          <w:sz w:val="24"/>
          <w:szCs w:val="24"/>
        </w:rPr>
      </w:pPr>
      <w:bookmarkStart w:id="13" w:name="_Toc17611323"/>
      <w:bookmarkStart w:id="14" w:name="_Toc53576012"/>
      <w:r w:rsidRPr="00774EDB">
        <w:rPr>
          <w:rFonts w:ascii="Times New Roman" w:hAnsi="Times New Roman" w:cs="Times New Roman"/>
          <w:b/>
          <w:color w:val="auto"/>
          <w:sz w:val="24"/>
          <w:szCs w:val="24"/>
        </w:rPr>
        <w:lastRenderedPageBreak/>
        <w:t xml:space="preserve">1. </w:t>
      </w:r>
      <w:r w:rsidR="00884DC6" w:rsidRPr="00774EDB">
        <w:rPr>
          <w:rFonts w:ascii="Times New Roman" w:hAnsi="Times New Roman" w:cs="Times New Roman"/>
          <w:b/>
          <w:color w:val="auto"/>
          <w:sz w:val="24"/>
          <w:szCs w:val="24"/>
        </w:rPr>
        <w:t>Introduction</w:t>
      </w:r>
      <w:bookmarkEnd w:id="13"/>
      <w:bookmarkEnd w:id="14"/>
    </w:p>
    <w:p w14:paraId="537F78D2" w14:textId="77777777" w:rsidR="002A2A79" w:rsidRPr="00774EDB" w:rsidRDefault="002A2A79">
      <w:pPr>
        <w:spacing w:line="360" w:lineRule="auto"/>
        <w:jc w:val="both"/>
        <w:rPr>
          <w:rFonts w:ascii="Times New Roman" w:hAnsi="Times New Roman" w:cs="Times New Roman"/>
          <w:sz w:val="24"/>
          <w:szCs w:val="24"/>
        </w:rPr>
      </w:pPr>
    </w:p>
    <w:p w14:paraId="5C4AF7C3" w14:textId="77777777" w:rsidR="00B27633" w:rsidRPr="00774EDB" w:rsidRDefault="00B27633" w:rsidP="00A70042">
      <w:pPr>
        <w:pStyle w:val="Heading2"/>
        <w:numPr>
          <w:ilvl w:val="1"/>
          <w:numId w:val="17"/>
        </w:numPr>
        <w:tabs>
          <w:tab w:val="left" w:pos="426"/>
        </w:tabs>
        <w:spacing w:before="360"/>
        <w:ind w:left="0" w:firstLine="0"/>
        <w:jc w:val="both"/>
        <w:rPr>
          <w:rFonts w:ascii="Times New Roman" w:hAnsi="Times New Roman" w:cs="Times New Roman"/>
          <w:b/>
          <w:color w:val="auto"/>
          <w:sz w:val="24"/>
          <w:szCs w:val="24"/>
        </w:rPr>
      </w:pPr>
      <w:bookmarkStart w:id="15" w:name="_Toc17611324"/>
      <w:bookmarkStart w:id="16" w:name="_Toc53576013"/>
      <w:r w:rsidRPr="00774EDB">
        <w:rPr>
          <w:rFonts w:ascii="Times New Roman" w:hAnsi="Times New Roman" w:cs="Times New Roman"/>
          <w:b/>
          <w:color w:val="auto"/>
          <w:sz w:val="24"/>
          <w:szCs w:val="24"/>
        </w:rPr>
        <w:t xml:space="preserve">Background and </w:t>
      </w:r>
      <w:r w:rsidR="00946B16" w:rsidRPr="00774EDB">
        <w:rPr>
          <w:rFonts w:ascii="Times New Roman" w:hAnsi="Times New Roman" w:cs="Times New Roman"/>
          <w:b/>
          <w:color w:val="auto"/>
          <w:sz w:val="24"/>
          <w:szCs w:val="24"/>
        </w:rPr>
        <w:t>purpose</w:t>
      </w:r>
      <w:r w:rsidRPr="00774EDB">
        <w:rPr>
          <w:rFonts w:ascii="Times New Roman" w:hAnsi="Times New Roman" w:cs="Times New Roman"/>
          <w:b/>
          <w:color w:val="auto"/>
          <w:sz w:val="24"/>
          <w:szCs w:val="24"/>
        </w:rPr>
        <w:t xml:space="preserve"> of the research</w:t>
      </w:r>
      <w:bookmarkEnd w:id="15"/>
      <w:bookmarkEnd w:id="16"/>
      <w:r w:rsidRPr="00774EDB">
        <w:rPr>
          <w:rFonts w:ascii="Times New Roman" w:hAnsi="Times New Roman" w:cs="Times New Roman"/>
          <w:b/>
          <w:color w:val="auto"/>
          <w:sz w:val="24"/>
          <w:szCs w:val="24"/>
        </w:rPr>
        <w:t xml:space="preserve"> </w:t>
      </w:r>
    </w:p>
    <w:p w14:paraId="552F05E2" w14:textId="69308824" w:rsidR="00180329" w:rsidRPr="00774EDB" w:rsidRDefault="0018032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“Interoperability” is defined as “the ability to exchange information and mutually use the information which has been exchanged”.</w:t>
      </w:r>
      <w:r w:rsidRPr="00774EDB">
        <w:rPr>
          <w:rStyle w:val="FootnoteReference"/>
          <w:rFonts w:ascii="Times New Roman" w:hAnsi="Times New Roman" w:cs="Times New Roman"/>
          <w:sz w:val="24"/>
          <w:szCs w:val="24"/>
        </w:rPr>
        <w:footnoteReference w:id="1"/>
      </w:r>
      <w:r w:rsidRPr="00774EDB">
        <w:rPr>
          <w:rFonts w:ascii="Times New Roman" w:hAnsi="Times New Roman" w:cs="Times New Roman"/>
          <w:sz w:val="24"/>
          <w:szCs w:val="24"/>
        </w:rPr>
        <w:t xml:space="preserve"> It has a crucial meaning for the information and communication technologies (ICTs),</w:t>
      </w:r>
      <w:r w:rsidRPr="00774EDB">
        <w:rPr>
          <w:rStyle w:val="FootnoteAnchor"/>
          <w:rFonts w:ascii="Times New Roman" w:hAnsi="Times New Roman" w:cs="Times New Roman"/>
          <w:sz w:val="24"/>
          <w:szCs w:val="24"/>
        </w:rPr>
        <w:footnoteReference w:id="2"/>
      </w:r>
      <w:r w:rsidRPr="00774EDB">
        <w:rPr>
          <w:rFonts w:ascii="Times New Roman" w:hAnsi="Times New Roman" w:cs="Times New Roman"/>
          <w:sz w:val="24"/>
          <w:szCs w:val="24"/>
        </w:rPr>
        <w:t xml:space="preserve"> which is an umbrella term used to mean any technological platform, device or application by which the “information” is created and shared. Electronic file and mail exchanges, video streaming, music downloads are realised through </w:t>
      </w:r>
      <w:r w:rsidRPr="00774EDB">
        <w:rPr>
          <w:rFonts w:ascii="Times New Roman" w:hAnsi="Times New Roman" w:cs="Times New Roman"/>
          <w:i/>
          <w:sz w:val="24"/>
          <w:szCs w:val="24"/>
        </w:rPr>
        <w:t>interfaces</w:t>
      </w:r>
      <w:r w:rsidRPr="00774EDB">
        <w:rPr>
          <w:rStyle w:val="FootnoteAnchor"/>
          <w:rFonts w:ascii="Times New Roman" w:hAnsi="Times New Roman" w:cs="Times New Roman"/>
          <w:sz w:val="24"/>
          <w:szCs w:val="24"/>
        </w:rPr>
        <w:footnoteReference w:id="3"/>
      </w:r>
      <w:r w:rsidRPr="00774EDB">
        <w:rPr>
          <w:rFonts w:ascii="Times New Roman" w:hAnsi="Times New Roman" w:cs="Times New Roman"/>
          <w:sz w:val="24"/>
          <w:szCs w:val="24"/>
        </w:rPr>
        <w:t xml:space="preserve"> that enable interoperability between software/hardware components of non-homogenous ICT systems. Interoperability is generally considered to promote socially desirable goals such as fostering competition and innovation, enhancing consumer satisfaction, and promoting economic growth.</w:t>
      </w:r>
      <w:r w:rsidRPr="00774EDB">
        <w:rPr>
          <w:rStyle w:val="FootnoteReference"/>
          <w:rFonts w:ascii="Times New Roman" w:hAnsi="Times New Roman" w:cs="Times New Roman"/>
          <w:sz w:val="24"/>
          <w:szCs w:val="24"/>
        </w:rPr>
        <w:footnoteReference w:id="4"/>
      </w:r>
      <w:r w:rsidRPr="00774EDB">
        <w:rPr>
          <w:rFonts w:ascii="Times New Roman" w:hAnsi="Times New Roman" w:cs="Times New Roman"/>
          <w:sz w:val="24"/>
          <w:szCs w:val="24"/>
        </w:rPr>
        <w:t xml:space="preserve"> </w:t>
      </w:r>
      <w:r w:rsidR="00307565" w:rsidRPr="00774EDB">
        <w:rPr>
          <w:rFonts w:ascii="Times New Roman" w:hAnsi="Times New Roman" w:cs="Times New Roman"/>
          <w:sz w:val="24"/>
          <w:szCs w:val="24"/>
        </w:rPr>
        <w:t>L</w:t>
      </w:r>
      <w:r w:rsidRPr="00774EDB">
        <w:rPr>
          <w:rFonts w:ascii="Times New Roman" w:hAnsi="Times New Roman" w:cs="Times New Roman"/>
          <w:sz w:val="24"/>
          <w:szCs w:val="24"/>
        </w:rPr>
        <w:t xml:space="preserve">ack of interoperability </w:t>
      </w:r>
      <w:r w:rsidR="00307565" w:rsidRPr="00774EDB">
        <w:rPr>
          <w:rFonts w:ascii="Times New Roman" w:hAnsi="Times New Roman" w:cs="Times New Roman"/>
          <w:sz w:val="24"/>
          <w:szCs w:val="24"/>
        </w:rPr>
        <w:t xml:space="preserve">would </w:t>
      </w:r>
      <w:r w:rsidR="00664506" w:rsidRPr="00774EDB">
        <w:rPr>
          <w:rFonts w:ascii="Times New Roman" w:hAnsi="Times New Roman" w:cs="Times New Roman"/>
          <w:sz w:val="24"/>
          <w:szCs w:val="24"/>
        </w:rPr>
        <w:t>have</w:t>
      </w:r>
      <w:r w:rsidR="00307565" w:rsidRPr="00774EDB">
        <w:rPr>
          <w:rFonts w:ascii="Times New Roman" w:hAnsi="Times New Roman" w:cs="Times New Roman"/>
          <w:sz w:val="24"/>
          <w:szCs w:val="24"/>
        </w:rPr>
        <w:t xml:space="preserve"> significant consequences </w:t>
      </w:r>
      <w:r w:rsidRPr="00774EDB">
        <w:rPr>
          <w:rFonts w:ascii="Times New Roman" w:hAnsi="Times New Roman" w:cs="Times New Roman"/>
          <w:sz w:val="24"/>
          <w:szCs w:val="24"/>
        </w:rPr>
        <w:t xml:space="preserve">for the society and economy, </w:t>
      </w:r>
      <w:r w:rsidR="00664506" w:rsidRPr="00774EDB">
        <w:rPr>
          <w:rFonts w:ascii="Times New Roman" w:hAnsi="Times New Roman" w:cs="Times New Roman"/>
          <w:sz w:val="24"/>
          <w:szCs w:val="24"/>
        </w:rPr>
        <w:t xml:space="preserve">with potential restraints over </w:t>
      </w:r>
      <w:r w:rsidRPr="00774EDB">
        <w:rPr>
          <w:rFonts w:ascii="Times New Roman" w:hAnsi="Times New Roman" w:cs="Times New Roman"/>
          <w:sz w:val="24"/>
          <w:szCs w:val="24"/>
        </w:rPr>
        <w:t>competiti</w:t>
      </w:r>
      <w:r w:rsidR="00664506" w:rsidRPr="00774EDB">
        <w:rPr>
          <w:rFonts w:ascii="Times New Roman" w:hAnsi="Times New Roman" w:cs="Times New Roman"/>
          <w:sz w:val="24"/>
          <w:szCs w:val="24"/>
        </w:rPr>
        <w:t>ve</w:t>
      </w:r>
      <w:r w:rsidRPr="00774EDB">
        <w:rPr>
          <w:rFonts w:ascii="Times New Roman" w:hAnsi="Times New Roman" w:cs="Times New Roman"/>
          <w:sz w:val="24"/>
          <w:szCs w:val="24"/>
        </w:rPr>
        <w:t xml:space="preserve"> and innovati</w:t>
      </w:r>
      <w:r w:rsidR="00664506" w:rsidRPr="00774EDB">
        <w:rPr>
          <w:rFonts w:ascii="Times New Roman" w:hAnsi="Times New Roman" w:cs="Times New Roman"/>
          <w:sz w:val="24"/>
          <w:szCs w:val="24"/>
        </w:rPr>
        <w:t>ve</w:t>
      </w:r>
      <w:r w:rsidRPr="00774EDB">
        <w:rPr>
          <w:rFonts w:ascii="Times New Roman" w:hAnsi="Times New Roman" w:cs="Times New Roman"/>
          <w:sz w:val="24"/>
          <w:szCs w:val="24"/>
        </w:rPr>
        <w:t xml:space="preserve"> </w:t>
      </w:r>
      <w:r w:rsidR="00664506" w:rsidRPr="00774EDB">
        <w:rPr>
          <w:rFonts w:ascii="Times New Roman" w:hAnsi="Times New Roman" w:cs="Times New Roman"/>
          <w:sz w:val="24"/>
          <w:szCs w:val="24"/>
        </w:rPr>
        <w:t>market forces</w:t>
      </w:r>
      <w:r w:rsidRPr="00774EDB">
        <w:rPr>
          <w:rFonts w:ascii="Times New Roman" w:hAnsi="Times New Roman" w:cs="Times New Roman"/>
          <w:sz w:val="24"/>
          <w:szCs w:val="24"/>
        </w:rPr>
        <w:t xml:space="preserve">. Closely related to this, ‘interoperability’ is </w:t>
      </w:r>
      <w:r w:rsidR="00FB507E">
        <w:rPr>
          <w:rFonts w:ascii="Times New Roman" w:hAnsi="Times New Roman" w:cs="Times New Roman"/>
          <w:sz w:val="24"/>
          <w:szCs w:val="24"/>
        </w:rPr>
        <w:t>governed by means of many</w:t>
      </w:r>
      <w:r w:rsidRPr="00774EDB">
        <w:rPr>
          <w:rFonts w:ascii="Times New Roman" w:hAnsi="Times New Roman" w:cs="Times New Roman"/>
          <w:sz w:val="24"/>
          <w:szCs w:val="24"/>
        </w:rPr>
        <w:t xml:space="preserve"> rules </w:t>
      </w:r>
      <w:r w:rsidR="00FB507E">
        <w:rPr>
          <w:rFonts w:ascii="Times New Roman" w:hAnsi="Times New Roman" w:cs="Times New Roman"/>
          <w:sz w:val="24"/>
          <w:szCs w:val="24"/>
        </w:rPr>
        <w:t xml:space="preserve">and precedents </w:t>
      </w:r>
      <w:r w:rsidRPr="00774EDB">
        <w:rPr>
          <w:rFonts w:ascii="Times New Roman" w:hAnsi="Times New Roman" w:cs="Times New Roman"/>
          <w:sz w:val="24"/>
          <w:szCs w:val="24"/>
        </w:rPr>
        <w:t>concerning intellectual property rights (IPRs), competition law and sector-specific (electronic communications) regulations.</w:t>
      </w:r>
    </w:p>
    <w:p w14:paraId="40A9D7CC" w14:textId="05E3CC3C" w:rsidR="00180329" w:rsidRPr="00774EDB" w:rsidRDefault="0018032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 xml:space="preserve">Each body of the legal regulations have different objectives and means to accomplish such objectives, which have distinctive features. While IPR rules aim to encourage original creations, certain types of IPRs i.e. patents, copyrights, trademarks offer pre-defined tools and mechanisms to protect IPR holders against unauthorised uses by third parties. </w:t>
      </w:r>
      <w:r w:rsidR="003E202A" w:rsidRPr="00774EDB">
        <w:rPr>
          <w:rFonts w:ascii="Times New Roman" w:hAnsi="Times New Roman" w:cs="Times New Roman"/>
          <w:sz w:val="24"/>
          <w:szCs w:val="24"/>
        </w:rPr>
        <w:t>European Union (</w:t>
      </w:r>
      <w:r w:rsidRPr="00774EDB">
        <w:rPr>
          <w:rFonts w:ascii="Times New Roman" w:hAnsi="Times New Roman" w:cs="Times New Roman"/>
          <w:sz w:val="24"/>
          <w:szCs w:val="24"/>
        </w:rPr>
        <w:t>EU</w:t>
      </w:r>
      <w:r w:rsidR="003E202A" w:rsidRPr="00774EDB">
        <w:rPr>
          <w:rFonts w:ascii="Times New Roman" w:hAnsi="Times New Roman" w:cs="Times New Roman"/>
          <w:sz w:val="24"/>
          <w:szCs w:val="24"/>
        </w:rPr>
        <w:t>)</w:t>
      </w:r>
      <w:r w:rsidRPr="00774EDB">
        <w:rPr>
          <w:rFonts w:ascii="Times New Roman" w:hAnsi="Times New Roman" w:cs="Times New Roman"/>
          <w:sz w:val="24"/>
          <w:szCs w:val="24"/>
        </w:rPr>
        <w:t xml:space="preserve"> competition law focuses on consumer welfare and protecting competition usually </w:t>
      </w:r>
      <w:r w:rsidR="00FB507E">
        <w:rPr>
          <w:rFonts w:ascii="Times New Roman" w:hAnsi="Times New Roman" w:cs="Times New Roman"/>
          <w:sz w:val="24"/>
          <w:szCs w:val="24"/>
        </w:rPr>
        <w:t xml:space="preserve">through </w:t>
      </w:r>
      <w:r w:rsidRPr="00774EDB">
        <w:rPr>
          <w:rFonts w:ascii="Times New Roman" w:hAnsi="Times New Roman" w:cs="Times New Roman"/>
          <w:sz w:val="24"/>
          <w:szCs w:val="24"/>
        </w:rPr>
        <w:t>punitive ex-post interventions, such as remedies addressing ‘abuse of dominance’. As far as the electronic communications regulatory framework (ECRF)</w:t>
      </w:r>
      <w:r w:rsidRPr="00774EDB">
        <w:rPr>
          <w:rStyle w:val="FootnoteReference"/>
          <w:rFonts w:ascii="Times New Roman" w:hAnsi="Times New Roman" w:cs="Times New Roman"/>
          <w:sz w:val="24"/>
          <w:szCs w:val="24"/>
        </w:rPr>
        <w:footnoteReference w:id="5"/>
      </w:r>
      <w:r w:rsidRPr="00774EDB">
        <w:rPr>
          <w:rFonts w:ascii="Times New Roman" w:hAnsi="Times New Roman" w:cs="Times New Roman"/>
          <w:sz w:val="24"/>
          <w:szCs w:val="24"/>
        </w:rPr>
        <w:t xml:space="preserve"> is concerned, a more complicated body of rules is figured based on more specific objectives e.g. ensuring ‘end-to-end connectivity’</w:t>
      </w:r>
      <w:r w:rsidR="003E202A" w:rsidRPr="00774EDB">
        <w:rPr>
          <w:rFonts w:ascii="Times New Roman" w:hAnsi="Times New Roman" w:cs="Times New Roman"/>
          <w:sz w:val="24"/>
          <w:szCs w:val="24"/>
        </w:rPr>
        <w:t>,</w:t>
      </w:r>
      <w:r w:rsidRPr="00774EDB">
        <w:rPr>
          <w:rFonts w:ascii="Times New Roman" w:hAnsi="Times New Roman" w:cs="Times New Roman"/>
          <w:sz w:val="24"/>
          <w:szCs w:val="24"/>
        </w:rPr>
        <w:t xml:space="preserve"> as well as ex-ante powers handed over to the regulators, revealing a more intrusive and straightforward nature, also reflected in dealing with the lack of interoperability.</w:t>
      </w:r>
    </w:p>
    <w:p w14:paraId="2B57A16A" w14:textId="774928DB" w:rsidR="00402816" w:rsidRDefault="00180329" w:rsidP="00A70042">
      <w:pPr>
        <w:spacing w:before="360"/>
        <w:jc w:val="both"/>
        <w:rPr>
          <w:rFonts w:ascii="Times New Roman" w:hAnsi="Times New Roman" w:cs="Times New Roman"/>
          <w:sz w:val="24"/>
          <w:szCs w:val="24"/>
        </w:rPr>
      </w:pPr>
      <w:r w:rsidRPr="00A70042">
        <w:rPr>
          <w:rFonts w:ascii="Times New Roman" w:hAnsi="Times New Roman" w:cs="Times New Roman"/>
          <w:spacing w:val="-2"/>
          <w:sz w:val="24"/>
          <w:szCs w:val="24"/>
        </w:rPr>
        <w:t xml:space="preserve">Lack of interoperability causes some problems, </w:t>
      </w:r>
      <w:r w:rsidR="00820CBF">
        <w:rPr>
          <w:rFonts w:ascii="Times New Roman" w:hAnsi="Times New Roman" w:cs="Times New Roman"/>
          <w:spacing w:val="-2"/>
          <w:sz w:val="24"/>
          <w:szCs w:val="24"/>
        </w:rPr>
        <w:t>often</w:t>
      </w:r>
      <w:r w:rsidRPr="00A70042">
        <w:rPr>
          <w:rFonts w:ascii="Times New Roman" w:hAnsi="Times New Roman" w:cs="Times New Roman"/>
          <w:spacing w:val="-2"/>
          <w:sz w:val="24"/>
          <w:szCs w:val="24"/>
        </w:rPr>
        <w:t xml:space="preserve"> surrounding the concept of </w:t>
      </w:r>
      <w:r w:rsidRPr="00A70042">
        <w:rPr>
          <w:rFonts w:ascii="Times New Roman" w:hAnsi="Times New Roman" w:cs="Times New Roman"/>
          <w:i/>
          <w:spacing w:val="-2"/>
          <w:sz w:val="24"/>
          <w:szCs w:val="24"/>
        </w:rPr>
        <w:t>lock-in,</w:t>
      </w:r>
      <w:r w:rsidRPr="00A70042">
        <w:rPr>
          <w:rStyle w:val="FootnoteReference"/>
          <w:rFonts w:ascii="Times New Roman" w:hAnsi="Times New Roman" w:cs="Times New Roman"/>
          <w:spacing w:val="-2"/>
          <w:sz w:val="24"/>
          <w:szCs w:val="24"/>
        </w:rPr>
        <w:footnoteReference w:id="6"/>
      </w:r>
      <w:r w:rsidRPr="00A70042">
        <w:rPr>
          <w:rFonts w:ascii="Times New Roman" w:hAnsi="Times New Roman" w:cs="Times New Roman"/>
          <w:spacing w:val="-2"/>
          <w:sz w:val="24"/>
          <w:szCs w:val="24"/>
        </w:rPr>
        <w:t xml:space="preserve"> which is reflected in the consumers’ inability to switch to one platform from another or a competitor being kept out of the market because of the network effects and/or path dependence.</w:t>
      </w:r>
      <w:r w:rsidRPr="00A70042">
        <w:rPr>
          <w:rStyle w:val="FootnoteReference"/>
          <w:rFonts w:ascii="Times New Roman" w:hAnsi="Times New Roman" w:cs="Times New Roman"/>
          <w:spacing w:val="-2"/>
          <w:sz w:val="24"/>
          <w:szCs w:val="24"/>
        </w:rPr>
        <w:footnoteReference w:id="7"/>
      </w:r>
      <w:r w:rsidRPr="00A70042">
        <w:rPr>
          <w:rFonts w:ascii="Times New Roman" w:hAnsi="Times New Roman" w:cs="Times New Roman"/>
          <w:spacing w:val="-2"/>
          <w:sz w:val="24"/>
          <w:szCs w:val="24"/>
        </w:rPr>
        <w:t xml:space="preserve"> Interoperability might have either positive or negative co-relation with the </w:t>
      </w:r>
      <w:r w:rsidRPr="00A70042">
        <w:rPr>
          <w:rFonts w:ascii="Times New Roman" w:hAnsi="Times New Roman" w:cs="Times New Roman"/>
          <w:spacing w:val="-2"/>
          <w:sz w:val="24"/>
          <w:szCs w:val="24"/>
        </w:rPr>
        <w:lastRenderedPageBreak/>
        <w:t xml:space="preserve">network effects. Dominant firms usually try to create their (firm-level) network effects and limit the interoperability to the extent that enables them to maximize brand loyalty and customer base. This strategy often contrasts to industry-level network effects and wider benefits to be reaped from broader interoperability. No legal system attempts to optimize the level of interoperability. </w:t>
      </w:r>
      <w:bookmarkStart w:id="17" w:name="_Hlk52764781"/>
      <w:r w:rsidRPr="00A70042">
        <w:rPr>
          <w:rFonts w:ascii="Times New Roman" w:hAnsi="Times New Roman" w:cs="Times New Roman"/>
          <w:spacing w:val="-2"/>
          <w:sz w:val="24"/>
          <w:szCs w:val="24"/>
        </w:rPr>
        <w:t xml:space="preserve">Notwithstanding, diverse </w:t>
      </w:r>
      <w:r w:rsidR="00FB507E">
        <w:rPr>
          <w:rFonts w:ascii="Times New Roman" w:hAnsi="Times New Roman" w:cs="Times New Roman"/>
          <w:spacing w:val="-2"/>
          <w:sz w:val="24"/>
          <w:szCs w:val="24"/>
        </w:rPr>
        <w:t xml:space="preserve">legal and non-legal </w:t>
      </w:r>
      <w:r w:rsidRPr="00A70042">
        <w:rPr>
          <w:rFonts w:ascii="Times New Roman" w:hAnsi="Times New Roman" w:cs="Times New Roman"/>
          <w:spacing w:val="-2"/>
          <w:sz w:val="24"/>
          <w:szCs w:val="24"/>
        </w:rPr>
        <w:t xml:space="preserve">rules and fragmented markets increasingly pose interoperability-based problems, which would have far-reaching implications e.g. not only </w:t>
      </w:r>
      <w:r w:rsidR="00402816" w:rsidRPr="00A70042">
        <w:rPr>
          <w:rFonts w:ascii="Times New Roman" w:hAnsi="Times New Roman" w:cs="Times New Roman"/>
          <w:spacing w:val="-2"/>
          <w:sz w:val="24"/>
          <w:szCs w:val="24"/>
        </w:rPr>
        <w:t>economics based</w:t>
      </w:r>
      <w:r w:rsidR="00402816" w:rsidRPr="00A70042" w:rsidDel="00402816">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(mostly competition oriented)</w:t>
      </w:r>
      <w:r w:rsidR="00402816">
        <w:rPr>
          <w:rFonts w:ascii="Times New Roman" w:hAnsi="Times New Roman" w:cs="Times New Roman"/>
          <w:spacing w:val="-2"/>
          <w:sz w:val="24"/>
          <w:szCs w:val="24"/>
        </w:rPr>
        <w:t xml:space="preserve"> outcomes</w:t>
      </w:r>
      <w:r w:rsidRPr="00A70042">
        <w:rPr>
          <w:rFonts w:ascii="Times New Roman" w:hAnsi="Times New Roman" w:cs="Times New Roman"/>
          <w:spacing w:val="-2"/>
          <w:sz w:val="24"/>
          <w:szCs w:val="24"/>
        </w:rPr>
        <w:t xml:space="preserve">, but also </w:t>
      </w:r>
      <w:r w:rsidR="00402816">
        <w:rPr>
          <w:rFonts w:ascii="Times New Roman" w:hAnsi="Times New Roman" w:cs="Times New Roman"/>
          <w:spacing w:val="-2"/>
          <w:sz w:val="24"/>
          <w:szCs w:val="24"/>
        </w:rPr>
        <w:t xml:space="preserve">further consequences </w:t>
      </w:r>
      <w:r w:rsidR="00842098">
        <w:rPr>
          <w:rFonts w:ascii="Times New Roman" w:hAnsi="Times New Roman" w:cs="Times New Roman"/>
          <w:spacing w:val="-2"/>
          <w:sz w:val="24"/>
          <w:szCs w:val="24"/>
        </w:rPr>
        <w:t>related to</w:t>
      </w:r>
      <w:r w:rsidR="00402816">
        <w:rPr>
          <w:rFonts w:ascii="Times New Roman" w:hAnsi="Times New Roman" w:cs="Times New Roman"/>
          <w:spacing w:val="-2"/>
          <w:sz w:val="24"/>
          <w:szCs w:val="24"/>
        </w:rPr>
        <w:t xml:space="preserve"> </w:t>
      </w:r>
      <w:r w:rsidR="00842098">
        <w:rPr>
          <w:rFonts w:ascii="Times New Roman" w:hAnsi="Times New Roman" w:cs="Times New Roman"/>
          <w:spacing w:val="-2"/>
          <w:sz w:val="24"/>
          <w:szCs w:val="24"/>
        </w:rPr>
        <w:t xml:space="preserve">hindered </w:t>
      </w:r>
      <w:r w:rsidR="00402816">
        <w:rPr>
          <w:rFonts w:ascii="Times New Roman" w:hAnsi="Times New Roman" w:cs="Times New Roman"/>
          <w:spacing w:val="-2"/>
          <w:sz w:val="24"/>
          <w:szCs w:val="24"/>
        </w:rPr>
        <w:t>information flows</w:t>
      </w:r>
      <w:bookmarkEnd w:id="17"/>
      <w:r w:rsidRPr="00A70042">
        <w:rPr>
          <w:rFonts w:ascii="Times New Roman" w:hAnsi="Times New Roman" w:cs="Times New Roman"/>
          <w:spacing w:val="-2"/>
          <w:sz w:val="24"/>
          <w:szCs w:val="24"/>
        </w:rPr>
        <w:t xml:space="preserve">. </w:t>
      </w:r>
      <w:r w:rsidR="00402816">
        <w:rPr>
          <w:rFonts w:ascii="Times New Roman" w:hAnsi="Times New Roman" w:cs="Times New Roman"/>
          <w:spacing w:val="-2"/>
          <w:sz w:val="24"/>
          <w:szCs w:val="24"/>
        </w:rPr>
        <w:t xml:space="preserve">In conjunction with this, </w:t>
      </w:r>
      <w:r w:rsidR="00402816">
        <w:rPr>
          <w:rFonts w:ascii="Times New Roman" w:hAnsi="Times New Roman" w:cs="Times New Roman"/>
          <w:sz w:val="24"/>
          <w:szCs w:val="24"/>
        </w:rPr>
        <w:t>a set of concerns being drawn at the outset of th</w:t>
      </w:r>
      <w:r w:rsidR="00FB507E">
        <w:rPr>
          <w:rFonts w:ascii="Times New Roman" w:hAnsi="Times New Roman" w:cs="Times New Roman"/>
          <w:sz w:val="24"/>
          <w:szCs w:val="24"/>
        </w:rPr>
        <w:t>is</w:t>
      </w:r>
      <w:r w:rsidR="00402816">
        <w:rPr>
          <w:rFonts w:ascii="Times New Roman" w:hAnsi="Times New Roman" w:cs="Times New Roman"/>
          <w:sz w:val="24"/>
          <w:szCs w:val="24"/>
        </w:rPr>
        <w:t xml:space="preserve"> study shed a broader light on the interoperability discourse and demonstrate that ICT network/service providers tend to erect artificial gateways to control access and interoperability, resulting in gatekeeping roles and functionalities.</w:t>
      </w:r>
      <w:r w:rsidR="00842098">
        <w:rPr>
          <w:rStyle w:val="FootnoteReference"/>
          <w:rFonts w:ascii="Times New Roman" w:hAnsi="Times New Roman" w:cs="Times New Roman"/>
          <w:sz w:val="24"/>
          <w:szCs w:val="24"/>
        </w:rPr>
        <w:footnoteReference w:id="8"/>
      </w:r>
      <w:r w:rsidR="00402816">
        <w:rPr>
          <w:rFonts w:ascii="Times New Roman" w:hAnsi="Times New Roman" w:cs="Times New Roman"/>
          <w:sz w:val="24"/>
          <w:szCs w:val="24"/>
        </w:rPr>
        <w:t xml:space="preserve"> </w:t>
      </w:r>
    </w:p>
    <w:p w14:paraId="7D445193" w14:textId="05500B90" w:rsidR="00180329" w:rsidRPr="00A70042" w:rsidRDefault="00FB507E" w:rsidP="00A70042">
      <w:pPr>
        <w:spacing w:before="360"/>
        <w:jc w:val="both"/>
        <w:rPr>
          <w:rFonts w:ascii="Times New Roman" w:hAnsi="Times New Roman" w:cs="Times New Roman"/>
          <w:spacing w:val="-2"/>
          <w:sz w:val="24"/>
          <w:szCs w:val="24"/>
        </w:rPr>
      </w:pPr>
      <w:r>
        <w:rPr>
          <w:rFonts w:ascii="Times New Roman" w:hAnsi="Times New Roman" w:cs="Times New Roman"/>
          <w:sz w:val="24"/>
          <w:szCs w:val="24"/>
        </w:rPr>
        <w:t xml:space="preserve">While interoperability is by and large is attributed to lock-in and related problems e.g. switching costs, potential problems need to be extended to social </w:t>
      </w:r>
      <w:r w:rsidR="00FA7693">
        <w:rPr>
          <w:rFonts w:ascii="Times New Roman" w:hAnsi="Times New Roman" w:cs="Times New Roman"/>
          <w:sz w:val="24"/>
          <w:szCs w:val="24"/>
        </w:rPr>
        <w:t xml:space="preserve">production </w:t>
      </w:r>
      <w:r>
        <w:rPr>
          <w:rFonts w:ascii="Times New Roman" w:hAnsi="Times New Roman" w:cs="Times New Roman"/>
          <w:sz w:val="24"/>
          <w:szCs w:val="24"/>
        </w:rPr>
        <w:t xml:space="preserve">and democratic </w:t>
      </w:r>
      <w:r w:rsidR="00FA7693">
        <w:rPr>
          <w:rFonts w:ascii="Times New Roman" w:hAnsi="Times New Roman" w:cs="Times New Roman"/>
          <w:sz w:val="24"/>
          <w:szCs w:val="24"/>
        </w:rPr>
        <w:t>culture within and across</w:t>
      </w:r>
      <w:r>
        <w:rPr>
          <w:rFonts w:ascii="Times New Roman" w:hAnsi="Times New Roman" w:cs="Times New Roman"/>
          <w:sz w:val="24"/>
          <w:szCs w:val="24"/>
        </w:rPr>
        <w:t xml:space="preserve"> the societ</w:t>
      </w:r>
      <w:r w:rsidR="00FA7693">
        <w:rPr>
          <w:rFonts w:ascii="Times New Roman" w:hAnsi="Times New Roman" w:cs="Times New Roman"/>
          <w:sz w:val="24"/>
          <w:szCs w:val="24"/>
        </w:rPr>
        <w:t>ies</w:t>
      </w:r>
      <w:r>
        <w:rPr>
          <w:rFonts w:ascii="Times New Roman" w:hAnsi="Times New Roman" w:cs="Times New Roman"/>
          <w:sz w:val="24"/>
          <w:szCs w:val="24"/>
        </w:rPr>
        <w:t xml:space="preserve">. In particular, with the advent of the digital technologies as well as internet connectivity, lack of interoperability would </w:t>
      </w:r>
      <w:r w:rsidR="00FA7693">
        <w:rPr>
          <w:rFonts w:ascii="Times New Roman" w:hAnsi="Times New Roman" w:cs="Times New Roman"/>
          <w:sz w:val="24"/>
          <w:szCs w:val="24"/>
        </w:rPr>
        <w:t>mean</w:t>
      </w:r>
      <w:r>
        <w:rPr>
          <w:rFonts w:ascii="Times New Roman" w:hAnsi="Times New Roman" w:cs="Times New Roman"/>
          <w:sz w:val="24"/>
          <w:szCs w:val="24"/>
        </w:rPr>
        <w:t xml:space="preserve"> lack of communication </w:t>
      </w:r>
      <w:r w:rsidR="00FA7693">
        <w:rPr>
          <w:rFonts w:ascii="Times New Roman" w:hAnsi="Times New Roman" w:cs="Times New Roman"/>
          <w:sz w:val="24"/>
          <w:szCs w:val="24"/>
        </w:rPr>
        <w:t>and information channels</w:t>
      </w:r>
      <w:r>
        <w:rPr>
          <w:rFonts w:ascii="Times New Roman" w:hAnsi="Times New Roman" w:cs="Times New Roman"/>
          <w:sz w:val="24"/>
          <w:szCs w:val="24"/>
        </w:rPr>
        <w:t xml:space="preserve"> </w:t>
      </w:r>
      <w:r w:rsidR="00FA7693">
        <w:rPr>
          <w:rFonts w:ascii="Times New Roman" w:hAnsi="Times New Roman" w:cs="Times New Roman"/>
          <w:sz w:val="24"/>
          <w:szCs w:val="24"/>
        </w:rPr>
        <w:t xml:space="preserve">across different platforms, apps and services. While the end-to-end connectivity is based on the global </w:t>
      </w:r>
      <w:r w:rsidR="009153FD">
        <w:rPr>
          <w:rFonts w:ascii="Times New Roman" w:hAnsi="Times New Roman" w:cs="Times New Roman"/>
          <w:sz w:val="24"/>
          <w:szCs w:val="24"/>
        </w:rPr>
        <w:t xml:space="preserve">communication </w:t>
      </w:r>
      <w:r w:rsidR="00FA7693">
        <w:rPr>
          <w:rFonts w:ascii="Times New Roman" w:hAnsi="Times New Roman" w:cs="Times New Roman"/>
          <w:sz w:val="24"/>
          <w:szCs w:val="24"/>
        </w:rPr>
        <w:t xml:space="preserve">standards and </w:t>
      </w:r>
      <w:r w:rsidR="009153FD">
        <w:rPr>
          <w:rFonts w:ascii="Times New Roman" w:hAnsi="Times New Roman" w:cs="Times New Roman"/>
          <w:sz w:val="24"/>
          <w:szCs w:val="24"/>
        </w:rPr>
        <w:t xml:space="preserve">an </w:t>
      </w:r>
      <w:r w:rsidR="00FA7693">
        <w:rPr>
          <w:rFonts w:ascii="Times New Roman" w:hAnsi="Times New Roman" w:cs="Times New Roman"/>
          <w:sz w:val="24"/>
          <w:szCs w:val="24"/>
        </w:rPr>
        <w:t xml:space="preserve">interoperable landscape, this is not the case when we mention about the media and information flows particularly when protected with the </w:t>
      </w:r>
      <w:r w:rsidR="009153FD">
        <w:rPr>
          <w:rFonts w:ascii="Times New Roman" w:hAnsi="Times New Roman" w:cs="Times New Roman"/>
          <w:sz w:val="24"/>
          <w:szCs w:val="24"/>
        </w:rPr>
        <w:t>IPR</w:t>
      </w:r>
      <w:r w:rsidR="00FA7693">
        <w:rPr>
          <w:rFonts w:ascii="Times New Roman" w:hAnsi="Times New Roman" w:cs="Times New Roman"/>
          <w:sz w:val="24"/>
          <w:szCs w:val="24"/>
        </w:rPr>
        <w:t xml:space="preserve">s. </w:t>
      </w:r>
      <w:r w:rsidR="009153FD">
        <w:rPr>
          <w:rFonts w:ascii="Times New Roman" w:hAnsi="Times New Roman" w:cs="Times New Roman"/>
          <w:sz w:val="24"/>
          <w:szCs w:val="24"/>
        </w:rPr>
        <w:t>T</w:t>
      </w:r>
      <w:r w:rsidR="00FA7693">
        <w:rPr>
          <w:rFonts w:ascii="Times New Roman" w:hAnsi="Times New Roman" w:cs="Times New Roman"/>
          <w:sz w:val="24"/>
          <w:szCs w:val="24"/>
        </w:rPr>
        <w:t xml:space="preserve">he resultant picture would be better captured by the term ‘gatekeeping’ based on the lack of interoperability and surrounding problems. From this point of view, the </w:t>
      </w:r>
      <w:r w:rsidR="00FA7693">
        <w:rPr>
          <w:rFonts w:ascii="Times New Roman" w:hAnsi="Times New Roman" w:cs="Times New Roman"/>
          <w:sz w:val="24"/>
          <w:szCs w:val="24"/>
        </w:rPr>
        <w:lastRenderedPageBreak/>
        <w:t>thesis invokes this term to explain the interoperability related concerns</w:t>
      </w:r>
      <w:r w:rsidR="00E737AD">
        <w:rPr>
          <w:rFonts w:ascii="Times New Roman" w:hAnsi="Times New Roman" w:cs="Times New Roman"/>
          <w:sz w:val="24"/>
          <w:szCs w:val="24"/>
        </w:rPr>
        <w:t xml:space="preserve"> and problems on a cumulative ground</w:t>
      </w:r>
      <w:r w:rsidR="00FA7693">
        <w:rPr>
          <w:rFonts w:ascii="Times New Roman" w:hAnsi="Times New Roman" w:cs="Times New Roman"/>
          <w:sz w:val="24"/>
          <w:szCs w:val="24"/>
        </w:rPr>
        <w:t xml:space="preserve">. </w:t>
      </w:r>
      <w:r w:rsidR="00E737AD">
        <w:rPr>
          <w:rFonts w:ascii="Times New Roman" w:hAnsi="Times New Roman" w:cs="Times New Roman"/>
          <w:sz w:val="24"/>
          <w:szCs w:val="24"/>
        </w:rPr>
        <w:t>Conversely</w:t>
      </w:r>
      <w:r w:rsidR="009153FD">
        <w:rPr>
          <w:rFonts w:ascii="Times New Roman" w:hAnsi="Times New Roman" w:cs="Times New Roman"/>
          <w:sz w:val="24"/>
          <w:szCs w:val="24"/>
        </w:rPr>
        <w:t xml:space="preserve">, </w:t>
      </w:r>
      <w:r w:rsidR="00E737AD">
        <w:rPr>
          <w:rFonts w:ascii="Times New Roman" w:hAnsi="Times New Roman" w:cs="Times New Roman"/>
          <w:sz w:val="24"/>
          <w:szCs w:val="24"/>
        </w:rPr>
        <w:t>distinct bodies of law fragment such</w:t>
      </w:r>
      <w:r w:rsidR="00475D66">
        <w:rPr>
          <w:rFonts w:ascii="Times New Roman" w:hAnsi="Times New Roman" w:cs="Times New Roman"/>
          <w:sz w:val="24"/>
          <w:szCs w:val="24"/>
        </w:rPr>
        <w:t xml:space="preserve"> </w:t>
      </w:r>
      <w:r w:rsidR="009153FD">
        <w:rPr>
          <w:rFonts w:ascii="Times New Roman" w:hAnsi="Times New Roman" w:cs="Times New Roman"/>
          <w:sz w:val="24"/>
          <w:szCs w:val="24"/>
        </w:rPr>
        <w:t xml:space="preserve">problems </w:t>
      </w:r>
      <w:r w:rsidR="00475D66">
        <w:rPr>
          <w:rFonts w:ascii="Times New Roman" w:hAnsi="Times New Roman" w:cs="Times New Roman"/>
          <w:sz w:val="24"/>
          <w:szCs w:val="24"/>
        </w:rPr>
        <w:t>provid</w:t>
      </w:r>
      <w:r w:rsidR="00E737AD">
        <w:rPr>
          <w:rFonts w:ascii="Times New Roman" w:hAnsi="Times New Roman" w:cs="Times New Roman"/>
          <w:sz w:val="24"/>
          <w:szCs w:val="24"/>
        </w:rPr>
        <w:t>ing for</w:t>
      </w:r>
      <w:r w:rsidR="00475D66">
        <w:rPr>
          <w:rFonts w:ascii="Times New Roman" w:hAnsi="Times New Roman" w:cs="Times New Roman"/>
          <w:sz w:val="24"/>
          <w:szCs w:val="24"/>
        </w:rPr>
        <w:t xml:space="preserve"> crystallised</w:t>
      </w:r>
      <w:r w:rsidR="009153FD">
        <w:rPr>
          <w:rFonts w:ascii="Times New Roman" w:hAnsi="Times New Roman" w:cs="Times New Roman"/>
          <w:sz w:val="24"/>
          <w:szCs w:val="24"/>
        </w:rPr>
        <w:t xml:space="preserve"> tools and means. </w:t>
      </w:r>
      <w:r w:rsidR="00D44AE9">
        <w:rPr>
          <w:rFonts w:ascii="Times New Roman" w:hAnsi="Times New Roman" w:cs="Times New Roman"/>
          <w:spacing w:val="-2"/>
          <w:sz w:val="24"/>
          <w:szCs w:val="24"/>
        </w:rPr>
        <w:t>Most remarkably</w:t>
      </w:r>
      <w:r w:rsidR="00180329" w:rsidRPr="00A70042">
        <w:rPr>
          <w:rFonts w:ascii="Times New Roman" w:hAnsi="Times New Roman" w:cs="Times New Roman"/>
          <w:spacing w:val="-2"/>
          <w:sz w:val="24"/>
          <w:szCs w:val="24"/>
        </w:rPr>
        <w:t xml:space="preserve">, the EU legal system offers </w:t>
      </w:r>
      <w:r w:rsidR="00475D66">
        <w:rPr>
          <w:rFonts w:ascii="Times New Roman" w:hAnsi="Times New Roman" w:cs="Times New Roman"/>
          <w:spacing w:val="-2"/>
          <w:sz w:val="24"/>
          <w:szCs w:val="24"/>
        </w:rPr>
        <w:t>distinctive</w:t>
      </w:r>
      <w:r w:rsidR="00475D66" w:rsidRPr="00A70042">
        <w:rPr>
          <w:rFonts w:ascii="Times New Roman" w:hAnsi="Times New Roman" w:cs="Times New Roman"/>
          <w:spacing w:val="-2"/>
          <w:sz w:val="24"/>
          <w:szCs w:val="24"/>
        </w:rPr>
        <w:t xml:space="preserve"> </w:t>
      </w:r>
      <w:r w:rsidR="00180329" w:rsidRPr="00A70042">
        <w:rPr>
          <w:rFonts w:ascii="Times New Roman" w:hAnsi="Times New Roman" w:cs="Times New Roman"/>
          <w:spacing w:val="-2"/>
          <w:sz w:val="24"/>
          <w:szCs w:val="24"/>
        </w:rPr>
        <w:t xml:space="preserve">solutions originating from different legal bodies, which mostly consider ‘lack of interoperability’ as a subordinate problem </w:t>
      </w:r>
      <w:r w:rsidR="00D44AE9">
        <w:rPr>
          <w:rFonts w:ascii="Times New Roman" w:hAnsi="Times New Roman" w:cs="Times New Roman"/>
          <w:spacing w:val="-2"/>
          <w:sz w:val="24"/>
          <w:szCs w:val="24"/>
        </w:rPr>
        <w:t>to</w:t>
      </w:r>
      <w:r w:rsidR="00D44AE9" w:rsidRPr="00A70042">
        <w:rPr>
          <w:rFonts w:ascii="Times New Roman" w:hAnsi="Times New Roman" w:cs="Times New Roman"/>
          <w:spacing w:val="-2"/>
          <w:sz w:val="24"/>
          <w:szCs w:val="24"/>
        </w:rPr>
        <w:t xml:space="preserve"> </w:t>
      </w:r>
      <w:r w:rsidR="00180329" w:rsidRPr="00A70042">
        <w:rPr>
          <w:rFonts w:ascii="Times New Roman" w:hAnsi="Times New Roman" w:cs="Times New Roman"/>
          <w:spacing w:val="-2"/>
          <w:sz w:val="24"/>
          <w:szCs w:val="24"/>
        </w:rPr>
        <w:t xml:space="preserve">other widely acknowledged </w:t>
      </w:r>
      <w:r w:rsidR="00D44AE9">
        <w:rPr>
          <w:rFonts w:ascii="Times New Roman" w:hAnsi="Times New Roman" w:cs="Times New Roman"/>
          <w:spacing w:val="-2"/>
          <w:sz w:val="24"/>
          <w:szCs w:val="24"/>
        </w:rPr>
        <w:t xml:space="preserve">matters of </w:t>
      </w:r>
      <w:r w:rsidR="00180329" w:rsidRPr="00A70042">
        <w:rPr>
          <w:rFonts w:ascii="Times New Roman" w:hAnsi="Times New Roman" w:cs="Times New Roman"/>
          <w:spacing w:val="-2"/>
          <w:sz w:val="24"/>
          <w:szCs w:val="24"/>
        </w:rPr>
        <w:t>concern.</w:t>
      </w:r>
    </w:p>
    <w:p w14:paraId="65383A88" w14:textId="01FB553C" w:rsidR="00180329" w:rsidRPr="00774EDB" w:rsidRDefault="00180329"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 xml:space="preserve">For instance, IPR rules mostly have an indirect and passive impact </w:t>
      </w:r>
      <w:r w:rsidRPr="00774EDB">
        <w:rPr>
          <w:rFonts w:ascii="Times New Roman" w:hAnsi="Times New Roman" w:cs="Times New Roman"/>
          <w:sz w:val="24"/>
          <w:szCs w:val="24"/>
          <w:lang w:val="en-US"/>
        </w:rPr>
        <w:t xml:space="preserve">over interoperability i.e. limited to ‘reverse engineering’ under copyright regime, not securing a guaranteed access to the interfaces that ensure interoperability between the computer programs. Competition law measures, based on Articles 101-109 in the Treaty on the Functioning of the European Union (TFEU), are invoked to ensure </w:t>
      </w:r>
      <w:r w:rsidR="0028098B">
        <w:rPr>
          <w:rFonts w:ascii="Times New Roman" w:hAnsi="Times New Roman" w:cs="Times New Roman"/>
          <w:sz w:val="24"/>
          <w:szCs w:val="24"/>
          <w:lang w:val="en-US"/>
        </w:rPr>
        <w:t xml:space="preserve">and enhance </w:t>
      </w:r>
      <w:r w:rsidRPr="00774EDB">
        <w:rPr>
          <w:rFonts w:ascii="Times New Roman" w:hAnsi="Times New Roman" w:cs="Times New Roman"/>
          <w:sz w:val="24"/>
          <w:szCs w:val="24"/>
          <w:lang w:val="en-US"/>
        </w:rPr>
        <w:t xml:space="preserve">interoperability in case of the anti-competitive effects, e.g. </w:t>
      </w:r>
      <w:r w:rsidR="0028098B">
        <w:rPr>
          <w:rFonts w:ascii="Times New Roman" w:hAnsi="Times New Roman" w:cs="Times New Roman"/>
          <w:sz w:val="24"/>
          <w:szCs w:val="24"/>
          <w:lang w:val="en-US"/>
        </w:rPr>
        <w:t xml:space="preserve">likelihood of </w:t>
      </w:r>
      <w:r w:rsidRPr="00774EDB">
        <w:rPr>
          <w:rFonts w:ascii="Times New Roman" w:hAnsi="Times New Roman" w:cs="Times New Roman"/>
          <w:sz w:val="24"/>
          <w:szCs w:val="24"/>
          <w:lang w:val="en-US"/>
        </w:rPr>
        <w:t xml:space="preserve">market foreclosure. After fulfillment of certain thresholds and criteria, </w:t>
      </w:r>
      <w:r w:rsidR="0028098B">
        <w:rPr>
          <w:rFonts w:ascii="Times New Roman" w:hAnsi="Times New Roman" w:cs="Times New Roman"/>
          <w:sz w:val="24"/>
          <w:szCs w:val="24"/>
          <w:lang w:val="en-US"/>
        </w:rPr>
        <w:t>such</w:t>
      </w:r>
      <w:r w:rsidRPr="00774EDB">
        <w:rPr>
          <w:rFonts w:ascii="Times New Roman" w:hAnsi="Times New Roman" w:cs="Times New Roman"/>
          <w:sz w:val="24"/>
          <w:szCs w:val="24"/>
          <w:lang w:val="en-US"/>
        </w:rPr>
        <w:t xml:space="preserve"> practices could be addressed by the competiti</w:t>
      </w:r>
      <w:r w:rsidR="0028098B">
        <w:rPr>
          <w:rFonts w:ascii="Times New Roman" w:hAnsi="Times New Roman" w:cs="Times New Roman"/>
          <w:sz w:val="24"/>
          <w:szCs w:val="24"/>
          <w:lang w:val="en-US"/>
        </w:rPr>
        <w:t>on law</w:t>
      </w:r>
      <w:r w:rsidRPr="00774EDB">
        <w:rPr>
          <w:rFonts w:ascii="Times New Roman" w:hAnsi="Times New Roman" w:cs="Times New Roman"/>
          <w:sz w:val="24"/>
          <w:szCs w:val="24"/>
          <w:lang w:val="en-US"/>
        </w:rPr>
        <w:t xml:space="preserve"> remedies, including mandatory sharing (access/interoperability) and pricing obligations imposed on the dominant market players. This could be exemplified by the Commission’s </w:t>
      </w:r>
      <w:r w:rsidRPr="00774EDB">
        <w:rPr>
          <w:rFonts w:ascii="Times New Roman" w:hAnsi="Times New Roman" w:cs="Times New Roman"/>
          <w:i/>
          <w:sz w:val="24"/>
          <w:szCs w:val="24"/>
          <w:lang w:val="en-US"/>
        </w:rPr>
        <w:t>Microsoft</w:t>
      </w:r>
      <w:r w:rsidRPr="00774EDB">
        <w:rPr>
          <w:rFonts w:ascii="Times New Roman" w:hAnsi="Times New Roman" w:cs="Times New Roman"/>
          <w:sz w:val="24"/>
          <w:szCs w:val="24"/>
          <w:lang w:val="en-US"/>
        </w:rPr>
        <w:t xml:space="preserve"> decision whereby certain interface specifications are mandated to be disclosed to ensure viable competition in the server operating system (OS) market. Under the ECRF, </w:t>
      </w:r>
      <w:r w:rsidR="0028098B">
        <w:rPr>
          <w:rFonts w:ascii="Times New Roman" w:hAnsi="Times New Roman" w:cs="Times New Roman"/>
          <w:sz w:val="24"/>
          <w:szCs w:val="24"/>
          <w:lang w:val="en-US"/>
        </w:rPr>
        <w:t xml:space="preserve">the legal logic and framework differs in the </w:t>
      </w:r>
      <w:r w:rsidR="00092339">
        <w:rPr>
          <w:rFonts w:ascii="Times New Roman" w:hAnsi="Times New Roman" w:cs="Times New Roman"/>
          <w:sz w:val="24"/>
          <w:szCs w:val="24"/>
          <w:lang w:val="en-US"/>
        </w:rPr>
        <w:t>sense</w:t>
      </w:r>
      <w:r w:rsidR="0028098B">
        <w:rPr>
          <w:rFonts w:ascii="Times New Roman" w:hAnsi="Times New Roman" w:cs="Times New Roman"/>
          <w:sz w:val="24"/>
          <w:szCs w:val="24"/>
          <w:lang w:val="en-US"/>
        </w:rPr>
        <w:t xml:space="preserve"> that the consumers are put to the center, although competitive mindset is still kept</w:t>
      </w:r>
      <w:r w:rsidR="00092339">
        <w:rPr>
          <w:rFonts w:ascii="Times New Roman" w:hAnsi="Times New Roman" w:cs="Times New Roman"/>
          <w:sz w:val="24"/>
          <w:szCs w:val="24"/>
          <w:lang w:val="en-US"/>
        </w:rPr>
        <w:t xml:space="preserve"> and combined with the tools to protect consumer interests</w:t>
      </w:r>
      <w:r w:rsidR="0028098B">
        <w:rPr>
          <w:rFonts w:ascii="Times New Roman" w:hAnsi="Times New Roman" w:cs="Times New Roman"/>
          <w:sz w:val="24"/>
          <w:szCs w:val="24"/>
          <w:lang w:val="en-US"/>
        </w:rPr>
        <w:t xml:space="preserve">. </w:t>
      </w:r>
      <w:r w:rsidR="00092339">
        <w:rPr>
          <w:rFonts w:ascii="Times New Roman" w:hAnsi="Times New Roman" w:cs="Times New Roman"/>
          <w:sz w:val="24"/>
          <w:szCs w:val="24"/>
          <w:lang w:val="en-US"/>
        </w:rPr>
        <w:t>T</w:t>
      </w:r>
      <w:r w:rsidRPr="00774EDB">
        <w:rPr>
          <w:rFonts w:ascii="Times New Roman" w:hAnsi="Times New Roman" w:cs="Times New Roman"/>
          <w:sz w:val="24"/>
          <w:szCs w:val="24"/>
          <w:lang w:val="en-US"/>
        </w:rPr>
        <w:t>here</w:t>
      </w:r>
      <w:r w:rsidR="00092339">
        <w:rPr>
          <w:rFonts w:ascii="Times New Roman" w:hAnsi="Times New Roman" w:cs="Times New Roman"/>
          <w:sz w:val="24"/>
          <w:szCs w:val="24"/>
          <w:lang w:val="en-US"/>
        </w:rPr>
        <w:t>under</w:t>
      </w:r>
      <w:r w:rsidRPr="00774EDB">
        <w:rPr>
          <w:rFonts w:ascii="Times New Roman" w:hAnsi="Times New Roman" w:cs="Times New Roman"/>
          <w:sz w:val="24"/>
          <w:szCs w:val="24"/>
          <w:lang w:val="en-US"/>
        </w:rPr>
        <w:t xml:space="preserve"> </w:t>
      </w:r>
      <w:r w:rsidRPr="00774EDB">
        <w:rPr>
          <w:rFonts w:ascii="Times New Roman" w:hAnsi="Times New Roman" w:cs="Times New Roman"/>
          <w:sz w:val="24"/>
          <w:szCs w:val="24"/>
        </w:rPr>
        <w:t xml:space="preserve">exist </w:t>
      </w:r>
      <w:r w:rsidR="00092339">
        <w:rPr>
          <w:rFonts w:ascii="Times New Roman" w:hAnsi="Times New Roman" w:cs="Times New Roman"/>
          <w:sz w:val="24"/>
          <w:szCs w:val="24"/>
        </w:rPr>
        <w:t xml:space="preserve">certain </w:t>
      </w:r>
      <w:r w:rsidRPr="00774EDB">
        <w:rPr>
          <w:rFonts w:ascii="Times New Roman" w:hAnsi="Times New Roman" w:cs="Times New Roman"/>
          <w:sz w:val="24"/>
          <w:szCs w:val="24"/>
        </w:rPr>
        <w:t>ex-ante obligations and measures, e.</w:t>
      </w:r>
      <w:r w:rsidR="00664506" w:rsidRPr="00774EDB">
        <w:rPr>
          <w:rFonts w:ascii="Times New Roman" w:hAnsi="Times New Roman" w:cs="Times New Roman"/>
          <w:sz w:val="24"/>
          <w:szCs w:val="24"/>
        </w:rPr>
        <w:t>g.</w:t>
      </w:r>
      <w:r w:rsidRPr="00774EDB">
        <w:rPr>
          <w:rFonts w:ascii="Times New Roman" w:hAnsi="Times New Roman" w:cs="Times New Roman"/>
          <w:sz w:val="24"/>
          <w:szCs w:val="24"/>
        </w:rPr>
        <w:t xml:space="preserve"> regarding ‘interconnection’ and ‘conditional access’, which constitute a consolidated framework along with partial solutions concerning ‘interoperability’.</w:t>
      </w:r>
    </w:p>
    <w:p w14:paraId="2940C046" w14:textId="10FFDAB6" w:rsidR="0057590C" w:rsidRPr="00774EDB" w:rsidRDefault="00180329"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 xml:space="preserve">This dissertation attempts to revisit the EU legal framework and ultimately aims to refashion the applicable rules and regulations with a view to deal with the lack of </w:t>
      </w:r>
      <w:r w:rsidRPr="00774EDB">
        <w:rPr>
          <w:rFonts w:ascii="Times New Roman" w:hAnsi="Times New Roman" w:cs="Times New Roman"/>
          <w:sz w:val="24"/>
          <w:szCs w:val="24"/>
        </w:rPr>
        <w:lastRenderedPageBreak/>
        <w:t xml:space="preserve">interoperability and accompanying problems. </w:t>
      </w:r>
      <w:r w:rsidR="00AB26D1">
        <w:rPr>
          <w:rFonts w:ascii="Times New Roman" w:hAnsi="Times New Roman" w:cs="Times New Roman"/>
          <w:sz w:val="24"/>
          <w:szCs w:val="24"/>
        </w:rPr>
        <w:t>Thereby</w:t>
      </w:r>
      <w:r w:rsidRPr="00774EDB">
        <w:rPr>
          <w:rFonts w:ascii="Times New Roman" w:hAnsi="Times New Roman" w:cs="Times New Roman"/>
          <w:sz w:val="24"/>
          <w:szCs w:val="24"/>
        </w:rPr>
        <w:t xml:space="preserve">, it is aimed that </w:t>
      </w:r>
      <w:r w:rsidR="00AB26D1">
        <w:rPr>
          <w:rFonts w:ascii="Times New Roman" w:hAnsi="Times New Roman" w:cs="Times New Roman"/>
          <w:sz w:val="24"/>
          <w:szCs w:val="24"/>
        </w:rPr>
        <w:t xml:space="preserve">major concerns are clarified, the existing </w:t>
      </w:r>
      <w:r w:rsidRPr="00774EDB">
        <w:rPr>
          <w:rFonts w:ascii="Times New Roman" w:hAnsi="Times New Roman" w:cs="Times New Roman"/>
          <w:sz w:val="24"/>
          <w:szCs w:val="24"/>
        </w:rPr>
        <w:t xml:space="preserve">loopholes are </w:t>
      </w:r>
      <w:r w:rsidR="00AB26D1">
        <w:rPr>
          <w:rFonts w:ascii="Times New Roman" w:hAnsi="Times New Roman" w:cs="Times New Roman"/>
          <w:sz w:val="24"/>
          <w:szCs w:val="24"/>
        </w:rPr>
        <w:t>unravelled</w:t>
      </w:r>
      <w:r w:rsidRPr="00774EDB">
        <w:rPr>
          <w:rFonts w:ascii="Times New Roman" w:hAnsi="Times New Roman" w:cs="Times New Roman"/>
          <w:sz w:val="24"/>
          <w:szCs w:val="24"/>
        </w:rPr>
        <w:t xml:space="preserve">, and the appropriate tools are developed to cope with the interoperability-based problems. This study aims not to crystallise interoperability problems in technical terms, but to embrace them from a broader perspective of legal regulation on a sound and widely applicable basis. In this regard, a multi-disciplinary (doctrinal/traditional) legal research </w:t>
      </w:r>
      <w:r w:rsidR="00AB26D1">
        <w:rPr>
          <w:rFonts w:ascii="Times New Roman" w:hAnsi="Times New Roman" w:cs="Times New Roman"/>
          <w:sz w:val="24"/>
          <w:szCs w:val="24"/>
        </w:rPr>
        <w:t>is</w:t>
      </w:r>
      <w:r w:rsidRPr="00774EDB">
        <w:rPr>
          <w:rFonts w:ascii="Times New Roman" w:hAnsi="Times New Roman" w:cs="Times New Roman"/>
          <w:sz w:val="24"/>
          <w:szCs w:val="24"/>
        </w:rPr>
        <w:t xml:space="preserve"> done along with the multiple case studies based on Cloud Computing and Internet of Things (IoT), which represent the ever-faster growing technologies that have the potential to challenge the current ICT regulations, including interoperability rules and solutions. Having said that, and to be built on the findings of both the doctrinal analysis and case study research, it is intended that a policy approach be developed and ending up with a new regulatory model</w:t>
      </w:r>
      <w:r w:rsidR="00AB26D1">
        <w:rPr>
          <w:rFonts w:ascii="Times New Roman" w:hAnsi="Times New Roman" w:cs="Times New Roman"/>
          <w:sz w:val="24"/>
          <w:szCs w:val="24"/>
        </w:rPr>
        <w:t xml:space="preserve"> based on a </w:t>
      </w:r>
      <w:r w:rsidR="00AB26D1" w:rsidRPr="00774EDB">
        <w:rPr>
          <w:rFonts w:ascii="Times New Roman" w:hAnsi="Times New Roman" w:cs="Times New Roman"/>
          <w:sz w:val="24"/>
          <w:szCs w:val="24"/>
        </w:rPr>
        <w:t>normative perspective</w:t>
      </w:r>
      <w:r w:rsidRPr="00774EDB">
        <w:rPr>
          <w:rFonts w:ascii="Times New Roman" w:hAnsi="Times New Roman" w:cs="Times New Roman"/>
          <w:sz w:val="24"/>
          <w:szCs w:val="24"/>
        </w:rPr>
        <w:t xml:space="preserve">. </w:t>
      </w:r>
      <w:r w:rsidR="0057590C" w:rsidRPr="00774EDB">
        <w:rPr>
          <w:rFonts w:ascii="Times New Roman" w:hAnsi="Times New Roman" w:cs="Times New Roman"/>
          <w:sz w:val="24"/>
          <w:szCs w:val="24"/>
        </w:rPr>
        <w:t xml:space="preserve"> </w:t>
      </w:r>
    </w:p>
    <w:p w14:paraId="572D109D" w14:textId="77777777" w:rsidR="0046357D" w:rsidRPr="00774EDB" w:rsidRDefault="00BD4F96" w:rsidP="00A70042">
      <w:pPr>
        <w:pStyle w:val="Heading2"/>
        <w:numPr>
          <w:ilvl w:val="1"/>
          <w:numId w:val="17"/>
        </w:numPr>
        <w:tabs>
          <w:tab w:val="left" w:pos="426"/>
        </w:tabs>
        <w:spacing w:before="360"/>
        <w:ind w:left="0" w:firstLine="0"/>
        <w:jc w:val="both"/>
        <w:rPr>
          <w:rFonts w:ascii="Times New Roman" w:hAnsi="Times New Roman" w:cs="Times New Roman"/>
          <w:b/>
          <w:color w:val="auto"/>
          <w:sz w:val="24"/>
          <w:szCs w:val="24"/>
        </w:rPr>
      </w:pPr>
      <w:bookmarkStart w:id="18" w:name="_Toc17611325"/>
      <w:bookmarkStart w:id="19" w:name="_Toc17611542"/>
      <w:bookmarkStart w:id="20" w:name="_Toc17611754"/>
      <w:bookmarkStart w:id="21" w:name="_Toc17611968"/>
      <w:bookmarkStart w:id="22" w:name="_Toc17612181"/>
      <w:bookmarkStart w:id="23" w:name="_Toc17611326"/>
      <w:bookmarkStart w:id="24" w:name="_Toc53576014"/>
      <w:bookmarkEnd w:id="18"/>
      <w:bookmarkEnd w:id="19"/>
      <w:bookmarkEnd w:id="20"/>
      <w:bookmarkEnd w:id="21"/>
      <w:bookmarkEnd w:id="22"/>
      <w:r w:rsidRPr="00774EDB">
        <w:rPr>
          <w:rFonts w:ascii="Times New Roman" w:hAnsi="Times New Roman" w:cs="Times New Roman"/>
          <w:b/>
          <w:color w:val="auto"/>
          <w:sz w:val="24"/>
          <w:szCs w:val="24"/>
        </w:rPr>
        <w:t xml:space="preserve">Context, </w:t>
      </w:r>
      <w:r w:rsidR="00946B16" w:rsidRPr="00774EDB">
        <w:rPr>
          <w:rFonts w:ascii="Times New Roman" w:hAnsi="Times New Roman" w:cs="Times New Roman"/>
          <w:b/>
          <w:color w:val="auto"/>
          <w:sz w:val="24"/>
          <w:szCs w:val="24"/>
        </w:rPr>
        <w:t>p</w:t>
      </w:r>
      <w:r w:rsidRPr="00774EDB">
        <w:rPr>
          <w:rFonts w:ascii="Times New Roman" w:hAnsi="Times New Roman" w:cs="Times New Roman"/>
          <w:b/>
          <w:color w:val="auto"/>
          <w:sz w:val="24"/>
          <w:szCs w:val="24"/>
        </w:rPr>
        <w:t xml:space="preserve">erspective and </w:t>
      </w:r>
      <w:r w:rsidR="00946B16" w:rsidRPr="00774EDB">
        <w:rPr>
          <w:rFonts w:ascii="Times New Roman" w:hAnsi="Times New Roman" w:cs="Times New Roman"/>
          <w:b/>
          <w:color w:val="auto"/>
          <w:sz w:val="24"/>
          <w:szCs w:val="24"/>
        </w:rPr>
        <w:t>r</w:t>
      </w:r>
      <w:r w:rsidR="002A2A79" w:rsidRPr="00774EDB">
        <w:rPr>
          <w:rFonts w:ascii="Times New Roman" w:hAnsi="Times New Roman" w:cs="Times New Roman"/>
          <w:b/>
          <w:color w:val="auto"/>
          <w:sz w:val="24"/>
          <w:szCs w:val="24"/>
        </w:rPr>
        <w:t>esearch</w:t>
      </w:r>
      <w:r w:rsidRPr="00774EDB">
        <w:rPr>
          <w:rFonts w:ascii="Times New Roman" w:hAnsi="Times New Roman" w:cs="Times New Roman"/>
          <w:b/>
          <w:color w:val="auto"/>
          <w:sz w:val="24"/>
          <w:szCs w:val="24"/>
        </w:rPr>
        <w:t xml:space="preserve"> questions</w:t>
      </w:r>
      <w:bookmarkEnd w:id="23"/>
      <w:bookmarkEnd w:id="24"/>
    </w:p>
    <w:p w14:paraId="065AE197" w14:textId="4194B3B8"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At the core of this study lies the debate as to whether and to what extent interoperability information, basically </w:t>
      </w:r>
      <w:r w:rsidR="00F337FA" w:rsidRPr="00774EDB">
        <w:rPr>
          <w:rFonts w:ascii="Times New Roman" w:hAnsi="Times New Roman" w:cs="Times New Roman"/>
          <w:sz w:val="24"/>
          <w:szCs w:val="24"/>
        </w:rPr>
        <w:t>application programming interfaces (</w:t>
      </w:r>
      <w:r w:rsidRPr="00774EDB">
        <w:rPr>
          <w:rFonts w:ascii="Times New Roman" w:hAnsi="Times New Roman" w:cs="Times New Roman"/>
          <w:sz w:val="24"/>
          <w:szCs w:val="24"/>
        </w:rPr>
        <w:t>APIs</w:t>
      </w:r>
      <w:r w:rsidR="00F337FA" w:rsidRPr="00774EDB">
        <w:rPr>
          <w:rFonts w:ascii="Times New Roman" w:hAnsi="Times New Roman" w:cs="Times New Roman"/>
          <w:sz w:val="24"/>
          <w:szCs w:val="24"/>
        </w:rPr>
        <w:t>)</w:t>
      </w:r>
      <w:r w:rsidRPr="00774EDB">
        <w:rPr>
          <w:rFonts w:ascii="Times New Roman" w:hAnsi="Times New Roman" w:cs="Times New Roman"/>
          <w:sz w:val="24"/>
          <w:szCs w:val="24"/>
        </w:rPr>
        <w:t>, would be the subject matter of regulatory concerns and interventions. To respond to this question, this study endeavours to search out the existing EU regulations based on the tripartite legal framework, incorporating IPR rules, competition law and sector-specific regulations. In this regard, Chapters 4,</w:t>
      </w:r>
      <w:r w:rsidR="0081799D"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5 and 6 are dedicated to multi-disciplinary legal research, starting with the IPRs and proceeding with competition law and the ECRF rules. In so doing, both the distinctive and overlapping aspects of the related EU legal regimes are investigated, ending up with a coherent and holistic perspective. Out of this research, the findings denote insufficient and partial interoperability solutions, which are summarised below.   </w:t>
      </w:r>
    </w:p>
    <w:p w14:paraId="2CAD5B39" w14:textId="4D72B55C" w:rsidR="0057387C" w:rsidRPr="00A70042" w:rsidRDefault="0057387C" w:rsidP="00A70042">
      <w:pPr>
        <w:spacing w:before="360"/>
        <w:jc w:val="both"/>
        <w:rPr>
          <w:rFonts w:ascii="Times New Roman" w:hAnsi="Times New Roman" w:cs="Times New Roman"/>
          <w:spacing w:val="-4"/>
          <w:sz w:val="24"/>
          <w:szCs w:val="24"/>
        </w:rPr>
      </w:pPr>
      <w:r w:rsidRPr="00A70042">
        <w:rPr>
          <w:rFonts w:ascii="Times New Roman" w:hAnsi="Times New Roman" w:cs="Times New Roman"/>
          <w:spacing w:val="-4"/>
          <w:sz w:val="24"/>
          <w:szCs w:val="24"/>
        </w:rPr>
        <w:lastRenderedPageBreak/>
        <w:t>Within the context of IPR rules, the abovementioned limitedness is noticeable under Software Directive 2009/24/EC, which regulates the conditions, scope and limits of the copyright regime for computer programs in the EU. For instance, decompilation (a type of reverse engineering)</w:t>
      </w:r>
      <w:r w:rsidRPr="00A70042">
        <w:rPr>
          <w:rStyle w:val="FootnoteReference"/>
          <w:rFonts w:ascii="Times New Roman" w:hAnsi="Times New Roman" w:cs="Times New Roman"/>
          <w:spacing w:val="-4"/>
          <w:sz w:val="24"/>
          <w:szCs w:val="24"/>
        </w:rPr>
        <w:footnoteReference w:id="9"/>
      </w:r>
      <w:r w:rsidRPr="00A70042">
        <w:rPr>
          <w:rFonts w:ascii="Times New Roman" w:hAnsi="Times New Roman" w:cs="Times New Roman"/>
          <w:spacing w:val="-4"/>
          <w:sz w:val="24"/>
          <w:szCs w:val="24"/>
        </w:rPr>
        <w:t xml:space="preserve"> is legally justified only for the purpose of achieving ‘interoperability’ under Software Directive.</w:t>
      </w:r>
      <w:r w:rsidRPr="00A70042">
        <w:rPr>
          <w:rStyle w:val="FootnoteReference"/>
          <w:rFonts w:ascii="Times New Roman" w:hAnsi="Times New Roman" w:cs="Times New Roman"/>
          <w:spacing w:val="-4"/>
          <w:sz w:val="24"/>
          <w:szCs w:val="24"/>
        </w:rPr>
        <w:footnoteReference w:id="10"/>
      </w:r>
      <w:r w:rsidRPr="00A70042">
        <w:rPr>
          <w:rFonts w:ascii="Times New Roman" w:hAnsi="Times New Roman" w:cs="Times New Roman"/>
          <w:spacing w:val="-4"/>
          <w:sz w:val="24"/>
          <w:szCs w:val="24"/>
        </w:rPr>
        <w:t xml:space="preserve"> However, this exceptional right is unique to copyright protection</w:t>
      </w:r>
      <w:r w:rsidRPr="00A70042">
        <w:rPr>
          <w:rStyle w:val="FootnoteReference"/>
          <w:rFonts w:ascii="Times New Roman" w:hAnsi="Times New Roman" w:cs="Times New Roman"/>
          <w:spacing w:val="-4"/>
          <w:sz w:val="24"/>
          <w:szCs w:val="24"/>
        </w:rPr>
        <w:footnoteReference w:id="11"/>
      </w:r>
      <w:r w:rsidRPr="00A70042">
        <w:rPr>
          <w:rFonts w:ascii="Times New Roman" w:hAnsi="Times New Roman" w:cs="Times New Roman"/>
          <w:spacing w:val="-4"/>
          <w:sz w:val="24"/>
          <w:szCs w:val="24"/>
        </w:rPr>
        <w:t xml:space="preserve"> and reveals a costly solution for the software developers, which does not match the benefits of the open standards or common protocols. These latter options could be realised through opening the APIs, which are however </w:t>
      </w:r>
      <w:r w:rsidR="00BE28DA">
        <w:rPr>
          <w:rFonts w:ascii="Times New Roman" w:hAnsi="Times New Roman" w:cs="Times New Roman"/>
          <w:spacing w:val="-4"/>
          <w:sz w:val="24"/>
          <w:szCs w:val="24"/>
        </w:rPr>
        <w:t>protect</w:t>
      </w:r>
      <w:r w:rsidR="00BE28DA" w:rsidRPr="00A70042">
        <w:rPr>
          <w:rFonts w:ascii="Times New Roman" w:hAnsi="Times New Roman" w:cs="Times New Roman"/>
          <w:spacing w:val="-4"/>
          <w:sz w:val="24"/>
          <w:szCs w:val="24"/>
        </w:rPr>
        <w:t xml:space="preserve">ed </w:t>
      </w:r>
      <w:r w:rsidRPr="00A70042">
        <w:rPr>
          <w:rFonts w:ascii="Times New Roman" w:hAnsi="Times New Roman" w:cs="Times New Roman"/>
          <w:spacing w:val="-4"/>
          <w:sz w:val="24"/>
          <w:szCs w:val="24"/>
        </w:rPr>
        <w:t>by the copyright</w:t>
      </w:r>
      <w:r w:rsidR="00BE28DA">
        <w:rPr>
          <w:rFonts w:ascii="Times New Roman" w:hAnsi="Times New Roman" w:cs="Times New Roman"/>
          <w:spacing w:val="-4"/>
          <w:sz w:val="24"/>
          <w:szCs w:val="24"/>
        </w:rPr>
        <w:t>s</w:t>
      </w:r>
      <w:r w:rsidRPr="00A70042">
        <w:rPr>
          <w:rStyle w:val="FootnoteReference"/>
          <w:rFonts w:ascii="Times New Roman" w:hAnsi="Times New Roman" w:cs="Times New Roman"/>
          <w:spacing w:val="-4"/>
          <w:sz w:val="24"/>
          <w:szCs w:val="24"/>
        </w:rPr>
        <w:footnoteReference w:id="12"/>
      </w:r>
      <w:r w:rsidR="00BE28DA">
        <w:rPr>
          <w:rFonts w:ascii="Times New Roman" w:hAnsi="Times New Roman" w:cs="Times New Roman"/>
          <w:spacing w:val="-4"/>
          <w:sz w:val="24"/>
          <w:szCs w:val="24"/>
        </w:rPr>
        <w:t xml:space="preserve"> alongside other potential IPRs e.g. patents.</w:t>
      </w:r>
      <w:r w:rsidRPr="00A70042">
        <w:rPr>
          <w:rFonts w:ascii="Times New Roman" w:hAnsi="Times New Roman" w:cs="Times New Roman"/>
          <w:spacing w:val="-4"/>
          <w:sz w:val="24"/>
          <w:szCs w:val="24"/>
        </w:rPr>
        <w:t xml:space="preserve"> A practical result is the fact that a human-readable form of computer programs (source codes) could be identified just by reverse engineering; yet, this is not a sustainable and long-term business model.</w:t>
      </w:r>
      <w:r w:rsidRPr="00A70042">
        <w:rPr>
          <w:rStyle w:val="FootnoteReference"/>
          <w:rFonts w:ascii="Times New Roman" w:hAnsi="Times New Roman" w:cs="Times New Roman"/>
          <w:spacing w:val="-4"/>
          <w:sz w:val="24"/>
          <w:szCs w:val="24"/>
        </w:rPr>
        <w:footnoteReference w:id="13"/>
      </w:r>
    </w:p>
    <w:p w14:paraId="0F0E4CF5" w14:textId="77777777"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This discrepancy, between acknowledging interoperability as a reason for decompilation and the copyrightability of APIs, reinforces the idea that IPRs could be used as an effective shield over the APIs. Not only copyrights, but also patents and trade</w:t>
      </w:r>
      <w:r w:rsidR="002F4657" w:rsidRPr="00774EDB">
        <w:rPr>
          <w:rFonts w:ascii="Times New Roman" w:hAnsi="Times New Roman" w:cs="Times New Roman"/>
          <w:sz w:val="24"/>
          <w:szCs w:val="24"/>
        </w:rPr>
        <w:t xml:space="preserve"> secret</w:t>
      </w:r>
      <w:r w:rsidRPr="00774EDB">
        <w:rPr>
          <w:rFonts w:ascii="Times New Roman" w:hAnsi="Times New Roman" w:cs="Times New Roman"/>
          <w:sz w:val="24"/>
          <w:szCs w:val="24"/>
        </w:rPr>
        <w:t>s are effectively used to prevent third parties (e.g. software developers) from having access to the key interfaces</w:t>
      </w:r>
      <w:r w:rsidR="002F4657" w:rsidRPr="00774EDB">
        <w:rPr>
          <w:rFonts w:ascii="Times New Roman" w:hAnsi="Times New Roman" w:cs="Times New Roman"/>
          <w:sz w:val="24"/>
          <w:szCs w:val="24"/>
        </w:rPr>
        <w:t>,</w:t>
      </w:r>
      <w:r w:rsidRPr="00774EDB">
        <w:rPr>
          <w:rFonts w:ascii="Times New Roman" w:hAnsi="Times New Roman" w:cs="Times New Roman"/>
          <w:sz w:val="24"/>
          <w:szCs w:val="24"/>
        </w:rPr>
        <w:t xml:space="preserve"> </w:t>
      </w:r>
      <w:r w:rsidR="002F4657" w:rsidRPr="00774EDB">
        <w:rPr>
          <w:rFonts w:ascii="Times New Roman" w:hAnsi="Times New Roman" w:cs="Times New Roman"/>
          <w:sz w:val="24"/>
          <w:szCs w:val="24"/>
        </w:rPr>
        <w:t>which</w:t>
      </w:r>
      <w:r w:rsidRPr="00774EDB">
        <w:rPr>
          <w:rFonts w:ascii="Times New Roman" w:hAnsi="Times New Roman" w:cs="Times New Roman"/>
          <w:sz w:val="24"/>
          <w:szCs w:val="24"/>
        </w:rPr>
        <w:t xml:space="preserve"> would otherwise allow competitive markets for derivative products. </w:t>
      </w:r>
      <w:r w:rsidR="001104E1" w:rsidRPr="00774EDB">
        <w:rPr>
          <w:rFonts w:ascii="Times New Roman" w:hAnsi="Times New Roman" w:cs="Times New Roman"/>
          <w:sz w:val="24"/>
          <w:szCs w:val="24"/>
        </w:rPr>
        <w:t xml:space="preserve">Firms may seek the protection of patents for interface </w:t>
      </w:r>
      <w:r w:rsidR="001104E1" w:rsidRPr="00774EDB">
        <w:rPr>
          <w:rFonts w:ascii="Times New Roman" w:hAnsi="Times New Roman" w:cs="Times New Roman"/>
          <w:sz w:val="24"/>
          <w:szCs w:val="24"/>
        </w:rPr>
        <w:lastRenderedPageBreak/>
        <w:t>designs for anti-competitive purposes, that is, as a tool for blocking competitors from developing compatible platforms (e.g. game consoles) for controlling the market for complementary products (e.g. videogames).</w:t>
      </w:r>
      <w:r w:rsidR="001104E1" w:rsidRPr="00774EDB">
        <w:rPr>
          <w:rStyle w:val="FootnoteReference"/>
          <w:rFonts w:ascii="Times New Roman" w:hAnsi="Times New Roman" w:cs="Times New Roman"/>
          <w:sz w:val="24"/>
          <w:szCs w:val="24"/>
        </w:rPr>
        <w:footnoteReference w:id="14"/>
      </w:r>
      <w:r w:rsidR="001104E1"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However, this turns out to create an environment conducive to the gatekeeper positions for the protected software, and threatening consumer benefits to be derived from follow-on innovation. That being said, if the aftermarket(s) build on a proprietary platform, which is encumbered by IPR-protected APIs that deter third-party access/interoperability, the ultimate goals of IPRs, particularly the end of ‘follow-on innovation’, becomes compromised. </w:t>
      </w:r>
    </w:p>
    <w:p w14:paraId="6452C34E" w14:textId="68BDB8E4" w:rsidR="0057387C" w:rsidRPr="00774EDB" w:rsidRDefault="001104E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L</w:t>
      </w:r>
      <w:r w:rsidR="0057387C" w:rsidRPr="00774EDB">
        <w:rPr>
          <w:rFonts w:ascii="Times New Roman" w:hAnsi="Times New Roman" w:cs="Times New Roman"/>
          <w:sz w:val="24"/>
          <w:szCs w:val="24"/>
        </w:rPr>
        <w:t xml:space="preserve">ack of interoperability would </w:t>
      </w:r>
      <w:r w:rsidR="005C4EEE" w:rsidRPr="00774EDB">
        <w:rPr>
          <w:rFonts w:ascii="Times New Roman" w:hAnsi="Times New Roman" w:cs="Times New Roman"/>
          <w:sz w:val="24"/>
          <w:szCs w:val="24"/>
        </w:rPr>
        <w:t xml:space="preserve">likewise </w:t>
      </w:r>
      <w:r w:rsidRPr="00774EDB">
        <w:rPr>
          <w:rFonts w:ascii="Times New Roman" w:hAnsi="Times New Roman" w:cs="Times New Roman"/>
          <w:sz w:val="24"/>
          <w:szCs w:val="24"/>
        </w:rPr>
        <w:t xml:space="preserve">pose a </w:t>
      </w:r>
      <w:r w:rsidR="005C4EEE" w:rsidRPr="00774EDB">
        <w:rPr>
          <w:rFonts w:ascii="Times New Roman" w:hAnsi="Times New Roman" w:cs="Times New Roman"/>
          <w:sz w:val="24"/>
          <w:szCs w:val="24"/>
        </w:rPr>
        <w:t>situation in contradiction with the</w:t>
      </w:r>
      <w:r w:rsidR="0057387C" w:rsidRPr="00774EDB">
        <w:rPr>
          <w:rFonts w:ascii="Times New Roman" w:hAnsi="Times New Roman" w:cs="Times New Roman"/>
          <w:sz w:val="24"/>
          <w:szCs w:val="24"/>
        </w:rPr>
        <w:t xml:space="preserve"> </w:t>
      </w:r>
      <w:r w:rsidR="005C4EEE" w:rsidRPr="00774EDB">
        <w:rPr>
          <w:rFonts w:ascii="Times New Roman" w:hAnsi="Times New Roman" w:cs="Times New Roman"/>
          <w:sz w:val="24"/>
          <w:szCs w:val="24"/>
        </w:rPr>
        <w:t xml:space="preserve">competition law aims. This is more persuasive </w:t>
      </w:r>
      <w:r w:rsidR="0057387C" w:rsidRPr="00774EDB">
        <w:rPr>
          <w:rFonts w:ascii="Times New Roman" w:hAnsi="Times New Roman" w:cs="Times New Roman"/>
          <w:sz w:val="24"/>
          <w:szCs w:val="24"/>
        </w:rPr>
        <w:t xml:space="preserve">from the perspective of enabling aftermarket competition and </w:t>
      </w:r>
      <w:r w:rsidR="005C4EEE" w:rsidRPr="00774EDB">
        <w:rPr>
          <w:rFonts w:ascii="Times New Roman" w:hAnsi="Times New Roman" w:cs="Times New Roman"/>
          <w:sz w:val="24"/>
          <w:szCs w:val="24"/>
        </w:rPr>
        <w:t xml:space="preserve">enhancing </w:t>
      </w:r>
      <w:r w:rsidR="0057387C" w:rsidRPr="00774EDB">
        <w:rPr>
          <w:rFonts w:ascii="Times New Roman" w:hAnsi="Times New Roman" w:cs="Times New Roman"/>
          <w:sz w:val="24"/>
          <w:szCs w:val="24"/>
        </w:rPr>
        <w:t xml:space="preserve">consumer </w:t>
      </w:r>
      <w:r w:rsidR="005C4EEE" w:rsidRPr="00774EDB">
        <w:rPr>
          <w:rFonts w:ascii="Times New Roman" w:hAnsi="Times New Roman" w:cs="Times New Roman"/>
          <w:sz w:val="24"/>
          <w:szCs w:val="24"/>
        </w:rPr>
        <w:t>surplus</w:t>
      </w:r>
      <w:r w:rsidR="0057387C" w:rsidRPr="00774EDB">
        <w:rPr>
          <w:rFonts w:ascii="Times New Roman" w:hAnsi="Times New Roman" w:cs="Times New Roman"/>
          <w:sz w:val="24"/>
          <w:szCs w:val="24"/>
        </w:rPr>
        <w:t xml:space="preserve">. </w:t>
      </w:r>
      <w:r w:rsidR="005C4EEE" w:rsidRPr="00774EDB">
        <w:rPr>
          <w:rFonts w:ascii="Times New Roman" w:hAnsi="Times New Roman" w:cs="Times New Roman"/>
          <w:sz w:val="24"/>
          <w:szCs w:val="24"/>
        </w:rPr>
        <w:t>Particularly</w:t>
      </w:r>
      <w:r w:rsidR="0057387C" w:rsidRPr="00774EDB">
        <w:rPr>
          <w:rFonts w:ascii="Times New Roman" w:hAnsi="Times New Roman" w:cs="Times New Roman"/>
          <w:sz w:val="24"/>
          <w:szCs w:val="24"/>
        </w:rPr>
        <w:t xml:space="preserve">, exclusionary </w:t>
      </w:r>
      <w:r w:rsidR="00A44F9A">
        <w:rPr>
          <w:rFonts w:ascii="Times New Roman" w:hAnsi="Times New Roman" w:cs="Times New Roman"/>
          <w:sz w:val="24"/>
          <w:szCs w:val="24"/>
        </w:rPr>
        <w:t>abusive conducts</w:t>
      </w:r>
      <w:r w:rsidRPr="00774EDB">
        <w:rPr>
          <w:rFonts w:ascii="Times New Roman" w:hAnsi="Times New Roman" w:cs="Times New Roman"/>
          <w:sz w:val="24"/>
          <w:szCs w:val="24"/>
        </w:rPr>
        <w:t>,</w:t>
      </w:r>
      <w:r w:rsidR="0057387C" w:rsidRPr="00774EDB">
        <w:rPr>
          <w:rFonts w:ascii="Times New Roman" w:hAnsi="Times New Roman" w:cs="Times New Roman"/>
          <w:sz w:val="24"/>
          <w:szCs w:val="24"/>
        </w:rPr>
        <w:t xml:space="preserve"> e.g. the refusal to supply interoperability information, perpetuated by dominant players, would create lock-in that is hazardous to consumer welfare, thus creating a contradiction with the EU competition rules. This concern has so far led the EU Courts and the Commission to intervene into many cases by mandating access to interface specifications, such as in </w:t>
      </w:r>
      <w:r w:rsidR="0057387C" w:rsidRPr="00774EDB">
        <w:rPr>
          <w:rFonts w:ascii="Times New Roman" w:hAnsi="Times New Roman" w:cs="Times New Roman"/>
          <w:i/>
          <w:sz w:val="24"/>
          <w:szCs w:val="24"/>
        </w:rPr>
        <w:t>Microsoft.</w:t>
      </w:r>
      <w:r w:rsidR="0057387C" w:rsidRPr="00774EDB">
        <w:rPr>
          <w:rStyle w:val="FootnoteAnchor"/>
          <w:rFonts w:ascii="Times New Roman" w:hAnsi="Times New Roman" w:cs="Times New Roman"/>
          <w:sz w:val="24"/>
          <w:szCs w:val="24"/>
        </w:rPr>
        <w:footnoteReference w:id="15"/>
      </w:r>
      <w:r w:rsidR="0057387C" w:rsidRPr="00774EDB">
        <w:rPr>
          <w:rFonts w:ascii="Times New Roman" w:hAnsi="Times New Roman" w:cs="Times New Roman"/>
          <w:sz w:val="24"/>
          <w:szCs w:val="24"/>
        </w:rPr>
        <w:t xml:space="preserve"> Not only refusal to deal, or other abusive behaviours, but also collaborative and concentrative undertakings are comprehended by the EU competition law </w:t>
      </w:r>
      <w:r w:rsidR="00A44F9A">
        <w:rPr>
          <w:rFonts w:ascii="Times New Roman" w:hAnsi="Times New Roman" w:cs="Times New Roman"/>
          <w:sz w:val="24"/>
          <w:szCs w:val="24"/>
        </w:rPr>
        <w:t>tools</w:t>
      </w:r>
      <w:r w:rsidR="0057387C" w:rsidRPr="00774EDB">
        <w:rPr>
          <w:rFonts w:ascii="Times New Roman" w:hAnsi="Times New Roman" w:cs="Times New Roman"/>
          <w:sz w:val="24"/>
          <w:szCs w:val="24"/>
        </w:rPr>
        <w:t xml:space="preserve">, when they affect competitive markets by degrading intra, or inter platform, interoperability. Clearly, while interoperability is not an aim of the EU competition law by itself, it emerges as an important means to break off lock-ins and to eliminate anti-competitive effects e.g. caused by the network effects.  </w:t>
      </w:r>
    </w:p>
    <w:p w14:paraId="75AAB327" w14:textId="0EFBD721" w:rsidR="0057387C" w:rsidRPr="00A70042" w:rsidRDefault="0057387C"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lastRenderedPageBreak/>
        <w:t>While IPR rules aim at protection of original creations, technical inventions etc. by encouraging product differentiation and innovation, competition law rules underscore consumer welfare, often through effectively competitive markets. Out of the interactions between these two bodies of law, conflicting results would come up in the sense that IPR exceptions, including reverse engineering,</w:t>
      </w:r>
      <w:r w:rsidR="00210B4B">
        <w:rPr>
          <w:rFonts w:ascii="Times New Roman" w:hAnsi="Times New Roman" w:cs="Times New Roman"/>
          <w:spacing w:val="-2"/>
          <w:sz w:val="24"/>
          <w:szCs w:val="24"/>
        </w:rPr>
        <w:t xml:space="preserve"> would not permit </w:t>
      </w:r>
      <w:r w:rsidR="00210B4B" w:rsidRPr="00A70042">
        <w:rPr>
          <w:rFonts w:ascii="Times New Roman" w:hAnsi="Times New Roman" w:cs="Times New Roman"/>
          <w:spacing w:val="-2"/>
          <w:sz w:val="24"/>
          <w:szCs w:val="24"/>
        </w:rPr>
        <w:t>incrementally created innovations</w:t>
      </w:r>
      <w:r w:rsidR="00210B4B">
        <w:rPr>
          <w:rFonts w:ascii="Times New Roman" w:hAnsi="Times New Roman" w:cs="Times New Roman"/>
          <w:spacing w:val="-2"/>
          <w:sz w:val="24"/>
          <w:szCs w:val="24"/>
        </w:rPr>
        <w:t>,</w:t>
      </w:r>
      <w:r w:rsidR="00210B4B" w:rsidRPr="00A70042">
        <w:rPr>
          <w:rFonts w:ascii="Times New Roman" w:hAnsi="Times New Roman" w:cs="Times New Roman"/>
          <w:spacing w:val="-2"/>
          <w:sz w:val="24"/>
          <w:szCs w:val="24"/>
        </w:rPr>
        <w:t xml:space="preserve"> </w:t>
      </w:r>
      <w:r w:rsidR="00210B4B">
        <w:rPr>
          <w:rFonts w:ascii="Times New Roman" w:hAnsi="Times New Roman" w:cs="Times New Roman"/>
          <w:spacing w:val="-2"/>
          <w:sz w:val="24"/>
          <w:szCs w:val="24"/>
        </w:rPr>
        <w:t>as opposed to the</w:t>
      </w:r>
      <w:r w:rsidRPr="00A70042">
        <w:rPr>
          <w:rFonts w:ascii="Times New Roman" w:hAnsi="Times New Roman" w:cs="Times New Roman"/>
          <w:spacing w:val="-2"/>
          <w:sz w:val="24"/>
          <w:szCs w:val="24"/>
        </w:rPr>
        <w:t xml:space="preserve"> competition law interventions. Although no hierarchical relationship exists between the two, under certain circumstances the latter might have a superior effect by dictating mandatory sharing or interoperability, particularly where the former (IPR rules) is not responsive and/or capable enough. On the other hand, an obligation by competition law measures might be problematic in scope and effect, </w:t>
      </w:r>
      <w:r w:rsidR="005C4EEE" w:rsidRPr="00A70042">
        <w:rPr>
          <w:rFonts w:ascii="Times New Roman" w:hAnsi="Times New Roman" w:cs="Times New Roman"/>
          <w:spacing w:val="-2"/>
          <w:sz w:val="24"/>
          <w:szCs w:val="24"/>
        </w:rPr>
        <w:t>such as in</w:t>
      </w:r>
      <w:r w:rsidRPr="00A70042">
        <w:rPr>
          <w:rFonts w:ascii="Times New Roman" w:hAnsi="Times New Roman" w:cs="Times New Roman"/>
          <w:spacing w:val="-2"/>
          <w:sz w:val="24"/>
          <w:szCs w:val="24"/>
        </w:rPr>
        <w:t xml:space="preserve"> the </w:t>
      </w:r>
      <w:r w:rsidRPr="00A70042">
        <w:rPr>
          <w:rFonts w:ascii="Times New Roman" w:hAnsi="Times New Roman" w:cs="Times New Roman"/>
          <w:i/>
          <w:spacing w:val="-2"/>
          <w:sz w:val="24"/>
          <w:szCs w:val="24"/>
        </w:rPr>
        <w:t>Microsoft</w:t>
      </w:r>
      <w:r w:rsidRPr="00A70042">
        <w:rPr>
          <w:rFonts w:ascii="Times New Roman" w:hAnsi="Times New Roman" w:cs="Times New Roman"/>
          <w:spacing w:val="-2"/>
          <w:sz w:val="24"/>
          <w:szCs w:val="24"/>
        </w:rPr>
        <w:t xml:space="preserve"> case where the antitrust standards were unevenly changed and false positive debates inflamed.</w:t>
      </w:r>
      <w:r w:rsidRPr="00A70042">
        <w:rPr>
          <w:rStyle w:val="FootnoteReference"/>
          <w:rFonts w:ascii="Times New Roman" w:hAnsi="Times New Roman" w:cs="Times New Roman"/>
          <w:spacing w:val="-2"/>
          <w:sz w:val="24"/>
          <w:szCs w:val="24"/>
        </w:rPr>
        <w:footnoteReference w:id="16"/>
      </w:r>
      <w:r w:rsidRPr="00A70042">
        <w:rPr>
          <w:rFonts w:ascii="Times New Roman" w:hAnsi="Times New Roman" w:cs="Times New Roman"/>
          <w:spacing w:val="-2"/>
          <w:sz w:val="24"/>
          <w:szCs w:val="24"/>
        </w:rPr>
        <w:t xml:space="preserve"> Last but not least, accompanying lengthy processes have the potential to cause prohibitive costs for the market players should they rely on the interoperability information and seek a regulatory response.</w:t>
      </w:r>
    </w:p>
    <w:p w14:paraId="3056F21C" w14:textId="4816CEB5"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After all, the question emerges as to whether the emergent gap would be filled by the ECRF rules. The ECRF rules and measures consist in far more crystallized rules that enable a number of end-goals and en</w:t>
      </w:r>
      <w:r w:rsidR="00210B4B">
        <w:rPr>
          <w:rFonts w:ascii="Times New Roman" w:hAnsi="Times New Roman" w:cs="Times New Roman"/>
          <w:sz w:val="24"/>
          <w:szCs w:val="24"/>
        </w:rPr>
        <w:t>su</w:t>
      </w:r>
      <w:r w:rsidRPr="00774EDB">
        <w:rPr>
          <w:rFonts w:ascii="Times New Roman" w:hAnsi="Times New Roman" w:cs="Times New Roman"/>
          <w:sz w:val="24"/>
          <w:szCs w:val="24"/>
        </w:rPr>
        <w:t xml:space="preserve">ing interoperability </w:t>
      </w:r>
      <w:r w:rsidR="00210B4B">
        <w:rPr>
          <w:rFonts w:ascii="Times New Roman" w:hAnsi="Times New Roman" w:cs="Times New Roman"/>
          <w:sz w:val="24"/>
          <w:szCs w:val="24"/>
        </w:rPr>
        <w:t xml:space="preserve">based remedies </w:t>
      </w:r>
      <w:r w:rsidRPr="00774EDB">
        <w:rPr>
          <w:rFonts w:ascii="Times New Roman" w:hAnsi="Times New Roman" w:cs="Times New Roman"/>
          <w:sz w:val="24"/>
          <w:szCs w:val="24"/>
        </w:rPr>
        <w:t xml:space="preserve">in several contexts. In this regard, ensuring adequate access and interconnection is of high importance, as this goal requires industry-wide interoperability e.g. enabling the end-users to communicate with each other. In the absence of such rules, end-to-end </w:t>
      </w:r>
      <w:r w:rsidRPr="00774EDB">
        <w:rPr>
          <w:rFonts w:ascii="Times New Roman" w:hAnsi="Times New Roman" w:cs="Times New Roman"/>
          <w:sz w:val="24"/>
          <w:szCs w:val="24"/>
        </w:rPr>
        <w:lastRenderedPageBreak/>
        <w:t xml:space="preserve">connectivity would no longer exist, having far-reaching negative outcomes, which could be extended to the provision of EU-wide communications services and cross-network online transactions. While this end-goal goes beyond the competition law and IPR-oriented rules with a stricter agenda and safeguards, the reflections on interoperability regulations are limited under the ECRF. That is to say, interoperability remedies are envisaged to realise certain ends, including voice-based/conventional interconnection, conditional access to the set-top boxes, etc. and do not reach out to overall ICT services and networks e.g. </w:t>
      </w:r>
      <w:r w:rsidR="000C0AEA">
        <w:rPr>
          <w:rFonts w:ascii="Times New Roman" w:hAnsi="Times New Roman" w:cs="Times New Roman"/>
          <w:sz w:val="24"/>
          <w:szCs w:val="24"/>
        </w:rPr>
        <w:t xml:space="preserve">interconnection of </w:t>
      </w:r>
      <w:r w:rsidRPr="00774EDB">
        <w:rPr>
          <w:rFonts w:ascii="Times New Roman" w:hAnsi="Times New Roman" w:cs="Times New Roman"/>
          <w:sz w:val="24"/>
          <w:szCs w:val="24"/>
        </w:rPr>
        <w:t>software governed platforms, being limited to electronic communications networks and services.</w:t>
      </w:r>
    </w:p>
    <w:p w14:paraId="27D2A6D8" w14:textId="3783D2F7" w:rsidR="0057387C" w:rsidRPr="00A70042" w:rsidRDefault="0057387C" w:rsidP="00A70042">
      <w:pPr>
        <w:spacing w:before="360"/>
        <w:jc w:val="both"/>
        <w:rPr>
          <w:rFonts w:ascii="Times New Roman" w:hAnsi="Times New Roman" w:cs="Times New Roman"/>
          <w:spacing w:val="-4"/>
          <w:sz w:val="24"/>
          <w:szCs w:val="24"/>
        </w:rPr>
      </w:pPr>
      <w:r w:rsidRPr="00A70042">
        <w:rPr>
          <w:rFonts w:ascii="Times New Roman" w:hAnsi="Times New Roman" w:cs="Times New Roman"/>
          <w:spacing w:val="-4"/>
          <w:sz w:val="24"/>
          <w:szCs w:val="24"/>
        </w:rPr>
        <w:t xml:space="preserve">Under this light, an increasing need arises concerning more effective tools to ensure ICT interoperability under the EU legal system. Incorporating various concerns based on technological lock-in, switching costs, network effects, etc., this featured need has significant repercussions for a </w:t>
      </w:r>
      <w:r w:rsidR="000C0AEA">
        <w:rPr>
          <w:rFonts w:ascii="Times New Roman" w:hAnsi="Times New Roman" w:cs="Times New Roman"/>
          <w:spacing w:val="-4"/>
          <w:sz w:val="24"/>
          <w:szCs w:val="24"/>
        </w:rPr>
        <w:t>‘</w:t>
      </w:r>
      <w:r w:rsidRPr="00A70042">
        <w:rPr>
          <w:rFonts w:ascii="Times New Roman" w:hAnsi="Times New Roman" w:cs="Times New Roman"/>
          <w:spacing w:val="-4"/>
          <w:sz w:val="24"/>
          <w:szCs w:val="24"/>
        </w:rPr>
        <w:t>holistic</w:t>
      </w:r>
      <w:r w:rsidR="000C0AEA">
        <w:rPr>
          <w:rFonts w:ascii="Times New Roman" w:hAnsi="Times New Roman" w:cs="Times New Roman"/>
          <w:spacing w:val="-4"/>
          <w:sz w:val="24"/>
          <w:szCs w:val="24"/>
        </w:rPr>
        <w:t>’</w:t>
      </w:r>
      <w:r w:rsidRPr="00A70042">
        <w:rPr>
          <w:rFonts w:ascii="Times New Roman" w:hAnsi="Times New Roman" w:cs="Times New Roman"/>
          <w:spacing w:val="-4"/>
          <w:sz w:val="24"/>
          <w:szCs w:val="24"/>
        </w:rPr>
        <w:t xml:space="preserve"> ex-ante approach against the </w:t>
      </w:r>
      <w:r w:rsidR="000C0AEA">
        <w:rPr>
          <w:rFonts w:ascii="Times New Roman" w:hAnsi="Times New Roman" w:cs="Times New Roman"/>
          <w:spacing w:val="-4"/>
          <w:sz w:val="24"/>
          <w:szCs w:val="24"/>
        </w:rPr>
        <w:t>shortcomings</w:t>
      </w:r>
      <w:r w:rsidRPr="00A70042">
        <w:rPr>
          <w:rFonts w:ascii="Times New Roman" w:hAnsi="Times New Roman" w:cs="Times New Roman"/>
          <w:spacing w:val="-4"/>
          <w:sz w:val="24"/>
          <w:szCs w:val="24"/>
        </w:rPr>
        <w:t xml:space="preserve"> of </w:t>
      </w:r>
      <w:r w:rsidR="000C0AEA" w:rsidRPr="00A70042">
        <w:rPr>
          <w:rFonts w:ascii="Times New Roman" w:hAnsi="Times New Roman" w:cs="Times New Roman"/>
          <w:spacing w:val="-4"/>
          <w:sz w:val="24"/>
          <w:szCs w:val="24"/>
        </w:rPr>
        <w:t xml:space="preserve">competition law </w:t>
      </w:r>
      <w:r w:rsidRPr="00A70042">
        <w:rPr>
          <w:rFonts w:ascii="Times New Roman" w:hAnsi="Times New Roman" w:cs="Times New Roman"/>
          <w:spacing w:val="-4"/>
          <w:sz w:val="24"/>
          <w:szCs w:val="24"/>
        </w:rPr>
        <w:t xml:space="preserve">and </w:t>
      </w:r>
      <w:r w:rsidR="000C0AEA" w:rsidRPr="00A70042">
        <w:rPr>
          <w:rFonts w:ascii="Times New Roman" w:hAnsi="Times New Roman" w:cs="Times New Roman"/>
          <w:spacing w:val="-4"/>
          <w:sz w:val="24"/>
          <w:szCs w:val="24"/>
        </w:rPr>
        <w:t>IPR</w:t>
      </w:r>
      <w:r w:rsidR="000C0AEA" w:rsidRPr="00A70042" w:rsidDel="000C0AEA">
        <w:rPr>
          <w:rFonts w:ascii="Times New Roman" w:hAnsi="Times New Roman" w:cs="Times New Roman"/>
          <w:spacing w:val="-4"/>
          <w:sz w:val="24"/>
          <w:szCs w:val="24"/>
        </w:rPr>
        <w:t xml:space="preserve"> </w:t>
      </w:r>
      <w:r w:rsidRPr="00A70042">
        <w:rPr>
          <w:rFonts w:ascii="Times New Roman" w:hAnsi="Times New Roman" w:cs="Times New Roman"/>
          <w:spacing w:val="-4"/>
          <w:sz w:val="24"/>
          <w:szCs w:val="24"/>
        </w:rPr>
        <w:t>rules. This tentative conclusion reflects the general findings of the multi-disciplinary blackletter analysis done in Chapters 4,</w:t>
      </w:r>
      <w:r w:rsidR="002656D5" w:rsidRPr="00A70042">
        <w:rPr>
          <w:rFonts w:ascii="Times New Roman" w:hAnsi="Times New Roman" w:cs="Times New Roman"/>
          <w:spacing w:val="-4"/>
          <w:sz w:val="24"/>
          <w:szCs w:val="24"/>
        </w:rPr>
        <w:t xml:space="preserve"> </w:t>
      </w:r>
      <w:r w:rsidRPr="00A70042">
        <w:rPr>
          <w:rFonts w:ascii="Times New Roman" w:hAnsi="Times New Roman" w:cs="Times New Roman"/>
          <w:spacing w:val="-4"/>
          <w:sz w:val="24"/>
          <w:szCs w:val="24"/>
        </w:rPr>
        <w:t>5</w:t>
      </w:r>
      <w:r w:rsidR="002656D5" w:rsidRPr="00A70042">
        <w:rPr>
          <w:rFonts w:ascii="Times New Roman" w:hAnsi="Times New Roman" w:cs="Times New Roman"/>
          <w:spacing w:val="-4"/>
          <w:sz w:val="24"/>
          <w:szCs w:val="24"/>
        </w:rPr>
        <w:t xml:space="preserve"> </w:t>
      </w:r>
      <w:r w:rsidRPr="00A70042">
        <w:rPr>
          <w:rFonts w:ascii="Times New Roman" w:hAnsi="Times New Roman" w:cs="Times New Roman"/>
          <w:spacing w:val="-4"/>
          <w:sz w:val="24"/>
          <w:szCs w:val="24"/>
        </w:rPr>
        <w:t xml:space="preserve">and 6, which primarily seek to answer whether and to what extent interoperability-based problems are addressed under the </w:t>
      </w:r>
      <w:r w:rsidRPr="00A70042">
        <w:rPr>
          <w:rFonts w:ascii="Times New Roman" w:hAnsi="Times New Roman" w:cs="Times New Roman"/>
          <w:i/>
          <w:spacing w:val="-4"/>
          <w:sz w:val="24"/>
          <w:szCs w:val="24"/>
        </w:rPr>
        <w:t>status quo</w:t>
      </w:r>
      <w:r w:rsidRPr="00A70042">
        <w:rPr>
          <w:rFonts w:ascii="Times New Roman" w:hAnsi="Times New Roman" w:cs="Times New Roman"/>
          <w:spacing w:val="-4"/>
          <w:sz w:val="24"/>
          <w:szCs w:val="24"/>
        </w:rPr>
        <w:t xml:space="preserve">. In this context, not only the insufficiency of </w:t>
      </w:r>
      <w:r w:rsidR="00343522">
        <w:rPr>
          <w:rFonts w:ascii="Times New Roman" w:hAnsi="Times New Roman" w:cs="Times New Roman"/>
          <w:spacing w:val="-4"/>
          <w:sz w:val="24"/>
          <w:szCs w:val="24"/>
        </w:rPr>
        <w:t>the</w:t>
      </w:r>
      <w:r w:rsidR="009069E2">
        <w:rPr>
          <w:rFonts w:ascii="Times New Roman" w:hAnsi="Times New Roman" w:cs="Times New Roman"/>
          <w:spacing w:val="-4"/>
          <w:sz w:val="24"/>
          <w:szCs w:val="24"/>
        </w:rPr>
        <w:t xml:space="preserve"> </w:t>
      </w:r>
      <w:r w:rsidR="00343522">
        <w:rPr>
          <w:rFonts w:ascii="Times New Roman" w:hAnsi="Times New Roman" w:cs="Times New Roman"/>
          <w:spacing w:val="-4"/>
          <w:sz w:val="24"/>
          <w:szCs w:val="24"/>
        </w:rPr>
        <w:t>existing</w:t>
      </w:r>
      <w:r w:rsidRPr="00A70042">
        <w:rPr>
          <w:rFonts w:ascii="Times New Roman" w:hAnsi="Times New Roman" w:cs="Times New Roman"/>
          <w:spacing w:val="-4"/>
          <w:sz w:val="24"/>
          <w:szCs w:val="24"/>
        </w:rPr>
        <w:t xml:space="preserve"> solutions</w:t>
      </w:r>
      <w:r w:rsidR="009069E2">
        <w:rPr>
          <w:rFonts w:ascii="Times New Roman" w:hAnsi="Times New Roman" w:cs="Times New Roman"/>
          <w:spacing w:val="-4"/>
          <w:sz w:val="24"/>
          <w:szCs w:val="24"/>
        </w:rPr>
        <w:t>,</w:t>
      </w:r>
      <w:r w:rsidR="00343522">
        <w:rPr>
          <w:rFonts w:ascii="Times New Roman" w:hAnsi="Times New Roman" w:cs="Times New Roman"/>
          <w:spacing w:val="-4"/>
          <w:sz w:val="24"/>
          <w:szCs w:val="24"/>
        </w:rPr>
        <w:t xml:space="preserve"> either statutory or based on case law</w:t>
      </w:r>
      <w:r w:rsidR="009069E2">
        <w:rPr>
          <w:rFonts w:ascii="Times New Roman" w:hAnsi="Times New Roman" w:cs="Times New Roman"/>
          <w:spacing w:val="-4"/>
          <w:sz w:val="24"/>
          <w:szCs w:val="24"/>
        </w:rPr>
        <w:t>,</w:t>
      </w:r>
      <w:r w:rsidR="00343522">
        <w:rPr>
          <w:rFonts w:ascii="Times New Roman" w:hAnsi="Times New Roman" w:cs="Times New Roman"/>
          <w:spacing w:val="-4"/>
          <w:sz w:val="24"/>
          <w:szCs w:val="24"/>
        </w:rPr>
        <w:t xml:space="preserve"> against the major concerns surrounding ICT interoperability</w:t>
      </w:r>
      <w:r w:rsidRPr="00A70042">
        <w:rPr>
          <w:rFonts w:ascii="Times New Roman" w:hAnsi="Times New Roman" w:cs="Times New Roman"/>
          <w:spacing w:val="-4"/>
          <w:sz w:val="24"/>
          <w:szCs w:val="24"/>
        </w:rPr>
        <w:t>, but also the non-holistic character of the available rules and regulations is underscored as a deficiency of the EU legal system.</w:t>
      </w:r>
    </w:p>
    <w:p w14:paraId="538BF916" w14:textId="30639775"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Whilst </w:t>
      </w:r>
      <w:r w:rsidR="00F71C1A">
        <w:rPr>
          <w:rFonts w:ascii="Times New Roman" w:hAnsi="Times New Roman" w:cs="Times New Roman"/>
          <w:sz w:val="24"/>
          <w:szCs w:val="24"/>
        </w:rPr>
        <w:t>examination</w:t>
      </w:r>
      <w:r w:rsidRPr="00774EDB">
        <w:rPr>
          <w:rFonts w:ascii="Times New Roman" w:hAnsi="Times New Roman" w:cs="Times New Roman"/>
          <w:sz w:val="24"/>
          <w:szCs w:val="24"/>
        </w:rPr>
        <w:t xml:space="preserve"> of the EU legal framework represents the first step, this (both ‘descriptive’ and ‘exploratory’) analysis poses a need for filtering through an additional analysis based on the </w:t>
      </w:r>
      <w:r w:rsidR="00E246BC" w:rsidRPr="00774EDB">
        <w:rPr>
          <w:rFonts w:ascii="Times New Roman" w:hAnsi="Times New Roman" w:cs="Times New Roman"/>
          <w:sz w:val="24"/>
          <w:szCs w:val="24"/>
        </w:rPr>
        <w:t>real-life (industrial)</w:t>
      </w:r>
      <w:r w:rsidRPr="00774EDB">
        <w:rPr>
          <w:rFonts w:ascii="Times New Roman" w:hAnsi="Times New Roman" w:cs="Times New Roman"/>
          <w:sz w:val="24"/>
          <w:szCs w:val="24"/>
        </w:rPr>
        <w:t xml:space="preserve"> practices. To have a more elaborate picture of the legal framework vis-à-vis the ICT industries, case study </w:t>
      </w:r>
      <w:r w:rsidRPr="00774EDB">
        <w:rPr>
          <w:rFonts w:ascii="Times New Roman" w:hAnsi="Times New Roman" w:cs="Times New Roman"/>
          <w:sz w:val="24"/>
          <w:szCs w:val="24"/>
        </w:rPr>
        <w:lastRenderedPageBreak/>
        <w:t xml:space="preserve">research has been considered crucial against the plausible need for </w:t>
      </w:r>
      <w:r w:rsidR="00343522">
        <w:rPr>
          <w:rFonts w:ascii="Times New Roman" w:hAnsi="Times New Roman" w:cs="Times New Roman"/>
          <w:sz w:val="24"/>
          <w:szCs w:val="24"/>
        </w:rPr>
        <w:t xml:space="preserve">a </w:t>
      </w:r>
      <w:r w:rsidRPr="00774EDB">
        <w:rPr>
          <w:rFonts w:ascii="Times New Roman" w:hAnsi="Times New Roman" w:cs="Times New Roman"/>
          <w:sz w:val="24"/>
          <w:szCs w:val="24"/>
        </w:rPr>
        <w:t>holistic and e</w:t>
      </w:r>
      <w:r w:rsidR="00343522">
        <w:rPr>
          <w:rFonts w:ascii="Times New Roman" w:hAnsi="Times New Roman" w:cs="Times New Roman"/>
          <w:sz w:val="24"/>
          <w:szCs w:val="24"/>
        </w:rPr>
        <w:t>x ante</w:t>
      </w:r>
      <w:r w:rsidRPr="00774EDB">
        <w:rPr>
          <w:rFonts w:ascii="Times New Roman" w:hAnsi="Times New Roman" w:cs="Times New Roman"/>
          <w:sz w:val="24"/>
          <w:szCs w:val="24"/>
        </w:rPr>
        <w:t xml:space="preserve"> regulation. That is to say, it is acknowledged that the tentative conclusion of </w:t>
      </w:r>
      <w:bookmarkStart w:id="28" w:name="_Hlk11706689"/>
      <w:r w:rsidRPr="00774EDB">
        <w:rPr>
          <w:rFonts w:ascii="Times New Roman" w:hAnsi="Times New Roman" w:cs="Times New Roman"/>
          <w:sz w:val="24"/>
          <w:szCs w:val="24"/>
        </w:rPr>
        <w:t>Chapters 4,</w:t>
      </w:r>
      <w:r w:rsidR="00E246BC"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5 and 6 </w:t>
      </w:r>
      <w:bookmarkEnd w:id="28"/>
      <w:r w:rsidRPr="00774EDB">
        <w:rPr>
          <w:rFonts w:ascii="Times New Roman" w:hAnsi="Times New Roman" w:cs="Times New Roman"/>
          <w:sz w:val="24"/>
          <w:szCs w:val="24"/>
        </w:rPr>
        <w:t>needs to be verified and enriched by the case studies</w:t>
      </w:r>
      <w:r w:rsidR="00ED0755" w:rsidRPr="00774EDB">
        <w:rPr>
          <w:rFonts w:ascii="Times New Roman" w:hAnsi="Times New Roman" w:cs="Times New Roman"/>
          <w:sz w:val="24"/>
          <w:szCs w:val="24"/>
        </w:rPr>
        <w:t>.</w:t>
      </w:r>
      <w:r w:rsidRPr="00774EDB">
        <w:rPr>
          <w:rFonts w:ascii="Times New Roman" w:hAnsi="Times New Roman" w:cs="Times New Roman"/>
          <w:sz w:val="24"/>
          <w:szCs w:val="24"/>
        </w:rPr>
        <w:t xml:space="preserve"> To that effect, </w:t>
      </w:r>
      <w:r w:rsidR="00ED0755" w:rsidRPr="00774EDB">
        <w:rPr>
          <w:rFonts w:ascii="Times New Roman" w:hAnsi="Times New Roman" w:cs="Times New Roman"/>
          <w:sz w:val="24"/>
          <w:szCs w:val="24"/>
        </w:rPr>
        <w:t>“</w:t>
      </w:r>
      <w:r w:rsidRPr="00774EDB">
        <w:rPr>
          <w:rFonts w:ascii="Times New Roman" w:hAnsi="Times New Roman" w:cs="Times New Roman"/>
          <w:sz w:val="24"/>
          <w:szCs w:val="24"/>
        </w:rPr>
        <w:t>cloud computing</w:t>
      </w:r>
      <w:r w:rsidR="00ED0755" w:rsidRPr="00774EDB">
        <w:rPr>
          <w:rFonts w:ascii="Times New Roman" w:hAnsi="Times New Roman" w:cs="Times New Roman"/>
          <w:sz w:val="24"/>
          <w:szCs w:val="24"/>
        </w:rPr>
        <w:t>”</w:t>
      </w:r>
      <w:r w:rsidRPr="00774EDB">
        <w:rPr>
          <w:rFonts w:ascii="Times New Roman" w:hAnsi="Times New Roman" w:cs="Times New Roman"/>
          <w:sz w:val="24"/>
          <w:szCs w:val="24"/>
        </w:rPr>
        <w:t xml:space="preserve"> and </w:t>
      </w:r>
      <w:r w:rsidR="00ED0755" w:rsidRPr="00774EDB">
        <w:rPr>
          <w:rFonts w:ascii="Times New Roman" w:hAnsi="Times New Roman" w:cs="Times New Roman"/>
          <w:sz w:val="24"/>
          <w:szCs w:val="24"/>
        </w:rPr>
        <w:t>“</w:t>
      </w:r>
      <w:r w:rsidRPr="00774EDB">
        <w:rPr>
          <w:rFonts w:ascii="Times New Roman" w:hAnsi="Times New Roman" w:cs="Times New Roman"/>
          <w:sz w:val="24"/>
          <w:szCs w:val="24"/>
        </w:rPr>
        <w:t>IoT</w:t>
      </w:r>
      <w:r w:rsidR="00ED0755" w:rsidRPr="00774EDB">
        <w:rPr>
          <w:rFonts w:ascii="Times New Roman" w:hAnsi="Times New Roman" w:cs="Times New Roman"/>
          <w:sz w:val="24"/>
          <w:szCs w:val="24"/>
        </w:rPr>
        <w:t>” have been selected for the purpose of case study which constitute the subject-matter of Chapter 7.</w:t>
      </w:r>
      <w:r w:rsidRPr="00774EDB">
        <w:rPr>
          <w:rFonts w:ascii="Times New Roman" w:hAnsi="Times New Roman" w:cs="Times New Roman"/>
          <w:sz w:val="24"/>
          <w:szCs w:val="24"/>
        </w:rPr>
        <w:t xml:space="preserve"> </w:t>
      </w:r>
      <w:r w:rsidR="00875F89" w:rsidRPr="00774EDB">
        <w:rPr>
          <w:rFonts w:ascii="Times New Roman" w:hAnsi="Times New Roman" w:cs="Times New Roman"/>
          <w:sz w:val="24"/>
          <w:szCs w:val="24"/>
        </w:rPr>
        <w:t>T</w:t>
      </w:r>
      <w:r w:rsidRPr="00774EDB">
        <w:rPr>
          <w:rFonts w:ascii="Times New Roman" w:hAnsi="Times New Roman" w:cs="Times New Roman"/>
          <w:sz w:val="24"/>
          <w:szCs w:val="24"/>
        </w:rPr>
        <w:t>he analytical lens used in th</w:t>
      </w:r>
      <w:r w:rsidR="00875F89" w:rsidRPr="00774EDB">
        <w:rPr>
          <w:rFonts w:ascii="Times New Roman" w:hAnsi="Times New Roman" w:cs="Times New Roman"/>
          <w:sz w:val="24"/>
          <w:szCs w:val="24"/>
        </w:rPr>
        <w:t>e multiple case studies</w:t>
      </w:r>
      <w:r w:rsidRPr="00774EDB">
        <w:rPr>
          <w:rFonts w:ascii="Times New Roman" w:hAnsi="Times New Roman" w:cs="Times New Roman"/>
          <w:sz w:val="24"/>
          <w:szCs w:val="24"/>
        </w:rPr>
        <w:t xml:space="preserve"> has been broadened </w:t>
      </w:r>
      <w:r w:rsidR="00875F89" w:rsidRPr="00774EDB">
        <w:rPr>
          <w:rFonts w:ascii="Times New Roman" w:hAnsi="Times New Roman" w:cs="Times New Roman"/>
          <w:sz w:val="24"/>
          <w:szCs w:val="24"/>
        </w:rPr>
        <w:t xml:space="preserve">in Chapter 8 (Conclusion) </w:t>
      </w:r>
      <w:r w:rsidRPr="00774EDB">
        <w:rPr>
          <w:rFonts w:ascii="Times New Roman" w:hAnsi="Times New Roman" w:cs="Times New Roman"/>
          <w:sz w:val="24"/>
          <w:szCs w:val="24"/>
        </w:rPr>
        <w:t xml:space="preserve">to take a further step towards </w:t>
      </w:r>
      <w:r w:rsidR="00F71C1A">
        <w:rPr>
          <w:rFonts w:ascii="Times New Roman" w:hAnsi="Times New Roman" w:cs="Times New Roman"/>
          <w:sz w:val="24"/>
          <w:szCs w:val="24"/>
        </w:rPr>
        <w:t>find</w:t>
      </w:r>
      <w:r w:rsidRPr="00774EDB">
        <w:rPr>
          <w:rFonts w:ascii="Times New Roman" w:hAnsi="Times New Roman" w:cs="Times New Roman"/>
          <w:sz w:val="24"/>
          <w:szCs w:val="24"/>
        </w:rPr>
        <w:t xml:space="preserve">ing </w:t>
      </w:r>
      <w:r w:rsidR="00F71C1A">
        <w:rPr>
          <w:rFonts w:ascii="Times New Roman" w:hAnsi="Times New Roman" w:cs="Times New Roman"/>
          <w:sz w:val="24"/>
          <w:szCs w:val="24"/>
        </w:rPr>
        <w:t xml:space="preserve">out </w:t>
      </w:r>
      <w:r w:rsidRPr="00774EDB">
        <w:rPr>
          <w:rFonts w:ascii="Times New Roman" w:hAnsi="Times New Roman" w:cs="Times New Roman"/>
          <w:sz w:val="24"/>
          <w:szCs w:val="24"/>
        </w:rPr>
        <w:t>the appropriate policy approach and regulatory model.</w:t>
      </w:r>
    </w:p>
    <w:p w14:paraId="0DAAFEE3" w14:textId="2C53D537" w:rsidR="003D1DB3"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Against this background and contextual analysis, several research questions emerge, including but not limited to: (i) </w:t>
      </w:r>
      <w:r w:rsidR="00F71C1A">
        <w:rPr>
          <w:rFonts w:ascii="Times New Roman" w:hAnsi="Times New Roman" w:cs="Times New Roman"/>
          <w:sz w:val="24"/>
          <w:szCs w:val="24"/>
        </w:rPr>
        <w:t>W</w:t>
      </w:r>
      <w:r w:rsidRPr="00774EDB">
        <w:rPr>
          <w:rFonts w:ascii="Times New Roman" w:hAnsi="Times New Roman" w:cs="Times New Roman"/>
          <w:sz w:val="24"/>
          <w:szCs w:val="24"/>
        </w:rPr>
        <w:t xml:space="preserve">ould the existing EU legal framework be sufficient to deal with the lack of interoperability and </w:t>
      </w:r>
      <w:r w:rsidR="00266810" w:rsidRPr="00774EDB">
        <w:rPr>
          <w:rFonts w:ascii="Times New Roman" w:hAnsi="Times New Roman" w:cs="Times New Roman"/>
          <w:sz w:val="24"/>
          <w:szCs w:val="24"/>
        </w:rPr>
        <w:t>related</w:t>
      </w:r>
      <w:r w:rsidRPr="00774EDB">
        <w:rPr>
          <w:rFonts w:ascii="Times New Roman" w:hAnsi="Times New Roman" w:cs="Times New Roman"/>
          <w:sz w:val="24"/>
          <w:szCs w:val="24"/>
        </w:rPr>
        <w:t xml:space="preserve"> </w:t>
      </w:r>
      <w:r w:rsidR="00266810" w:rsidRPr="00774EDB">
        <w:rPr>
          <w:rFonts w:ascii="Times New Roman" w:hAnsi="Times New Roman" w:cs="Times New Roman"/>
          <w:sz w:val="24"/>
          <w:szCs w:val="24"/>
        </w:rPr>
        <w:t>concern</w:t>
      </w:r>
      <w:r w:rsidRPr="00774EDB">
        <w:rPr>
          <w:rFonts w:ascii="Times New Roman" w:hAnsi="Times New Roman" w:cs="Times New Roman"/>
          <w:sz w:val="24"/>
          <w:szCs w:val="24"/>
        </w:rPr>
        <w:t xml:space="preserve">s such as </w:t>
      </w:r>
      <w:r w:rsidR="00E246BC" w:rsidRPr="00774EDB">
        <w:rPr>
          <w:rFonts w:ascii="Times New Roman" w:hAnsi="Times New Roman" w:cs="Times New Roman"/>
          <w:sz w:val="24"/>
          <w:szCs w:val="24"/>
        </w:rPr>
        <w:t>vendor</w:t>
      </w:r>
      <w:r w:rsidRPr="00774EDB">
        <w:rPr>
          <w:rFonts w:ascii="Times New Roman" w:hAnsi="Times New Roman" w:cs="Times New Roman"/>
          <w:sz w:val="24"/>
          <w:szCs w:val="24"/>
        </w:rPr>
        <w:t xml:space="preserve"> lock-in,</w:t>
      </w:r>
      <w:r w:rsidR="00F71C1A">
        <w:rPr>
          <w:rFonts w:ascii="Times New Roman" w:hAnsi="Times New Roman" w:cs="Times New Roman"/>
          <w:sz w:val="24"/>
          <w:szCs w:val="24"/>
        </w:rPr>
        <w:t xml:space="preserve"> hindered innovation and information flows</w:t>
      </w:r>
      <w:r w:rsidRPr="00774EDB">
        <w:rPr>
          <w:rFonts w:ascii="Times New Roman" w:hAnsi="Times New Roman" w:cs="Times New Roman"/>
          <w:sz w:val="24"/>
          <w:szCs w:val="24"/>
        </w:rPr>
        <w:t xml:space="preserve"> in the field of ICTs? (ii) </w:t>
      </w:r>
      <w:r w:rsidR="00F71C1A">
        <w:rPr>
          <w:rFonts w:ascii="Times New Roman" w:hAnsi="Times New Roman" w:cs="Times New Roman"/>
          <w:sz w:val="24"/>
          <w:szCs w:val="24"/>
        </w:rPr>
        <w:t>W</w:t>
      </w:r>
      <w:r w:rsidRPr="00774EDB">
        <w:rPr>
          <w:rFonts w:ascii="Times New Roman" w:hAnsi="Times New Roman" w:cs="Times New Roman"/>
          <w:sz w:val="24"/>
          <w:szCs w:val="24"/>
        </w:rPr>
        <w:t>hat kind of a policy approach (ex-ante or ex-post; holistic or disaggregated</w:t>
      </w:r>
      <w:r w:rsidR="00F71C1A">
        <w:rPr>
          <w:rFonts w:ascii="Times New Roman" w:hAnsi="Times New Roman" w:cs="Times New Roman"/>
          <w:sz w:val="24"/>
          <w:szCs w:val="24"/>
        </w:rPr>
        <w:t>; bottom-up or top-down</w:t>
      </w:r>
      <w:r w:rsidRPr="00774EDB">
        <w:rPr>
          <w:rFonts w:ascii="Times New Roman" w:hAnsi="Times New Roman" w:cs="Times New Roman"/>
          <w:sz w:val="24"/>
          <w:szCs w:val="24"/>
        </w:rPr>
        <w:t xml:space="preserve">) would be appropriate in dealing with the lack of interoperability and accompanying problems that characterise the emerging ICT landscape? (iii) </w:t>
      </w:r>
      <w:r w:rsidR="00F71C1A">
        <w:rPr>
          <w:rFonts w:ascii="Times New Roman" w:hAnsi="Times New Roman" w:cs="Times New Roman"/>
          <w:sz w:val="24"/>
          <w:szCs w:val="24"/>
        </w:rPr>
        <w:t>W</w:t>
      </w:r>
      <w:r w:rsidR="003D1DB3" w:rsidRPr="00774EDB">
        <w:rPr>
          <w:rFonts w:ascii="Times New Roman" w:hAnsi="Times New Roman" w:cs="Times New Roman"/>
          <w:sz w:val="24"/>
          <w:szCs w:val="24"/>
        </w:rPr>
        <w:t xml:space="preserve">hat elements </w:t>
      </w:r>
      <w:r w:rsidR="009069E2">
        <w:rPr>
          <w:rFonts w:ascii="Times New Roman" w:hAnsi="Times New Roman" w:cs="Times New Roman"/>
          <w:sz w:val="24"/>
          <w:szCs w:val="24"/>
        </w:rPr>
        <w:t>or</w:t>
      </w:r>
      <w:r w:rsidR="00F71C1A">
        <w:rPr>
          <w:rFonts w:ascii="Times New Roman" w:hAnsi="Times New Roman" w:cs="Times New Roman"/>
          <w:sz w:val="24"/>
          <w:szCs w:val="24"/>
        </w:rPr>
        <w:t xml:space="preserve"> responsive tools </w:t>
      </w:r>
      <w:r w:rsidR="003D1DB3" w:rsidRPr="00774EDB">
        <w:rPr>
          <w:rFonts w:ascii="Times New Roman" w:hAnsi="Times New Roman" w:cs="Times New Roman"/>
          <w:sz w:val="24"/>
          <w:szCs w:val="24"/>
        </w:rPr>
        <w:t xml:space="preserve">would need to be incorporated for the regulation of ICT networks/services and ultimately </w:t>
      </w:r>
      <w:r w:rsidR="00753FE4" w:rsidRPr="00774EDB">
        <w:rPr>
          <w:rFonts w:ascii="Times New Roman" w:hAnsi="Times New Roman" w:cs="Times New Roman"/>
          <w:sz w:val="24"/>
          <w:szCs w:val="24"/>
        </w:rPr>
        <w:t>to be embedded</w:t>
      </w:r>
      <w:r w:rsidR="003D1DB3" w:rsidRPr="00774EDB">
        <w:rPr>
          <w:rFonts w:ascii="Times New Roman" w:hAnsi="Times New Roman" w:cs="Times New Roman"/>
          <w:sz w:val="24"/>
          <w:szCs w:val="24"/>
        </w:rPr>
        <w:t xml:space="preserve"> </w:t>
      </w:r>
      <w:r w:rsidR="00753FE4" w:rsidRPr="00774EDB">
        <w:rPr>
          <w:rFonts w:ascii="Times New Roman" w:hAnsi="Times New Roman" w:cs="Times New Roman"/>
          <w:sz w:val="24"/>
          <w:szCs w:val="24"/>
        </w:rPr>
        <w:t xml:space="preserve">in a </w:t>
      </w:r>
      <w:r w:rsidR="003D1DB3" w:rsidRPr="00774EDB">
        <w:rPr>
          <w:rFonts w:ascii="Times New Roman" w:hAnsi="Times New Roman" w:cs="Times New Roman"/>
          <w:sz w:val="24"/>
          <w:szCs w:val="24"/>
        </w:rPr>
        <w:t>regulatory model?</w:t>
      </w:r>
    </w:p>
    <w:p w14:paraId="6853D31B" w14:textId="2D844DCC"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While some more questions would be added on top, these research questions represent the major/pioneering ones. Among these, while the first one is addressed under the blackletter/doctrinal analysis, appropriate responses to the other two questions are mostly found out </w:t>
      </w:r>
      <w:r w:rsidR="009468CB">
        <w:rPr>
          <w:rFonts w:ascii="Times New Roman" w:hAnsi="Times New Roman" w:cs="Times New Roman"/>
          <w:sz w:val="24"/>
          <w:szCs w:val="24"/>
        </w:rPr>
        <w:t xml:space="preserve">during and </w:t>
      </w:r>
      <w:r w:rsidRPr="00774EDB">
        <w:rPr>
          <w:rFonts w:ascii="Times New Roman" w:hAnsi="Times New Roman" w:cs="Times New Roman"/>
          <w:sz w:val="24"/>
          <w:szCs w:val="24"/>
        </w:rPr>
        <w:t xml:space="preserve">subsequent to the case study research. </w:t>
      </w:r>
      <w:r w:rsidR="00257AC4" w:rsidRPr="00774EDB">
        <w:rPr>
          <w:rFonts w:ascii="Times New Roman" w:hAnsi="Times New Roman" w:cs="Times New Roman"/>
          <w:sz w:val="24"/>
          <w:szCs w:val="24"/>
        </w:rPr>
        <w:t>Thus, t</w:t>
      </w:r>
      <w:r w:rsidRPr="00774EDB">
        <w:rPr>
          <w:rFonts w:ascii="Times New Roman" w:hAnsi="Times New Roman" w:cs="Times New Roman"/>
          <w:sz w:val="24"/>
          <w:szCs w:val="24"/>
        </w:rPr>
        <w:t>hese two research components of blackletter analysis and case studies</w:t>
      </w:r>
      <w:r w:rsidR="00E246BC"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have </w:t>
      </w:r>
      <w:r w:rsidR="00C1717B" w:rsidRPr="00774EDB">
        <w:rPr>
          <w:rFonts w:ascii="Times New Roman" w:hAnsi="Times New Roman" w:cs="Times New Roman"/>
          <w:sz w:val="24"/>
          <w:szCs w:val="24"/>
        </w:rPr>
        <w:t>‘</w:t>
      </w:r>
      <w:r w:rsidRPr="00774EDB">
        <w:rPr>
          <w:rFonts w:ascii="Times New Roman" w:hAnsi="Times New Roman" w:cs="Times New Roman"/>
          <w:sz w:val="24"/>
          <w:szCs w:val="24"/>
        </w:rPr>
        <w:t>complementary</w:t>
      </w:r>
      <w:r w:rsidR="00C1717B" w:rsidRPr="00774EDB">
        <w:rPr>
          <w:rFonts w:ascii="Times New Roman" w:hAnsi="Times New Roman" w:cs="Times New Roman"/>
          <w:sz w:val="24"/>
          <w:szCs w:val="24"/>
        </w:rPr>
        <w:t>’</w:t>
      </w:r>
      <w:r w:rsidRPr="00774EDB">
        <w:rPr>
          <w:rFonts w:ascii="Times New Roman" w:hAnsi="Times New Roman" w:cs="Times New Roman"/>
          <w:sz w:val="24"/>
          <w:szCs w:val="24"/>
        </w:rPr>
        <w:t xml:space="preserve"> aspects</w:t>
      </w:r>
      <w:r w:rsidR="009468CB" w:rsidRPr="009468CB">
        <w:rPr>
          <w:rFonts w:ascii="Times New Roman" w:hAnsi="Times New Roman" w:cs="Times New Roman"/>
          <w:sz w:val="24"/>
          <w:szCs w:val="24"/>
        </w:rPr>
        <w:t xml:space="preserve"> </w:t>
      </w:r>
      <w:r w:rsidR="009468CB" w:rsidRPr="00774EDB">
        <w:rPr>
          <w:rFonts w:ascii="Times New Roman" w:hAnsi="Times New Roman" w:cs="Times New Roman"/>
          <w:sz w:val="24"/>
          <w:szCs w:val="24"/>
        </w:rPr>
        <w:t>within this study</w:t>
      </w:r>
      <w:r w:rsidRPr="00774EDB">
        <w:rPr>
          <w:rFonts w:ascii="Times New Roman" w:hAnsi="Times New Roman" w:cs="Times New Roman"/>
          <w:sz w:val="24"/>
          <w:szCs w:val="24"/>
        </w:rPr>
        <w:t xml:space="preserve">. For instance, significant inputs are drawn from the initial (blackletter) analysis </w:t>
      </w:r>
      <w:r w:rsidR="00C1717B" w:rsidRPr="00774EDB">
        <w:rPr>
          <w:rFonts w:ascii="Times New Roman" w:hAnsi="Times New Roman" w:cs="Times New Roman"/>
          <w:sz w:val="24"/>
          <w:szCs w:val="24"/>
        </w:rPr>
        <w:t>towards</w:t>
      </w:r>
      <w:r w:rsidRPr="00774EDB">
        <w:rPr>
          <w:rFonts w:ascii="Times New Roman" w:hAnsi="Times New Roman" w:cs="Times New Roman"/>
          <w:sz w:val="24"/>
          <w:szCs w:val="24"/>
        </w:rPr>
        <w:t xml:space="preserve"> the holistic ‘policy approach’ </w:t>
      </w:r>
      <w:r w:rsidR="00C1717B" w:rsidRPr="00774EDB">
        <w:rPr>
          <w:rFonts w:ascii="Times New Roman" w:hAnsi="Times New Roman" w:cs="Times New Roman"/>
          <w:sz w:val="24"/>
          <w:szCs w:val="24"/>
        </w:rPr>
        <w:t xml:space="preserve">in the sense that </w:t>
      </w:r>
      <w:r w:rsidR="009468CB">
        <w:rPr>
          <w:rFonts w:ascii="Times New Roman" w:hAnsi="Times New Roman" w:cs="Times New Roman"/>
          <w:sz w:val="24"/>
          <w:szCs w:val="24"/>
        </w:rPr>
        <w:t xml:space="preserve">very </w:t>
      </w:r>
      <w:r w:rsidR="00C1717B" w:rsidRPr="00774EDB">
        <w:rPr>
          <w:rFonts w:ascii="Times New Roman" w:hAnsi="Times New Roman" w:cs="Times New Roman"/>
          <w:sz w:val="24"/>
          <w:szCs w:val="24"/>
        </w:rPr>
        <w:t xml:space="preserve">nature and would-be characteristics of this approach have started to </w:t>
      </w:r>
      <w:r w:rsidR="00727FEE" w:rsidRPr="00774EDB">
        <w:rPr>
          <w:rFonts w:ascii="Times New Roman" w:hAnsi="Times New Roman" w:cs="Times New Roman"/>
          <w:sz w:val="24"/>
          <w:szCs w:val="24"/>
        </w:rPr>
        <w:t>emerge</w:t>
      </w:r>
      <w:r w:rsidR="00C1717B" w:rsidRPr="00774EDB">
        <w:rPr>
          <w:rFonts w:ascii="Times New Roman" w:hAnsi="Times New Roman" w:cs="Times New Roman"/>
          <w:sz w:val="24"/>
          <w:szCs w:val="24"/>
        </w:rPr>
        <w:t>.</w:t>
      </w:r>
      <w:r w:rsidR="00727FEE" w:rsidRPr="00774EDB">
        <w:rPr>
          <w:rFonts w:ascii="Times New Roman" w:hAnsi="Times New Roman" w:cs="Times New Roman"/>
          <w:sz w:val="24"/>
          <w:szCs w:val="24"/>
        </w:rPr>
        <w:t xml:space="preserve"> Along the </w:t>
      </w:r>
      <w:r w:rsidR="00727FEE" w:rsidRPr="00774EDB">
        <w:rPr>
          <w:rFonts w:ascii="Times New Roman" w:hAnsi="Times New Roman" w:cs="Times New Roman"/>
          <w:sz w:val="24"/>
          <w:szCs w:val="24"/>
        </w:rPr>
        <w:lastRenderedPageBreak/>
        <w:t>same lines</w:t>
      </w:r>
      <w:r w:rsidRPr="00774EDB">
        <w:rPr>
          <w:rFonts w:ascii="Times New Roman" w:hAnsi="Times New Roman" w:cs="Times New Roman"/>
          <w:sz w:val="24"/>
          <w:szCs w:val="24"/>
        </w:rPr>
        <w:t>, completion of the case studies has brought out a significant contribution to the construction of the ‘regulatory model’</w:t>
      </w:r>
      <w:r w:rsidR="00727FEE" w:rsidRPr="00774EDB">
        <w:rPr>
          <w:rFonts w:ascii="Times New Roman" w:hAnsi="Times New Roman" w:cs="Times New Roman"/>
          <w:sz w:val="24"/>
          <w:szCs w:val="24"/>
        </w:rPr>
        <w:t xml:space="preserve"> based on the </w:t>
      </w:r>
      <w:r w:rsidR="009468CB">
        <w:rPr>
          <w:rFonts w:ascii="Times New Roman" w:hAnsi="Times New Roman" w:cs="Times New Roman"/>
          <w:sz w:val="24"/>
          <w:szCs w:val="24"/>
        </w:rPr>
        <w:t>‘</w:t>
      </w:r>
      <w:r w:rsidR="00727FEE" w:rsidRPr="00774EDB">
        <w:rPr>
          <w:rFonts w:ascii="Times New Roman" w:hAnsi="Times New Roman" w:cs="Times New Roman"/>
          <w:sz w:val="24"/>
          <w:szCs w:val="24"/>
        </w:rPr>
        <w:t>layering</w:t>
      </w:r>
      <w:r w:rsidR="009468CB">
        <w:rPr>
          <w:rFonts w:ascii="Times New Roman" w:hAnsi="Times New Roman" w:cs="Times New Roman"/>
          <w:sz w:val="24"/>
          <w:szCs w:val="24"/>
        </w:rPr>
        <w:t>’</w:t>
      </w:r>
      <w:r w:rsidR="00727FEE" w:rsidRPr="00774EDB">
        <w:rPr>
          <w:rFonts w:ascii="Times New Roman" w:hAnsi="Times New Roman" w:cs="Times New Roman"/>
          <w:sz w:val="24"/>
          <w:szCs w:val="24"/>
        </w:rPr>
        <w:t xml:space="preserve"> approach</w:t>
      </w:r>
      <w:r w:rsidRPr="00774EDB">
        <w:rPr>
          <w:rFonts w:ascii="Times New Roman" w:hAnsi="Times New Roman" w:cs="Times New Roman"/>
          <w:sz w:val="24"/>
          <w:szCs w:val="24"/>
        </w:rPr>
        <w:t>. Drawing a set of progressive steps, all the components of the research could be found in Figure 1 below.</w:t>
      </w:r>
    </w:p>
    <w:p w14:paraId="01CA90B0" w14:textId="77777777" w:rsidR="00EF76D6" w:rsidRDefault="00EF76D6" w:rsidP="00A70042">
      <w:pPr>
        <w:spacing w:before="360"/>
        <w:jc w:val="center"/>
        <w:rPr>
          <w:rFonts w:ascii="Times New Roman" w:hAnsi="Times New Roman" w:cs="Times New Roman"/>
          <w:sz w:val="24"/>
          <w:szCs w:val="24"/>
        </w:rPr>
      </w:pPr>
      <w:r w:rsidRPr="000A0175">
        <w:rPr>
          <w:rFonts w:ascii="Times New Roman" w:hAnsi="Times New Roman" w:cs="Times New Roman"/>
          <w:noProof/>
          <w:sz w:val="24"/>
          <w:szCs w:val="24"/>
        </w:rPr>
        <w:drawing>
          <wp:inline distT="0" distB="0" distL="0" distR="0" wp14:anchorId="39FEC3B9" wp14:editId="7F1C6040">
            <wp:extent cx="4443073" cy="5108028"/>
            <wp:effectExtent l="0" t="0" r="0" b="0"/>
            <wp:docPr id="34" name="Picture 57348" descr="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57348" descr="Diagram"/>
                    <pic:cNvPicPr/>
                  </pic:nvPicPr>
                  <pic:blipFill rotWithShape="1">
                    <a:blip r:embed="rId12"/>
                    <a:srcRect l="23274" t="2325" r="31224" b="4674"/>
                    <a:stretch/>
                  </pic:blipFill>
                  <pic:spPr bwMode="auto">
                    <a:xfrm>
                      <a:off x="0" y="0"/>
                      <a:ext cx="4495075" cy="5167813"/>
                    </a:xfrm>
                    <a:prstGeom prst="rect">
                      <a:avLst/>
                    </a:prstGeom>
                    <a:ln>
                      <a:noFill/>
                    </a:ln>
                    <a:extLst>
                      <a:ext uri="{53640926-AAD7-44D8-BBD7-CCE9431645EC}">
                        <a14:shadowObscured xmlns:a14="http://schemas.microsoft.com/office/drawing/2010/main"/>
                      </a:ext>
                    </a:extLst>
                  </pic:spPr>
                </pic:pic>
              </a:graphicData>
            </a:graphic>
          </wp:inline>
        </w:drawing>
      </w:r>
    </w:p>
    <w:p w14:paraId="6687743E" w14:textId="3FBE4785" w:rsidR="00E35426" w:rsidRPr="00222DC4" w:rsidRDefault="0057387C" w:rsidP="00222DC4">
      <w:pPr>
        <w:rPr>
          <w:rFonts w:ascii="Times New Roman" w:hAnsi="Times New Roman" w:cs="Times New Roman"/>
          <w:sz w:val="24"/>
          <w:szCs w:val="24"/>
        </w:rPr>
      </w:pPr>
      <w:bookmarkStart w:id="29" w:name="_Toc17612464"/>
      <w:r w:rsidRPr="00222DC4">
        <w:rPr>
          <w:rFonts w:ascii="Times New Roman" w:hAnsi="Times New Roman" w:cs="Times New Roman"/>
          <w:b/>
          <w:bCs/>
          <w:sz w:val="24"/>
          <w:szCs w:val="24"/>
        </w:rPr>
        <w:t>Figure 1:</w:t>
      </w:r>
      <w:r w:rsidRPr="00222DC4">
        <w:rPr>
          <w:rFonts w:ascii="Times New Roman" w:hAnsi="Times New Roman" w:cs="Times New Roman"/>
          <w:sz w:val="24"/>
          <w:szCs w:val="24"/>
        </w:rPr>
        <w:t xml:space="preserve"> Progressive steps of the research</w:t>
      </w:r>
      <w:bookmarkEnd w:id="29"/>
    </w:p>
    <w:p w14:paraId="2CDB8117" w14:textId="77777777" w:rsidR="0057387C" w:rsidRPr="00A70042" w:rsidRDefault="0057387C" w:rsidP="00A70042">
      <w:pPr>
        <w:spacing w:before="120"/>
        <w:jc w:val="both"/>
        <w:rPr>
          <w:rFonts w:ascii="Times New Roman" w:hAnsi="Times New Roman" w:cs="Times New Roman"/>
          <w:sz w:val="20"/>
          <w:szCs w:val="20"/>
        </w:rPr>
      </w:pPr>
      <w:r w:rsidRPr="00A70042">
        <w:rPr>
          <w:rFonts w:ascii="Times New Roman" w:hAnsi="Times New Roman" w:cs="Times New Roman"/>
          <w:sz w:val="20"/>
          <w:szCs w:val="20"/>
        </w:rPr>
        <w:t>Source: Constructed by the author</w:t>
      </w:r>
    </w:p>
    <w:p w14:paraId="5D3CBE9B" w14:textId="3603ADA6" w:rsidR="0057387C" w:rsidRPr="00774EDB" w:rsidRDefault="0057387C" w:rsidP="00A70042">
      <w:pPr>
        <w:pStyle w:val="Heading2"/>
        <w:numPr>
          <w:ilvl w:val="1"/>
          <w:numId w:val="17"/>
        </w:numPr>
        <w:spacing w:before="360"/>
        <w:ind w:left="426" w:hanging="426"/>
        <w:jc w:val="both"/>
        <w:rPr>
          <w:rFonts w:ascii="Times New Roman" w:hAnsi="Times New Roman" w:cs="Times New Roman"/>
          <w:b/>
          <w:color w:val="auto"/>
          <w:sz w:val="24"/>
          <w:szCs w:val="24"/>
        </w:rPr>
      </w:pPr>
      <w:bookmarkStart w:id="30" w:name="_Toc17611327"/>
      <w:bookmarkStart w:id="31" w:name="_Toc17611544"/>
      <w:bookmarkStart w:id="32" w:name="_Toc17611756"/>
      <w:bookmarkStart w:id="33" w:name="_Toc17611970"/>
      <w:bookmarkStart w:id="34" w:name="_Toc17612183"/>
      <w:bookmarkStart w:id="35" w:name="_Toc11400610"/>
      <w:bookmarkStart w:id="36" w:name="_Toc17611328"/>
      <w:bookmarkStart w:id="37" w:name="_Toc53576015"/>
      <w:bookmarkEnd w:id="30"/>
      <w:bookmarkEnd w:id="31"/>
      <w:bookmarkEnd w:id="32"/>
      <w:bookmarkEnd w:id="33"/>
      <w:bookmarkEnd w:id="34"/>
      <w:r w:rsidRPr="00774EDB">
        <w:rPr>
          <w:rFonts w:ascii="Times New Roman" w:hAnsi="Times New Roman" w:cs="Times New Roman"/>
          <w:b/>
          <w:color w:val="auto"/>
          <w:sz w:val="24"/>
          <w:szCs w:val="24"/>
        </w:rPr>
        <w:lastRenderedPageBreak/>
        <w:t>Research methodology</w:t>
      </w:r>
      <w:bookmarkEnd w:id="35"/>
      <w:bookmarkEnd w:id="36"/>
      <w:bookmarkEnd w:id="37"/>
      <w:r w:rsidRPr="00774EDB">
        <w:rPr>
          <w:rFonts w:ascii="Times New Roman" w:hAnsi="Times New Roman" w:cs="Times New Roman"/>
          <w:b/>
          <w:color w:val="auto"/>
          <w:sz w:val="24"/>
          <w:szCs w:val="24"/>
        </w:rPr>
        <w:t xml:space="preserve"> </w:t>
      </w:r>
    </w:p>
    <w:p w14:paraId="48EE7575" w14:textId="4D6BD7AC"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research methodology pursued in this study is built upon the combination of ‘doctrinal (blackletter) analysis’ with ‘case study’ research. The former (doctrinal) analysis aims to examine the </w:t>
      </w:r>
      <w:r w:rsidR="00B952A3" w:rsidRPr="00774EDB">
        <w:rPr>
          <w:rFonts w:ascii="Times New Roman" w:hAnsi="Times New Roman" w:cs="Times New Roman"/>
          <w:sz w:val="24"/>
          <w:szCs w:val="24"/>
        </w:rPr>
        <w:t xml:space="preserve">relevant </w:t>
      </w:r>
      <w:r w:rsidRPr="00774EDB">
        <w:rPr>
          <w:rFonts w:ascii="Times New Roman" w:hAnsi="Times New Roman" w:cs="Times New Roman"/>
          <w:sz w:val="24"/>
          <w:szCs w:val="24"/>
        </w:rPr>
        <w:t xml:space="preserve">legal texts and case law, as well as secondary sources like books, journal articles, working papers, reports and newsletters, in seeking to discuss and clarify the scope and boundaries of the EU legal framework concerning </w:t>
      </w:r>
      <w:r w:rsidR="00E24116">
        <w:rPr>
          <w:rFonts w:ascii="Times New Roman" w:hAnsi="Times New Roman" w:cs="Times New Roman"/>
          <w:sz w:val="24"/>
          <w:szCs w:val="24"/>
        </w:rPr>
        <w:t xml:space="preserve">ICT </w:t>
      </w:r>
      <w:r w:rsidRPr="00774EDB">
        <w:rPr>
          <w:rFonts w:ascii="Times New Roman" w:hAnsi="Times New Roman" w:cs="Times New Roman"/>
          <w:sz w:val="24"/>
          <w:szCs w:val="24"/>
        </w:rPr>
        <w:t xml:space="preserve">interoperability. On the other hand, the latter (case study) research has been employed in order to expand and enrich the findings of the former analysis towards the designation of the policy approach and development of the regulatory model in the end. It is envisaged that on the </w:t>
      </w:r>
      <w:r w:rsidR="00E24116">
        <w:rPr>
          <w:rFonts w:ascii="Times New Roman" w:hAnsi="Times New Roman" w:cs="Times New Roman"/>
          <w:sz w:val="24"/>
          <w:szCs w:val="24"/>
        </w:rPr>
        <w:t>‘</w:t>
      </w:r>
      <w:r w:rsidRPr="00774EDB">
        <w:rPr>
          <w:rFonts w:ascii="Times New Roman" w:hAnsi="Times New Roman" w:cs="Times New Roman"/>
          <w:sz w:val="24"/>
          <w:szCs w:val="24"/>
        </w:rPr>
        <w:t>positive</w:t>
      </w:r>
      <w:r w:rsidR="00E24116">
        <w:rPr>
          <w:rFonts w:ascii="Times New Roman" w:hAnsi="Times New Roman" w:cs="Times New Roman"/>
          <w:sz w:val="24"/>
          <w:szCs w:val="24"/>
        </w:rPr>
        <w:t>’</w:t>
      </w:r>
      <w:r w:rsidRPr="00774EDB">
        <w:rPr>
          <w:rFonts w:ascii="Times New Roman" w:hAnsi="Times New Roman" w:cs="Times New Roman"/>
          <w:sz w:val="24"/>
          <w:szCs w:val="24"/>
        </w:rPr>
        <w:t xml:space="preserve"> ground of the doctrinal analysis, the multiple case studies would bring out new </w:t>
      </w:r>
      <w:r w:rsidR="00E24116">
        <w:rPr>
          <w:rFonts w:ascii="Times New Roman" w:hAnsi="Times New Roman" w:cs="Times New Roman"/>
          <w:sz w:val="24"/>
          <w:szCs w:val="24"/>
        </w:rPr>
        <w:t>‘</w:t>
      </w:r>
      <w:r w:rsidRPr="00774EDB">
        <w:rPr>
          <w:rFonts w:ascii="Times New Roman" w:hAnsi="Times New Roman" w:cs="Times New Roman"/>
          <w:sz w:val="24"/>
          <w:szCs w:val="24"/>
        </w:rPr>
        <w:t>normative</w:t>
      </w:r>
      <w:r w:rsidR="00E24116">
        <w:rPr>
          <w:rFonts w:ascii="Times New Roman" w:hAnsi="Times New Roman" w:cs="Times New Roman"/>
          <w:sz w:val="24"/>
          <w:szCs w:val="24"/>
        </w:rPr>
        <w:t>’</w:t>
      </w:r>
      <w:r w:rsidRPr="00774EDB">
        <w:rPr>
          <w:rFonts w:ascii="Times New Roman" w:hAnsi="Times New Roman" w:cs="Times New Roman"/>
          <w:sz w:val="24"/>
          <w:szCs w:val="24"/>
        </w:rPr>
        <w:t xml:space="preserve"> elements along with new inputs as to the intended regulatory design.     </w:t>
      </w:r>
    </w:p>
    <w:p w14:paraId="12E5B1A9" w14:textId="3C4DE7F4"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Based on the combinative approach explained above, this study aims to find out whether current rules and precedents under EU law are sufficient to cope with the </w:t>
      </w:r>
      <w:r w:rsidR="00600E90">
        <w:rPr>
          <w:rFonts w:ascii="Times New Roman" w:hAnsi="Times New Roman" w:cs="Times New Roman"/>
          <w:sz w:val="24"/>
          <w:szCs w:val="24"/>
        </w:rPr>
        <w:t>highlighted</w:t>
      </w:r>
      <w:r w:rsidRPr="00774EDB">
        <w:rPr>
          <w:rFonts w:ascii="Times New Roman" w:hAnsi="Times New Roman" w:cs="Times New Roman"/>
          <w:sz w:val="24"/>
          <w:szCs w:val="24"/>
        </w:rPr>
        <w:t xml:space="preserve"> concerns </w:t>
      </w:r>
      <w:r w:rsidR="00600E90">
        <w:rPr>
          <w:rFonts w:ascii="Times New Roman" w:hAnsi="Times New Roman" w:cs="Times New Roman"/>
          <w:sz w:val="24"/>
          <w:szCs w:val="24"/>
        </w:rPr>
        <w:t>given</w:t>
      </w:r>
      <w:r w:rsidR="00600E90"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the real-life situations, with </w:t>
      </w:r>
      <w:r w:rsidR="00DA3A03" w:rsidRPr="00774EDB">
        <w:rPr>
          <w:rFonts w:ascii="Times New Roman" w:hAnsi="Times New Roman" w:cs="Times New Roman"/>
          <w:sz w:val="24"/>
          <w:szCs w:val="24"/>
        </w:rPr>
        <w:t>a</w:t>
      </w:r>
      <w:r w:rsidRPr="00774EDB">
        <w:rPr>
          <w:rFonts w:ascii="Times New Roman" w:hAnsi="Times New Roman" w:cs="Times New Roman"/>
          <w:sz w:val="24"/>
          <w:szCs w:val="24"/>
        </w:rPr>
        <w:t xml:space="preserve"> view to build up an appropriate regulatory model. To that effect, the multiple cases worked out in Chapter 7 lay the groundwork to reach out to new </w:t>
      </w:r>
      <w:r w:rsidR="00F817B5">
        <w:rPr>
          <w:rFonts w:ascii="Times New Roman" w:hAnsi="Times New Roman" w:cs="Times New Roman"/>
          <w:sz w:val="24"/>
          <w:szCs w:val="24"/>
        </w:rPr>
        <w:t>outputs</w:t>
      </w:r>
      <w:r w:rsidRPr="00774EDB">
        <w:rPr>
          <w:rFonts w:ascii="Times New Roman" w:hAnsi="Times New Roman" w:cs="Times New Roman"/>
          <w:sz w:val="24"/>
          <w:szCs w:val="24"/>
        </w:rPr>
        <w:t xml:space="preserve"> concerning a pertinent regulatory approach, as well as to validate the former findings.</w:t>
      </w:r>
      <w:r w:rsidRPr="00774EDB">
        <w:rPr>
          <w:rStyle w:val="FootnoteReference"/>
          <w:rFonts w:ascii="Times New Roman" w:hAnsi="Times New Roman" w:cs="Times New Roman"/>
          <w:sz w:val="24"/>
          <w:szCs w:val="24"/>
        </w:rPr>
        <w:footnoteReference w:id="17"/>
      </w:r>
      <w:r w:rsidRPr="00774EDB">
        <w:rPr>
          <w:rFonts w:ascii="Times New Roman" w:hAnsi="Times New Roman" w:cs="Times New Roman"/>
          <w:sz w:val="24"/>
          <w:szCs w:val="24"/>
        </w:rPr>
        <w:t xml:space="preserve"> Given this fact, this study could arguably be said to employ both ‘deductive’ and ‘inductive’ logic in its endeavour to </w:t>
      </w:r>
      <w:r w:rsidRPr="00774EDB">
        <w:rPr>
          <w:rFonts w:ascii="Times New Roman" w:hAnsi="Times New Roman" w:cs="Times New Roman"/>
          <w:sz w:val="24"/>
          <w:szCs w:val="24"/>
        </w:rPr>
        <w:lastRenderedPageBreak/>
        <w:t>filtering out the appropriate policy approach, based on both the doctrinal findings and case study research. Notwithstanding, the ‘inductive’ aspects come to the fore as the consecutive steps followed in the study draw up a progressive research ending up with a new regulatory model.</w:t>
      </w:r>
    </w:p>
    <w:p w14:paraId="6CC6AA8D" w14:textId="45A09D76" w:rsidR="0051078E" w:rsidRPr="00A70042" w:rsidRDefault="0057387C"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From this viewpoint, the constituent elements of th</w:t>
      </w:r>
      <w:r w:rsidR="0051078E">
        <w:rPr>
          <w:rFonts w:ascii="Times New Roman" w:hAnsi="Times New Roman" w:cs="Times New Roman"/>
          <w:spacing w:val="-2"/>
          <w:sz w:val="24"/>
          <w:szCs w:val="24"/>
        </w:rPr>
        <w:t>is</w:t>
      </w:r>
      <w:r w:rsidRPr="00A70042">
        <w:rPr>
          <w:rFonts w:ascii="Times New Roman" w:hAnsi="Times New Roman" w:cs="Times New Roman"/>
          <w:spacing w:val="-2"/>
          <w:sz w:val="24"/>
          <w:szCs w:val="24"/>
        </w:rPr>
        <w:t xml:space="preserve"> research effectively complement each other. The initial aim followed in Chapters 4 - 6 </w:t>
      </w:r>
      <w:r w:rsidR="0051078E">
        <w:rPr>
          <w:rFonts w:ascii="Times New Roman" w:hAnsi="Times New Roman" w:cs="Times New Roman"/>
          <w:spacing w:val="-2"/>
          <w:sz w:val="24"/>
          <w:szCs w:val="24"/>
        </w:rPr>
        <w:t>ha</w:t>
      </w:r>
      <w:r w:rsidRPr="00A70042">
        <w:rPr>
          <w:rFonts w:ascii="Times New Roman" w:hAnsi="Times New Roman" w:cs="Times New Roman"/>
          <w:spacing w:val="-2"/>
          <w:sz w:val="24"/>
          <w:szCs w:val="24"/>
        </w:rPr>
        <w:t xml:space="preserve">s </w:t>
      </w:r>
      <w:r w:rsidR="0051078E">
        <w:rPr>
          <w:rFonts w:ascii="Times New Roman" w:hAnsi="Times New Roman" w:cs="Times New Roman"/>
          <w:spacing w:val="-2"/>
          <w:sz w:val="24"/>
          <w:szCs w:val="24"/>
        </w:rPr>
        <w:t xml:space="preserve">been </w:t>
      </w:r>
      <w:r w:rsidRPr="00A70042">
        <w:rPr>
          <w:rFonts w:ascii="Times New Roman" w:hAnsi="Times New Roman" w:cs="Times New Roman"/>
          <w:spacing w:val="-2"/>
          <w:sz w:val="24"/>
          <w:szCs w:val="24"/>
        </w:rPr>
        <w:t xml:space="preserve">to elaborate the EU rules and precedents concerning ICT interoperability. In this regard, existing rules, remedies and mechanisms prevailing under IPR rules, competition law and sector-specific regulations are investigated with the aim to identify the loopholes existing in the EU framework. </w:t>
      </w:r>
      <w:r w:rsidR="00D836E5" w:rsidRPr="00A70042">
        <w:rPr>
          <w:rFonts w:ascii="Times New Roman" w:hAnsi="Times New Roman" w:cs="Times New Roman"/>
          <w:spacing w:val="-2"/>
          <w:sz w:val="24"/>
          <w:szCs w:val="24"/>
        </w:rPr>
        <w:t>This multi-disciplinary (d</w:t>
      </w:r>
      <w:r w:rsidRPr="00A70042">
        <w:rPr>
          <w:rFonts w:ascii="Times New Roman" w:hAnsi="Times New Roman" w:cs="Times New Roman"/>
          <w:spacing w:val="-2"/>
          <w:sz w:val="24"/>
          <w:szCs w:val="24"/>
        </w:rPr>
        <w:t>octrinal</w:t>
      </w:r>
      <w:r w:rsidR="00D836E5" w:rsidRPr="00A70042">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analysis, although having the potential for elaborate outputs,</w:t>
      </w:r>
      <w:r w:rsidRPr="00A70042">
        <w:rPr>
          <w:rStyle w:val="FootnoteReference"/>
          <w:rFonts w:ascii="Times New Roman" w:hAnsi="Times New Roman" w:cs="Times New Roman"/>
          <w:spacing w:val="-2"/>
          <w:sz w:val="24"/>
          <w:szCs w:val="24"/>
        </w:rPr>
        <w:footnoteReference w:id="18"/>
      </w:r>
      <w:r w:rsidRPr="00A70042">
        <w:rPr>
          <w:rFonts w:ascii="Times New Roman" w:hAnsi="Times New Roman" w:cs="Times New Roman"/>
          <w:spacing w:val="-2"/>
          <w:sz w:val="24"/>
          <w:szCs w:val="24"/>
        </w:rPr>
        <w:t xml:space="preserve"> might be limited and insufficient on its own to build up a new regulatory model intended to apply to a very broad context like ICTs, given the descriptive nature </w:t>
      </w:r>
      <w:r w:rsidR="0051078E">
        <w:rPr>
          <w:rFonts w:ascii="Times New Roman" w:hAnsi="Times New Roman" w:cs="Times New Roman"/>
          <w:spacing w:val="-2"/>
          <w:sz w:val="24"/>
          <w:szCs w:val="24"/>
        </w:rPr>
        <w:t>of</w:t>
      </w:r>
      <w:r w:rsidRPr="00A70042">
        <w:rPr>
          <w:rFonts w:ascii="Times New Roman" w:hAnsi="Times New Roman" w:cs="Times New Roman"/>
          <w:spacing w:val="-2"/>
          <w:sz w:val="24"/>
          <w:szCs w:val="24"/>
        </w:rPr>
        <w:t xml:space="preserve"> this research.</w:t>
      </w:r>
      <w:r w:rsidR="0051078E">
        <w:rPr>
          <w:rFonts w:ascii="Times New Roman" w:hAnsi="Times New Roman" w:cs="Times New Roman"/>
          <w:spacing w:val="-2"/>
          <w:sz w:val="24"/>
          <w:szCs w:val="24"/>
        </w:rPr>
        <w:t xml:space="preserve"> In fact</w:t>
      </w:r>
      <w:r w:rsidR="0051078E" w:rsidRPr="0051078E">
        <w:rPr>
          <w:rFonts w:ascii="Times New Roman" w:hAnsi="Times New Roman" w:cs="Times New Roman"/>
          <w:spacing w:val="-2"/>
          <w:sz w:val="24"/>
          <w:szCs w:val="24"/>
        </w:rPr>
        <w:t>, identification of causal mechanisms would be more clarified through case studies, which generally seek to take account of as much as possible about a given phenomenon and, thus, are likely to capture the processes that link various factors to one another in time</w:t>
      </w:r>
      <w:r w:rsidR="0051078E">
        <w:rPr>
          <w:rFonts w:ascii="Times New Roman" w:hAnsi="Times New Roman" w:cs="Times New Roman"/>
          <w:spacing w:val="-2"/>
          <w:sz w:val="24"/>
          <w:szCs w:val="24"/>
        </w:rPr>
        <w:t>.</w:t>
      </w:r>
      <w:r w:rsidR="0051078E" w:rsidRPr="00774EDB">
        <w:rPr>
          <w:rStyle w:val="FootnoteReference"/>
          <w:rFonts w:ascii="Times New Roman" w:hAnsi="Times New Roman" w:cs="Times New Roman"/>
          <w:sz w:val="24"/>
          <w:szCs w:val="24"/>
        </w:rPr>
        <w:footnoteReference w:id="19"/>
      </w:r>
    </w:p>
    <w:p w14:paraId="65712A6B" w14:textId="66A49DC0"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This study </w:t>
      </w:r>
      <w:r w:rsidR="003E1C4A">
        <w:rPr>
          <w:rFonts w:ascii="Times New Roman" w:hAnsi="Times New Roman" w:cs="Times New Roman"/>
          <w:sz w:val="24"/>
          <w:szCs w:val="24"/>
        </w:rPr>
        <w:t xml:space="preserve">thus </w:t>
      </w:r>
      <w:r w:rsidRPr="00774EDB">
        <w:rPr>
          <w:rFonts w:ascii="Times New Roman" w:hAnsi="Times New Roman" w:cs="Times New Roman"/>
          <w:sz w:val="24"/>
          <w:szCs w:val="24"/>
        </w:rPr>
        <w:t>attempt</w:t>
      </w:r>
      <w:r w:rsidR="003E1C4A">
        <w:rPr>
          <w:rFonts w:ascii="Times New Roman" w:hAnsi="Times New Roman" w:cs="Times New Roman"/>
          <w:sz w:val="24"/>
          <w:szCs w:val="24"/>
        </w:rPr>
        <w:t>s</w:t>
      </w:r>
      <w:r w:rsidRPr="00774EDB">
        <w:rPr>
          <w:rFonts w:ascii="Times New Roman" w:hAnsi="Times New Roman" w:cs="Times New Roman"/>
          <w:sz w:val="24"/>
          <w:szCs w:val="24"/>
        </w:rPr>
        <w:t xml:space="preserve"> to surmount </w:t>
      </w:r>
      <w:r w:rsidR="003E1C4A">
        <w:rPr>
          <w:rFonts w:ascii="Times New Roman" w:hAnsi="Times New Roman" w:cs="Times New Roman"/>
          <w:sz w:val="24"/>
          <w:szCs w:val="24"/>
        </w:rPr>
        <w:t>any</w:t>
      </w:r>
      <w:r w:rsidRPr="00774EDB">
        <w:rPr>
          <w:rFonts w:ascii="Times New Roman" w:hAnsi="Times New Roman" w:cs="Times New Roman"/>
          <w:sz w:val="24"/>
          <w:szCs w:val="24"/>
        </w:rPr>
        <w:t xml:space="preserve"> </w:t>
      </w:r>
      <w:r w:rsidR="003E1C4A">
        <w:rPr>
          <w:rFonts w:ascii="Times New Roman" w:hAnsi="Times New Roman" w:cs="Times New Roman"/>
          <w:sz w:val="24"/>
          <w:szCs w:val="24"/>
        </w:rPr>
        <w:t xml:space="preserve">potential </w:t>
      </w:r>
      <w:r w:rsidRPr="00774EDB">
        <w:rPr>
          <w:rFonts w:ascii="Times New Roman" w:hAnsi="Times New Roman" w:cs="Times New Roman"/>
          <w:sz w:val="24"/>
          <w:szCs w:val="24"/>
        </w:rPr>
        <w:t xml:space="preserve">limitedness </w:t>
      </w:r>
      <w:r w:rsidR="003E1C4A">
        <w:rPr>
          <w:rFonts w:ascii="Times New Roman" w:hAnsi="Times New Roman" w:cs="Times New Roman"/>
          <w:sz w:val="24"/>
          <w:szCs w:val="24"/>
        </w:rPr>
        <w:t>of blackletter analysis with the aid</w:t>
      </w:r>
      <w:r w:rsidRPr="00774EDB">
        <w:rPr>
          <w:rFonts w:ascii="Times New Roman" w:hAnsi="Times New Roman" w:cs="Times New Roman"/>
          <w:sz w:val="24"/>
          <w:szCs w:val="24"/>
        </w:rPr>
        <w:t xml:space="preserve"> of case studies,</w:t>
      </w:r>
      <w:r w:rsidRPr="00774EDB">
        <w:rPr>
          <w:rStyle w:val="FootnoteReference"/>
          <w:rFonts w:ascii="Times New Roman" w:hAnsi="Times New Roman" w:cs="Times New Roman"/>
          <w:sz w:val="24"/>
          <w:szCs w:val="24"/>
        </w:rPr>
        <w:footnoteReference w:id="20"/>
      </w:r>
      <w:r w:rsidRPr="00774EDB">
        <w:rPr>
          <w:rFonts w:ascii="Times New Roman" w:hAnsi="Times New Roman" w:cs="Times New Roman"/>
          <w:sz w:val="24"/>
          <w:szCs w:val="24"/>
        </w:rPr>
        <w:t xml:space="preserve"> filtering out the real-life scenarios, in combination and </w:t>
      </w:r>
      <w:r w:rsidRPr="00774EDB">
        <w:rPr>
          <w:rFonts w:ascii="Times New Roman" w:hAnsi="Times New Roman" w:cs="Times New Roman"/>
          <w:sz w:val="24"/>
          <w:szCs w:val="24"/>
        </w:rPr>
        <w:lastRenderedPageBreak/>
        <w:t xml:space="preserve">interplay with the </w:t>
      </w:r>
      <w:r w:rsidR="003E1C4A">
        <w:rPr>
          <w:rFonts w:ascii="Times New Roman" w:hAnsi="Times New Roman" w:cs="Times New Roman"/>
          <w:sz w:val="24"/>
          <w:szCs w:val="24"/>
        </w:rPr>
        <w:t>former</w:t>
      </w:r>
      <w:r w:rsidRPr="00774EDB">
        <w:rPr>
          <w:rFonts w:ascii="Times New Roman" w:hAnsi="Times New Roman" w:cs="Times New Roman"/>
          <w:sz w:val="24"/>
          <w:szCs w:val="24"/>
        </w:rPr>
        <w:t xml:space="preserve"> analysis. Thereby, not only is the integrity of the research components, but also the anticipation of progressive research outputs, maintained. </w:t>
      </w:r>
      <w:r w:rsidR="003E1C4A">
        <w:rPr>
          <w:rFonts w:ascii="Times New Roman" w:hAnsi="Times New Roman" w:cs="Times New Roman"/>
          <w:sz w:val="24"/>
          <w:szCs w:val="24"/>
        </w:rPr>
        <w:t>Notwithstanding</w:t>
      </w:r>
      <w:r w:rsidRPr="00774EDB">
        <w:rPr>
          <w:rFonts w:ascii="Times New Roman" w:hAnsi="Times New Roman" w:cs="Times New Roman"/>
          <w:sz w:val="24"/>
          <w:szCs w:val="24"/>
        </w:rPr>
        <w:t>,</w:t>
      </w:r>
      <w:r w:rsidR="003E1C4A">
        <w:rPr>
          <w:rFonts w:ascii="Times New Roman" w:hAnsi="Times New Roman" w:cs="Times New Roman"/>
          <w:sz w:val="24"/>
          <w:szCs w:val="24"/>
        </w:rPr>
        <w:t xml:space="preserve"> it is worth underlining</w:t>
      </w:r>
      <w:r w:rsidRPr="00774EDB">
        <w:rPr>
          <w:rFonts w:ascii="Times New Roman" w:hAnsi="Times New Roman" w:cs="Times New Roman"/>
          <w:sz w:val="24"/>
          <w:szCs w:val="24"/>
        </w:rPr>
        <w:t xml:space="preserve"> </w:t>
      </w:r>
      <w:r w:rsidR="003E1C4A">
        <w:rPr>
          <w:rFonts w:ascii="Times New Roman" w:hAnsi="Times New Roman" w:cs="Times New Roman"/>
          <w:sz w:val="24"/>
          <w:szCs w:val="24"/>
        </w:rPr>
        <w:t xml:space="preserve">that </w:t>
      </w:r>
      <w:r w:rsidRPr="00774EDB">
        <w:rPr>
          <w:rFonts w:ascii="Times New Roman" w:hAnsi="Times New Roman" w:cs="Times New Roman"/>
          <w:sz w:val="24"/>
          <w:szCs w:val="24"/>
        </w:rPr>
        <w:t xml:space="preserve">the doctrinal analysis in this study has gone further than the pure description of the law, </w:t>
      </w:r>
      <w:r w:rsidR="003E1C4A">
        <w:rPr>
          <w:rFonts w:ascii="Times New Roman" w:hAnsi="Times New Roman" w:cs="Times New Roman"/>
          <w:sz w:val="24"/>
          <w:szCs w:val="24"/>
        </w:rPr>
        <w:t xml:space="preserve">in the </w:t>
      </w:r>
      <w:r w:rsidRPr="00774EDB">
        <w:rPr>
          <w:rFonts w:ascii="Times New Roman" w:hAnsi="Times New Roman" w:cs="Times New Roman"/>
          <w:sz w:val="24"/>
          <w:szCs w:val="24"/>
        </w:rPr>
        <w:t>particular</w:t>
      </w:r>
      <w:r w:rsidR="003E1C4A">
        <w:rPr>
          <w:rFonts w:ascii="Times New Roman" w:hAnsi="Times New Roman" w:cs="Times New Roman"/>
          <w:sz w:val="24"/>
          <w:szCs w:val="24"/>
        </w:rPr>
        <w:t xml:space="preserve"> sense that</w:t>
      </w:r>
      <w:r w:rsidRPr="00774EDB">
        <w:rPr>
          <w:rFonts w:ascii="Times New Roman" w:hAnsi="Times New Roman" w:cs="Times New Roman"/>
          <w:sz w:val="24"/>
          <w:szCs w:val="24"/>
        </w:rPr>
        <w:t xml:space="preserve"> </w:t>
      </w:r>
      <w:r w:rsidR="003E1C4A">
        <w:rPr>
          <w:rFonts w:ascii="Times New Roman" w:hAnsi="Times New Roman" w:cs="Times New Roman"/>
          <w:sz w:val="24"/>
          <w:szCs w:val="24"/>
        </w:rPr>
        <w:t>it</w:t>
      </w:r>
      <w:r w:rsidR="003E1C4A" w:rsidRPr="00774EDB">
        <w:rPr>
          <w:rFonts w:ascii="Times New Roman" w:hAnsi="Times New Roman" w:cs="Times New Roman"/>
          <w:sz w:val="24"/>
          <w:szCs w:val="24"/>
        </w:rPr>
        <w:t xml:space="preserve"> </w:t>
      </w:r>
      <w:r w:rsidRPr="00774EDB">
        <w:rPr>
          <w:rFonts w:ascii="Times New Roman" w:hAnsi="Times New Roman" w:cs="Times New Roman"/>
          <w:sz w:val="24"/>
          <w:szCs w:val="24"/>
        </w:rPr>
        <w:t>unravel</w:t>
      </w:r>
      <w:r w:rsidR="003E1C4A">
        <w:rPr>
          <w:rFonts w:ascii="Times New Roman" w:hAnsi="Times New Roman" w:cs="Times New Roman"/>
          <w:sz w:val="24"/>
          <w:szCs w:val="24"/>
        </w:rPr>
        <w:t>s</w:t>
      </w:r>
      <w:r w:rsidRPr="00774EDB">
        <w:rPr>
          <w:rFonts w:ascii="Times New Roman" w:hAnsi="Times New Roman" w:cs="Times New Roman"/>
          <w:sz w:val="24"/>
          <w:szCs w:val="24"/>
        </w:rPr>
        <w:t xml:space="preserve"> the narrow mindset </w:t>
      </w:r>
      <w:r w:rsidR="003E1C4A">
        <w:rPr>
          <w:rFonts w:ascii="Times New Roman" w:hAnsi="Times New Roman" w:cs="Times New Roman"/>
          <w:sz w:val="24"/>
          <w:szCs w:val="24"/>
        </w:rPr>
        <w:t xml:space="preserve">and fragility </w:t>
      </w:r>
      <w:r w:rsidRPr="00774EDB">
        <w:rPr>
          <w:rFonts w:ascii="Times New Roman" w:hAnsi="Times New Roman" w:cs="Times New Roman"/>
          <w:sz w:val="24"/>
          <w:szCs w:val="24"/>
        </w:rPr>
        <w:t xml:space="preserve">of the EU legal framework </w:t>
      </w:r>
      <w:r w:rsidR="009C42F3" w:rsidRPr="00774EDB">
        <w:rPr>
          <w:rFonts w:ascii="Times New Roman" w:hAnsi="Times New Roman" w:cs="Times New Roman"/>
          <w:sz w:val="24"/>
          <w:szCs w:val="24"/>
        </w:rPr>
        <w:t xml:space="preserve">against the ICTs and their interoperability </w:t>
      </w:r>
      <w:r w:rsidRPr="00774EDB">
        <w:rPr>
          <w:rFonts w:ascii="Times New Roman" w:hAnsi="Times New Roman" w:cs="Times New Roman"/>
          <w:sz w:val="24"/>
          <w:szCs w:val="24"/>
        </w:rPr>
        <w:t xml:space="preserve">and upholding a holistic viewpoint </w:t>
      </w:r>
      <w:r w:rsidR="003E1C4A">
        <w:rPr>
          <w:rFonts w:ascii="Times New Roman" w:hAnsi="Times New Roman" w:cs="Times New Roman"/>
          <w:sz w:val="24"/>
          <w:szCs w:val="24"/>
        </w:rPr>
        <w:t>for</w:t>
      </w:r>
      <w:r w:rsidR="003E1C4A" w:rsidRPr="00774EDB">
        <w:rPr>
          <w:rFonts w:ascii="Times New Roman" w:hAnsi="Times New Roman" w:cs="Times New Roman"/>
          <w:sz w:val="24"/>
          <w:szCs w:val="24"/>
        </w:rPr>
        <w:t xml:space="preserve"> </w:t>
      </w:r>
      <w:r w:rsidRPr="00774EDB">
        <w:rPr>
          <w:rFonts w:ascii="Times New Roman" w:hAnsi="Times New Roman" w:cs="Times New Roman"/>
          <w:sz w:val="24"/>
          <w:szCs w:val="24"/>
        </w:rPr>
        <w:t>the layered technologies</w:t>
      </w:r>
      <w:r w:rsidR="00D836E5" w:rsidRPr="00774EDB">
        <w:rPr>
          <w:rFonts w:ascii="Times New Roman" w:hAnsi="Times New Roman" w:cs="Times New Roman"/>
          <w:sz w:val="24"/>
          <w:szCs w:val="24"/>
        </w:rPr>
        <w:t>.</w:t>
      </w:r>
      <w:r w:rsidRPr="00774EDB">
        <w:rPr>
          <w:rFonts w:ascii="Times New Roman" w:hAnsi="Times New Roman" w:cs="Times New Roman"/>
          <w:sz w:val="24"/>
          <w:szCs w:val="24"/>
        </w:rPr>
        <w:t xml:space="preserve"> </w:t>
      </w:r>
      <w:r w:rsidR="00D836E5" w:rsidRPr="00774EDB">
        <w:rPr>
          <w:rFonts w:ascii="Times New Roman" w:hAnsi="Times New Roman" w:cs="Times New Roman"/>
          <w:sz w:val="24"/>
          <w:szCs w:val="24"/>
        </w:rPr>
        <w:t>T</w:t>
      </w:r>
      <w:r w:rsidRPr="00774EDB">
        <w:rPr>
          <w:rFonts w:ascii="Times New Roman" w:hAnsi="Times New Roman" w:cs="Times New Roman"/>
          <w:sz w:val="24"/>
          <w:szCs w:val="24"/>
        </w:rPr>
        <w:t>his tentative conclusion</w:t>
      </w:r>
      <w:r w:rsidR="00D836E5" w:rsidRPr="00774EDB">
        <w:rPr>
          <w:rFonts w:ascii="Times New Roman" w:hAnsi="Times New Roman" w:cs="Times New Roman"/>
          <w:sz w:val="24"/>
          <w:szCs w:val="24"/>
        </w:rPr>
        <w:t xml:space="preserve"> towards holistic and multi-layered</w:t>
      </w:r>
      <w:r w:rsidRPr="00774EDB">
        <w:rPr>
          <w:rFonts w:ascii="Times New Roman" w:hAnsi="Times New Roman" w:cs="Times New Roman"/>
          <w:sz w:val="24"/>
          <w:szCs w:val="24"/>
        </w:rPr>
        <w:t xml:space="preserve"> </w:t>
      </w:r>
      <w:r w:rsidR="009C42F3">
        <w:rPr>
          <w:rFonts w:ascii="Times New Roman" w:hAnsi="Times New Roman" w:cs="Times New Roman"/>
          <w:sz w:val="24"/>
          <w:szCs w:val="24"/>
        </w:rPr>
        <w:t>policy</w:t>
      </w:r>
      <w:r w:rsidR="009C42F3" w:rsidRPr="00774EDB">
        <w:rPr>
          <w:rFonts w:ascii="Times New Roman" w:hAnsi="Times New Roman" w:cs="Times New Roman"/>
          <w:sz w:val="24"/>
          <w:szCs w:val="24"/>
        </w:rPr>
        <w:t xml:space="preserve"> </w:t>
      </w:r>
      <w:r w:rsidR="00D836E5" w:rsidRPr="00774EDB">
        <w:rPr>
          <w:rFonts w:ascii="Times New Roman" w:hAnsi="Times New Roman" w:cs="Times New Roman"/>
          <w:sz w:val="24"/>
          <w:szCs w:val="24"/>
        </w:rPr>
        <w:t xml:space="preserve">approach </w:t>
      </w:r>
      <w:r w:rsidRPr="00774EDB">
        <w:rPr>
          <w:rFonts w:ascii="Times New Roman" w:hAnsi="Times New Roman" w:cs="Times New Roman"/>
          <w:sz w:val="24"/>
          <w:szCs w:val="24"/>
        </w:rPr>
        <w:t xml:space="preserve">has served as the stepping-stone for the following case study research. Case study research, delving into the real-life scenarios and interactions between the ICT layers and players, has laid the ground for the development of a regulatory model in the end. Given the structure, scope and purpose of the overall research, below it is explained what particular </w:t>
      </w:r>
      <w:r w:rsidR="009C42F3">
        <w:rPr>
          <w:rFonts w:ascii="Times New Roman" w:hAnsi="Times New Roman" w:cs="Times New Roman"/>
          <w:sz w:val="24"/>
          <w:szCs w:val="24"/>
        </w:rPr>
        <w:t>meaning and</w:t>
      </w:r>
      <w:r w:rsidRPr="00774EDB">
        <w:rPr>
          <w:rFonts w:ascii="Times New Roman" w:hAnsi="Times New Roman" w:cs="Times New Roman"/>
          <w:sz w:val="24"/>
          <w:szCs w:val="24"/>
        </w:rPr>
        <w:t xml:space="preserve"> characteristics the selected cases have</w:t>
      </w:r>
      <w:r w:rsidR="009C42F3">
        <w:rPr>
          <w:rFonts w:ascii="Times New Roman" w:hAnsi="Times New Roman" w:cs="Times New Roman"/>
          <w:sz w:val="24"/>
          <w:szCs w:val="24"/>
        </w:rPr>
        <w:t xml:space="preserve"> within the meaning of</w:t>
      </w:r>
      <w:r w:rsidR="009C42F3" w:rsidRPr="00774EDB">
        <w:rPr>
          <w:rFonts w:ascii="Times New Roman" w:hAnsi="Times New Roman" w:cs="Times New Roman"/>
          <w:sz w:val="24"/>
          <w:szCs w:val="24"/>
        </w:rPr>
        <w:t xml:space="preserve"> methodological approach</w:t>
      </w:r>
      <w:r w:rsidRPr="00774EDB">
        <w:rPr>
          <w:rFonts w:ascii="Times New Roman" w:hAnsi="Times New Roman" w:cs="Times New Roman"/>
          <w:sz w:val="24"/>
          <w:szCs w:val="24"/>
        </w:rPr>
        <w:t xml:space="preserve">. </w:t>
      </w:r>
    </w:p>
    <w:p w14:paraId="4AC57579" w14:textId="6F5AFBEE" w:rsidR="0057387C" w:rsidRPr="00774EDB" w:rsidRDefault="0057387C" w:rsidP="00A70042">
      <w:pPr>
        <w:pStyle w:val="Heading2"/>
        <w:numPr>
          <w:ilvl w:val="1"/>
          <w:numId w:val="17"/>
        </w:numPr>
        <w:spacing w:before="360"/>
        <w:ind w:left="426" w:hanging="426"/>
        <w:jc w:val="both"/>
        <w:rPr>
          <w:rFonts w:ascii="Times New Roman" w:hAnsi="Times New Roman" w:cs="Times New Roman"/>
          <w:b/>
          <w:color w:val="auto"/>
          <w:sz w:val="24"/>
          <w:szCs w:val="24"/>
        </w:rPr>
      </w:pPr>
      <w:bookmarkStart w:id="38" w:name="_Toc17611329"/>
      <w:bookmarkStart w:id="39" w:name="_Toc17611546"/>
      <w:bookmarkStart w:id="40" w:name="_Toc17611758"/>
      <w:bookmarkStart w:id="41" w:name="_Toc17611972"/>
      <w:bookmarkStart w:id="42" w:name="_Toc17612185"/>
      <w:bookmarkStart w:id="43" w:name="_Toc11400611"/>
      <w:bookmarkStart w:id="44" w:name="_Toc17611330"/>
      <w:bookmarkStart w:id="45" w:name="_Toc53576016"/>
      <w:bookmarkEnd w:id="38"/>
      <w:bookmarkEnd w:id="39"/>
      <w:bookmarkEnd w:id="40"/>
      <w:bookmarkEnd w:id="41"/>
      <w:bookmarkEnd w:id="42"/>
      <w:r w:rsidRPr="00774EDB">
        <w:rPr>
          <w:rFonts w:ascii="Times New Roman" w:hAnsi="Times New Roman" w:cs="Times New Roman"/>
          <w:b/>
          <w:color w:val="auto"/>
          <w:sz w:val="24"/>
          <w:szCs w:val="24"/>
        </w:rPr>
        <w:t>Case selection</w:t>
      </w:r>
      <w:bookmarkEnd w:id="43"/>
      <w:bookmarkEnd w:id="44"/>
      <w:bookmarkEnd w:id="45"/>
    </w:p>
    <w:p w14:paraId="555AB851" w14:textId="6DE40266"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Primarily exploratory and explanatory in nature, case study is used to gain an understanding of the issue(s) in real life settings and is recommended to answer ‘How’ and ‘Why’, or less frequently ‘What’, research questions.</w:t>
      </w:r>
      <w:r w:rsidRPr="00774EDB">
        <w:rPr>
          <w:rStyle w:val="FootnoteReference"/>
          <w:rFonts w:ascii="Times New Roman" w:hAnsi="Times New Roman" w:cs="Times New Roman"/>
          <w:sz w:val="24"/>
          <w:szCs w:val="24"/>
        </w:rPr>
        <w:footnoteReference w:id="21"/>
      </w:r>
      <w:r w:rsidRPr="00774EDB">
        <w:rPr>
          <w:rFonts w:ascii="Times New Roman" w:hAnsi="Times New Roman" w:cs="Times New Roman"/>
          <w:b/>
          <w:sz w:val="24"/>
          <w:szCs w:val="24"/>
        </w:rPr>
        <w:t xml:space="preserve"> </w:t>
      </w:r>
      <w:r w:rsidRPr="00774EDB">
        <w:rPr>
          <w:rFonts w:ascii="Times New Roman" w:hAnsi="Times New Roman" w:cs="Times New Roman"/>
          <w:sz w:val="24"/>
          <w:szCs w:val="24"/>
        </w:rPr>
        <w:t xml:space="preserve">Following this spirit, case study research in this thesis has been conducted to exemplify, search </w:t>
      </w:r>
      <w:r w:rsidR="00E53F62">
        <w:rPr>
          <w:rFonts w:ascii="Times New Roman" w:hAnsi="Times New Roman" w:cs="Times New Roman"/>
          <w:sz w:val="24"/>
          <w:szCs w:val="24"/>
        </w:rPr>
        <w:t xml:space="preserve">and shape </w:t>
      </w:r>
      <w:r w:rsidRPr="00774EDB">
        <w:rPr>
          <w:rFonts w:ascii="Times New Roman" w:hAnsi="Times New Roman" w:cs="Times New Roman"/>
          <w:sz w:val="24"/>
          <w:szCs w:val="24"/>
        </w:rPr>
        <w:t xml:space="preserve">out the interoperability-based problems, along with the possible solutions for the real-life situations. By looking at the most representative cases of the multi-layered ICT interoperability, this study aimed to combine the positive findings of the doctrinal analysis with real-life constructivism. This ‘constructivist’ approach reminds one of, </w:t>
      </w:r>
      <w:r w:rsidRPr="00774EDB">
        <w:rPr>
          <w:rFonts w:ascii="Times New Roman" w:hAnsi="Times New Roman" w:cs="Times New Roman"/>
          <w:sz w:val="24"/>
          <w:szCs w:val="24"/>
        </w:rPr>
        <w:lastRenderedPageBreak/>
        <w:t>and resembles the approach of, Merriam, who acknowledges that case study research can use both quantitative and qualitative methods and that when working on qualitative case studies, methods aim at generating inductive reasoning and interpretation, rather than testing hypothesis.</w:t>
      </w:r>
      <w:r w:rsidRPr="00774EDB">
        <w:rPr>
          <w:rStyle w:val="FootnoteReference"/>
          <w:rFonts w:ascii="Times New Roman" w:hAnsi="Times New Roman" w:cs="Times New Roman"/>
          <w:sz w:val="24"/>
          <w:szCs w:val="24"/>
        </w:rPr>
        <w:footnoteReference w:id="22"/>
      </w:r>
    </w:p>
    <w:p w14:paraId="6DFC90C8" w14:textId="3F0F76A0" w:rsidR="004027F0"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From this viewpoint, this study attempts to use the case studies primarily to take a further step towards the </w:t>
      </w:r>
      <w:r w:rsidR="00820CBF">
        <w:rPr>
          <w:rFonts w:ascii="Times New Roman" w:hAnsi="Times New Roman" w:cs="Times New Roman"/>
          <w:sz w:val="24"/>
          <w:szCs w:val="24"/>
        </w:rPr>
        <w:t xml:space="preserve">investigating and </w:t>
      </w:r>
      <w:r w:rsidRPr="00774EDB">
        <w:rPr>
          <w:rFonts w:ascii="Times New Roman" w:hAnsi="Times New Roman" w:cs="Times New Roman"/>
          <w:sz w:val="24"/>
          <w:szCs w:val="24"/>
        </w:rPr>
        <w:t>filtering of the industrial settings and practices, in order to find out whether interoperability is a stand-alone concept and could be achieved by self-regulatory mechanisms</w:t>
      </w:r>
      <w:r w:rsidR="00820CBF">
        <w:rPr>
          <w:rFonts w:ascii="Times New Roman" w:hAnsi="Times New Roman" w:cs="Times New Roman"/>
          <w:sz w:val="24"/>
          <w:szCs w:val="24"/>
        </w:rPr>
        <w:t xml:space="preserve"> or it does need coercive means to cope with the surrounding problems access seekers face</w:t>
      </w:r>
      <w:r w:rsidRPr="00774EDB">
        <w:rPr>
          <w:rFonts w:ascii="Times New Roman" w:hAnsi="Times New Roman" w:cs="Times New Roman"/>
          <w:sz w:val="24"/>
          <w:szCs w:val="24"/>
        </w:rPr>
        <w:t>. That being said,</w:t>
      </w:r>
      <w:r w:rsidR="00820CBF">
        <w:rPr>
          <w:rFonts w:ascii="Times New Roman" w:hAnsi="Times New Roman" w:cs="Times New Roman"/>
          <w:sz w:val="24"/>
          <w:szCs w:val="24"/>
        </w:rPr>
        <w:t xml:space="preserve"> </w:t>
      </w:r>
      <w:r w:rsidRPr="00774EDB">
        <w:rPr>
          <w:rFonts w:ascii="Times New Roman" w:hAnsi="Times New Roman" w:cs="Times New Roman"/>
          <w:sz w:val="24"/>
          <w:szCs w:val="24"/>
        </w:rPr>
        <w:t xml:space="preserve">case studies have been conducted for two main reasons; namely, to search out (i) to what extent the plausible need for a holistic policy approach has a matching response from the industrial settings (more </w:t>
      </w:r>
      <w:r w:rsidRPr="00774EDB">
        <w:rPr>
          <w:rFonts w:ascii="Times New Roman" w:hAnsi="Times New Roman" w:cs="Times New Roman"/>
          <w:i/>
          <w:iCs/>
          <w:sz w:val="24"/>
          <w:szCs w:val="24"/>
        </w:rPr>
        <w:t>relativist</w:t>
      </w:r>
      <w:r w:rsidRPr="00774EDB">
        <w:rPr>
          <w:rFonts w:ascii="Times New Roman" w:hAnsi="Times New Roman" w:cs="Times New Roman"/>
          <w:sz w:val="24"/>
          <w:szCs w:val="24"/>
        </w:rPr>
        <w:t xml:space="preserve">), and (ii) what regulatory repercussions ICT interoperability would have in the selected industrial settings (more </w:t>
      </w:r>
      <w:r w:rsidRPr="00774EDB">
        <w:rPr>
          <w:rFonts w:ascii="Times New Roman" w:hAnsi="Times New Roman" w:cs="Times New Roman"/>
          <w:i/>
          <w:iCs/>
          <w:sz w:val="24"/>
          <w:szCs w:val="24"/>
        </w:rPr>
        <w:t>interpretivist and constructivist</w:t>
      </w:r>
      <w:r w:rsidRPr="00774EDB">
        <w:rPr>
          <w:rFonts w:ascii="Times New Roman" w:hAnsi="Times New Roman" w:cs="Times New Roman"/>
          <w:sz w:val="24"/>
          <w:szCs w:val="24"/>
        </w:rPr>
        <w:t>).</w:t>
      </w:r>
    </w:p>
    <w:p w14:paraId="6F3E5E33" w14:textId="6600C415"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particular the latter question involves an ‘inductive’ logic and endeavour, in the sense that details of the intended holistic regulatory model are aimed to be </w:t>
      </w:r>
      <w:r w:rsidR="004027F0">
        <w:rPr>
          <w:rFonts w:ascii="Times New Roman" w:hAnsi="Times New Roman" w:cs="Times New Roman"/>
          <w:sz w:val="24"/>
          <w:szCs w:val="24"/>
        </w:rPr>
        <w:t>built</w:t>
      </w:r>
      <w:r w:rsidRPr="00774EDB">
        <w:rPr>
          <w:rFonts w:ascii="Times New Roman" w:hAnsi="Times New Roman" w:cs="Times New Roman"/>
          <w:sz w:val="24"/>
          <w:szCs w:val="24"/>
        </w:rPr>
        <w:t xml:space="preserve"> </w:t>
      </w:r>
      <w:r w:rsidR="004027F0">
        <w:rPr>
          <w:rFonts w:ascii="Times New Roman" w:hAnsi="Times New Roman" w:cs="Times New Roman"/>
          <w:sz w:val="24"/>
          <w:szCs w:val="24"/>
        </w:rPr>
        <w:t>up</w:t>
      </w:r>
      <w:r w:rsidRPr="00774EDB">
        <w:rPr>
          <w:rFonts w:ascii="Times New Roman" w:hAnsi="Times New Roman" w:cs="Times New Roman"/>
          <w:sz w:val="24"/>
          <w:szCs w:val="24"/>
        </w:rPr>
        <w:t>on the revelatory aspects of the case studies. Within this context and rationale, ‘Cloud Computing’ and the ‘Internet of Things’ have been selected as to constitute the backdrop for the case study research. Below, brief information about these two technological phenomena (cases) are given.</w:t>
      </w:r>
    </w:p>
    <w:p w14:paraId="05980E1E" w14:textId="77777777" w:rsidR="0057387C" w:rsidRPr="00774EDB" w:rsidRDefault="0057387C" w:rsidP="00A70042">
      <w:pPr>
        <w:pStyle w:val="Heading4"/>
        <w:numPr>
          <w:ilvl w:val="2"/>
          <w:numId w:val="17"/>
        </w:numPr>
        <w:spacing w:before="360"/>
        <w:ind w:left="0" w:firstLine="0"/>
        <w:jc w:val="both"/>
        <w:rPr>
          <w:rFonts w:ascii="Times New Roman" w:hAnsi="Times New Roman" w:cs="Times New Roman"/>
          <w:b/>
          <w:i w:val="0"/>
          <w:color w:val="auto"/>
          <w:sz w:val="24"/>
          <w:szCs w:val="24"/>
        </w:rPr>
      </w:pPr>
      <w:bookmarkStart w:id="46" w:name="_Toc17611331"/>
      <w:bookmarkStart w:id="47" w:name="_Toc17611548"/>
      <w:bookmarkStart w:id="48" w:name="_Toc17611760"/>
      <w:bookmarkStart w:id="49" w:name="_Toc17611974"/>
      <w:bookmarkStart w:id="50" w:name="_Toc17612187"/>
      <w:bookmarkStart w:id="51" w:name="_Toc11400612"/>
      <w:bookmarkStart w:id="52" w:name="_Toc17611332"/>
      <w:bookmarkStart w:id="53" w:name="_Toc53576017"/>
      <w:bookmarkEnd w:id="46"/>
      <w:bookmarkEnd w:id="47"/>
      <w:bookmarkEnd w:id="48"/>
      <w:bookmarkEnd w:id="49"/>
      <w:bookmarkEnd w:id="50"/>
      <w:r w:rsidRPr="00774EDB">
        <w:rPr>
          <w:rFonts w:ascii="Times New Roman" w:hAnsi="Times New Roman" w:cs="Times New Roman"/>
          <w:b/>
          <w:i w:val="0"/>
          <w:color w:val="auto"/>
          <w:sz w:val="24"/>
          <w:szCs w:val="24"/>
        </w:rPr>
        <w:lastRenderedPageBreak/>
        <w:t>Cloud Computing</w:t>
      </w:r>
      <w:bookmarkEnd w:id="51"/>
      <w:bookmarkEnd w:id="52"/>
      <w:bookmarkEnd w:id="53"/>
    </w:p>
    <w:p w14:paraId="1751331C" w14:textId="77777777"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Cloud computing, broadly speaking, is the storage of data and processing in a location which is not the user’s own computer, or the provision of computer resources on-demand over the internet.</w:t>
      </w:r>
      <w:r w:rsidRPr="00774EDB">
        <w:rPr>
          <w:rStyle w:val="FootnoteReference"/>
          <w:rFonts w:ascii="Times New Roman" w:hAnsi="Times New Roman" w:cs="Times New Roman"/>
          <w:sz w:val="24"/>
          <w:szCs w:val="24"/>
        </w:rPr>
        <w:footnoteReference w:id="23"/>
      </w:r>
      <w:r w:rsidRPr="00774EDB">
        <w:rPr>
          <w:rFonts w:ascii="Times New Roman" w:hAnsi="Times New Roman" w:cs="Times New Roman"/>
          <w:sz w:val="24"/>
          <w:szCs w:val="24"/>
        </w:rPr>
        <w:t xml:space="preserve"> Cloud facilities offer many advantages to users, such as remote storage, easy and ubiquitous accessibility, the storage or processing of (very) large amounts of data which would not be possible on a user’s device, the opportunity to collaborate with other users privately and remotely etc.</w:t>
      </w:r>
      <w:r w:rsidRPr="00774EDB">
        <w:rPr>
          <w:rStyle w:val="FootnoteReference"/>
          <w:rFonts w:ascii="Times New Roman" w:hAnsi="Times New Roman" w:cs="Times New Roman"/>
          <w:sz w:val="24"/>
          <w:szCs w:val="24"/>
        </w:rPr>
        <w:footnoteReference w:id="24"/>
      </w:r>
      <w:r w:rsidRPr="00774EDB">
        <w:rPr>
          <w:rFonts w:ascii="Times New Roman" w:hAnsi="Times New Roman" w:cs="Times New Roman"/>
          <w:sz w:val="24"/>
          <w:szCs w:val="24"/>
        </w:rPr>
        <w:t xml:space="preserve"> The central feature of cloud computing is that existing and novel computing applications are increasingly being performed in a “cloud’ online, e.g. not on users’ own hardware.</w:t>
      </w:r>
      <w:r w:rsidRPr="00774EDB">
        <w:rPr>
          <w:rStyle w:val="FootnoteReference"/>
          <w:rFonts w:ascii="Times New Roman" w:hAnsi="Times New Roman" w:cs="Times New Roman"/>
          <w:sz w:val="24"/>
          <w:szCs w:val="24"/>
        </w:rPr>
        <w:footnoteReference w:id="25"/>
      </w:r>
      <w:r w:rsidRPr="00774EDB">
        <w:rPr>
          <w:rFonts w:ascii="Times New Roman" w:hAnsi="Times New Roman" w:cs="Times New Roman"/>
          <w:sz w:val="24"/>
          <w:szCs w:val="24"/>
        </w:rPr>
        <w:t xml:space="preserve"> Cloud computing is thus considered as a new wave of technological development combining different services in a manner that arguably revolutionizes computer and internet usage.</w:t>
      </w:r>
      <w:r w:rsidRPr="00774EDB">
        <w:rPr>
          <w:rStyle w:val="FootnoteReference"/>
          <w:rFonts w:ascii="Times New Roman" w:hAnsi="Times New Roman" w:cs="Times New Roman"/>
          <w:sz w:val="24"/>
          <w:szCs w:val="24"/>
        </w:rPr>
        <w:footnoteReference w:id="26"/>
      </w:r>
    </w:p>
    <w:p w14:paraId="41868447" w14:textId="26E2FBC2"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 providing cloud services e.g. storage, security, messaging, reporting, cloud providers rely on the physical link and broadband connectivity provided by the internet service providers (ISPs).</w:t>
      </w:r>
      <w:r w:rsidRPr="00774EDB">
        <w:rPr>
          <w:rStyle w:val="FootnoteReference"/>
          <w:rFonts w:ascii="Times New Roman" w:hAnsi="Times New Roman" w:cs="Times New Roman"/>
          <w:sz w:val="24"/>
          <w:szCs w:val="24"/>
        </w:rPr>
        <w:footnoteReference w:id="27"/>
      </w:r>
      <w:r w:rsidRPr="00774EDB">
        <w:rPr>
          <w:rFonts w:ascii="Times New Roman" w:hAnsi="Times New Roman" w:cs="Times New Roman"/>
          <w:sz w:val="24"/>
          <w:szCs w:val="24"/>
        </w:rPr>
        <w:t xml:space="preserve"> They also use and rely on additional software and hardware elements taken from the software developers, virtualisation providers, vendors e.g. original equipment manufacturers</w:t>
      </w:r>
      <w:r w:rsidR="003770C2" w:rsidRPr="00774EDB">
        <w:rPr>
          <w:rFonts w:ascii="Times New Roman" w:hAnsi="Times New Roman" w:cs="Times New Roman"/>
          <w:sz w:val="24"/>
          <w:szCs w:val="24"/>
        </w:rPr>
        <w:t xml:space="preserve"> (OEMs)</w:t>
      </w:r>
      <w:r w:rsidRPr="00774EDB">
        <w:rPr>
          <w:rFonts w:ascii="Times New Roman" w:hAnsi="Times New Roman" w:cs="Times New Roman"/>
          <w:sz w:val="24"/>
          <w:szCs w:val="24"/>
        </w:rPr>
        <w:t xml:space="preserve"> and security (anti-virus) companies. All these latter services could be classified as the internal elements within the cloud architecture, constituting the major</w:t>
      </w:r>
      <w:r w:rsidR="001B109E"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cloud layers of applications, platform and </w:t>
      </w:r>
      <w:r w:rsidRPr="00774EDB">
        <w:rPr>
          <w:rFonts w:ascii="Times New Roman" w:hAnsi="Times New Roman" w:cs="Times New Roman"/>
          <w:sz w:val="24"/>
          <w:szCs w:val="24"/>
        </w:rPr>
        <w:lastRenderedPageBreak/>
        <w:t>infrastructure. Whereas, the broadband connectivity between the cloud facilities and the users, as well as the internet hubs, is referred to as the external access/network layer underlying these cloud layers.</w:t>
      </w:r>
      <w:r w:rsidRPr="00774EDB">
        <w:rPr>
          <w:rStyle w:val="FootnoteReference"/>
          <w:rFonts w:ascii="Times New Roman" w:hAnsi="Times New Roman" w:cs="Times New Roman"/>
          <w:sz w:val="24"/>
          <w:szCs w:val="24"/>
        </w:rPr>
        <w:footnoteReference w:id="28"/>
      </w:r>
    </w:p>
    <w:p w14:paraId="2CE88A0D" w14:textId="56DB0A8D"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Against this background, cloud interoperability represents a common thread across the internal/external layers that constitute the cloud architecture. To mention a fully-fledged cloud interoperability, cloud users should be able to exchange, port and use their data, applications and software tools across different clouds. This could be enabled by means of cross-layer interoperability within and across the cloud systems. Hence, achievement of cloud interoperability needs to be secured across all the layers, e.g. application, platform, infrastructure. However, proprietary protocols and the absence of common standards in the cloud industry would </w:t>
      </w:r>
      <w:r w:rsidR="00E76C3C">
        <w:rPr>
          <w:rFonts w:ascii="Times New Roman" w:hAnsi="Times New Roman" w:cs="Times New Roman"/>
          <w:sz w:val="24"/>
          <w:szCs w:val="24"/>
        </w:rPr>
        <w:t xml:space="preserve">prevent this and preclude </w:t>
      </w:r>
      <w:r w:rsidRPr="00774EDB">
        <w:rPr>
          <w:rFonts w:ascii="Times New Roman" w:hAnsi="Times New Roman" w:cs="Times New Roman"/>
          <w:sz w:val="24"/>
          <w:szCs w:val="24"/>
        </w:rPr>
        <w:t>the interoperability across the distinct cloud systems. As a matter of fact, there is only one standard, that of Open Virtualization Format</w:t>
      </w:r>
      <w:r w:rsidR="00BF3D1C" w:rsidRPr="00774EDB">
        <w:rPr>
          <w:rFonts w:ascii="Times New Roman" w:hAnsi="Times New Roman" w:cs="Times New Roman"/>
          <w:sz w:val="24"/>
          <w:szCs w:val="24"/>
        </w:rPr>
        <w:t xml:space="preserve"> (OVF)</w:t>
      </w:r>
      <w:r w:rsidRPr="00774EDB">
        <w:rPr>
          <w:rFonts w:ascii="Times New Roman" w:hAnsi="Times New Roman" w:cs="Times New Roman"/>
          <w:sz w:val="24"/>
          <w:szCs w:val="24"/>
        </w:rPr>
        <w:t xml:space="preserve">, adopted by the industry stakeholders, </w:t>
      </w:r>
      <w:r w:rsidR="00025EF8" w:rsidRPr="00774EDB">
        <w:rPr>
          <w:rFonts w:ascii="Times New Roman" w:hAnsi="Times New Roman" w:cs="Times New Roman"/>
          <w:sz w:val="24"/>
          <w:szCs w:val="24"/>
        </w:rPr>
        <w:t>which</w:t>
      </w:r>
      <w:r w:rsidRPr="00774EDB">
        <w:rPr>
          <w:rFonts w:ascii="Times New Roman" w:hAnsi="Times New Roman" w:cs="Times New Roman"/>
          <w:sz w:val="24"/>
          <w:szCs w:val="24"/>
        </w:rPr>
        <w:t xml:space="preserve"> is commonly used by the cloud providers and truly fitting into the meaning of ‘common standard’.</w:t>
      </w:r>
    </w:p>
    <w:p w14:paraId="06CE0CAC" w14:textId="77777777"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All the facts mentioned above, point to a need to make research of this subject matter, namely ‘cloud computing’ in relation to interoperability. This selection would enable a fulfilling analysis, concerning not only the possible scenarios based on (non-)interoperability and the accompanying legal and non-legal solutions, but also of the potential causal mechanisms that would pave the way for construction of a regulatory model. Related to this, cloud-based interdependencies are also note-worthy from the holistic perspective featured in this study. That is to say, cloud computing offers a </w:t>
      </w:r>
      <w:r w:rsidRPr="00774EDB">
        <w:rPr>
          <w:rFonts w:ascii="Times New Roman" w:hAnsi="Times New Roman" w:cs="Times New Roman"/>
          <w:sz w:val="24"/>
          <w:szCs w:val="24"/>
        </w:rPr>
        <w:lastRenderedPageBreak/>
        <w:t xml:space="preserve">fertile environment for the examination of the cross-layer interactions and accompanying interoperability gaps and problems, allowing a generalisable picture for the regulatory design. Given this fact, cloud computing has been selected as one of the cases to be examined on top of the doctrinal analysis.    </w:t>
      </w:r>
    </w:p>
    <w:p w14:paraId="4190E58D" w14:textId="77777777" w:rsidR="0057387C" w:rsidRPr="00774EDB" w:rsidRDefault="004C5627" w:rsidP="00A70042">
      <w:pPr>
        <w:pStyle w:val="Heading4"/>
        <w:numPr>
          <w:ilvl w:val="2"/>
          <w:numId w:val="17"/>
        </w:numPr>
        <w:spacing w:before="360"/>
        <w:ind w:left="0" w:firstLine="0"/>
        <w:jc w:val="both"/>
        <w:rPr>
          <w:rFonts w:ascii="Times New Roman" w:hAnsi="Times New Roman" w:cs="Times New Roman"/>
          <w:b/>
          <w:i w:val="0"/>
          <w:color w:val="auto"/>
          <w:sz w:val="24"/>
          <w:szCs w:val="24"/>
        </w:rPr>
      </w:pPr>
      <w:bookmarkStart w:id="56" w:name="_Toc17611333"/>
      <w:bookmarkStart w:id="57" w:name="_Toc17611550"/>
      <w:bookmarkStart w:id="58" w:name="_Toc17611762"/>
      <w:bookmarkStart w:id="59" w:name="_Toc17611976"/>
      <w:bookmarkStart w:id="60" w:name="_Toc17612189"/>
      <w:bookmarkStart w:id="61" w:name="_Toc17611334"/>
      <w:bookmarkStart w:id="62" w:name="_Toc17611551"/>
      <w:bookmarkStart w:id="63" w:name="_Toc17611763"/>
      <w:bookmarkStart w:id="64" w:name="_Toc17611977"/>
      <w:bookmarkStart w:id="65" w:name="_Toc17612190"/>
      <w:bookmarkStart w:id="66" w:name="_Toc11400613"/>
      <w:bookmarkStart w:id="67" w:name="_Toc17611335"/>
      <w:bookmarkStart w:id="68" w:name="_Toc53576018"/>
      <w:bookmarkEnd w:id="56"/>
      <w:bookmarkEnd w:id="57"/>
      <w:bookmarkEnd w:id="58"/>
      <w:bookmarkEnd w:id="59"/>
      <w:bookmarkEnd w:id="60"/>
      <w:bookmarkEnd w:id="61"/>
      <w:bookmarkEnd w:id="62"/>
      <w:bookmarkEnd w:id="63"/>
      <w:bookmarkEnd w:id="64"/>
      <w:bookmarkEnd w:id="65"/>
      <w:r w:rsidRPr="00774EDB">
        <w:rPr>
          <w:rFonts w:ascii="Times New Roman" w:hAnsi="Times New Roman" w:cs="Times New Roman"/>
          <w:b/>
          <w:i w:val="0"/>
          <w:color w:val="auto"/>
          <w:sz w:val="24"/>
          <w:szCs w:val="24"/>
        </w:rPr>
        <w:t xml:space="preserve">The </w:t>
      </w:r>
      <w:r w:rsidR="0057387C" w:rsidRPr="00774EDB">
        <w:rPr>
          <w:rFonts w:ascii="Times New Roman" w:hAnsi="Times New Roman" w:cs="Times New Roman"/>
          <w:b/>
          <w:i w:val="0"/>
          <w:color w:val="auto"/>
          <w:sz w:val="24"/>
          <w:szCs w:val="24"/>
        </w:rPr>
        <w:t>Internet of Things</w:t>
      </w:r>
      <w:bookmarkEnd w:id="66"/>
      <w:bookmarkEnd w:id="67"/>
      <w:bookmarkEnd w:id="68"/>
    </w:p>
    <w:p w14:paraId="501F57C0" w14:textId="6398575B" w:rsidR="0057387C" w:rsidRPr="00774EDB" w:rsidRDefault="004C5627"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w:t>
      </w:r>
      <w:r w:rsidR="0057387C" w:rsidRPr="00774EDB">
        <w:rPr>
          <w:rFonts w:ascii="Times New Roman" w:hAnsi="Times New Roman" w:cs="Times New Roman"/>
          <w:sz w:val="24"/>
          <w:szCs w:val="24"/>
        </w:rPr>
        <w:t xml:space="preserve">Internet of Things (IoT) represents another fertile and dynamic environment for the analysis of interoperability related problems. A world of networked smart objects, including cars, refrigerators, health care services, wearable devices are depicted by the term the ‘IoT’, which builds and thrives on diverse industrial settings e.g. home appliances, smart city, transport, logistics, agriculture, traffic management, monitoring of production cycles and telemedicine. In such a landscape, the IoT devices and the governing software are distinguished through data sensors e.g. RFID chips, that communicate constantly and seamlessly with each other. On top of this, </w:t>
      </w:r>
      <w:r w:rsidR="00BF3D1C" w:rsidRPr="00774EDB">
        <w:rPr>
          <w:rFonts w:ascii="Times New Roman" w:hAnsi="Times New Roman" w:cs="Times New Roman"/>
          <w:sz w:val="24"/>
          <w:szCs w:val="24"/>
        </w:rPr>
        <w:t>Internet Protocol (</w:t>
      </w:r>
      <w:r w:rsidR="0057387C" w:rsidRPr="00774EDB">
        <w:rPr>
          <w:rFonts w:ascii="Times New Roman" w:hAnsi="Times New Roman" w:cs="Times New Roman"/>
          <w:sz w:val="24"/>
          <w:szCs w:val="24"/>
        </w:rPr>
        <w:t>IP</w:t>
      </w:r>
      <w:r w:rsidR="00BF3D1C" w:rsidRPr="00774EDB">
        <w:rPr>
          <w:rFonts w:ascii="Times New Roman" w:hAnsi="Times New Roman" w:cs="Times New Roman"/>
          <w:sz w:val="24"/>
          <w:szCs w:val="24"/>
        </w:rPr>
        <w:t>)</w:t>
      </w:r>
      <w:r w:rsidR="0057387C" w:rsidRPr="00774EDB">
        <w:rPr>
          <w:rFonts w:ascii="Times New Roman" w:hAnsi="Times New Roman" w:cs="Times New Roman"/>
          <w:sz w:val="24"/>
          <w:szCs w:val="24"/>
        </w:rPr>
        <w:t xml:space="preserve"> connectivity makes the IoT platforms more effective, responsive and data-driven e.</w:t>
      </w:r>
      <w:r w:rsidR="00025EF8" w:rsidRPr="00774EDB">
        <w:rPr>
          <w:rFonts w:ascii="Times New Roman" w:hAnsi="Times New Roman" w:cs="Times New Roman"/>
          <w:sz w:val="24"/>
          <w:szCs w:val="24"/>
        </w:rPr>
        <w:t>g.</w:t>
      </w:r>
      <w:r w:rsidR="0057387C" w:rsidRPr="00774EDB">
        <w:rPr>
          <w:rFonts w:ascii="Times New Roman" w:hAnsi="Times New Roman" w:cs="Times New Roman"/>
          <w:sz w:val="24"/>
          <w:szCs w:val="24"/>
        </w:rPr>
        <w:t xml:space="preserve"> </w:t>
      </w:r>
      <w:r w:rsidR="00025EF8" w:rsidRPr="00774EDB">
        <w:rPr>
          <w:rFonts w:ascii="Times New Roman" w:hAnsi="Times New Roman" w:cs="Times New Roman"/>
          <w:sz w:val="24"/>
          <w:szCs w:val="24"/>
        </w:rPr>
        <w:t>coupled with</w:t>
      </w:r>
      <w:r w:rsidR="0057387C" w:rsidRPr="00774EDB">
        <w:rPr>
          <w:rFonts w:ascii="Times New Roman" w:hAnsi="Times New Roman" w:cs="Times New Roman"/>
          <w:sz w:val="24"/>
          <w:szCs w:val="24"/>
        </w:rPr>
        <w:t xml:space="preserve"> big data management. Global figures show that connected products and devices have already exceeded the global population and are expected to reach 50 billion by 2020, up from 25 billion in 2015.</w:t>
      </w:r>
      <w:r w:rsidR="0057387C" w:rsidRPr="00774EDB">
        <w:rPr>
          <w:rStyle w:val="FootnoteReference"/>
          <w:rFonts w:ascii="Times New Roman" w:hAnsi="Times New Roman" w:cs="Times New Roman"/>
          <w:sz w:val="24"/>
          <w:szCs w:val="24"/>
        </w:rPr>
        <w:footnoteReference w:id="29"/>
      </w:r>
      <w:r w:rsidR="0057387C" w:rsidRPr="00774EDB">
        <w:rPr>
          <w:rFonts w:ascii="Times New Roman" w:hAnsi="Times New Roman" w:cs="Times New Roman"/>
          <w:sz w:val="24"/>
          <w:szCs w:val="24"/>
        </w:rPr>
        <w:t xml:space="preserve"> Given this fact, the IoT seems to mark a distinctive revolution along with cloud computing, which supplies the necessary platforms, software tools and applications </w:t>
      </w:r>
      <w:r w:rsidR="00460174">
        <w:rPr>
          <w:rFonts w:ascii="Times New Roman" w:hAnsi="Times New Roman" w:cs="Times New Roman"/>
          <w:sz w:val="24"/>
          <w:szCs w:val="24"/>
        </w:rPr>
        <w:t>that</w:t>
      </w:r>
      <w:r w:rsidR="00460174" w:rsidRPr="00774EDB">
        <w:rPr>
          <w:rFonts w:ascii="Times New Roman" w:hAnsi="Times New Roman" w:cs="Times New Roman"/>
          <w:sz w:val="24"/>
          <w:szCs w:val="24"/>
        </w:rPr>
        <w:t xml:space="preserve"> </w:t>
      </w:r>
      <w:r w:rsidR="0057387C" w:rsidRPr="00774EDB">
        <w:rPr>
          <w:rFonts w:ascii="Times New Roman" w:hAnsi="Times New Roman" w:cs="Times New Roman"/>
          <w:sz w:val="24"/>
          <w:szCs w:val="24"/>
        </w:rPr>
        <w:t xml:space="preserve">are necessary for processing the </w:t>
      </w:r>
      <w:r w:rsidR="00460174" w:rsidRPr="00774EDB">
        <w:rPr>
          <w:rFonts w:ascii="Times New Roman" w:hAnsi="Times New Roman" w:cs="Times New Roman"/>
          <w:sz w:val="24"/>
          <w:szCs w:val="24"/>
        </w:rPr>
        <w:t xml:space="preserve">data </w:t>
      </w:r>
      <w:r w:rsidR="0057387C" w:rsidRPr="00774EDB">
        <w:rPr>
          <w:rFonts w:ascii="Times New Roman" w:hAnsi="Times New Roman" w:cs="Times New Roman"/>
          <w:sz w:val="24"/>
          <w:szCs w:val="24"/>
        </w:rPr>
        <w:t>gathered</w:t>
      </w:r>
      <w:r w:rsidR="00460174">
        <w:rPr>
          <w:rFonts w:ascii="Times New Roman" w:hAnsi="Times New Roman" w:cs="Times New Roman"/>
          <w:sz w:val="24"/>
          <w:szCs w:val="24"/>
        </w:rPr>
        <w:t xml:space="preserve"> from the smart/connected things</w:t>
      </w:r>
      <w:r w:rsidR="0057387C" w:rsidRPr="00774EDB">
        <w:rPr>
          <w:rFonts w:ascii="Times New Roman" w:hAnsi="Times New Roman" w:cs="Times New Roman"/>
          <w:sz w:val="24"/>
          <w:szCs w:val="24"/>
        </w:rPr>
        <w:t xml:space="preserve">. </w:t>
      </w:r>
    </w:p>
    <w:p w14:paraId="1EC62118" w14:textId="665C37AA" w:rsidR="0057387C" w:rsidRPr="00774EDB" w:rsidRDefault="0057387C" w:rsidP="00A70042">
      <w:pPr>
        <w:spacing w:before="360"/>
        <w:jc w:val="both"/>
        <w:rPr>
          <w:rFonts w:ascii="Times New Roman" w:hAnsi="Times New Roman" w:cs="Times New Roman"/>
          <w:sz w:val="24"/>
          <w:szCs w:val="24"/>
          <w:lang w:eastAsia="en-GB"/>
        </w:rPr>
      </w:pPr>
      <w:r w:rsidRPr="00774EDB">
        <w:rPr>
          <w:rFonts w:ascii="Times New Roman" w:hAnsi="Times New Roman" w:cs="Times New Roman"/>
          <w:sz w:val="24"/>
          <w:szCs w:val="24"/>
          <w:lang w:eastAsia="en-GB"/>
        </w:rPr>
        <w:lastRenderedPageBreak/>
        <w:t xml:space="preserve">Against this background, cloud services underlie the IoT platform and applications in general. The IoT also relies on other supportive or underlying networks and services e.g. broadband connectivity and local area networks, which represent access and perception layers. On top of these, applications are run, </w:t>
      </w:r>
      <w:r w:rsidR="002C6F3A">
        <w:rPr>
          <w:rFonts w:ascii="Times New Roman" w:hAnsi="Times New Roman" w:cs="Times New Roman"/>
          <w:sz w:val="24"/>
          <w:szCs w:val="24"/>
          <w:lang w:eastAsia="en-GB"/>
        </w:rPr>
        <w:t>reveal</w:t>
      </w:r>
      <w:r w:rsidRPr="00774EDB">
        <w:rPr>
          <w:rFonts w:ascii="Times New Roman" w:hAnsi="Times New Roman" w:cs="Times New Roman"/>
          <w:sz w:val="24"/>
          <w:szCs w:val="24"/>
          <w:lang w:eastAsia="en-GB"/>
        </w:rPr>
        <w:t>ing another layer that needs to speak to the lower layers. Interoperability across these layers of perception, access and cloud and application is inherent in the concept of the IoT.  Meaning, for an IoT system, all these layers need to operate in a systemic and organised manner, based on the agreed standards.</w:t>
      </w:r>
    </w:p>
    <w:p w14:paraId="6D65301B" w14:textId="7AD06D64"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lang w:eastAsia="en-GB"/>
        </w:rPr>
        <w:t>From a broader perspective, absent or hindered interoperability could discourage IoT users, including manufacturers, from purchasing new products and, at the extreme, fully stop them using the IoT devices.</w:t>
      </w:r>
      <w:r w:rsidRPr="00774EDB">
        <w:rPr>
          <w:rStyle w:val="FootnoteReference"/>
          <w:rFonts w:ascii="Times New Roman" w:hAnsi="Times New Roman" w:cs="Times New Roman"/>
          <w:sz w:val="24"/>
          <w:szCs w:val="24"/>
          <w:lang w:eastAsia="en-GB"/>
        </w:rPr>
        <w:footnoteReference w:id="30"/>
      </w:r>
      <w:r w:rsidRPr="00774EDB">
        <w:rPr>
          <w:rFonts w:ascii="Times New Roman" w:hAnsi="Times New Roman" w:cs="Times New Roman"/>
          <w:sz w:val="24"/>
          <w:szCs w:val="24"/>
        </w:rPr>
        <w:t xml:space="preserve"> Notwithstanding, the IoT industry is currently driven more by proprietary standards than by open standards.</w:t>
      </w:r>
      <w:r w:rsidRPr="00774EDB">
        <w:rPr>
          <w:rStyle w:val="FootnoteReference"/>
          <w:rFonts w:ascii="Times New Roman" w:hAnsi="Times New Roman" w:cs="Times New Roman"/>
          <w:sz w:val="24"/>
          <w:szCs w:val="24"/>
        </w:rPr>
        <w:footnoteReference w:id="31"/>
      </w:r>
      <w:r w:rsidRPr="00774EDB">
        <w:rPr>
          <w:rFonts w:ascii="Times New Roman" w:hAnsi="Times New Roman" w:cs="Times New Roman"/>
          <w:sz w:val="24"/>
          <w:szCs w:val="24"/>
        </w:rPr>
        <w:t xml:space="preserve"> Google (Brillo and Weave), Samsung (SmartThings), Apple (HomeKit) and Amazon (Alexa) run their unilateral programs to bring out new IoT solutions,</w:t>
      </w:r>
      <w:r w:rsidRPr="00774EDB">
        <w:rPr>
          <w:rStyle w:val="FootnoteReference"/>
          <w:rFonts w:ascii="Times New Roman" w:hAnsi="Times New Roman" w:cs="Times New Roman"/>
          <w:sz w:val="24"/>
          <w:szCs w:val="24"/>
          <w:lang w:eastAsia="en-GB"/>
        </w:rPr>
        <w:footnoteReference w:id="32"/>
      </w:r>
      <w:r w:rsidRPr="00774EDB">
        <w:rPr>
          <w:rFonts w:ascii="Times New Roman" w:hAnsi="Times New Roman" w:cs="Times New Roman"/>
          <w:sz w:val="24"/>
          <w:szCs w:val="24"/>
        </w:rPr>
        <w:t xml:space="preserve"> which seem to dominate the IoT landscape,</w:t>
      </w:r>
      <w:r w:rsidR="00EB12EB">
        <w:rPr>
          <w:rStyle w:val="FootnoteReference"/>
          <w:rFonts w:ascii="Times New Roman" w:hAnsi="Times New Roman" w:cs="Times New Roman"/>
          <w:sz w:val="24"/>
          <w:szCs w:val="24"/>
        </w:rPr>
        <w:footnoteReference w:id="33"/>
      </w:r>
      <w:r w:rsidRPr="00774EDB">
        <w:rPr>
          <w:rFonts w:ascii="Times New Roman" w:hAnsi="Times New Roman" w:cs="Times New Roman"/>
          <w:sz w:val="24"/>
          <w:szCs w:val="24"/>
        </w:rPr>
        <w:t xml:space="preserve"> as these market players have a great many leverages to attract user groups into their ecosystems. Moreover, the solutions developed by many IoT alliances e.g. IETF and OneM2M, often appear incompatible with each other, and this is considered able to create </w:t>
      </w:r>
      <w:r w:rsidRPr="00774EDB">
        <w:rPr>
          <w:rFonts w:ascii="Times New Roman" w:hAnsi="Times New Roman" w:cs="Times New Roman"/>
          <w:iCs/>
          <w:sz w:val="24"/>
          <w:szCs w:val="24"/>
        </w:rPr>
        <w:t>switching barriers</w:t>
      </w:r>
      <w:r w:rsidRPr="00774EDB">
        <w:rPr>
          <w:rFonts w:ascii="Times New Roman" w:hAnsi="Times New Roman" w:cs="Times New Roman"/>
          <w:sz w:val="24"/>
          <w:szCs w:val="24"/>
        </w:rPr>
        <w:t xml:space="preserve"> commonly referred to as the “lock-in” problem.</w:t>
      </w:r>
      <w:r w:rsidRPr="00774EDB">
        <w:rPr>
          <w:rStyle w:val="FootnoteReference"/>
          <w:rFonts w:ascii="Times New Roman" w:hAnsi="Times New Roman" w:cs="Times New Roman"/>
          <w:sz w:val="24"/>
          <w:szCs w:val="24"/>
        </w:rPr>
        <w:footnoteReference w:id="34"/>
      </w:r>
    </w:p>
    <w:p w14:paraId="5DECB33C" w14:textId="15C381B4"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 xml:space="preserve">Against this background, attention needs to be paid to the IoT settings, where interoperability is at stake, whether self-regulated e.g. governed by myriad of ecosystems, or exposed to the proprietary systems and accompanying problems e.g. lock-in, switching costs and market foreclosure. Having said that, diversity of IoT </w:t>
      </w:r>
      <w:r w:rsidR="00EB12EB">
        <w:rPr>
          <w:rFonts w:ascii="Times New Roman" w:hAnsi="Times New Roman" w:cs="Times New Roman"/>
          <w:sz w:val="24"/>
          <w:szCs w:val="24"/>
        </w:rPr>
        <w:t xml:space="preserve">systems and </w:t>
      </w:r>
      <w:r w:rsidRPr="00774EDB">
        <w:rPr>
          <w:rFonts w:ascii="Times New Roman" w:hAnsi="Times New Roman" w:cs="Times New Roman"/>
          <w:sz w:val="24"/>
          <w:szCs w:val="24"/>
        </w:rPr>
        <w:t xml:space="preserve">settings hosting distinct standards and of interoperability solutions, </w:t>
      </w:r>
      <w:r w:rsidR="00EB12EB">
        <w:rPr>
          <w:rFonts w:ascii="Times New Roman" w:hAnsi="Times New Roman" w:cs="Times New Roman"/>
          <w:sz w:val="24"/>
          <w:szCs w:val="24"/>
        </w:rPr>
        <w:t>has been</w:t>
      </w:r>
      <w:r w:rsidRPr="00774EDB">
        <w:rPr>
          <w:rFonts w:ascii="Times New Roman" w:hAnsi="Times New Roman" w:cs="Times New Roman"/>
          <w:sz w:val="24"/>
          <w:szCs w:val="24"/>
        </w:rPr>
        <w:t xml:space="preserve"> regarded as worthy of investigation. </w:t>
      </w:r>
      <w:r w:rsidR="00EB12EB">
        <w:rPr>
          <w:rFonts w:ascii="Times New Roman" w:hAnsi="Times New Roman" w:cs="Times New Roman"/>
          <w:sz w:val="24"/>
          <w:szCs w:val="24"/>
        </w:rPr>
        <w:t>Thereb</w:t>
      </w:r>
      <w:r w:rsidRPr="00774EDB">
        <w:rPr>
          <w:rFonts w:ascii="Times New Roman" w:hAnsi="Times New Roman" w:cs="Times New Roman"/>
          <w:sz w:val="24"/>
          <w:szCs w:val="24"/>
        </w:rPr>
        <w:t>y, it is hoped that more light is shed on the multi-layered IoT architectures</w:t>
      </w:r>
      <w:r w:rsidR="00EB12EB">
        <w:rPr>
          <w:rFonts w:ascii="Times New Roman" w:hAnsi="Times New Roman" w:cs="Times New Roman"/>
          <w:sz w:val="24"/>
          <w:szCs w:val="24"/>
        </w:rPr>
        <w:t xml:space="preserve"> and </w:t>
      </w:r>
      <w:r w:rsidR="00EB12EB" w:rsidRPr="00774EDB">
        <w:rPr>
          <w:rFonts w:ascii="Times New Roman" w:hAnsi="Times New Roman" w:cs="Times New Roman"/>
          <w:sz w:val="24"/>
          <w:szCs w:val="24"/>
        </w:rPr>
        <w:t>prevalent industry settings</w:t>
      </w:r>
      <w:r w:rsidRPr="00774EDB">
        <w:rPr>
          <w:rFonts w:ascii="Times New Roman" w:hAnsi="Times New Roman" w:cs="Times New Roman"/>
          <w:sz w:val="24"/>
          <w:szCs w:val="24"/>
        </w:rPr>
        <w:t xml:space="preserve">, </w:t>
      </w:r>
      <w:r w:rsidR="00EB12EB">
        <w:rPr>
          <w:rFonts w:ascii="Times New Roman" w:hAnsi="Times New Roman" w:cs="Times New Roman"/>
          <w:sz w:val="24"/>
          <w:szCs w:val="24"/>
        </w:rPr>
        <w:t xml:space="preserve">from which </w:t>
      </w:r>
      <w:r w:rsidR="00AC3A39">
        <w:rPr>
          <w:rFonts w:ascii="Times New Roman" w:hAnsi="Times New Roman" w:cs="Times New Roman"/>
          <w:sz w:val="24"/>
          <w:szCs w:val="24"/>
        </w:rPr>
        <w:t>significant</w:t>
      </w:r>
      <w:r w:rsidRPr="00774EDB">
        <w:rPr>
          <w:rFonts w:ascii="Times New Roman" w:hAnsi="Times New Roman" w:cs="Times New Roman"/>
          <w:sz w:val="24"/>
          <w:szCs w:val="24"/>
        </w:rPr>
        <w:t xml:space="preserve"> re</w:t>
      </w:r>
      <w:r w:rsidR="00AC3A39">
        <w:rPr>
          <w:rFonts w:ascii="Times New Roman" w:hAnsi="Times New Roman" w:cs="Times New Roman"/>
          <w:sz w:val="24"/>
          <w:szCs w:val="24"/>
        </w:rPr>
        <w:t>flections</w:t>
      </w:r>
      <w:r w:rsidRPr="00774EDB">
        <w:rPr>
          <w:rFonts w:ascii="Times New Roman" w:hAnsi="Times New Roman" w:cs="Times New Roman"/>
          <w:sz w:val="24"/>
          <w:szCs w:val="24"/>
        </w:rPr>
        <w:t xml:space="preserve"> </w:t>
      </w:r>
      <w:r w:rsidR="00AC3A39">
        <w:rPr>
          <w:rFonts w:ascii="Times New Roman" w:hAnsi="Times New Roman" w:cs="Times New Roman"/>
          <w:sz w:val="24"/>
          <w:szCs w:val="24"/>
        </w:rPr>
        <w:t>could be derived</w:t>
      </w:r>
      <w:r w:rsidRPr="00774EDB">
        <w:rPr>
          <w:rFonts w:ascii="Times New Roman" w:hAnsi="Times New Roman" w:cs="Times New Roman"/>
          <w:sz w:val="24"/>
          <w:szCs w:val="24"/>
        </w:rPr>
        <w:t xml:space="preserve">. </w:t>
      </w:r>
      <w:r w:rsidR="007F06D0" w:rsidRPr="00774EDB">
        <w:rPr>
          <w:rFonts w:ascii="Times New Roman" w:hAnsi="Times New Roman" w:cs="Times New Roman"/>
          <w:sz w:val="24"/>
          <w:szCs w:val="24"/>
        </w:rPr>
        <w:t>To sum it up, c</w:t>
      </w:r>
      <w:r w:rsidRPr="00774EDB">
        <w:rPr>
          <w:rFonts w:ascii="Times New Roman" w:hAnsi="Times New Roman" w:cs="Times New Roman"/>
          <w:sz w:val="24"/>
          <w:szCs w:val="24"/>
        </w:rPr>
        <w:t xml:space="preserve">onsidering that the IoT offers an important medium for the interoperability gaps and regulatory challenges, which could lead up to generalisable findings, it has been selected as one of the two cases to be investigated.    </w:t>
      </w:r>
    </w:p>
    <w:p w14:paraId="4045139D" w14:textId="08538DEB" w:rsidR="0057387C" w:rsidRPr="00774EDB" w:rsidRDefault="0057387C" w:rsidP="00A70042">
      <w:pPr>
        <w:pStyle w:val="Heading2"/>
        <w:numPr>
          <w:ilvl w:val="1"/>
          <w:numId w:val="17"/>
        </w:numPr>
        <w:tabs>
          <w:tab w:val="left" w:pos="426"/>
        </w:tabs>
        <w:spacing w:before="360"/>
        <w:ind w:left="0" w:firstLine="0"/>
        <w:jc w:val="both"/>
        <w:rPr>
          <w:rFonts w:ascii="Times New Roman" w:hAnsi="Times New Roman" w:cs="Times New Roman"/>
          <w:b/>
          <w:color w:val="auto"/>
          <w:sz w:val="24"/>
          <w:szCs w:val="24"/>
        </w:rPr>
      </w:pPr>
      <w:bookmarkStart w:id="70" w:name="_Toc17611336"/>
      <w:bookmarkStart w:id="71" w:name="_Toc17611553"/>
      <w:bookmarkStart w:id="72" w:name="_Toc17611765"/>
      <w:bookmarkStart w:id="73" w:name="_Toc17611979"/>
      <w:bookmarkStart w:id="74" w:name="_Toc17612192"/>
      <w:bookmarkStart w:id="75" w:name="_Toc11400614"/>
      <w:bookmarkStart w:id="76" w:name="_Toc17611337"/>
      <w:bookmarkStart w:id="77" w:name="_Toc53576019"/>
      <w:bookmarkEnd w:id="70"/>
      <w:bookmarkEnd w:id="71"/>
      <w:bookmarkEnd w:id="72"/>
      <w:bookmarkEnd w:id="73"/>
      <w:bookmarkEnd w:id="74"/>
      <w:r w:rsidRPr="00774EDB">
        <w:rPr>
          <w:rFonts w:ascii="Times New Roman" w:hAnsi="Times New Roman" w:cs="Times New Roman"/>
          <w:b/>
          <w:color w:val="auto"/>
          <w:sz w:val="24"/>
          <w:szCs w:val="24"/>
        </w:rPr>
        <w:t>Limitations</w:t>
      </w:r>
      <w:bookmarkEnd w:id="75"/>
      <w:bookmarkEnd w:id="76"/>
      <w:r w:rsidR="00455F62">
        <w:rPr>
          <w:rFonts w:ascii="Times New Roman" w:hAnsi="Times New Roman" w:cs="Times New Roman"/>
          <w:b/>
          <w:color w:val="auto"/>
          <w:sz w:val="24"/>
          <w:szCs w:val="24"/>
        </w:rPr>
        <w:t xml:space="preserve"> and jurisdictional choice</w:t>
      </w:r>
      <w:bookmarkEnd w:id="77"/>
    </w:p>
    <w:p w14:paraId="00414A0B" w14:textId="705599F6" w:rsidR="0057387C"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the subject-matter of the thesis is universal in a technological sense, the outcomes and findings would be considered as extra-territorial by nature</w:t>
      </w:r>
      <w:r w:rsidR="00AC3A39">
        <w:rPr>
          <w:rFonts w:ascii="Times New Roman" w:hAnsi="Times New Roman" w:cs="Times New Roman"/>
          <w:sz w:val="24"/>
          <w:szCs w:val="24"/>
        </w:rPr>
        <w:t>, in particular from a normative perspective</w:t>
      </w:r>
      <w:r w:rsidRPr="00774EDB">
        <w:rPr>
          <w:rFonts w:ascii="Times New Roman" w:hAnsi="Times New Roman" w:cs="Times New Roman"/>
          <w:sz w:val="24"/>
          <w:szCs w:val="24"/>
        </w:rPr>
        <w:t xml:space="preserve">. Notwithstanding, the examination of the related (primary and secondary) </w:t>
      </w:r>
      <w:r w:rsidR="006842A3">
        <w:rPr>
          <w:rFonts w:ascii="Times New Roman" w:hAnsi="Times New Roman" w:cs="Times New Roman"/>
          <w:sz w:val="24"/>
          <w:szCs w:val="24"/>
        </w:rPr>
        <w:t>re</w:t>
      </w:r>
      <w:r w:rsidRPr="00774EDB">
        <w:rPr>
          <w:rFonts w:ascii="Times New Roman" w:hAnsi="Times New Roman" w:cs="Times New Roman"/>
          <w:sz w:val="24"/>
          <w:szCs w:val="24"/>
        </w:rPr>
        <w:t>sources, including the conclusive analysis of the case</w:t>
      </w:r>
      <w:r w:rsidR="00116564">
        <w:rPr>
          <w:rFonts w:ascii="Times New Roman" w:hAnsi="Times New Roman" w:cs="Times New Roman"/>
          <w:sz w:val="24"/>
          <w:szCs w:val="24"/>
        </w:rPr>
        <w:t xml:space="preserve"> law</w:t>
      </w:r>
      <w:r w:rsidRPr="00774EDB">
        <w:rPr>
          <w:rFonts w:ascii="Times New Roman" w:hAnsi="Times New Roman" w:cs="Times New Roman"/>
          <w:sz w:val="24"/>
          <w:szCs w:val="24"/>
        </w:rPr>
        <w:t xml:space="preserve">, has been conducted on the basis of EU pillars, norms and regulations. While the case study research has been fulfilled following the globally acknowledged technological patterns, standards and facts, the analysis of the real-life situations has </w:t>
      </w:r>
      <w:r w:rsidR="006842A3">
        <w:rPr>
          <w:rFonts w:ascii="Times New Roman" w:hAnsi="Times New Roman" w:cs="Times New Roman"/>
          <w:sz w:val="24"/>
          <w:szCs w:val="24"/>
        </w:rPr>
        <w:t xml:space="preserve">also </w:t>
      </w:r>
      <w:r w:rsidRPr="00774EDB">
        <w:rPr>
          <w:rFonts w:ascii="Times New Roman" w:hAnsi="Times New Roman" w:cs="Times New Roman"/>
          <w:sz w:val="24"/>
          <w:szCs w:val="24"/>
        </w:rPr>
        <w:t xml:space="preserve">been filtered </w:t>
      </w:r>
      <w:r w:rsidR="00116564">
        <w:rPr>
          <w:rFonts w:ascii="Times New Roman" w:hAnsi="Times New Roman" w:cs="Times New Roman"/>
          <w:sz w:val="24"/>
          <w:szCs w:val="24"/>
        </w:rPr>
        <w:t xml:space="preserve">mostly </w:t>
      </w:r>
      <w:r w:rsidRPr="00774EDB">
        <w:rPr>
          <w:rFonts w:ascii="Times New Roman" w:hAnsi="Times New Roman" w:cs="Times New Roman"/>
          <w:sz w:val="24"/>
          <w:szCs w:val="24"/>
        </w:rPr>
        <w:t>through the EU regulatory framework, particularly competition law and the ECRF rules. Given this fact, this could be a</w:t>
      </w:r>
      <w:r w:rsidR="002D1F88">
        <w:rPr>
          <w:rFonts w:ascii="Times New Roman" w:hAnsi="Times New Roman" w:cs="Times New Roman"/>
          <w:sz w:val="24"/>
          <w:szCs w:val="24"/>
        </w:rPr>
        <w:t>rgu</w:t>
      </w:r>
      <w:r w:rsidRPr="00774EDB">
        <w:rPr>
          <w:rFonts w:ascii="Times New Roman" w:hAnsi="Times New Roman" w:cs="Times New Roman"/>
          <w:sz w:val="24"/>
          <w:szCs w:val="24"/>
        </w:rPr>
        <w:t>ed as posing a limitation, in terms of scope and boundaries.</w:t>
      </w:r>
    </w:p>
    <w:p w14:paraId="282D67E0" w14:textId="7866B68A" w:rsidR="00F1711F" w:rsidRDefault="00985246" w:rsidP="00FB3282">
      <w:pPr>
        <w:spacing w:before="360"/>
        <w:jc w:val="both"/>
        <w:rPr>
          <w:rFonts w:ascii="Times New Roman" w:hAnsi="Times New Roman" w:cs="Times New Roman"/>
          <w:spacing w:val="-2"/>
          <w:sz w:val="24"/>
          <w:szCs w:val="24"/>
        </w:rPr>
      </w:pPr>
      <w:r>
        <w:rPr>
          <w:rFonts w:ascii="Times New Roman" w:hAnsi="Times New Roman" w:cs="Times New Roman"/>
          <w:spacing w:val="-2"/>
          <w:sz w:val="24"/>
          <w:szCs w:val="24"/>
        </w:rPr>
        <w:lastRenderedPageBreak/>
        <w:t>In this study</w:t>
      </w:r>
      <w:r w:rsidR="00F239EC">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findings from the multidisciplinary </w:t>
      </w:r>
      <w:r w:rsidR="00FB3282">
        <w:rPr>
          <w:rFonts w:ascii="Times New Roman" w:hAnsi="Times New Roman" w:cs="Times New Roman"/>
          <w:spacing w:val="-2"/>
          <w:sz w:val="24"/>
          <w:szCs w:val="24"/>
        </w:rPr>
        <w:t>doctrinal analysis</w:t>
      </w:r>
      <w:r>
        <w:rPr>
          <w:rFonts w:ascii="Times New Roman" w:hAnsi="Times New Roman" w:cs="Times New Roman"/>
          <w:spacing w:val="-2"/>
          <w:sz w:val="24"/>
          <w:szCs w:val="24"/>
        </w:rPr>
        <w:t xml:space="preserve"> serve as </w:t>
      </w:r>
      <w:r w:rsidR="002D1F88">
        <w:rPr>
          <w:rFonts w:ascii="Times New Roman" w:hAnsi="Times New Roman" w:cs="Times New Roman"/>
          <w:spacing w:val="-2"/>
          <w:sz w:val="24"/>
          <w:szCs w:val="24"/>
        </w:rPr>
        <w:t>a</w:t>
      </w:r>
      <w:r>
        <w:rPr>
          <w:rFonts w:ascii="Times New Roman" w:hAnsi="Times New Roman" w:cs="Times New Roman"/>
          <w:spacing w:val="-2"/>
          <w:sz w:val="24"/>
          <w:szCs w:val="24"/>
        </w:rPr>
        <w:t xml:space="preserve"> stepping stone for the </w:t>
      </w:r>
      <w:r w:rsidR="00822EE1">
        <w:rPr>
          <w:rFonts w:ascii="Times New Roman" w:hAnsi="Times New Roman" w:cs="Times New Roman"/>
          <w:spacing w:val="-2"/>
          <w:sz w:val="24"/>
          <w:szCs w:val="24"/>
        </w:rPr>
        <w:t>remainder</w:t>
      </w:r>
      <w:r>
        <w:rPr>
          <w:rFonts w:ascii="Times New Roman" w:hAnsi="Times New Roman" w:cs="Times New Roman"/>
          <w:spacing w:val="-2"/>
          <w:sz w:val="24"/>
          <w:szCs w:val="24"/>
        </w:rPr>
        <w:t xml:space="preserve"> of the research as could be seen through the normative framewor</w:t>
      </w:r>
      <w:r w:rsidR="00FB3282">
        <w:rPr>
          <w:rFonts w:ascii="Times New Roman" w:hAnsi="Times New Roman" w:cs="Times New Roman"/>
          <w:spacing w:val="-2"/>
          <w:sz w:val="24"/>
          <w:szCs w:val="24"/>
        </w:rPr>
        <w:t>k drawn at the end</w:t>
      </w:r>
      <w:r w:rsidR="002D1F88">
        <w:rPr>
          <w:rFonts w:ascii="Times New Roman" w:hAnsi="Times New Roman" w:cs="Times New Roman"/>
          <w:spacing w:val="-2"/>
          <w:sz w:val="24"/>
          <w:szCs w:val="24"/>
        </w:rPr>
        <w:t xml:space="preserve"> of this study</w:t>
      </w:r>
      <w:r>
        <w:rPr>
          <w:rFonts w:ascii="Times New Roman" w:hAnsi="Times New Roman" w:cs="Times New Roman"/>
          <w:spacing w:val="-2"/>
          <w:sz w:val="24"/>
          <w:szCs w:val="24"/>
        </w:rPr>
        <w:t xml:space="preserve">. </w:t>
      </w:r>
      <w:r w:rsidR="00FB3282">
        <w:rPr>
          <w:rFonts w:ascii="Times New Roman" w:hAnsi="Times New Roman" w:cs="Times New Roman"/>
          <w:spacing w:val="-2"/>
          <w:sz w:val="24"/>
          <w:szCs w:val="24"/>
        </w:rPr>
        <w:t xml:space="preserve">From this point of view, </w:t>
      </w:r>
      <w:r w:rsidR="0024011B">
        <w:rPr>
          <w:rFonts w:ascii="Times New Roman" w:hAnsi="Times New Roman" w:cs="Times New Roman"/>
          <w:spacing w:val="-2"/>
          <w:sz w:val="24"/>
          <w:szCs w:val="24"/>
        </w:rPr>
        <w:t xml:space="preserve">EU legal framework </w:t>
      </w:r>
      <w:r w:rsidR="00600DA8">
        <w:rPr>
          <w:rFonts w:ascii="Times New Roman" w:hAnsi="Times New Roman" w:cs="Times New Roman"/>
          <w:spacing w:val="-2"/>
          <w:sz w:val="24"/>
          <w:szCs w:val="24"/>
        </w:rPr>
        <w:t>enable</w:t>
      </w:r>
      <w:r w:rsidR="0024011B">
        <w:rPr>
          <w:rFonts w:ascii="Times New Roman" w:hAnsi="Times New Roman" w:cs="Times New Roman"/>
          <w:spacing w:val="-2"/>
          <w:sz w:val="24"/>
          <w:szCs w:val="24"/>
        </w:rPr>
        <w:t>s a</w:t>
      </w:r>
      <w:r w:rsidR="00600DA8">
        <w:rPr>
          <w:rFonts w:ascii="Times New Roman" w:hAnsi="Times New Roman" w:cs="Times New Roman"/>
          <w:spacing w:val="-2"/>
          <w:sz w:val="24"/>
          <w:szCs w:val="24"/>
        </w:rPr>
        <w:t xml:space="preserve"> research</w:t>
      </w:r>
      <w:r w:rsidR="0024011B">
        <w:rPr>
          <w:rFonts w:ascii="Times New Roman" w:hAnsi="Times New Roman" w:cs="Times New Roman"/>
          <w:spacing w:val="-2"/>
          <w:sz w:val="24"/>
          <w:szCs w:val="24"/>
        </w:rPr>
        <w:t xml:space="preserve"> ground </w:t>
      </w:r>
      <w:r w:rsidR="00600DA8">
        <w:rPr>
          <w:rFonts w:ascii="Times New Roman" w:hAnsi="Times New Roman" w:cs="Times New Roman"/>
          <w:spacing w:val="-2"/>
          <w:sz w:val="24"/>
          <w:szCs w:val="24"/>
        </w:rPr>
        <w:t>on</w:t>
      </w:r>
      <w:r w:rsidR="0024011B">
        <w:rPr>
          <w:rFonts w:ascii="Times New Roman" w:hAnsi="Times New Roman" w:cs="Times New Roman"/>
          <w:spacing w:val="-2"/>
          <w:sz w:val="24"/>
          <w:szCs w:val="24"/>
        </w:rPr>
        <w:t xml:space="preserve"> which the interoperability discourse would be checked </w:t>
      </w:r>
      <w:r w:rsidR="002D1F88">
        <w:rPr>
          <w:rFonts w:ascii="Times New Roman" w:hAnsi="Times New Roman" w:cs="Times New Roman"/>
          <w:spacing w:val="-2"/>
          <w:sz w:val="24"/>
          <w:szCs w:val="24"/>
        </w:rPr>
        <w:t xml:space="preserve">and filtered </w:t>
      </w:r>
      <w:r w:rsidR="0024011B">
        <w:rPr>
          <w:rFonts w:ascii="Times New Roman" w:hAnsi="Times New Roman" w:cs="Times New Roman"/>
          <w:spacing w:val="-2"/>
          <w:sz w:val="24"/>
          <w:szCs w:val="24"/>
        </w:rPr>
        <w:t>out</w:t>
      </w:r>
      <w:r w:rsidR="002D1F88">
        <w:rPr>
          <w:rFonts w:ascii="Times New Roman" w:hAnsi="Times New Roman" w:cs="Times New Roman"/>
          <w:spacing w:val="-2"/>
          <w:sz w:val="24"/>
          <w:szCs w:val="24"/>
        </w:rPr>
        <w:t>,</w:t>
      </w:r>
      <w:r w:rsidR="00600DA8">
        <w:rPr>
          <w:rFonts w:ascii="Times New Roman" w:hAnsi="Times New Roman" w:cs="Times New Roman"/>
          <w:spacing w:val="-2"/>
          <w:sz w:val="24"/>
          <w:szCs w:val="24"/>
        </w:rPr>
        <w:t xml:space="preserve"> considering </w:t>
      </w:r>
      <w:r w:rsidR="002D1F88">
        <w:rPr>
          <w:rFonts w:ascii="Times New Roman" w:hAnsi="Times New Roman" w:cs="Times New Roman"/>
          <w:spacing w:val="-2"/>
          <w:sz w:val="24"/>
          <w:szCs w:val="24"/>
        </w:rPr>
        <w:t>the</w:t>
      </w:r>
      <w:r w:rsidR="00600DA8">
        <w:rPr>
          <w:rFonts w:ascii="Times New Roman" w:hAnsi="Times New Roman" w:cs="Times New Roman"/>
          <w:spacing w:val="-2"/>
          <w:sz w:val="24"/>
          <w:szCs w:val="24"/>
        </w:rPr>
        <w:t xml:space="preserve"> wider set of legal rules and principles</w:t>
      </w:r>
      <w:r w:rsidR="002D1F88">
        <w:rPr>
          <w:rFonts w:ascii="Times New Roman" w:hAnsi="Times New Roman" w:cs="Times New Roman"/>
          <w:spacing w:val="-2"/>
          <w:sz w:val="24"/>
          <w:szCs w:val="24"/>
        </w:rPr>
        <w:t xml:space="preserve"> </w:t>
      </w:r>
      <w:r w:rsidR="001E34EB">
        <w:rPr>
          <w:rFonts w:ascii="Times New Roman" w:hAnsi="Times New Roman" w:cs="Times New Roman"/>
          <w:spacing w:val="-2"/>
          <w:sz w:val="24"/>
          <w:szCs w:val="24"/>
        </w:rPr>
        <w:t xml:space="preserve">adopted </w:t>
      </w:r>
      <w:bookmarkStart w:id="78" w:name="_Hlk53560266"/>
      <w:r w:rsidR="00B713BA">
        <w:rPr>
          <w:rFonts w:ascii="Times New Roman" w:hAnsi="Times New Roman" w:cs="Times New Roman"/>
          <w:spacing w:val="-2"/>
          <w:sz w:val="24"/>
          <w:szCs w:val="24"/>
        </w:rPr>
        <w:t xml:space="preserve">and implemented </w:t>
      </w:r>
      <w:r w:rsidR="001E34EB">
        <w:rPr>
          <w:rFonts w:ascii="Times New Roman" w:hAnsi="Times New Roman" w:cs="Times New Roman"/>
          <w:spacing w:val="-2"/>
          <w:sz w:val="24"/>
          <w:szCs w:val="24"/>
        </w:rPr>
        <w:t>under EU law</w:t>
      </w:r>
      <w:bookmarkEnd w:id="78"/>
      <w:r w:rsidR="00600DA8">
        <w:rPr>
          <w:rFonts w:ascii="Times New Roman" w:hAnsi="Times New Roman" w:cs="Times New Roman"/>
          <w:spacing w:val="-2"/>
          <w:sz w:val="24"/>
          <w:szCs w:val="24"/>
        </w:rPr>
        <w:t>. Originally</w:t>
      </w:r>
      <w:r w:rsidR="00A0744D">
        <w:rPr>
          <w:rFonts w:ascii="Times New Roman" w:hAnsi="Times New Roman" w:cs="Times New Roman"/>
          <w:spacing w:val="-2"/>
          <w:sz w:val="24"/>
          <w:szCs w:val="24"/>
        </w:rPr>
        <w:t>,</w:t>
      </w:r>
      <w:r w:rsidR="00CE01CF">
        <w:rPr>
          <w:rFonts w:ascii="Times New Roman" w:hAnsi="Times New Roman" w:cs="Times New Roman"/>
          <w:spacing w:val="-2"/>
          <w:sz w:val="24"/>
          <w:szCs w:val="24"/>
        </w:rPr>
        <w:t xml:space="preserve"> many </w:t>
      </w:r>
      <w:r w:rsidR="002D1F88">
        <w:rPr>
          <w:rFonts w:ascii="Times New Roman" w:hAnsi="Times New Roman" w:cs="Times New Roman"/>
          <w:spacing w:val="-2"/>
          <w:sz w:val="24"/>
          <w:szCs w:val="24"/>
        </w:rPr>
        <w:t xml:space="preserve">EU </w:t>
      </w:r>
      <w:r w:rsidR="00CE01CF">
        <w:rPr>
          <w:rFonts w:ascii="Times New Roman" w:hAnsi="Times New Roman" w:cs="Times New Roman"/>
          <w:spacing w:val="-2"/>
          <w:sz w:val="24"/>
          <w:szCs w:val="24"/>
        </w:rPr>
        <w:t xml:space="preserve">rules and principles are </w:t>
      </w:r>
      <w:r w:rsidR="001A7C04">
        <w:rPr>
          <w:rFonts w:ascii="Times New Roman" w:hAnsi="Times New Roman" w:cs="Times New Roman"/>
          <w:spacing w:val="-2"/>
          <w:sz w:val="24"/>
          <w:szCs w:val="24"/>
        </w:rPr>
        <w:t xml:space="preserve">often </w:t>
      </w:r>
      <w:r w:rsidR="00CE01CF">
        <w:rPr>
          <w:rFonts w:ascii="Times New Roman" w:hAnsi="Times New Roman" w:cs="Times New Roman"/>
          <w:spacing w:val="-2"/>
          <w:sz w:val="24"/>
          <w:szCs w:val="24"/>
        </w:rPr>
        <w:t xml:space="preserve">based </w:t>
      </w:r>
      <w:r w:rsidR="00600DA8">
        <w:rPr>
          <w:rFonts w:ascii="Times New Roman" w:hAnsi="Times New Roman" w:cs="Times New Roman"/>
          <w:spacing w:val="-2"/>
          <w:sz w:val="24"/>
          <w:szCs w:val="24"/>
        </w:rPr>
        <w:t>o</w:t>
      </w:r>
      <w:r w:rsidR="00CE01CF">
        <w:rPr>
          <w:rFonts w:ascii="Times New Roman" w:hAnsi="Times New Roman" w:cs="Times New Roman"/>
          <w:spacing w:val="-2"/>
          <w:sz w:val="24"/>
          <w:szCs w:val="24"/>
        </w:rPr>
        <w:t xml:space="preserve">n </w:t>
      </w:r>
      <w:r w:rsidR="002D1F88">
        <w:rPr>
          <w:rFonts w:ascii="Times New Roman" w:hAnsi="Times New Roman" w:cs="Times New Roman"/>
          <w:spacing w:val="-2"/>
          <w:sz w:val="24"/>
          <w:szCs w:val="24"/>
        </w:rPr>
        <w:t xml:space="preserve">or inspired of </w:t>
      </w:r>
      <w:r w:rsidR="00CE01CF">
        <w:rPr>
          <w:rFonts w:ascii="Times New Roman" w:hAnsi="Times New Roman" w:cs="Times New Roman"/>
          <w:spacing w:val="-2"/>
          <w:sz w:val="24"/>
          <w:szCs w:val="24"/>
        </w:rPr>
        <w:t xml:space="preserve">their US law counterparts </w:t>
      </w:r>
      <w:r w:rsidR="002D1F88">
        <w:rPr>
          <w:rFonts w:ascii="Times New Roman" w:hAnsi="Times New Roman" w:cs="Times New Roman"/>
          <w:spacing w:val="-2"/>
          <w:sz w:val="24"/>
          <w:szCs w:val="24"/>
        </w:rPr>
        <w:t>such as</w:t>
      </w:r>
      <w:r w:rsidR="00CE01CF">
        <w:rPr>
          <w:rFonts w:ascii="Times New Roman" w:hAnsi="Times New Roman" w:cs="Times New Roman"/>
          <w:spacing w:val="-2"/>
          <w:sz w:val="24"/>
          <w:szCs w:val="24"/>
        </w:rPr>
        <w:t xml:space="preserve"> </w:t>
      </w:r>
      <w:r w:rsidR="001A7C04">
        <w:rPr>
          <w:rFonts w:ascii="Times New Roman" w:hAnsi="Times New Roman" w:cs="Times New Roman"/>
          <w:spacing w:val="-2"/>
          <w:sz w:val="24"/>
          <w:szCs w:val="24"/>
        </w:rPr>
        <w:t>some</w:t>
      </w:r>
      <w:r w:rsidR="00CE01CF">
        <w:rPr>
          <w:rFonts w:ascii="Times New Roman" w:hAnsi="Times New Roman" w:cs="Times New Roman"/>
          <w:spacing w:val="-2"/>
          <w:sz w:val="24"/>
          <w:szCs w:val="24"/>
        </w:rPr>
        <w:t xml:space="preserve"> exception</w:t>
      </w:r>
      <w:r w:rsidR="001A7C04">
        <w:rPr>
          <w:rFonts w:ascii="Times New Roman" w:hAnsi="Times New Roman" w:cs="Times New Roman"/>
          <w:spacing w:val="-2"/>
          <w:sz w:val="24"/>
          <w:szCs w:val="24"/>
        </w:rPr>
        <w:t>al rights</w:t>
      </w:r>
      <w:r w:rsidR="00CE01CF">
        <w:rPr>
          <w:rFonts w:ascii="Times New Roman" w:hAnsi="Times New Roman" w:cs="Times New Roman"/>
          <w:spacing w:val="-2"/>
          <w:sz w:val="24"/>
          <w:szCs w:val="24"/>
        </w:rPr>
        <w:t xml:space="preserve"> under IPR law, essential facilities doctrine under competition law, access obligations under sector-specific regulations</w:t>
      </w:r>
      <w:r w:rsidR="00600DA8">
        <w:rPr>
          <w:rFonts w:ascii="Times New Roman" w:hAnsi="Times New Roman" w:cs="Times New Roman"/>
          <w:spacing w:val="-2"/>
          <w:sz w:val="24"/>
          <w:szCs w:val="24"/>
        </w:rPr>
        <w:t xml:space="preserve">. </w:t>
      </w:r>
      <w:r w:rsidR="00FF7C1B">
        <w:rPr>
          <w:rFonts w:ascii="Times New Roman" w:hAnsi="Times New Roman" w:cs="Times New Roman"/>
          <w:spacing w:val="-2"/>
          <w:sz w:val="24"/>
          <w:szCs w:val="24"/>
        </w:rPr>
        <w:t xml:space="preserve">EU law and institutions, while standing on this basis, forge ahead by enacting new rights and obligations i.e. regarding data portability, AI, </w:t>
      </w:r>
      <w:r w:rsidR="009C3EC3">
        <w:rPr>
          <w:rFonts w:ascii="Times New Roman" w:hAnsi="Times New Roman" w:cs="Times New Roman"/>
          <w:spacing w:val="-2"/>
          <w:sz w:val="24"/>
          <w:szCs w:val="24"/>
        </w:rPr>
        <w:t xml:space="preserve">which </w:t>
      </w:r>
      <w:r w:rsidR="00FF7C1B">
        <w:rPr>
          <w:rFonts w:ascii="Times New Roman" w:hAnsi="Times New Roman" w:cs="Times New Roman"/>
          <w:spacing w:val="-2"/>
          <w:sz w:val="24"/>
          <w:szCs w:val="24"/>
        </w:rPr>
        <w:t xml:space="preserve">poses a widened legal response and measures. </w:t>
      </w:r>
      <w:r w:rsidR="006C5849">
        <w:rPr>
          <w:rFonts w:ascii="Times New Roman" w:hAnsi="Times New Roman" w:cs="Times New Roman"/>
          <w:spacing w:val="-2"/>
          <w:sz w:val="24"/>
          <w:szCs w:val="24"/>
        </w:rPr>
        <w:t>Furthermore</w:t>
      </w:r>
      <w:r w:rsidR="00FF7C1B">
        <w:rPr>
          <w:rFonts w:ascii="Times New Roman" w:hAnsi="Times New Roman" w:cs="Times New Roman"/>
          <w:spacing w:val="-2"/>
          <w:sz w:val="24"/>
          <w:szCs w:val="24"/>
        </w:rPr>
        <w:t>, o</w:t>
      </w:r>
      <w:r w:rsidR="00CE01CF">
        <w:rPr>
          <w:rFonts w:ascii="Times New Roman" w:hAnsi="Times New Roman" w:cs="Times New Roman"/>
          <w:spacing w:val="-2"/>
          <w:sz w:val="24"/>
          <w:szCs w:val="24"/>
        </w:rPr>
        <w:t>ne could find more crystallised formulation of these rules and principles under EU law</w:t>
      </w:r>
      <w:r w:rsidR="000B3F29">
        <w:rPr>
          <w:rFonts w:ascii="Times New Roman" w:hAnsi="Times New Roman" w:cs="Times New Roman"/>
          <w:spacing w:val="-2"/>
          <w:sz w:val="24"/>
          <w:szCs w:val="24"/>
        </w:rPr>
        <w:t xml:space="preserve">, particularly when it </w:t>
      </w:r>
      <w:r w:rsidR="00600DA8">
        <w:rPr>
          <w:rFonts w:ascii="Times New Roman" w:hAnsi="Times New Roman" w:cs="Times New Roman"/>
          <w:spacing w:val="-2"/>
          <w:sz w:val="24"/>
          <w:szCs w:val="24"/>
        </w:rPr>
        <w:t>com</w:t>
      </w:r>
      <w:r w:rsidR="000B3F29">
        <w:rPr>
          <w:rFonts w:ascii="Times New Roman" w:hAnsi="Times New Roman" w:cs="Times New Roman"/>
          <w:spacing w:val="-2"/>
          <w:sz w:val="24"/>
          <w:szCs w:val="24"/>
        </w:rPr>
        <w:t>es to competition law and sector-specific regulation.</w:t>
      </w:r>
      <w:r w:rsidR="00FF7C1B">
        <w:rPr>
          <w:rFonts w:ascii="Times New Roman" w:hAnsi="Times New Roman" w:cs="Times New Roman"/>
          <w:spacing w:val="-2"/>
          <w:sz w:val="24"/>
          <w:szCs w:val="24"/>
        </w:rPr>
        <w:t xml:space="preserve"> </w:t>
      </w:r>
      <w:r w:rsidR="00A0744D">
        <w:rPr>
          <w:rFonts w:ascii="Times New Roman" w:hAnsi="Times New Roman" w:cs="Times New Roman"/>
          <w:spacing w:val="-2"/>
          <w:sz w:val="24"/>
          <w:szCs w:val="24"/>
        </w:rPr>
        <w:t>From the interoperability point of view, m</w:t>
      </w:r>
      <w:r w:rsidR="000B3F29">
        <w:rPr>
          <w:rFonts w:ascii="Times New Roman" w:hAnsi="Times New Roman" w:cs="Times New Roman"/>
          <w:spacing w:val="-2"/>
          <w:sz w:val="24"/>
          <w:szCs w:val="24"/>
        </w:rPr>
        <w:t xml:space="preserve">ore </w:t>
      </w:r>
      <w:r w:rsidR="00F002BD">
        <w:rPr>
          <w:rFonts w:ascii="Times New Roman" w:hAnsi="Times New Roman" w:cs="Times New Roman"/>
          <w:spacing w:val="-2"/>
          <w:sz w:val="24"/>
          <w:szCs w:val="24"/>
        </w:rPr>
        <w:t>clustered</w:t>
      </w:r>
      <w:r w:rsidR="000B3F29">
        <w:rPr>
          <w:rFonts w:ascii="Times New Roman" w:hAnsi="Times New Roman" w:cs="Times New Roman"/>
          <w:spacing w:val="-2"/>
          <w:sz w:val="24"/>
          <w:szCs w:val="24"/>
        </w:rPr>
        <w:t xml:space="preserve"> </w:t>
      </w:r>
      <w:r w:rsidR="00600DA8">
        <w:rPr>
          <w:rFonts w:ascii="Times New Roman" w:hAnsi="Times New Roman" w:cs="Times New Roman"/>
          <w:spacing w:val="-2"/>
          <w:sz w:val="24"/>
          <w:szCs w:val="24"/>
        </w:rPr>
        <w:t xml:space="preserve">and detailed </w:t>
      </w:r>
      <w:bookmarkStart w:id="79" w:name="_Hlk53560693"/>
      <w:r w:rsidR="001A7C04">
        <w:rPr>
          <w:rFonts w:ascii="Times New Roman" w:hAnsi="Times New Roman" w:cs="Times New Roman"/>
          <w:spacing w:val="-2"/>
          <w:sz w:val="24"/>
          <w:szCs w:val="24"/>
        </w:rPr>
        <w:t>features</w:t>
      </w:r>
      <w:bookmarkEnd w:id="79"/>
      <w:r w:rsidR="000B3F29">
        <w:rPr>
          <w:rFonts w:ascii="Times New Roman" w:hAnsi="Times New Roman" w:cs="Times New Roman"/>
          <w:spacing w:val="-2"/>
          <w:sz w:val="24"/>
          <w:szCs w:val="24"/>
        </w:rPr>
        <w:t xml:space="preserve"> of the EU </w:t>
      </w:r>
      <w:r w:rsidR="00494183">
        <w:rPr>
          <w:rFonts w:ascii="Times New Roman" w:hAnsi="Times New Roman" w:cs="Times New Roman"/>
          <w:spacing w:val="-2"/>
          <w:sz w:val="24"/>
          <w:szCs w:val="24"/>
        </w:rPr>
        <w:t>legal system</w:t>
      </w:r>
      <w:r w:rsidR="000B3F29">
        <w:rPr>
          <w:rFonts w:ascii="Times New Roman" w:hAnsi="Times New Roman" w:cs="Times New Roman"/>
          <w:spacing w:val="-2"/>
          <w:sz w:val="24"/>
          <w:szCs w:val="24"/>
        </w:rPr>
        <w:t xml:space="preserve"> </w:t>
      </w:r>
      <w:r w:rsidR="002D1F88">
        <w:rPr>
          <w:rFonts w:ascii="Times New Roman" w:hAnsi="Times New Roman" w:cs="Times New Roman"/>
          <w:spacing w:val="-2"/>
          <w:sz w:val="24"/>
          <w:szCs w:val="24"/>
        </w:rPr>
        <w:t>in</w:t>
      </w:r>
      <w:r w:rsidR="00494183">
        <w:rPr>
          <w:rFonts w:ascii="Times New Roman" w:hAnsi="Times New Roman" w:cs="Times New Roman"/>
          <w:spacing w:val="-2"/>
          <w:sz w:val="24"/>
          <w:szCs w:val="24"/>
        </w:rPr>
        <w:t>corporating</w:t>
      </w:r>
      <w:r w:rsidR="002D1F88">
        <w:rPr>
          <w:rFonts w:ascii="Times New Roman" w:hAnsi="Times New Roman" w:cs="Times New Roman"/>
          <w:spacing w:val="-2"/>
          <w:sz w:val="24"/>
          <w:szCs w:val="24"/>
        </w:rPr>
        <w:t xml:space="preserve"> the relevant case law</w:t>
      </w:r>
      <w:r w:rsidR="00822EE1">
        <w:rPr>
          <w:rFonts w:ascii="Times New Roman" w:hAnsi="Times New Roman" w:cs="Times New Roman"/>
          <w:spacing w:val="-2"/>
          <w:sz w:val="24"/>
          <w:szCs w:val="24"/>
        </w:rPr>
        <w:t xml:space="preserve"> e.g. regarding refusal to supply, merger cases</w:t>
      </w:r>
      <w:r w:rsidR="002D1F88">
        <w:rPr>
          <w:rFonts w:ascii="Times New Roman" w:hAnsi="Times New Roman" w:cs="Times New Roman"/>
          <w:spacing w:val="-2"/>
          <w:sz w:val="24"/>
          <w:szCs w:val="24"/>
        </w:rPr>
        <w:t xml:space="preserve">, </w:t>
      </w:r>
      <w:r w:rsidR="000B3F29">
        <w:rPr>
          <w:rFonts w:ascii="Times New Roman" w:hAnsi="Times New Roman" w:cs="Times New Roman"/>
          <w:spacing w:val="-2"/>
          <w:sz w:val="24"/>
          <w:szCs w:val="24"/>
        </w:rPr>
        <w:t xml:space="preserve">offers a wider </w:t>
      </w:r>
      <w:r w:rsidR="00600DA8">
        <w:rPr>
          <w:rFonts w:ascii="Times New Roman" w:hAnsi="Times New Roman" w:cs="Times New Roman"/>
          <w:spacing w:val="-2"/>
          <w:sz w:val="24"/>
          <w:szCs w:val="24"/>
        </w:rPr>
        <w:t xml:space="preserve">and promising </w:t>
      </w:r>
      <w:r w:rsidR="000B3F29">
        <w:rPr>
          <w:rFonts w:ascii="Times New Roman" w:hAnsi="Times New Roman" w:cs="Times New Roman"/>
          <w:spacing w:val="-2"/>
          <w:sz w:val="24"/>
          <w:szCs w:val="24"/>
        </w:rPr>
        <w:t xml:space="preserve">ground on which a tripartite and comprehensive research </w:t>
      </w:r>
      <w:r w:rsidR="00600DA8">
        <w:rPr>
          <w:rFonts w:ascii="Times New Roman" w:hAnsi="Times New Roman" w:cs="Times New Roman"/>
          <w:spacing w:val="-2"/>
          <w:sz w:val="24"/>
          <w:szCs w:val="24"/>
        </w:rPr>
        <w:t>w</w:t>
      </w:r>
      <w:r w:rsidR="000B3F29">
        <w:rPr>
          <w:rFonts w:ascii="Times New Roman" w:hAnsi="Times New Roman" w:cs="Times New Roman"/>
          <w:spacing w:val="-2"/>
          <w:sz w:val="24"/>
          <w:szCs w:val="24"/>
        </w:rPr>
        <w:t xml:space="preserve">ould be </w:t>
      </w:r>
      <w:r w:rsidR="00600DA8">
        <w:rPr>
          <w:rFonts w:ascii="Times New Roman" w:hAnsi="Times New Roman" w:cs="Times New Roman"/>
          <w:spacing w:val="-2"/>
          <w:sz w:val="24"/>
          <w:szCs w:val="24"/>
        </w:rPr>
        <w:t>done</w:t>
      </w:r>
      <w:r w:rsidR="000B3F29">
        <w:rPr>
          <w:rFonts w:ascii="Times New Roman" w:hAnsi="Times New Roman" w:cs="Times New Roman"/>
          <w:spacing w:val="-2"/>
          <w:sz w:val="24"/>
          <w:szCs w:val="24"/>
        </w:rPr>
        <w:t>.</w:t>
      </w:r>
    </w:p>
    <w:p w14:paraId="0749CC3A" w14:textId="3473C2EE" w:rsidR="008555D4" w:rsidRDefault="00F002BD" w:rsidP="00A70042">
      <w:pPr>
        <w:spacing w:before="360"/>
        <w:jc w:val="both"/>
        <w:rPr>
          <w:rFonts w:ascii="Times New Roman" w:hAnsi="Times New Roman" w:cs="Times New Roman"/>
          <w:spacing w:val="-2"/>
          <w:sz w:val="24"/>
          <w:szCs w:val="24"/>
        </w:rPr>
      </w:pPr>
      <w:r>
        <w:rPr>
          <w:rFonts w:ascii="Times New Roman" w:hAnsi="Times New Roman" w:cs="Times New Roman"/>
          <w:spacing w:val="-2"/>
          <w:sz w:val="24"/>
          <w:szCs w:val="24"/>
        </w:rPr>
        <w:t>W</w:t>
      </w:r>
      <w:r w:rsidR="000B3F29">
        <w:rPr>
          <w:rFonts w:ascii="Times New Roman" w:hAnsi="Times New Roman" w:cs="Times New Roman"/>
          <w:spacing w:val="-2"/>
          <w:sz w:val="24"/>
          <w:szCs w:val="24"/>
        </w:rPr>
        <w:t>ider rules</w:t>
      </w:r>
      <w:r>
        <w:rPr>
          <w:rFonts w:ascii="Times New Roman" w:hAnsi="Times New Roman" w:cs="Times New Roman"/>
          <w:spacing w:val="-2"/>
          <w:sz w:val="24"/>
          <w:szCs w:val="24"/>
        </w:rPr>
        <w:t xml:space="preserve"> and measures</w:t>
      </w:r>
      <w:r w:rsidR="000B3F29">
        <w:rPr>
          <w:rFonts w:ascii="Times New Roman" w:hAnsi="Times New Roman" w:cs="Times New Roman"/>
          <w:spacing w:val="-2"/>
          <w:sz w:val="24"/>
          <w:szCs w:val="24"/>
        </w:rPr>
        <w:t xml:space="preserve"> potentially </w:t>
      </w:r>
      <w:r>
        <w:rPr>
          <w:rFonts w:ascii="Times New Roman" w:hAnsi="Times New Roman" w:cs="Times New Roman"/>
          <w:spacing w:val="-2"/>
          <w:sz w:val="24"/>
          <w:szCs w:val="24"/>
        </w:rPr>
        <w:t xml:space="preserve">mean </w:t>
      </w:r>
      <w:r w:rsidR="000B3F29">
        <w:rPr>
          <w:rFonts w:ascii="Times New Roman" w:hAnsi="Times New Roman" w:cs="Times New Roman"/>
          <w:spacing w:val="-2"/>
          <w:sz w:val="24"/>
          <w:szCs w:val="24"/>
        </w:rPr>
        <w:t>wider contours where</w:t>
      </w:r>
      <w:r w:rsidR="00600DA8">
        <w:rPr>
          <w:rFonts w:ascii="Times New Roman" w:hAnsi="Times New Roman" w:cs="Times New Roman"/>
          <w:spacing w:val="-2"/>
          <w:sz w:val="24"/>
          <w:szCs w:val="24"/>
        </w:rPr>
        <w:t>by</w:t>
      </w:r>
      <w:r w:rsidR="000B3F29">
        <w:rPr>
          <w:rFonts w:ascii="Times New Roman" w:hAnsi="Times New Roman" w:cs="Times New Roman"/>
          <w:spacing w:val="-2"/>
          <w:sz w:val="24"/>
          <w:szCs w:val="24"/>
        </w:rPr>
        <w:t xml:space="preserve"> ICT interoperability </w:t>
      </w:r>
      <w:r>
        <w:rPr>
          <w:rFonts w:ascii="Times New Roman" w:hAnsi="Times New Roman" w:cs="Times New Roman"/>
          <w:spacing w:val="-2"/>
          <w:sz w:val="24"/>
          <w:szCs w:val="24"/>
        </w:rPr>
        <w:t xml:space="preserve">could be elaborated and investigated </w:t>
      </w:r>
      <w:r w:rsidR="008555D4">
        <w:rPr>
          <w:rFonts w:ascii="Times New Roman" w:hAnsi="Times New Roman" w:cs="Times New Roman"/>
          <w:spacing w:val="-2"/>
          <w:sz w:val="24"/>
          <w:szCs w:val="24"/>
        </w:rPr>
        <w:t>ending up</w:t>
      </w:r>
      <w:r>
        <w:rPr>
          <w:rFonts w:ascii="Times New Roman" w:hAnsi="Times New Roman" w:cs="Times New Roman"/>
          <w:spacing w:val="-2"/>
          <w:sz w:val="24"/>
          <w:szCs w:val="24"/>
        </w:rPr>
        <w:t xml:space="preserve"> with broadly minded evaluation of the gatekeeping roles and functionalities</w:t>
      </w:r>
      <w:r w:rsidR="000B3F29">
        <w:rPr>
          <w:rFonts w:ascii="Times New Roman" w:hAnsi="Times New Roman" w:cs="Times New Roman"/>
          <w:spacing w:val="-2"/>
          <w:sz w:val="24"/>
          <w:szCs w:val="24"/>
        </w:rPr>
        <w:t xml:space="preserve">. This is </w:t>
      </w:r>
      <w:r>
        <w:rPr>
          <w:rFonts w:ascii="Times New Roman" w:hAnsi="Times New Roman" w:cs="Times New Roman"/>
          <w:spacing w:val="-2"/>
          <w:sz w:val="24"/>
          <w:szCs w:val="24"/>
        </w:rPr>
        <w:t>particularly persuasive in view of</w:t>
      </w:r>
      <w:r w:rsidR="000B3F29">
        <w:rPr>
          <w:rFonts w:ascii="Times New Roman" w:hAnsi="Times New Roman" w:cs="Times New Roman"/>
          <w:spacing w:val="-2"/>
          <w:sz w:val="24"/>
          <w:szCs w:val="24"/>
        </w:rPr>
        <w:t xml:space="preserve"> </w:t>
      </w:r>
      <w:r>
        <w:rPr>
          <w:rFonts w:ascii="Times New Roman" w:hAnsi="Times New Roman" w:cs="Times New Roman"/>
          <w:spacing w:val="-2"/>
          <w:sz w:val="24"/>
          <w:szCs w:val="24"/>
        </w:rPr>
        <w:t>the</w:t>
      </w:r>
      <w:r w:rsidR="000B3F29">
        <w:rPr>
          <w:rFonts w:ascii="Times New Roman" w:hAnsi="Times New Roman" w:cs="Times New Roman"/>
          <w:spacing w:val="-2"/>
          <w:sz w:val="24"/>
          <w:szCs w:val="24"/>
        </w:rPr>
        <w:t xml:space="preserve"> competition law and </w:t>
      </w:r>
      <w:r w:rsidR="003C4784">
        <w:rPr>
          <w:rFonts w:ascii="Times New Roman" w:hAnsi="Times New Roman" w:cs="Times New Roman"/>
          <w:spacing w:val="-2"/>
          <w:sz w:val="24"/>
          <w:szCs w:val="24"/>
        </w:rPr>
        <w:t>sector-specific regulations</w:t>
      </w:r>
      <w:r>
        <w:rPr>
          <w:rFonts w:ascii="Times New Roman" w:hAnsi="Times New Roman" w:cs="Times New Roman"/>
          <w:spacing w:val="-2"/>
          <w:sz w:val="24"/>
          <w:szCs w:val="24"/>
        </w:rPr>
        <w:t xml:space="preserve"> so far</w:t>
      </w:r>
      <w:r w:rsidR="000B3F29">
        <w:rPr>
          <w:rFonts w:ascii="Times New Roman" w:hAnsi="Times New Roman" w:cs="Times New Roman"/>
          <w:spacing w:val="-2"/>
          <w:sz w:val="24"/>
          <w:szCs w:val="24"/>
        </w:rPr>
        <w:t xml:space="preserve">. </w:t>
      </w:r>
      <w:r w:rsidR="003C4784">
        <w:rPr>
          <w:rFonts w:ascii="Times New Roman" w:hAnsi="Times New Roman" w:cs="Times New Roman"/>
          <w:spacing w:val="-2"/>
          <w:sz w:val="24"/>
          <w:szCs w:val="24"/>
        </w:rPr>
        <w:t xml:space="preserve">For instance, </w:t>
      </w:r>
      <w:r w:rsidR="00E401C8">
        <w:rPr>
          <w:rFonts w:ascii="Times New Roman" w:hAnsi="Times New Roman" w:cs="Times New Roman"/>
          <w:spacing w:val="-2"/>
          <w:sz w:val="24"/>
          <w:szCs w:val="24"/>
        </w:rPr>
        <w:t xml:space="preserve">in EU </w:t>
      </w:r>
      <w:r w:rsidR="00E401C8" w:rsidRPr="00B1768D">
        <w:rPr>
          <w:rFonts w:ascii="Times New Roman" w:hAnsi="Times New Roman" w:cs="Times New Roman"/>
          <w:i/>
          <w:iCs/>
          <w:spacing w:val="-2"/>
          <w:sz w:val="24"/>
          <w:szCs w:val="24"/>
        </w:rPr>
        <w:t>Microsoft</w:t>
      </w:r>
      <w:r w:rsidR="00E401C8">
        <w:rPr>
          <w:rFonts w:ascii="Times New Roman" w:hAnsi="Times New Roman" w:cs="Times New Roman"/>
          <w:spacing w:val="-2"/>
          <w:sz w:val="24"/>
          <w:szCs w:val="24"/>
        </w:rPr>
        <w:t xml:space="preserve"> case, the reason </w:t>
      </w:r>
      <w:r w:rsidR="008555D4">
        <w:rPr>
          <w:rFonts w:ascii="Times New Roman" w:hAnsi="Times New Roman" w:cs="Times New Roman"/>
          <w:spacing w:val="-2"/>
          <w:sz w:val="24"/>
          <w:szCs w:val="24"/>
        </w:rPr>
        <w:t>for</w:t>
      </w:r>
      <w:r w:rsidR="00E401C8">
        <w:rPr>
          <w:rFonts w:ascii="Times New Roman" w:hAnsi="Times New Roman" w:cs="Times New Roman"/>
          <w:spacing w:val="-2"/>
          <w:sz w:val="24"/>
          <w:szCs w:val="24"/>
        </w:rPr>
        <w:t xml:space="preserve"> finding the abuse of dominance was Microsoft’s refusal to provide the competitors with interoperability information, where</w:t>
      </w:r>
      <w:r w:rsidR="001A7C04">
        <w:rPr>
          <w:rFonts w:ascii="Times New Roman" w:hAnsi="Times New Roman" w:cs="Times New Roman"/>
          <w:spacing w:val="-2"/>
          <w:sz w:val="24"/>
          <w:szCs w:val="24"/>
        </w:rPr>
        <w:t>as</w:t>
      </w:r>
      <w:r w:rsidR="00E401C8">
        <w:rPr>
          <w:rFonts w:ascii="Times New Roman" w:hAnsi="Times New Roman" w:cs="Times New Roman"/>
          <w:spacing w:val="-2"/>
          <w:sz w:val="24"/>
          <w:szCs w:val="24"/>
        </w:rPr>
        <w:t xml:space="preserve"> the US </w:t>
      </w:r>
      <w:r w:rsidR="00E401C8" w:rsidRPr="00B1768D">
        <w:rPr>
          <w:rFonts w:ascii="Times New Roman" w:hAnsi="Times New Roman" w:cs="Times New Roman"/>
          <w:i/>
          <w:iCs/>
          <w:spacing w:val="-2"/>
          <w:sz w:val="24"/>
          <w:szCs w:val="24"/>
        </w:rPr>
        <w:t>Microsoft</w:t>
      </w:r>
      <w:r w:rsidR="00E401C8">
        <w:rPr>
          <w:rFonts w:ascii="Times New Roman" w:hAnsi="Times New Roman" w:cs="Times New Roman"/>
          <w:spacing w:val="-2"/>
          <w:sz w:val="24"/>
          <w:szCs w:val="24"/>
        </w:rPr>
        <w:t xml:space="preserve"> case was </w:t>
      </w:r>
      <w:r w:rsidR="00E401C8">
        <w:rPr>
          <w:rFonts w:ascii="Times New Roman" w:hAnsi="Times New Roman" w:cs="Times New Roman"/>
          <w:spacing w:val="-2"/>
          <w:sz w:val="24"/>
          <w:szCs w:val="24"/>
        </w:rPr>
        <w:lastRenderedPageBreak/>
        <w:t>not built upon such a discourse.</w:t>
      </w:r>
      <w:r w:rsidR="00E401C8">
        <w:rPr>
          <w:rStyle w:val="FootnoteReference"/>
          <w:rFonts w:ascii="Times New Roman" w:hAnsi="Times New Roman" w:cs="Times New Roman"/>
          <w:spacing w:val="-2"/>
          <w:sz w:val="24"/>
          <w:szCs w:val="24"/>
        </w:rPr>
        <w:footnoteReference w:id="35"/>
      </w:r>
      <w:r w:rsidR="00E401C8">
        <w:rPr>
          <w:rFonts w:ascii="Times New Roman" w:hAnsi="Times New Roman" w:cs="Times New Roman"/>
          <w:spacing w:val="-2"/>
          <w:sz w:val="24"/>
          <w:szCs w:val="24"/>
        </w:rPr>
        <w:t xml:space="preserve"> By the same token, </w:t>
      </w:r>
      <w:r w:rsidR="003C4784">
        <w:rPr>
          <w:rFonts w:ascii="Times New Roman" w:hAnsi="Times New Roman" w:cs="Times New Roman"/>
          <w:spacing w:val="-2"/>
          <w:sz w:val="24"/>
          <w:szCs w:val="24"/>
        </w:rPr>
        <w:t xml:space="preserve">after </w:t>
      </w:r>
      <w:r w:rsidR="003C4784" w:rsidRPr="00B1768D">
        <w:rPr>
          <w:rFonts w:ascii="Times New Roman" w:hAnsi="Times New Roman" w:cs="Times New Roman"/>
          <w:i/>
          <w:iCs/>
          <w:spacing w:val="-2"/>
          <w:sz w:val="24"/>
          <w:szCs w:val="24"/>
        </w:rPr>
        <w:t>Trinko</w:t>
      </w:r>
      <w:r w:rsidR="003C4784">
        <w:rPr>
          <w:rFonts w:ascii="Times New Roman" w:hAnsi="Times New Roman" w:cs="Times New Roman"/>
          <w:spacing w:val="-2"/>
          <w:sz w:val="24"/>
          <w:szCs w:val="24"/>
        </w:rPr>
        <w:t xml:space="preserve"> case</w:t>
      </w:r>
      <w:r w:rsidR="006879BD">
        <w:rPr>
          <w:rStyle w:val="FootnoteReference"/>
          <w:rFonts w:ascii="Times New Roman" w:hAnsi="Times New Roman" w:cs="Times New Roman"/>
          <w:spacing w:val="-2"/>
          <w:sz w:val="24"/>
          <w:szCs w:val="24"/>
        </w:rPr>
        <w:footnoteReference w:id="36"/>
      </w:r>
      <w:r w:rsidR="003C4784">
        <w:rPr>
          <w:rFonts w:ascii="Times New Roman" w:hAnsi="Times New Roman" w:cs="Times New Roman"/>
          <w:spacing w:val="-2"/>
          <w:sz w:val="24"/>
          <w:szCs w:val="24"/>
        </w:rPr>
        <w:t xml:space="preserve"> in the US, it became much harder to consider any denial of access to essential facilities including interfaces as anti-competitive or abusive, as opposed to the </w:t>
      </w:r>
      <w:r w:rsidR="00E401C8">
        <w:rPr>
          <w:rFonts w:ascii="Times New Roman" w:hAnsi="Times New Roman" w:cs="Times New Roman"/>
          <w:spacing w:val="-2"/>
          <w:sz w:val="24"/>
          <w:szCs w:val="24"/>
        </w:rPr>
        <w:t>EU</w:t>
      </w:r>
      <w:r w:rsidR="00FD18AA">
        <w:rPr>
          <w:rFonts w:ascii="Times New Roman" w:hAnsi="Times New Roman" w:cs="Times New Roman"/>
          <w:spacing w:val="-2"/>
          <w:sz w:val="24"/>
          <w:szCs w:val="24"/>
        </w:rPr>
        <w:t xml:space="preserve"> competition law</w:t>
      </w:r>
      <w:r w:rsidR="003C4784">
        <w:rPr>
          <w:rFonts w:ascii="Times New Roman" w:hAnsi="Times New Roman" w:cs="Times New Roman"/>
          <w:spacing w:val="-2"/>
          <w:sz w:val="24"/>
          <w:szCs w:val="24"/>
        </w:rPr>
        <w:t xml:space="preserve"> </w:t>
      </w:r>
      <w:r w:rsidR="00E401C8">
        <w:rPr>
          <w:rFonts w:ascii="Times New Roman" w:hAnsi="Times New Roman" w:cs="Times New Roman"/>
          <w:spacing w:val="-2"/>
          <w:sz w:val="24"/>
          <w:szCs w:val="24"/>
        </w:rPr>
        <w:t>wisdom</w:t>
      </w:r>
      <w:r w:rsidR="003C4784">
        <w:rPr>
          <w:rFonts w:ascii="Times New Roman" w:hAnsi="Times New Roman" w:cs="Times New Roman"/>
          <w:spacing w:val="-2"/>
          <w:sz w:val="24"/>
          <w:szCs w:val="24"/>
        </w:rPr>
        <w:t xml:space="preserve"> that </w:t>
      </w:r>
      <w:r w:rsidR="006879BD">
        <w:rPr>
          <w:rFonts w:ascii="Times New Roman" w:hAnsi="Times New Roman" w:cs="Times New Roman"/>
          <w:spacing w:val="-2"/>
          <w:sz w:val="24"/>
          <w:szCs w:val="24"/>
        </w:rPr>
        <w:t>keep</w:t>
      </w:r>
      <w:r w:rsidR="00E401C8">
        <w:rPr>
          <w:rFonts w:ascii="Times New Roman" w:hAnsi="Times New Roman" w:cs="Times New Roman"/>
          <w:spacing w:val="-2"/>
          <w:sz w:val="24"/>
          <w:szCs w:val="24"/>
        </w:rPr>
        <w:t>s</w:t>
      </w:r>
      <w:r w:rsidR="006879BD">
        <w:rPr>
          <w:rFonts w:ascii="Times New Roman" w:hAnsi="Times New Roman" w:cs="Times New Roman"/>
          <w:spacing w:val="-2"/>
          <w:sz w:val="24"/>
          <w:szCs w:val="24"/>
        </w:rPr>
        <w:t xml:space="preserve"> </w:t>
      </w:r>
      <w:r w:rsidR="003C4784">
        <w:rPr>
          <w:rFonts w:ascii="Times New Roman" w:hAnsi="Times New Roman" w:cs="Times New Roman"/>
          <w:spacing w:val="-2"/>
          <w:sz w:val="24"/>
          <w:szCs w:val="24"/>
        </w:rPr>
        <w:t xml:space="preserve">access </w:t>
      </w:r>
      <w:r w:rsidR="006879BD">
        <w:rPr>
          <w:rFonts w:ascii="Times New Roman" w:hAnsi="Times New Roman" w:cs="Times New Roman"/>
          <w:spacing w:val="-2"/>
          <w:sz w:val="24"/>
          <w:szCs w:val="24"/>
        </w:rPr>
        <w:t xml:space="preserve">and interoperability </w:t>
      </w:r>
      <w:r w:rsidR="003C4784">
        <w:rPr>
          <w:rFonts w:ascii="Times New Roman" w:hAnsi="Times New Roman" w:cs="Times New Roman"/>
          <w:spacing w:val="-2"/>
          <w:sz w:val="24"/>
          <w:szCs w:val="24"/>
        </w:rPr>
        <w:t xml:space="preserve">obligations </w:t>
      </w:r>
      <w:r w:rsidR="006879BD">
        <w:rPr>
          <w:rFonts w:ascii="Times New Roman" w:hAnsi="Times New Roman" w:cs="Times New Roman"/>
          <w:spacing w:val="-2"/>
          <w:sz w:val="24"/>
          <w:szCs w:val="24"/>
        </w:rPr>
        <w:t>alive</w:t>
      </w:r>
      <w:r w:rsidR="00BD6753">
        <w:rPr>
          <w:rFonts w:ascii="Times New Roman" w:hAnsi="Times New Roman" w:cs="Times New Roman"/>
          <w:spacing w:val="-2"/>
          <w:sz w:val="24"/>
          <w:szCs w:val="24"/>
        </w:rPr>
        <w:t xml:space="preserve"> and sustainable</w:t>
      </w:r>
      <w:r w:rsidR="003C4784">
        <w:rPr>
          <w:rFonts w:ascii="Times New Roman" w:hAnsi="Times New Roman" w:cs="Times New Roman"/>
          <w:spacing w:val="-2"/>
          <w:sz w:val="24"/>
          <w:szCs w:val="24"/>
        </w:rPr>
        <w:t>.</w:t>
      </w:r>
      <w:r w:rsidR="00FD18AA">
        <w:rPr>
          <w:rStyle w:val="FootnoteReference"/>
          <w:rFonts w:ascii="Times New Roman" w:hAnsi="Times New Roman" w:cs="Times New Roman"/>
          <w:spacing w:val="-2"/>
          <w:sz w:val="24"/>
          <w:szCs w:val="24"/>
        </w:rPr>
        <w:footnoteReference w:id="37"/>
      </w:r>
      <w:r w:rsidR="003C4784">
        <w:rPr>
          <w:rFonts w:ascii="Times New Roman" w:hAnsi="Times New Roman" w:cs="Times New Roman"/>
          <w:spacing w:val="-2"/>
          <w:sz w:val="24"/>
          <w:szCs w:val="24"/>
        </w:rPr>
        <w:t xml:space="preserve"> </w:t>
      </w:r>
      <w:r w:rsidR="001A7C04">
        <w:rPr>
          <w:rFonts w:ascii="Times New Roman" w:hAnsi="Times New Roman" w:cs="Times New Roman"/>
          <w:spacing w:val="-2"/>
          <w:sz w:val="24"/>
          <w:szCs w:val="24"/>
        </w:rPr>
        <w:t>Last but not least</w:t>
      </w:r>
      <w:r w:rsidR="00E401C8">
        <w:rPr>
          <w:rFonts w:ascii="Times New Roman" w:hAnsi="Times New Roman" w:cs="Times New Roman"/>
          <w:spacing w:val="-2"/>
          <w:sz w:val="24"/>
          <w:szCs w:val="24"/>
        </w:rPr>
        <w:t xml:space="preserve">, this wisdom is supported with the </w:t>
      </w:r>
      <w:r w:rsidR="00A11E46">
        <w:rPr>
          <w:rFonts w:ascii="Times New Roman" w:hAnsi="Times New Roman" w:cs="Times New Roman"/>
          <w:spacing w:val="-2"/>
          <w:sz w:val="24"/>
          <w:szCs w:val="24"/>
        </w:rPr>
        <w:t xml:space="preserve">ECRF </w:t>
      </w:r>
      <w:r w:rsidR="008555D4">
        <w:rPr>
          <w:rFonts w:ascii="Times New Roman" w:hAnsi="Times New Roman" w:cs="Times New Roman"/>
          <w:spacing w:val="-2"/>
          <w:sz w:val="24"/>
          <w:szCs w:val="24"/>
        </w:rPr>
        <w:t xml:space="preserve">based </w:t>
      </w:r>
      <w:r w:rsidR="00A11E46">
        <w:rPr>
          <w:rFonts w:ascii="Times New Roman" w:hAnsi="Times New Roman" w:cs="Times New Roman"/>
          <w:spacing w:val="-2"/>
          <w:sz w:val="24"/>
          <w:szCs w:val="24"/>
        </w:rPr>
        <w:t>rules and safeguards</w:t>
      </w:r>
      <w:r w:rsidR="008555D4">
        <w:rPr>
          <w:rFonts w:ascii="Times New Roman" w:hAnsi="Times New Roman" w:cs="Times New Roman"/>
          <w:spacing w:val="-2"/>
          <w:sz w:val="24"/>
          <w:szCs w:val="24"/>
        </w:rPr>
        <w:t xml:space="preserve"> in the EU</w:t>
      </w:r>
      <w:r w:rsidR="00A11E46">
        <w:rPr>
          <w:rFonts w:ascii="Times New Roman" w:hAnsi="Times New Roman" w:cs="Times New Roman"/>
          <w:spacing w:val="-2"/>
          <w:sz w:val="24"/>
          <w:szCs w:val="24"/>
        </w:rPr>
        <w:t>, whereas neither access remedies nor net neutrality obligations prevail</w:t>
      </w:r>
      <w:r w:rsidR="008555D4">
        <w:rPr>
          <w:rFonts w:ascii="Times New Roman" w:hAnsi="Times New Roman" w:cs="Times New Roman"/>
          <w:spacing w:val="-2"/>
          <w:sz w:val="24"/>
          <w:szCs w:val="24"/>
        </w:rPr>
        <w:t xml:space="preserve"> in the USA</w:t>
      </w:r>
      <w:r w:rsidR="0022379B">
        <w:rPr>
          <w:rFonts w:ascii="Times New Roman" w:hAnsi="Times New Roman" w:cs="Times New Roman"/>
          <w:spacing w:val="-2"/>
          <w:sz w:val="24"/>
          <w:szCs w:val="24"/>
        </w:rPr>
        <w:t xml:space="preserve">. </w:t>
      </w:r>
      <w:r w:rsidR="00B44CCD">
        <w:rPr>
          <w:rFonts w:ascii="Times New Roman" w:hAnsi="Times New Roman" w:cs="Times New Roman"/>
          <w:spacing w:val="-2"/>
          <w:sz w:val="24"/>
          <w:szCs w:val="24"/>
        </w:rPr>
        <w:t xml:space="preserve">In fact, except with the intellectual property legislation and case law, regulation of interoperability has become much obscured and/or underdeveloped within the US law. </w:t>
      </w:r>
      <w:r w:rsidR="0022379B">
        <w:rPr>
          <w:rFonts w:ascii="Times New Roman" w:hAnsi="Times New Roman" w:cs="Times New Roman"/>
          <w:i/>
          <w:iCs/>
          <w:spacing w:val="-2"/>
          <w:sz w:val="24"/>
          <w:szCs w:val="24"/>
        </w:rPr>
        <w:t>S</w:t>
      </w:r>
      <w:r w:rsidR="0022379B" w:rsidRPr="00692824">
        <w:rPr>
          <w:rFonts w:ascii="Times New Roman" w:hAnsi="Times New Roman" w:cs="Times New Roman"/>
          <w:i/>
          <w:iCs/>
          <w:spacing w:val="-2"/>
          <w:sz w:val="24"/>
          <w:szCs w:val="24"/>
        </w:rPr>
        <w:t>tatus quo</w:t>
      </w:r>
      <w:r w:rsidR="0022379B">
        <w:rPr>
          <w:rFonts w:ascii="Times New Roman" w:hAnsi="Times New Roman" w:cs="Times New Roman"/>
          <w:spacing w:val="-2"/>
          <w:sz w:val="24"/>
          <w:szCs w:val="24"/>
        </w:rPr>
        <w:t xml:space="preserve"> on the US side </w:t>
      </w:r>
      <w:r w:rsidR="00B44CCD">
        <w:rPr>
          <w:rFonts w:ascii="Times New Roman" w:hAnsi="Times New Roman" w:cs="Times New Roman"/>
          <w:spacing w:val="-2"/>
          <w:sz w:val="24"/>
          <w:szCs w:val="24"/>
        </w:rPr>
        <w:t>thus makes it difficult to cultivate</w:t>
      </w:r>
      <w:r w:rsidR="0022379B">
        <w:rPr>
          <w:rFonts w:ascii="Times New Roman" w:hAnsi="Times New Roman" w:cs="Times New Roman"/>
          <w:spacing w:val="-2"/>
          <w:sz w:val="24"/>
          <w:szCs w:val="24"/>
        </w:rPr>
        <w:t xml:space="preserve"> </w:t>
      </w:r>
      <w:r w:rsidR="00A11E46">
        <w:rPr>
          <w:rFonts w:ascii="Times New Roman" w:hAnsi="Times New Roman" w:cs="Times New Roman"/>
          <w:spacing w:val="-2"/>
          <w:sz w:val="24"/>
          <w:szCs w:val="24"/>
        </w:rPr>
        <w:t xml:space="preserve">a research regarding </w:t>
      </w:r>
      <w:r w:rsidR="00B44CCD">
        <w:rPr>
          <w:rFonts w:ascii="Times New Roman" w:hAnsi="Times New Roman" w:cs="Times New Roman"/>
          <w:spacing w:val="-2"/>
          <w:sz w:val="24"/>
          <w:szCs w:val="24"/>
        </w:rPr>
        <w:t xml:space="preserve">ICT </w:t>
      </w:r>
      <w:r w:rsidR="0022379B">
        <w:rPr>
          <w:rFonts w:ascii="Times New Roman" w:hAnsi="Times New Roman" w:cs="Times New Roman"/>
          <w:spacing w:val="-2"/>
          <w:sz w:val="24"/>
          <w:szCs w:val="24"/>
        </w:rPr>
        <w:t xml:space="preserve">interoperability </w:t>
      </w:r>
      <w:r w:rsidR="00A11E46">
        <w:rPr>
          <w:rFonts w:ascii="Times New Roman" w:hAnsi="Times New Roman" w:cs="Times New Roman"/>
          <w:spacing w:val="-2"/>
          <w:sz w:val="24"/>
          <w:szCs w:val="24"/>
        </w:rPr>
        <w:t xml:space="preserve">from </w:t>
      </w:r>
      <w:r w:rsidR="00B44CCD">
        <w:rPr>
          <w:rFonts w:ascii="Times New Roman" w:hAnsi="Times New Roman" w:cs="Times New Roman"/>
          <w:spacing w:val="-2"/>
          <w:sz w:val="24"/>
          <w:szCs w:val="24"/>
        </w:rPr>
        <w:t>a</w:t>
      </w:r>
      <w:r w:rsidR="0022379B">
        <w:rPr>
          <w:rFonts w:ascii="Times New Roman" w:hAnsi="Times New Roman" w:cs="Times New Roman"/>
          <w:spacing w:val="-2"/>
          <w:sz w:val="24"/>
          <w:szCs w:val="24"/>
        </w:rPr>
        <w:t xml:space="preserve"> multi-disciplinary</w:t>
      </w:r>
      <w:r w:rsidR="00B44CCD">
        <w:rPr>
          <w:rFonts w:ascii="Times New Roman" w:hAnsi="Times New Roman" w:cs="Times New Roman"/>
          <w:spacing w:val="-2"/>
          <w:sz w:val="24"/>
          <w:szCs w:val="24"/>
        </w:rPr>
        <w:t xml:space="preserve"> perspective</w:t>
      </w:r>
      <w:r w:rsidR="00846C16">
        <w:rPr>
          <w:rFonts w:ascii="Times New Roman" w:hAnsi="Times New Roman" w:cs="Times New Roman"/>
          <w:spacing w:val="-2"/>
          <w:sz w:val="24"/>
          <w:szCs w:val="24"/>
        </w:rPr>
        <w:t>.</w:t>
      </w:r>
      <w:r w:rsidR="008555D4">
        <w:rPr>
          <w:rFonts w:ascii="Times New Roman" w:hAnsi="Times New Roman" w:cs="Times New Roman"/>
          <w:spacing w:val="-2"/>
          <w:sz w:val="24"/>
          <w:szCs w:val="24"/>
        </w:rPr>
        <w:t xml:space="preserve"> </w:t>
      </w:r>
    </w:p>
    <w:p w14:paraId="530AC415" w14:textId="0B5AEF23" w:rsidR="00EF1284" w:rsidRDefault="00AA0D21" w:rsidP="00B47715">
      <w:pPr>
        <w:spacing w:before="360"/>
        <w:jc w:val="both"/>
        <w:rPr>
          <w:rFonts w:ascii="Times New Roman" w:hAnsi="Times New Roman" w:cs="Times New Roman"/>
          <w:spacing w:val="-2"/>
          <w:sz w:val="24"/>
          <w:szCs w:val="24"/>
        </w:rPr>
      </w:pPr>
      <w:r>
        <w:rPr>
          <w:rFonts w:ascii="Times New Roman" w:hAnsi="Times New Roman" w:cs="Times New Roman"/>
          <w:spacing w:val="-2"/>
          <w:sz w:val="24"/>
          <w:szCs w:val="24"/>
        </w:rPr>
        <w:t>Given this fact and the fact that any proposed regulatory model needs to take account of the prevailing legal standards and thresholds</w:t>
      </w:r>
      <w:r w:rsidR="00600DA8">
        <w:rPr>
          <w:rFonts w:ascii="Times New Roman" w:hAnsi="Times New Roman" w:cs="Times New Roman"/>
          <w:spacing w:val="-2"/>
          <w:sz w:val="24"/>
          <w:szCs w:val="24"/>
        </w:rPr>
        <w:t xml:space="preserve"> to the most possible extent</w:t>
      </w:r>
      <w:r>
        <w:rPr>
          <w:rFonts w:ascii="Times New Roman" w:hAnsi="Times New Roman" w:cs="Times New Roman"/>
          <w:spacing w:val="-2"/>
          <w:sz w:val="24"/>
          <w:szCs w:val="24"/>
        </w:rPr>
        <w:t>, the EU law has been chosen as the jurisdictional ground</w:t>
      </w:r>
      <w:r w:rsidR="00600DA8">
        <w:rPr>
          <w:rFonts w:ascii="Times New Roman" w:hAnsi="Times New Roman" w:cs="Times New Roman"/>
          <w:spacing w:val="-2"/>
          <w:sz w:val="24"/>
          <w:szCs w:val="24"/>
        </w:rPr>
        <w:t xml:space="preserve"> for research</w:t>
      </w:r>
      <w:r>
        <w:rPr>
          <w:rFonts w:ascii="Times New Roman" w:hAnsi="Times New Roman" w:cs="Times New Roman"/>
          <w:spacing w:val="-2"/>
          <w:sz w:val="24"/>
          <w:szCs w:val="24"/>
        </w:rPr>
        <w:t xml:space="preserve">. Notwithstanding, </w:t>
      </w:r>
      <w:r w:rsidR="00A52D93">
        <w:rPr>
          <w:rFonts w:ascii="Times New Roman" w:hAnsi="Times New Roman" w:cs="Times New Roman"/>
          <w:spacing w:val="-2"/>
          <w:sz w:val="24"/>
          <w:szCs w:val="24"/>
        </w:rPr>
        <w:t>regarding</w:t>
      </w:r>
      <w:r>
        <w:rPr>
          <w:rFonts w:ascii="Times New Roman" w:hAnsi="Times New Roman" w:cs="Times New Roman"/>
          <w:spacing w:val="-2"/>
          <w:sz w:val="24"/>
          <w:szCs w:val="24"/>
        </w:rPr>
        <w:t xml:space="preserve"> IPR rules and exceptions concerning interoperability, US legislation and case law has been referred when it is found useful to compare and contrast the justification</w:t>
      </w:r>
      <w:r w:rsidR="00600DA8">
        <w:rPr>
          <w:rFonts w:ascii="Times New Roman" w:hAnsi="Times New Roman" w:cs="Times New Roman"/>
          <w:spacing w:val="-2"/>
          <w:sz w:val="24"/>
          <w:szCs w:val="24"/>
        </w:rPr>
        <w:t>(s)</w:t>
      </w:r>
      <w:r>
        <w:rPr>
          <w:rFonts w:ascii="Times New Roman" w:hAnsi="Times New Roman" w:cs="Times New Roman"/>
          <w:spacing w:val="-2"/>
          <w:sz w:val="24"/>
          <w:szCs w:val="24"/>
        </w:rPr>
        <w:t xml:space="preserve"> behind the </w:t>
      </w:r>
      <w:r w:rsidR="00600DA8">
        <w:rPr>
          <w:rFonts w:ascii="Times New Roman" w:hAnsi="Times New Roman" w:cs="Times New Roman"/>
          <w:spacing w:val="-2"/>
          <w:sz w:val="24"/>
          <w:szCs w:val="24"/>
        </w:rPr>
        <w:t xml:space="preserve">applicable </w:t>
      </w:r>
      <w:r>
        <w:rPr>
          <w:rFonts w:ascii="Times New Roman" w:hAnsi="Times New Roman" w:cs="Times New Roman"/>
          <w:spacing w:val="-2"/>
          <w:sz w:val="24"/>
          <w:szCs w:val="24"/>
        </w:rPr>
        <w:t xml:space="preserve">safe harbours. </w:t>
      </w:r>
      <w:r w:rsidR="00600DA8">
        <w:rPr>
          <w:rFonts w:ascii="Times New Roman" w:hAnsi="Times New Roman" w:cs="Times New Roman"/>
          <w:spacing w:val="-2"/>
          <w:sz w:val="24"/>
          <w:szCs w:val="24"/>
        </w:rPr>
        <w:t>In particular, the</w:t>
      </w:r>
      <w:r>
        <w:rPr>
          <w:rFonts w:ascii="Times New Roman" w:hAnsi="Times New Roman" w:cs="Times New Roman"/>
          <w:spacing w:val="-2"/>
          <w:sz w:val="24"/>
          <w:szCs w:val="24"/>
        </w:rPr>
        <w:t xml:space="preserve"> US perspective to embed the competitive safeguards into the intellectual property legislation and case law </w:t>
      </w:r>
      <w:r w:rsidR="00B96A04">
        <w:rPr>
          <w:rFonts w:ascii="Times New Roman" w:hAnsi="Times New Roman" w:cs="Times New Roman"/>
          <w:spacing w:val="-2"/>
          <w:sz w:val="24"/>
          <w:szCs w:val="24"/>
        </w:rPr>
        <w:t xml:space="preserve">would </w:t>
      </w:r>
      <w:r>
        <w:rPr>
          <w:rFonts w:ascii="Times New Roman" w:hAnsi="Times New Roman" w:cs="Times New Roman"/>
          <w:spacing w:val="-2"/>
          <w:sz w:val="24"/>
          <w:szCs w:val="24"/>
        </w:rPr>
        <w:t>offer a compara</w:t>
      </w:r>
      <w:r w:rsidR="00B96A04">
        <w:rPr>
          <w:rFonts w:ascii="Times New Roman" w:hAnsi="Times New Roman" w:cs="Times New Roman"/>
          <w:spacing w:val="-2"/>
          <w:sz w:val="24"/>
          <w:szCs w:val="24"/>
        </w:rPr>
        <w:t>tive</w:t>
      </w:r>
      <w:r>
        <w:rPr>
          <w:rFonts w:ascii="Times New Roman" w:hAnsi="Times New Roman" w:cs="Times New Roman"/>
          <w:spacing w:val="-2"/>
          <w:sz w:val="24"/>
          <w:szCs w:val="24"/>
        </w:rPr>
        <w:t xml:space="preserve"> outlook</w:t>
      </w:r>
      <w:r w:rsidR="00B96A04">
        <w:rPr>
          <w:rFonts w:ascii="Times New Roman" w:hAnsi="Times New Roman" w:cs="Times New Roman"/>
          <w:spacing w:val="-2"/>
          <w:sz w:val="24"/>
          <w:szCs w:val="24"/>
        </w:rPr>
        <w:t xml:space="preserve"> enriching the perspective</w:t>
      </w:r>
      <w:r w:rsidR="00600DA8">
        <w:rPr>
          <w:rFonts w:ascii="Times New Roman" w:hAnsi="Times New Roman" w:cs="Times New Roman"/>
          <w:spacing w:val="-2"/>
          <w:sz w:val="24"/>
          <w:szCs w:val="24"/>
        </w:rPr>
        <w:t xml:space="preserve">, as </w:t>
      </w:r>
      <w:r w:rsidR="003D562E">
        <w:rPr>
          <w:rFonts w:ascii="Times New Roman" w:hAnsi="Times New Roman" w:cs="Times New Roman"/>
          <w:spacing w:val="-2"/>
          <w:sz w:val="24"/>
          <w:szCs w:val="24"/>
        </w:rPr>
        <w:t>reflected</w:t>
      </w:r>
      <w:r w:rsidR="00600DA8">
        <w:rPr>
          <w:rFonts w:ascii="Times New Roman" w:hAnsi="Times New Roman" w:cs="Times New Roman"/>
          <w:spacing w:val="-2"/>
          <w:sz w:val="24"/>
          <w:szCs w:val="24"/>
        </w:rPr>
        <w:t xml:space="preserve"> in the Chapter 4</w:t>
      </w:r>
      <w:r>
        <w:rPr>
          <w:rFonts w:ascii="Times New Roman" w:hAnsi="Times New Roman" w:cs="Times New Roman"/>
          <w:spacing w:val="-2"/>
          <w:sz w:val="24"/>
          <w:szCs w:val="24"/>
        </w:rPr>
        <w:t>.</w:t>
      </w:r>
      <w:r w:rsidR="00116564">
        <w:rPr>
          <w:rStyle w:val="FootnoteReference"/>
          <w:rFonts w:ascii="Times New Roman" w:hAnsi="Times New Roman" w:cs="Times New Roman"/>
          <w:spacing w:val="-2"/>
          <w:sz w:val="24"/>
          <w:szCs w:val="24"/>
        </w:rPr>
        <w:footnoteReference w:id="38"/>
      </w:r>
      <w:r>
        <w:rPr>
          <w:rFonts w:ascii="Times New Roman" w:hAnsi="Times New Roman" w:cs="Times New Roman"/>
          <w:spacing w:val="-2"/>
          <w:sz w:val="24"/>
          <w:szCs w:val="24"/>
        </w:rPr>
        <w:t xml:space="preserve"> </w:t>
      </w:r>
      <w:r w:rsidR="00B96A04">
        <w:rPr>
          <w:rFonts w:ascii="Times New Roman" w:hAnsi="Times New Roman" w:cs="Times New Roman"/>
          <w:spacing w:val="-2"/>
          <w:sz w:val="24"/>
          <w:szCs w:val="24"/>
        </w:rPr>
        <w:t>Notably</w:t>
      </w:r>
      <w:r w:rsidR="00C142A8">
        <w:rPr>
          <w:rFonts w:ascii="Times New Roman" w:hAnsi="Times New Roman" w:cs="Times New Roman"/>
          <w:spacing w:val="-2"/>
          <w:sz w:val="24"/>
          <w:szCs w:val="24"/>
        </w:rPr>
        <w:t xml:space="preserve">, </w:t>
      </w:r>
      <w:r w:rsidR="00B96A04">
        <w:rPr>
          <w:rFonts w:ascii="Times New Roman" w:hAnsi="Times New Roman" w:cs="Times New Roman"/>
          <w:spacing w:val="-2"/>
          <w:sz w:val="24"/>
          <w:szCs w:val="24"/>
        </w:rPr>
        <w:t>several</w:t>
      </w:r>
      <w:r w:rsidR="00EF1284">
        <w:rPr>
          <w:rFonts w:ascii="Times New Roman" w:hAnsi="Times New Roman" w:cs="Times New Roman"/>
          <w:spacing w:val="-2"/>
          <w:sz w:val="24"/>
          <w:szCs w:val="24"/>
        </w:rPr>
        <w:t xml:space="preserve"> doctrines </w:t>
      </w:r>
      <w:r w:rsidR="00C142A8">
        <w:rPr>
          <w:rFonts w:ascii="Times New Roman" w:hAnsi="Times New Roman" w:cs="Times New Roman"/>
          <w:spacing w:val="-2"/>
          <w:sz w:val="24"/>
          <w:szCs w:val="24"/>
        </w:rPr>
        <w:t xml:space="preserve">i.e. </w:t>
      </w:r>
      <w:r w:rsidR="00B44CCD">
        <w:rPr>
          <w:rFonts w:ascii="Times New Roman" w:hAnsi="Times New Roman" w:cs="Times New Roman"/>
          <w:spacing w:val="-2"/>
          <w:sz w:val="24"/>
          <w:szCs w:val="24"/>
        </w:rPr>
        <w:t xml:space="preserve">fair use, </w:t>
      </w:r>
      <w:r w:rsidR="00B44CCD" w:rsidRPr="00A70042">
        <w:rPr>
          <w:rFonts w:ascii="Times New Roman" w:hAnsi="Times New Roman" w:cs="Times New Roman"/>
          <w:spacing w:val="-2"/>
          <w:sz w:val="24"/>
          <w:szCs w:val="24"/>
        </w:rPr>
        <w:t>merger, patent misuse</w:t>
      </w:r>
      <w:r w:rsidR="00B44CCD">
        <w:rPr>
          <w:rFonts w:ascii="Times New Roman" w:hAnsi="Times New Roman" w:cs="Times New Roman"/>
          <w:spacing w:val="-2"/>
          <w:sz w:val="24"/>
          <w:szCs w:val="24"/>
        </w:rPr>
        <w:t>,</w:t>
      </w:r>
      <w:r w:rsidR="00C142A8">
        <w:rPr>
          <w:rFonts w:ascii="Times New Roman" w:hAnsi="Times New Roman" w:cs="Times New Roman"/>
          <w:spacing w:val="-2"/>
          <w:sz w:val="24"/>
          <w:szCs w:val="24"/>
        </w:rPr>
        <w:t xml:space="preserve"> </w:t>
      </w:r>
      <w:r w:rsidR="00B96A04">
        <w:rPr>
          <w:rFonts w:ascii="Times New Roman" w:hAnsi="Times New Roman" w:cs="Times New Roman"/>
          <w:spacing w:val="-2"/>
          <w:sz w:val="24"/>
          <w:szCs w:val="24"/>
        </w:rPr>
        <w:t xml:space="preserve">developed </w:t>
      </w:r>
      <w:r w:rsidR="00EF1284">
        <w:rPr>
          <w:rFonts w:ascii="Times New Roman" w:hAnsi="Times New Roman" w:cs="Times New Roman"/>
          <w:spacing w:val="-2"/>
          <w:sz w:val="24"/>
          <w:szCs w:val="24"/>
        </w:rPr>
        <w:t xml:space="preserve">under the </w:t>
      </w:r>
      <w:r w:rsidR="00B96A04">
        <w:rPr>
          <w:rFonts w:ascii="Times New Roman" w:hAnsi="Times New Roman" w:cs="Times New Roman"/>
          <w:spacing w:val="-2"/>
          <w:sz w:val="24"/>
          <w:szCs w:val="24"/>
        </w:rPr>
        <w:t xml:space="preserve">US case law </w:t>
      </w:r>
      <w:r w:rsidR="00EF1284">
        <w:rPr>
          <w:rFonts w:ascii="Times New Roman" w:hAnsi="Times New Roman" w:cs="Times New Roman"/>
          <w:spacing w:val="-2"/>
          <w:sz w:val="24"/>
          <w:szCs w:val="24"/>
        </w:rPr>
        <w:t xml:space="preserve">pave the way to </w:t>
      </w:r>
      <w:r w:rsidR="00C142A8">
        <w:rPr>
          <w:rFonts w:ascii="Times New Roman" w:hAnsi="Times New Roman" w:cs="Times New Roman"/>
          <w:spacing w:val="-2"/>
          <w:sz w:val="24"/>
          <w:szCs w:val="24"/>
        </w:rPr>
        <w:t xml:space="preserve">a </w:t>
      </w:r>
      <w:r w:rsidR="00EF1284">
        <w:rPr>
          <w:rFonts w:ascii="Times New Roman" w:hAnsi="Times New Roman" w:cs="Times New Roman"/>
          <w:spacing w:val="-2"/>
          <w:sz w:val="24"/>
          <w:szCs w:val="24"/>
        </w:rPr>
        <w:t xml:space="preserve">favourable interpretation for </w:t>
      </w:r>
      <w:r w:rsidR="00C142A8">
        <w:rPr>
          <w:rFonts w:ascii="Times New Roman" w:hAnsi="Times New Roman" w:cs="Times New Roman"/>
          <w:spacing w:val="-2"/>
          <w:sz w:val="24"/>
          <w:szCs w:val="24"/>
        </w:rPr>
        <w:t xml:space="preserve">enabling </w:t>
      </w:r>
      <w:r w:rsidR="00EF1284">
        <w:rPr>
          <w:rFonts w:ascii="Times New Roman" w:hAnsi="Times New Roman" w:cs="Times New Roman"/>
          <w:spacing w:val="-2"/>
          <w:sz w:val="24"/>
          <w:szCs w:val="24"/>
        </w:rPr>
        <w:t>interoperability</w:t>
      </w:r>
      <w:r w:rsidR="00B96A04">
        <w:rPr>
          <w:rFonts w:ascii="Times New Roman" w:hAnsi="Times New Roman" w:cs="Times New Roman"/>
          <w:spacing w:val="-2"/>
          <w:sz w:val="24"/>
          <w:szCs w:val="24"/>
        </w:rPr>
        <w:t xml:space="preserve">. On the other hand, in the EU law </w:t>
      </w:r>
      <w:r w:rsidR="00EF1284">
        <w:rPr>
          <w:rFonts w:ascii="Times New Roman" w:hAnsi="Times New Roman" w:cs="Times New Roman"/>
          <w:spacing w:val="-2"/>
          <w:sz w:val="24"/>
          <w:szCs w:val="24"/>
        </w:rPr>
        <w:t xml:space="preserve">related problems are elaborated </w:t>
      </w:r>
      <w:r w:rsidR="00C142A8">
        <w:rPr>
          <w:rFonts w:ascii="Times New Roman" w:hAnsi="Times New Roman" w:cs="Times New Roman"/>
          <w:spacing w:val="-2"/>
          <w:sz w:val="24"/>
          <w:szCs w:val="24"/>
        </w:rPr>
        <w:t xml:space="preserve">from a wider viewpoint </w:t>
      </w:r>
      <w:r w:rsidR="00B96A04">
        <w:rPr>
          <w:rFonts w:ascii="Times New Roman" w:hAnsi="Times New Roman" w:cs="Times New Roman"/>
          <w:spacing w:val="-2"/>
          <w:sz w:val="24"/>
          <w:szCs w:val="24"/>
        </w:rPr>
        <w:t xml:space="preserve">in the sense </w:t>
      </w:r>
      <w:r w:rsidR="00B96A04">
        <w:rPr>
          <w:rFonts w:ascii="Times New Roman" w:hAnsi="Times New Roman" w:cs="Times New Roman"/>
          <w:spacing w:val="-2"/>
          <w:sz w:val="24"/>
          <w:szCs w:val="24"/>
        </w:rPr>
        <w:lastRenderedPageBreak/>
        <w:t>that other legal disciplines i.e. competition and sector-specific laws</w:t>
      </w:r>
      <w:r w:rsidR="00112361">
        <w:rPr>
          <w:rFonts w:ascii="Times New Roman" w:hAnsi="Times New Roman" w:cs="Times New Roman"/>
          <w:spacing w:val="-2"/>
          <w:sz w:val="24"/>
          <w:szCs w:val="24"/>
        </w:rPr>
        <w:t>,</w:t>
      </w:r>
      <w:r w:rsidR="00B96A04">
        <w:rPr>
          <w:rFonts w:ascii="Times New Roman" w:hAnsi="Times New Roman" w:cs="Times New Roman"/>
          <w:spacing w:val="-2"/>
          <w:sz w:val="24"/>
          <w:szCs w:val="24"/>
        </w:rPr>
        <w:t xml:space="preserve"> are mobilised and invoked to deal with the concerns surrounding the lack of interoperability. This </w:t>
      </w:r>
      <w:r w:rsidR="00112361">
        <w:rPr>
          <w:rFonts w:ascii="Times New Roman" w:hAnsi="Times New Roman" w:cs="Times New Roman"/>
          <w:spacing w:val="-2"/>
          <w:sz w:val="24"/>
          <w:szCs w:val="24"/>
        </w:rPr>
        <w:t xml:space="preserve">provides a wider spectrum of laws and problem solving mechanisms, </w:t>
      </w:r>
      <w:r w:rsidR="00EF1284">
        <w:rPr>
          <w:rFonts w:ascii="Times New Roman" w:hAnsi="Times New Roman" w:cs="Times New Roman"/>
          <w:spacing w:val="-2"/>
          <w:sz w:val="24"/>
          <w:szCs w:val="24"/>
        </w:rPr>
        <w:t>mak</w:t>
      </w:r>
      <w:r w:rsidR="00112361">
        <w:rPr>
          <w:rFonts w:ascii="Times New Roman" w:hAnsi="Times New Roman" w:cs="Times New Roman"/>
          <w:spacing w:val="-2"/>
          <w:sz w:val="24"/>
          <w:szCs w:val="24"/>
        </w:rPr>
        <w:t>ing</w:t>
      </w:r>
      <w:r w:rsidR="00EF1284">
        <w:rPr>
          <w:rFonts w:ascii="Times New Roman" w:hAnsi="Times New Roman" w:cs="Times New Roman"/>
          <w:spacing w:val="-2"/>
          <w:sz w:val="24"/>
          <w:szCs w:val="24"/>
        </w:rPr>
        <w:t xml:space="preserve"> </w:t>
      </w:r>
      <w:r w:rsidR="003D562E">
        <w:rPr>
          <w:rFonts w:ascii="Times New Roman" w:hAnsi="Times New Roman" w:cs="Times New Roman"/>
          <w:spacing w:val="-2"/>
          <w:sz w:val="24"/>
          <w:szCs w:val="24"/>
        </w:rPr>
        <w:t>the EU law befitting</w:t>
      </w:r>
      <w:r w:rsidR="00EF1284">
        <w:rPr>
          <w:rFonts w:ascii="Times New Roman" w:hAnsi="Times New Roman" w:cs="Times New Roman"/>
          <w:spacing w:val="-2"/>
          <w:sz w:val="24"/>
          <w:szCs w:val="24"/>
        </w:rPr>
        <w:t xml:space="preserve"> </w:t>
      </w:r>
      <w:r w:rsidR="003D562E">
        <w:rPr>
          <w:rFonts w:ascii="Times New Roman" w:hAnsi="Times New Roman" w:cs="Times New Roman"/>
          <w:spacing w:val="-2"/>
          <w:sz w:val="24"/>
          <w:szCs w:val="24"/>
        </w:rPr>
        <w:t>for</w:t>
      </w:r>
      <w:r w:rsidR="00EF1284">
        <w:rPr>
          <w:rFonts w:ascii="Times New Roman" w:hAnsi="Times New Roman" w:cs="Times New Roman"/>
          <w:spacing w:val="-2"/>
          <w:sz w:val="24"/>
          <w:szCs w:val="24"/>
        </w:rPr>
        <w:t xml:space="preserve"> </w:t>
      </w:r>
      <w:r w:rsidR="003D562E">
        <w:rPr>
          <w:rFonts w:ascii="Times New Roman" w:hAnsi="Times New Roman" w:cs="Times New Roman"/>
          <w:spacing w:val="-2"/>
          <w:sz w:val="24"/>
          <w:szCs w:val="24"/>
        </w:rPr>
        <w:t xml:space="preserve">a </w:t>
      </w:r>
      <w:r w:rsidR="00EF1284">
        <w:rPr>
          <w:rFonts w:ascii="Times New Roman" w:hAnsi="Times New Roman" w:cs="Times New Roman"/>
          <w:spacing w:val="-2"/>
          <w:sz w:val="24"/>
          <w:szCs w:val="24"/>
        </w:rPr>
        <w:t xml:space="preserve">research </w:t>
      </w:r>
      <w:r w:rsidR="003D562E">
        <w:rPr>
          <w:rFonts w:ascii="Times New Roman" w:hAnsi="Times New Roman" w:cs="Times New Roman"/>
          <w:spacing w:val="-2"/>
          <w:sz w:val="24"/>
          <w:szCs w:val="24"/>
        </w:rPr>
        <w:t xml:space="preserve">based on </w:t>
      </w:r>
      <w:r w:rsidR="00EF1284">
        <w:rPr>
          <w:rFonts w:ascii="Times New Roman" w:hAnsi="Times New Roman" w:cs="Times New Roman"/>
          <w:spacing w:val="-2"/>
          <w:sz w:val="24"/>
          <w:szCs w:val="24"/>
        </w:rPr>
        <w:t xml:space="preserve">multi-disciplinary </w:t>
      </w:r>
      <w:r w:rsidR="003D562E">
        <w:rPr>
          <w:rFonts w:ascii="Times New Roman" w:hAnsi="Times New Roman" w:cs="Times New Roman"/>
          <w:spacing w:val="-2"/>
          <w:sz w:val="24"/>
          <w:szCs w:val="24"/>
        </w:rPr>
        <w:t>analysis</w:t>
      </w:r>
      <w:r w:rsidR="00EF1284">
        <w:rPr>
          <w:rFonts w:ascii="Times New Roman" w:hAnsi="Times New Roman" w:cs="Times New Roman"/>
          <w:spacing w:val="-2"/>
          <w:sz w:val="24"/>
          <w:szCs w:val="24"/>
        </w:rPr>
        <w:t>.</w:t>
      </w:r>
    </w:p>
    <w:p w14:paraId="65906163" w14:textId="3CCE093F" w:rsidR="008E7169" w:rsidRDefault="00EF1284" w:rsidP="00A70042">
      <w:pPr>
        <w:spacing w:before="360"/>
        <w:jc w:val="both"/>
        <w:rPr>
          <w:rFonts w:ascii="Times New Roman" w:hAnsi="Times New Roman" w:cs="Times New Roman"/>
          <w:sz w:val="24"/>
          <w:szCs w:val="24"/>
        </w:rPr>
      </w:pPr>
      <w:r>
        <w:rPr>
          <w:rFonts w:ascii="Times New Roman" w:hAnsi="Times New Roman" w:cs="Times New Roman"/>
          <w:spacing w:val="-2"/>
          <w:sz w:val="24"/>
          <w:szCs w:val="24"/>
        </w:rPr>
        <w:t xml:space="preserve">It also needs to be underlined that the research conducted in this study does not only mean doctrinal (blackletter) analysis but also entails multiple case studies that aim to develop a more filtered understanding as to the ICT interoperability. </w:t>
      </w:r>
      <w:r w:rsidR="006F6BCA" w:rsidRPr="00774EDB">
        <w:rPr>
          <w:rFonts w:ascii="Times New Roman" w:hAnsi="Times New Roman" w:cs="Times New Roman"/>
          <w:sz w:val="24"/>
          <w:szCs w:val="24"/>
        </w:rPr>
        <w:t>Albeit with</w:t>
      </w:r>
      <w:r w:rsidR="0057387C" w:rsidRPr="00774EDB">
        <w:rPr>
          <w:rFonts w:ascii="Times New Roman" w:hAnsi="Times New Roman" w:cs="Times New Roman"/>
          <w:sz w:val="24"/>
          <w:szCs w:val="24"/>
        </w:rPr>
        <w:t xml:space="preserve"> the effort to generalise case study research</w:t>
      </w:r>
      <w:r w:rsidR="00010EBA">
        <w:rPr>
          <w:rFonts w:ascii="Times New Roman" w:hAnsi="Times New Roman" w:cs="Times New Roman"/>
          <w:sz w:val="24"/>
          <w:szCs w:val="24"/>
        </w:rPr>
        <w:t xml:space="preserve"> as well as</w:t>
      </w:r>
      <w:r w:rsidR="00010EBA" w:rsidRPr="00774EDB">
        <w:rPr>
          <w:rFonts w:ascii="Times New Roman" w:hAnsi="Times New Roman" w:cs="Times New Roman"/>
          <w:sz w:val="24"/>
          <w:szCs w:val="24"/>
        </w:rPr>
        <w:t xml:space="preserve"> </w:t>
      </w:r>
      <w:r w:rsidR="0057387C" w:rsidRPr="00774EDB">
        <w:rPr>
          <w:rFonts w:ascii="Times New Roman" w:hAnsi="Times New Roman" w:cs="Times New Roman"/>
          <w:sz w:val="24"/>
          <w:szCs w:val="24"/>
        </w:rPr>
        <w:t xml:space="preserve">the proposed regulatory model, technology-based </w:t>
      </w:r>
      <w:r w:rsidR="00010EBA">
        <w:rPr>
          <w:rFonts w:ascii="Times New Roman" w:hAnsi="Times New Roman" w:cs="Times New Roman"/>
          <w:sz w:val="24"/>
          <w:szCs w:val="24"/>
        </w:rPr>
        <w:t xml:space="preserve">framework depicted </w:t>
      </w:r>
      <w:r w:rsidR="00591BF7">
        <w:rPr>
          <w:rFonts w:ascii="Times New Roman" w:hAnsi="Times New Roman" w:cs="Times New Roman"/>
          <w:sz w:val="24"/>
          <w:szCs w:val="24"/>
        </w:rPr>
        <w:t>here</w:t>
      </w:r>
      <w:r w:rsidR="00010EBA">
        <w:rPr>
          <w:rFonts w:ascii="Times New Roman" w:hAnsi="Times New Roman" w:cs="Times New Roman"/>
          <w:sz w:val="24"/>
          <w:szCs w:val="24"/>
        </w:rPr>
        <w:t xml:space="preserve"> </w:t>
      </w:r>
      <w:r w:rsidR="0057387C" w:rsidRPr="00774EDB">
        <w:rPr>
          <w:rFonts w:ascii="Times New Roman" w:hAnsi="Times New Roman" w:cs="Times New Roman"/>
          <w:sz w:val="24"/>
          <w:szCs w:val="24"/>
        </w:rPr>
        <w:t xml:space="preserve">would arguably </w:t>
      </w:r>
      <w:r w:rsidR="00010EBA">
        <w:rPr>
          <w:rFonts w:ascii="Times New Roman" w:hAnsi="Times New Roman" w:cs="Times New Roman"/>
          <w:sz w:val="24"/>
          <w:szCs w:val="24"/>
        </w:rPr>
        <w:t xml:space="preserve">pose some </w:t>
      </w:r>
      <w:r w:rsidR="00010EBA" w:rsidRPr="00774EDB">
        <w:rPr>
          <w:rFonts w:ascii="Times New Roman" w:hAnsi="Times New Roman" w:cs="Times New Roman"/>
          <w:sz w:val="24"/>
          <w:szCs w:val="24"/>
        </w:rPr>
        <w:t>limitations</w:t>
      </w:r>
      <w:r w:rsidR="00201BD7">
        <w:rPr>
          <w:rFonts w:ascii="Times New Roman" w:hAnsi="Times New Roman" w:cs="Times New Roman"/>
          <w:sz w:val="24"/>
          <w:szCs w:val="24"/>
        </w:rPr>
        <w:t>, as well</w:t>
      </w:r>
      <w:r w:rsidR="0057387C" w:rsidRPr="00774EDB">
        <w:rPr>
          <w:rFonts w:ascii="Times New Roman" w:hAnsi="Times New Roman" w:cs="Times New Roman"/>
          <w:sz w:val="24"/>
          <w:szCs w:val="24"/>
        </w:rPr>
        <w:t xml:space="preserve">. </w:t>
      </w:r>
      <w:r w:rsidR="00787A73">
        <w:rPr>
          <w:rFonts w:ascii="Times New Roman" w:hAnsi="Times New Roman" w:cs="Times New Roman"/>
          <w:sz w:val="24"/>
          <w:szCs w:val="24"/>
        </w:rPr>
        <w:t>T</w:t>
      </w:r>
      <w:r w:rsidR="0057387C" w:rsidRPr="00774EDB">
        <w:rPr>
          <w:rFonts w:ascii="Times New Roman" w:hAnsi="Times New Roman" w:cs="Times New Roman"/>
          <w:sz w:val="24"/>
          <w:szCs w:val="24"/>
        </w:rPr>
        <w:t xml:space="preserve">his </w:t>
      </w:r>
      <w:r w:rsidR="00787A73">
        <w:rPr>
          <w:rFonts w:ascii="Times New Roman" w:hAnsi="Times New Roman" w:cs="Times New Roman"/>
          <w:sz w:val="24"/>
          <w:szCs w:val="24"/>
        </w:rPr>
        <w:t xml:space="preserve">argument potentially </w:t>
      </w:r>
      <w:r w:rsidR="0057387C" w:rsidRPr="00774EDB">
        <w:rPr>
          <w:rFonts w:ascii="Times New Roman" w:hAnsi="Times New Roman" w:cs="Times New Roman"/>
          <w:sz w:val="24"/>
          <w:szCs w:val="24"/>
        </w:rPr>
        <w:t xml:space="preserve">stems from the very nature of the case study research </w:t>
      </w:r>
      <w:r w:rsidR="00E80610">
        <w:rPr>
          <w:rFonts w:ascii="Times New Roman" w:hAnsi="Times New Roman" w:cs="Times New Roman"/>
          <w:sz w:val="24"/>
          <w:szCs w:val="24"/>
        </w:rPr>
        <w:t xml:space="preserve">in </w:t>
      </w:r>
      <w:r w:rsidR="0057387C" w:rsidRPr="00774EDB">
        <w:rPr>
          <w:rFonts w:ascii="Times New Roman" w:hAnsi="Times New Roman" w:cs="Times New Roman"/>
          <w:sz w:val="24"/>
          <w:szCs w:val="24"/>
        </w:rPr>
        <w:t>that two technological phenomena of cloud computing and the IoT</w:t>
      </w:r>
      <w:r w:rsidR="00E80610">
        <w:rPr>
          <w:rFonts w:ascii="Times New Roman" w:hAnsi="Times New Roman" w:cs="Times New Roman"/>
          <w:sz w:val="24"/>
          <w:szCs w:val="24"/>
        </w:rPr>
        <w:t xml:space="preserve"> are examined. S</w:t>
      </w:r>
      <w:r w:rsidR="0057387C" w:rsidRPr="00774EDB">
        <w:rPr>
          <w:rFonts w:ascii="Times New Roman" w:hAnsi="Times New Roman" w:cs="Times New Roman"/>
          <w:sz w:val="24"/>
          <w:szCs w:val="24"/>
        </w:rPr>
        <w:t xml:space="preserve">ome limitations might be posited </w:t>
      </w:r>
      <w:r w:rsidR="00E80610">
        <w:rPr>
          <w:rFonts w:ascii="Times New Roman" w:hAnsi="Times New Roman" w:cs="Times New Roman"/>
          <w:sz w:val="24"/>
          <w:szCs w:val="24"/>
        </w:rPr>
        <w:t>since</w:t>
      </w:r>
      <w:r w:rsidR="00E80610" w:rsidRPr="00774EDB">
        <w:rPr>
          <w:rFonts w:ascii="Times New Roman" w:hAnsi="Times New Roman" w:cs="Times New Roman"/>
          <w:sz w:val="24"/>
          <w:szCs w:val="24"/>
        </w:rPr>
        <w:t xml:space="preserve"> </w:t>
      </w:r>
      <w:r w:rsidR="0057387C" w:rsidRPr="00774EDB">
        <w:rPr>
          <w:rFonts w:ascii="Times New Roman" w:hAnsi="Times New Roman" w:cs="Times New Roman"/>
          <w:sz w:val="24"/>
          <w:szCs w:val="24"/>
        </w:rPr>
        <w:t xml:space="preserve">these technologies are not necessarily </w:t>
      </w:r>
      <w:r w:rsidR="008E7169">
        <w:rPr>
          <w:rFonts w:ascii="Times New Roman" w:hAnsi="Times New Roman" w:cs="Times New Roman"/>
          <w:sz w:val="24"/>
          <w:szCs w:val="24"/>
        </w:rPr>
        <w:t>representative of</w:t>
      </w:r>
      <w:r w:rsidR="0057387C" w:rsidRPr="00774EDB">
        <w:rPr>
          <w:rFonts w:ascii="Times New Roman" w:hAnsi="Times New Roman" w:cs="Times New Roman"/>
          <w:sz w:val="24"/>
          <w:szCs w:val="24"/>
        </w:rPr>
        <w:t xml:space="preserve"> all</w:t>
      </w:r>
      <w:r w:rsidR="00591BF7">
        <w:rPr>
          <w:rFonts w:ascii="Times New Roman" w:hAnsi="Times New Roman" w:cs="Times New Roman"/>
          <w:sz w:val="24"/>
          <w:szCs w:val="24"/>
        </w:rPr>
        <w:t xml:space="preserve"> ICTs and</w:t>
      </w:r>
      <w:r w:rsidR="0057387C" w:rsidRPr="00774EDB">
        <w:rPr>
          <w:rFonts w:ascii="Times New Roman" w:hAnsi="Times New Roman" w:cs="Times New Roman"/>
          <w:sz w:val="24"/>
          <w:szCs w:val="24"/>
        </w:rPr>
        <w:t xml:space="preserve"> industry settings</w:t>
      </w:r>
      <w:r w:rsidR="00E80610">
        <w:rPr>
          <w:rFonts w:ascii="Times New Roman" w:hAnsi="Times New Roman" w:cs="Times New Roman"/>
          <w:sz w:val="24"/>
          <w:szCs w:val="24"/>
        </w:rPr>
        <w:t xml:space="preserve"> d</w:t>
      </w:r>
      <w:r w:rsidR="00E80610" w:rsidRPr="00774EDB">
        <w:rPr>
          <w:rFonts w:ascii="Times New Roman" w:hAnsi="Times New Roman" w:cs="Times New Roman"/>
          <w:sz w:val="24"/>
          <w:szCs w:val="24"/>
        </w:rPr>
        <w:t xml:space="preserve">espite </w:t>
      </w:r>
      <w:r w:rsidR="00E80610">
        <w:rPr>
          <w:rFonts w:ascii="Times New Roman" w:hAnsi="Times New Roman" w:cs="Times New Roman"/>
          <w:sz w:val="24"/>
          <w:szCs w:val="24"/>
        </w:rPr>
        <w:t>the rationale</w:t>
      </w:r>
      <w:r w:rsidR="00E80610" w:rsidRPr="00774EDB">
        <w:rPr>
          <w:rFonts w:ascii="Times New Roman" w:hAnsi="Times New Roman" w:cs="Times New Roman"/>
          <w:sz w:val="24"/>
          <w:szCs w:val="24"/>
        </w:rPr>
        <w:t xml:space="preserve"> for </w:t>
      </w:r>
      <w:r w:rsidR="00E80610">
        <w:rPr>
          <w:rFonts w:ascii="Times New Roman" w:hAnsi="Times New Roman" w:cs="Times New Roman"/>
          <w:sz w:val="24"/>
          <w:szCs w:val="24"/>
        </w:rPr>
        <w:t xml:space="preserve">them being selected relates to </w:t>
      </w:r>
      <w:r w:rsidR="00E80610" w:rsidRPr="00774EDB">
        <w:rPr>
          <w:rFonts w:ascii="Times New Roman" w:hAnsi="Times New Roman" w:cs="Times New Roman"/>
          <w:sz w:val="24"/>
          <w:szCs w:val="24"/>
        </w:rPr>
        <w:t>their being widely adopted, usage and direct relevance to ICT interoperability</w:t>
      </w:r>
      <w:r w:rsidR="0057387C" w:rsidRPr="00774EDB">
        <w:rPr>
          <w:rFonts w:ascii="Times New Roman" w:hAnsi="Times New Roman" w:cs="Times New Roman"/>
          <w:sz w:val="24"/>
          <w:szCs w:val="24"/>
        </w:rPr>
        <w:t>.</w:t>
      </w:r>
    </w:p>
    <w:p w14:paraId="792700A5" w14:textId="56E2A2F2" w:rsidR="0057387C" w:rsidRPr="00774EDB" w:rsidRDefault="008E7169" w:rsidP="00A70042">
      <w:pPr>
        <w:spacing w:before="360"/>
        <w:jc w:val="both"/>
        <w:rPr>
          <w:rFonts w:ascii="Times New Roman" w:hAnsi="Times New Roman" w:cs="Times New Roman"/>
          <w:sz w:val="24"/>
          <w:szCs w:val="24"/>
        </w:rPr>
      </w:pPr>
      <w:r w:rsidRPr="00A70042">
        <w:rPr>
          <w:rFonts w:ascii="Times New Roman" w:hAnsi="Times New Roman" w:cs="Times New Roman"/>
          <w:spacing w:val="-2"/>
          <w:sz w:val="24"/>
          <w:szCs w:val="24"/>
        </w:rPr>
        <w:t xml:space="preserve">However, this plausible limitation is highly obscured because of the universal character of the ICT layers and interdependencies, based on which </w:t>
      </w:r>
      <w:r>
        <w:rPr>
          <w:rFonts w:ascii="Times New Roman" w:hAnsi="Times New Roman" w:cs="Times New Roman"/>
          <w:spacing w:val="-2"/>
          <w:sz w:val="24"/>
          <w:szCs w:val="24"/>
        </w:rPr>
        <w:t>several</w:t>
      </w:r>
      <w:r w:rsidRPr="00A70042">
        <w:rPr>
          <w:rFonts w:ascii="Times New Roman" w:hAnsi="Times New Roman" w:cs="Times New Roman"/>
          <w:spacing w:val="-2"/>
          <w:sz w:val="24"/>
          <w:szCs w:val="24"/>
        </w:rPr>
        <w:t xml:space="preserve"> research outcomes are developed. In so doing, some concepts e.g. ecosystem, interdependency and coopetition are revisited, many others e.g. layering, gatekeeping are revitalised and reconceptualised. This model is </w:t>
      </w:r>
      <w:r w:rsidR="00F239EC">
        <w:rPr>
          <w:rFonts w:ascii="Times New Roman" w:hAnsi="Times New Roman" w:cs="Times New Roman"/>
          <w:spacing w:val="-2"/>
          <w:sz w:val="24"/>
          <w:szCs w:val="24"/>
        </w:rPr>
        <w:t xml:space="preserve">then </w:t>
      </w:r>
      <w:r w:rsidRPr="00A70042">
        <w:rPr>
          <w:rFonts w:ascii="Times New Roman" w:hAnsi="Times New Roman" w:cs="Times New Roman"/>
          <w:spacing w:val="-2"/>
          <w:sz w:val="24"/>
          <w:szCs w:val="24"/>
        </w:rPr>
        <w:t xml:space="preserve">built up so as to apply to all the ICT networks and services which rely on the well-known layered </w:t>
      </w:r>
      <w:r>
        <w:rPr>
          <w:rFonts w:ascii="Times New Roman" w:hAnsi="Times New Roman" w:cs="Times New Roman"/>
          <w:spacing w:val="-2"/>
          <w:sz w:val="24"/>
          <w:szCs w:val="24"/>
        </w:rPr>
        <w:t>Internet Protocol (</w:t>
      </w:r>
      <w:r w:rsidRPr="00A70042">
        <w:rPr>
          <w:rFonts w:ascii="Times New Roman" w:hAnsi="Times New Roman" w:cs="Times New Roman"/>
          <w:spacing w:val="-2"/>
          <w:sz w:val="24"/>
          <w:szCs w:val="24"/>
        </w:rPr>
        <w:t>IP</w:t>
      </w:r>
      <w:r>
        <w:rPr>
          <w:rFonts w:ascii="Times New Roman" w:hAnsi="Times New Roman" w:cs="Times New Roman"/>
          <w:spacing w:val="-2"/>
          <w:sz w:val="24"/>
          <w:szCs w:val="24"/>
        </w:rPr>
        <w:t>)</w:t>
      </w:r>
      <w:r w:rsidRPr="00A70042">
        <w:rPr>
          <w:rFonts w:ascii="Times New Roman" w:hAnsi="Times New Roman" w:cs="Times New Roman"/>
          <w:spacing w:val="-2"/>
          <w:sz w:val="24"/>
          <w:szCs w:val="24"/>
        </w:rPr>
        <w:t xml:space="preserve"> stack, starting with the bottom, infrastructural, layer to the upper, application and content layers.</w:t>
      </w:r>
      <w:r w:rsidRPr="00A70042">
        <w:rPr>
          <w:rStyle w:val="FootnoteReference"/>
          <w:rFonts w:ascii="Times New Roman" w:hAnsi="Times New Roman" w:cs="Times New Roman"/>
          <w:spacing w:val="-2"/>
          <w:sz w:val="24"/>
          <w:szCs w:val="24"/>
        </w:rPr>
        <w:footnoteReference w:id="39"/>
      </w:r>
      <w:r w:rsidRPr="00A70042">
        <w:rPr>
          <w:rFonts w:ascii="Times New Roman" w:hAnsi="Times New Roman" w:cs="Times New Roman"/>
          <w:spacing w:val="-2"/>
          <w:sz w:val="24"/>
          <w:szCs w:val="24"/>
        </w:rPr>
        <w:t xml:space="preserve"> Invoking </w:t>
      </w:r>
      <w:r w:rsidRPr="00A70042">
        <w:rPr>
          <w:rFonts w:ascii="Times New Roman" w:hAnsi="Times New Roman" w:cs="Times New Roman"/>
          <w:spacing w:val="-2"/>
          <w:sz w:val="24"/>
          <w:szCs w:val="24"/>
        </w:rPr>
        <w:lastRenderedPageBreak/>
        <w:t>the layering approach with some addi</w:t>
      </w:r>
      <w:r>
        <w:rPr>
          <w:rFonts w:ascii="Times New Roman" w:hAnsi="Times New Roman" w:cs="Times New Roman"/>
          <w:spacing w:val="-2"/>
          <w:sz w:val="24"/>
          <w:szCs w:val="24"/>
        </w:rPr>
        <w:t>tional</w:t>
      </w:r>
      <w:r w:rsidRPr="00A70042">
        <w:rPr>
          <w:rFonts w:ascii="Times New Roman" w:hAnsi="Times New Roman" w:cs="Times New Roman"/>
          <w:spacing w:val="-2"/>
          <w:sz w:val="24"/>
          <w:szCs w:val="24"/>
        </w:rPr>
        <w:t xml:space="preserve"> elements e.g. </w:t>
      </w:r>
      <w:r>
        <w:rPr>
          <w:rFonts w:ascii="Times New Roman" w:hAnsi="Times New Roman" w:cs="Times New Roman"/>
          <w:spacing w:val="-2"/>
          <w:sz w:val="24"/>
          <w:szCs w:val="24"/>
        </w:rPr>
        <w:t>‘</w:t>
      </w:r>
      <w:r w:rsidRPr="00A70042">
        <w:rPr>
          <w:rFonts w:ascii="Times New Roman" w:hAnsi="Times New Roman" w:cs="Times New Roman"/>
          <w:spacing w:val="-2"/>
          <w:sz w:val="24"/>
          <w:szCs w:val="24"/>
        </w:rPr>
        <w:t>gatekeeping</w:t>
      </w:r>
      <w:r>
        <w:rPr>
          <w:rFonts w:ascii="Times New Roman" w:hAnsi="Times New Roman" w:cs="Times New Roman"/>
          <w:spacing w:val="-2"/>
          <w:sz w:val="24"/>
          <w:szCs w:val="24"/>
        </w:rPr>
        <w:t>’</w:t>
      </w:r>
      <w:r w:rsidRPr="00A70042">
        <w:rPr>
          <w:rFonts w:ascii="Times New Roman" w:hAnsi="Times New Roman" w:cs="Times New Roman"/>
          <w:spacing w:val="-2"/>
          <w:sz w:val="24"/>
          <w:szCs w:val="24"/>
        </w:rPr>
        <w:t xml:space="preserve">, the proposed regulatory model comes up with a holistic design and generalisable nature. </w:t>
      </w:r>
      <w:r w:rsidR="00787A73">
        <w:rPr>
          <w:rFonts w:ascii="Times New Roman" w:hAnsi="Times New Roman" w:cs="Times New Roman"/>
          <w:sz w:val="24"/>
          <w:szCs w:val="24"/>
        </w:rPr>
        <w:t>Overall</w:t>
      </w:r>
      <w:r w:rsidR="0057387C" w:rsidRPr="00774EDB">
        <w:rPr>
          <w:rFonts w:ascii="Times New Roman" w:hAnsi="Times New Roman" w:cs="Times New Roman"/>
          <w:sz w:val="24"/>
          <w:szCs w:val="24"/>
        </w:rPr>
        <w:t xml:space="preserve">, it is considered that the selection of multiple cases, along with the interlinks between themselves and with other ICTs being highlighted and being translated into the regulatory model, is believed to mitigate </w:t>
      </w:r>
      <w:r w:rsidR="00F239EC">
        <w:rPr>
          <w:rFonts w:ascii="Times New Roman" w:hAnsi="Times New Roman" w:cs="Times New Roman"/>
          <w:sz w:val="24"/>
          <w:szCs w:val="24"/>
        </w:rPr>
        <w:t>potential</w:t>
      </w:r>
      <w:r w:rsidR="0057387C" w:rsidRPr="00774EDB">
        <w:rPr>
          <w:rFonts w:ascii="Times New Roman" w:hAnsi="Times New Roman" w:cs="Times New Roman"/>
          <w:sz w:val="24"/>
          <w:szCs w:val="24"/>
        </w:rPr>
        <w:t xml:space="preserve"> arguments </w:t>
      </w:r>
      <w:r w:rsidR="00F239EC">
        <w:rPr>
          <w:rFonts w:ascii="Times New Roman" w:hAnsi="Times New Roman" w:cs="Times New Roman"/>
          <w:sz w:val="24"/>
          <w:szCs w:val="24"/>
        </w:rPr>
        <w:t xml:space="preserve">of limitations </w:t>
      </w:r>
      <w:r w:rsidR="0057387C" w:rsidRPr="00774EDB">
        <w:rPr>
          <w:rFonts w:ascii="Times New Roman" w:hAnsi="Times New Roman" w:cs="Times New Roman"/>
          <w:sz w:val="24"/>
          <w:szCs w:val="24"/>
        </w:rPr>
        <w:t>and secure the integrity of the research.</w:t>
      </w:r>
    </w:p>
    <w:p w14:paraId="6850BCEA" w14:textId="77777777" w:rsidR="0057387C" w:rsidRPr="00774EDB" w:rsidRDefault="0057387C" w:rsidP="00A70042">
      <w:pPr>
        <w:pStyle w:val="Heading2"/>
        <w:numPr>
          <w:ilvl w:val="1"/>
          <w:numId w:val="17"/>
        </w:numPr>
        <w:tabs>
          <w:tab w:val="left" w:pos="426"/>
        </w:tabs>
        <w:spacing w:before="360"/>
        <w:ind w:left="0" w:firstLine="0"/>
        <w:jc w:val="both"/>
        <w:rPr>
          <w:rFonts w:ascii="Times New Roman" w:hAnsi="Times New Roman" w:cs="Times New Roman"/>
          <w:b/>
          <w:color w:val="auto"/>
          <w:sz w:val="24"/>
          <w:szCs w:val="24"/>
        </w:rPr>
      </w:pPr>
      <w:bookmarkStart w:id="80" w:name="_Toc17611338"/>
      <w:bookmarkStart w:id="81" w:name="_Toc17611555"/>
      <w:bookmarkStart w:id="82" w:name="_Toc17611767"/>
      <w:bookmarkStart w:id="83" w:name="_Toc17611981"/>
      <w:bookmarkStart w:id="84" w:name="_Toc17612194"/>
      <w:bookmarkStart w:id="85" w:name="_Toc11400615"/>
      <w:bookmarkEnd w:id="80"/>
      <w:bookmarkEnd w:id="81"/>
      <w:bookmarkEnd w:id="82"/>
      <w:bookmarkEnd w:id="83"/>
      <w:bookmarkEnd w:id="84"/>
      <w:r w:rsidRPr="00774EDB">
        <w:rPr>
          <w:rFonts w:ascii="Times New Roman" w:hAnsi="Times New Roman" w:cs="Times New Roman"/>
          <w:b/>
          <w:color w:val="auto"/>
          <w:sz w:val="24"/>
          <w:szCs w:val="24"/>
        </w:rPr>
        <w:t xml:space="preserve"> </w:t>
      </w:r>
      <w:bookmarkStart w:id="86" w:name="_Toc17611339"/>
      <w:bookmarkStart w:id="87" w:name="_Toc53576020"/>
      <w:r w:rsidRPr="00774EDB">
        <w:rPr>
          <w:rFonts w:ascii="Times New Roman" w:hAnsi="Times New Roman" w:cs="Times New Roman"/>
          <w:b/>
          <w:color w:val="auto"/>
          <w:sz w:val="24"/>
          <w:szCs w:val="24"/>
        </w:rPr>
        <w:t>Structure, outline and main findings of the research</w:t>
      </w:r>
      <w:bookmarkEnd w:id="85"/>
      <w:bookmarkEnd w:id="86"/>
      <w:bookmarkEnd w:id="87"/>
    </w:p>
    <w:p w14:paraId="616C52E1" w14:textId="77777777" w:rsidR="0057387C" w:rsidRPr="00774EDB" w:rsidRDefault="0057387C" w:rsidP="00A70042">
      <w:pPr>
        <w:pStyle w:val="Heading3"/>
        <w:numPr>
          <w:ilvl w:val="2"/>
          <w:numId w:val="17"/>
        </w:numPr>
        <w:spacing w:before="360"/>
        <w:ind w:left="0" w:firstLine="0"/>
        <w:jc w:val="both"/>
        <w:rPr>
          <w:rFonts w:ascii="Times New Roman" w:hAnsi="Times New Roman" w:cs="Times New Roman"/>
          <w:b/>
          <w:bCs/>
        </w:rPr>
      </w:pPr>
      <w:bookmarkStart w:id="88" w:name="_Toc17611340"/>
      <w:bookmarkStart w:id="89" w:name="_Toc17611557"/>
      <w:bookmarkStart w:id="90" w:name="_Toc17611769"/>
      <w:bookmarkStart w:id="91" w:name="_Toc17611983"/>
      <w:bookmarkStart w:id="92" w:name="_Toc17612196"/>
      <w:bookmarkStart w:id="93" w:name="_Toc17611341"/>
      <w:bookmarkStart w:id="94" w:name="_Toc53576021"/>
      <w:bookmarkEnd w:id="88"/>
      <w:bookmarkEnd w:id="89"/>
      <w:bookmarkEnd w:id="90"/>
      <w:bookmarkEnd w:id="91"/>
      <w:bookmarkEnd w:id="92"/>
      <w:r w:rsidRPr="00774EDB">
        <w:rPr>
          <w:rFonts w:ascii="Times New Roman" w:hAnsi="Times New Roman" w:cs="Times New Roman"/>
          <w:b/>
          <w:bCs/>
          <w:color w:val="auto"/>
        </w:rPr>
        <w:t>Structure and outline</w:t>
      </w:r>
      <w:bookmarkEnd w:id="93"/>
      <w:bookmarkEnd w:id="94"/>
      <w:r w:rsidRPr="00774EDB">
        <w:rPr>
          <w:rFonts w:ascii="Times New Roman" w:hAnsi="Times New Roman" w:cs="Times New Roman"/>
          <w:b/>
          <w:bCs/>
          <w:color w:val="auto"/>
        </w:rPr>
        <w:t xml:space="preserve"> </w:t>
      </w:r>
    </w:p>
    <w:p w14:paraId="09860A4D" w14:textId="3D7AB3F9" w:rsidR="0057387C" w:rsidRPr="00774EDB" w:rsidRDefault="00216BC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w:t>
      </w:r>
      <w:r w:rsidR="0057387C" w:rsidRPr="00774EDB">
        <w:rPr>
          <w:rFonts w:ascii="Times New Roman" w:hAnsi="Times New Roman" w:cs="Times New Roman"/>
          <w:sz w:val="24"/>
          <w:szCs w:val="24"/>
        </w:rPr>
        <w:t>h</w:t>
      </w:r>
      <w:r w:rsidRPr="00774EDB">
        <w:rPr>
          <w:rFonts w:ascii="Times New Roman" w:hAnsi="Times New Roman" w:cs="Times New Roman"/>
          <w:sz w:val="24"/>
          <w:szCs w:val="24"/>
        </w:rPr>
        <w:t>e thesis</w:t>
      </w:r>
      <w:r w:rsidR="0057387C" w:rsidRPr="00774EDB">
        <w:rPr>
          <w:rFonts w:ascii="Times New Roman" w:hAnsi="Times New Roman" w:cs="Times New Roman"/>
          <w:sz w:val="24"/>
          <w:szCs w:val="24"/>
        </w:rPr>
        <w:t xml:space="preserve"> </w:t>
      </w:r>
      <w:r w:rsidRPr="00774EDB">
        <w:rPr>
          <w:rFonts w:ascii="Times New Roman" w:hAnsi="Times New Roman" w:cs="Times New Roman"/>
          <w:sz w:val="24"/>
          <w:szCs w:val="24"/>
        </w:rPr>
        <w:t>commence</w:t>
      </w:r>
      <w:r w:rsidR="0057387C" w:rsidRPr="00774EDB">
        <w:rPr>
          <w:rFonts w:ascii="Times New Roman" w:hAnsi="Times New Roman" w:cs="Times New Roman"/>
          <w:sz w:val="24"/>
          <w:szCs w:val="24"/>
        </w:rPr>
        <w:t xml:space="preserve">s with the conceptual framework, under which ‘interoperability’ and </w:t>
      </w:r>
      <w:r w:rsidRPr="00774EDB">
        <w:rPr>
          <w:rFonts w:ascii="Times New Roman" w:hAnsi="Times New Roman" w:cs="Times New Roman"/>
          <w:sz w:val="24"/>
          <w:szCs w:val="24"/>
        </w:rPr>
        <w:t>related</w:t>
      </w:r>
      <w:r w:rsidR="0057387C" w:rsidRPr="00774EDB">
        <w:rPr>
          <w:rFonts w:ascii="Times New Roman" w:hAnsi="Times New Roman" w:cs="Times New Roman"/>
          <w:sz w:val="24"/>
          <w:szCs w:val="24"/>
        </w:rPr>
        <w:t xml:space="preserve"> concepts are </w:t>
      </w:r>
      <w:r w:rsidR="001E0AE6">
        <w:rPr>
          <w:rFonts w:ascii="Times New Roman" w:hAnsi="Times New Roman" w:cs="Times New Roman"/>
          <w:sz w:val="24"/>
          <w:szCs w:val="24"/>
        </w:rPr>
        <w:t>expound</w:t>
      </w:r>
      <w:r w:rsidR="0057387C" w:rsidRPr="00774EDB">
        <w:rPr>
          <w:rFonts w:ascii="Times New Roman" w:hAnsi="Times New Roman" w:cs="Times New Roman"/>
          <w:sz w:val="24"/>
          <w:szCs w:val="24"/>
        </w:rPr>
        <w:t xml:space="preserve">ed. </w:t>
      </w:r>
      <w:r w:rsidRPr="00774EDB">
        <w:rPr>
          <w:rFonts w:ascii="Times New Roman" w:hAnsi="Times New Roman" w:cs="Times New Roman"/>
          <w:sz w:val="24"/>
          <w:szCs w:val="24"/>
        </w:rPr>
        <w:t>Based on</w:t>
      </w:r>
      <w:r w:rsidR="0057387C" w:rsidRPr="00774EDB">
        <w:rPr>
          <w:rFonts w:ascii="Times New Roman" w:hAnsi="Times New Roman" w:cs="Times New Roman"/>
          <w:sz w:val="24"/>
          <w:szCs w:val="24"/>
        </w:rPr>
        <w:t xml:space="preserve"> this conceptual framework, the study fleshes out the </w:t>
      </w:r>
      <w:r w:rsidR="001E0AE6">
        <w:rPr>
          <w:rFonts w:ascii="Times New Roman" w:hAnsi="Times New Roman" w:cs="Times New Roman"/>
          <w:sz w:val="24"/>
          <w:szCs w:val="24"/>
        </w:rPr>
        <w:t xml:space="preserve">extent of </w:t>
      </w:r>
      <w:r w:rsidR="0057387C" w:rsidRPr="00774EDB">
        <w:rPr>
          <w:rFonts w:ascii="Times New Roman" w:hAnsi="Times New Roman" w:cs="Times New Roman"/>
          <w:sz w:val="24"/>
          <w:szCs w:val="24"/>
        </w:rPr>
        <w:t xml:space="preserve">legal regulation of interoperability, and carries on with </w:t>
      </w:r>
      <w:r w:rsidR="001E0AE6">
        <w:rPr>
          <w:rFonts w:ascii="Times New Roman" w:hAnsi="Times New Roman" w:cs="Times New Roman"/>
          <w:sz w:val="24"/>
          <w:szCs w:val="24"/>
        </w:rPr>
        <w:t xml:space="preserve">multidisciplinary </w:t>
      </w:r>
      <w:r w:rsidR="0057387C" w:rsidRPr="00774EDB">
        <w:rPr>
          <w:rFonts w:ascii="Times New Roman" w:hAnsi="Times New Roman" w:cs="Times New Roman"/>
          <w:sz w:val="24"/>
          <w:szCs w:val="24"/>
        </w:rPr>
        <w:t>doctrinal analysis and case stud</w:t>
      </w:r>
      <w:r w:rsidR="001E0AE6">
        <w:rPr>
          <w:rFonts w:ascii="Times New Roman" w:hAnsi="Times New Roman" w:cs="Times New Roman"/>
          <w:sz w:val="24"/>
          <w:szCs w:val="24"/>
        </w:rPr>
        <w:t>ies</w:t>
      </w:r>
      <w:r w:rsidR="0057387C" w:rsidRPr="00774EDB">
        <w:rPr>
          <w:rFonts w:ascii="Times New Roman" w:hAnsi="Times New Roman" w:cs="Times New Roman"/>
          <w:sz w:val="24"/>
          <w:szCs w:val="24"/>
        </w:rPr>
        <w:t xml:space="preserve"> respectively. B</w:t>
      </w:r>
      <w:r w:rsidRPr="00774EDB">
        <w:rPr>
          <w:rFonts w:ascii="Times New Roman" w:hAnsi="Times New Roman" w:cs="Times New Roman"/>
          <w:sz w:val="24"/>
          <w:szCs w:val="24"/>
        </w:rPr>
        <w:t>uilt</w:t>
      </w:r>
      <w:r w:rsidR="0057387C" w:rsidRPr="00774EDB">
        <w:rPr>
          <w:rFonts w:ascii="Times New Roman" w:hAnsi="Times New Roman" w:cs="Times New Roman"/>
          <w:sz w:val="24"/>
          <w:szCs w:val="24"/>
        </w:rPr>
        <w:t xml:space="preserve"> </w:t>
      </w:r>
      <w:r w:rsidRPr="00774EDB">
        <w:rPr>
          <w:rFonts w:ascii="Times New Roman" w:hAnsi="Times New Roman" w:cs="Times New Roman"/>
          <w:sz w:val="24"/>
          <w:szCs w:val="24"/>
        </w:rPr>
        <w:t>up</w:t>
      </w:r>
      <w:r w:rsidR="0057387C" w:rsidRPr="00774EDB">
        <w:rPr>
          <w:rFonts w:ascii="Times New Roman" w:hAnsi="Times New Roman" w:cs="Times New Roman"/>
          <w:sz w:val="24"/>
          <w:szCs w:val="24"/>
        </w:rPr>
        <w:t xml:space="preserve">on the cumulative findings and the </w:t>
      </w:r>
      <w:r w:rsidR="001E0AE6">
        <w:rPr>
          <w:rFonts w:ascii="Times New Roman" w:hAnsi="Times New Roman" w:cs="Times New Roman"/>
          <w:sz w:val="24"/>
          <w:szCs w:val="24"/>
        </w:rPr>
        <w:t>filtered</w:t>
      </w:r>
      <w:r w:rsidR="001E0AE6" w:rsidRPr="00774EDB">
        <w:rPr>
          <w:rFonts w:ascii="Times New Roman" w:hAnsi="Times New Roman" w:cs="Times New Roman"/>
          <w:sz w:val="24"/>
          <w:szCs w:val="24"/>
        </w:rPr>
        <w:t xml:space="preserve"> </w:t>
      </w:r>
      <w:r w:rsidR="0057387C" w:rsidRPr="00774EDB">
        <w:rPr>
          <w:rFonts w:ascii="Times New Roman" w:hAnsi="Times New Roman" w:cs="Times New Roman"/>
          <w:sz w:val="24"/>
          <w:szCs w:val="24"/>
        </w:rPr>
        <w:t xml:space="preserve">policy approach, the study ends up with </w:t>
      </w:r>
      <w:r w:rsidR="00CF7895">
        <w:rPr>
          <w:rFonts w:ascii="Times New Roman" w:hAnsi="Times New Roman" w:cs="Times New Roman"/>
          <w:sz w:val="24"/>
          <w:szCs w:val="24"/>
        </w:rPr>
        <w:t xml:space="preserve">the proposal </w:t>
      </w:r>
      <w:r w:rsidR="0057387C" w:rsidRPr="00774EDB">
        <w:rPr>
          <w:rFonts w:ascii="Times New Roman" w:hAnsi="Times New Roman" w:cs="Times New Roman"/>
          <w:sz w:val="24"/>
          <w:szCs w:val="24"/>
        </w:rPr>
        <w:t>of a regulatory model. Reflecting this, the thesis is comprised of eight chapters, being structured as follows:</w:t>
      </w:r>
    </w:p>
    <w:p w14:paraId="74C4ABFA" w14:textId="568D0554"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first, or Introduction chapter consists of the explanation of the background, purpose and scope of the thesis, including the research questions, </w:t>
      </w:r>
      <w:r w:rsidR="00CF7895">
        <w:rPr>
          <w:rFonts w:ascii="Times New Roman" w:hAnsi="Times New Roman" w:cs="Times New Roman"/>
          <w:sz w:val="24"/>
          <w:szCs w:val="24"/>
        </w:rPr>
        <w:t xml:space="preserve">methodological approach, </w:t>
      </w:r>
      <w:r w:rsidRPr="00774EDB">
        <w:rPr>
          <w:rFonts w:ascii="Times New Roman" w:hAnsi="Times New Roman" w:cs="Times New Roman"/>
          <w:sz w:val="24"/>
          <w:szCs w:val="24"/>
        </w:rPr>
        <w:t xml:space="preserve">components and end goals of the research. In so doing, a brief picture </w:t>
      </w:r>
      <w:r w:rsidR="00CF7895">
        <w:rPr>
          <w:rFonts w:ascii="Times New Roman" w:hAnsi="Times New Roman" w:cs="Times New Roman"/>
          <w:sz w:val="24"/>
          <w:szCs w:val="24"/>
        </w:rPr>
        <w:t>is</w:t>
      </w:r>
      <w:r w:rsidRPr="00774EDB">
        <w:rPr>
          <w:rFonts w:ascii="Times New Roman" w:hAnsi="Times New Roman" w:cs="Times New Roman"/>
          <w:sz w:val="24"/>
          <w:szCs w:val="24"/>
        </w:rPr>
        <w:t xml:space="preserve"> given regarding the doctrinal </w:t>
      </w:r>
      <w:r w:rsidR="00AD74B6" w:rsidRPr="00774EDB">
        <w:rPr>
          <w:rFonts w:ascii="Times New Roman" w:hAnsi="Times New Roman" w:cs="Times New Roman"/>
          <w:sz w:val="24"/>
          <w:szCs w:val="24"/>
        </w:rPr>
        <w:t xml:space="preserve">analysis </w:t>
      </w:r>
      <w:r w:rsidR="009A239B" w:rsidRPr="00774EDB">
        <w:rPr>
          <w:rFonts w:ascii="Times New Roman" w:hAnsi="Times New Roman" w:cs="Times New Roman"/>
          <w:sz w:val="24"/>
          <w:szCs w:val="24"/>
        </w:rPr>
        <w:t>based on</w:t>
      </w:r>
      <w:r w:rsidRPr="00774EDB">
        <w:rPr>
          <w:rFonts w:ascii="Times New Roman" w:hAnsi="Times New Roman" w:cs="Times New Roman"/>
          <w:sz w:val="24"/>
          <w:szCs w:val="24"/>
        </w:rPr>
        <w:t xml:space="preserve"> the most featured aspects of the </w:t>
      </w:r>
      <w:r w:rsidRPr="00774EDB">
        <w:rPr>
          <w:rFonts w:ascii="Times New Roman" w:hAnsi="Times New Roman" w:cs="Times New Roman"/>
          <w:i/>
          <w:sz w:val="24"/>
          <w:szCs w:val="24"/>
        </w:rPr>
        <w:t xml:space="preserve">status </w:t>
      </w:r>
      <w:r w:rsidRPr="00774EDB">
        <w:rPr>
          <w:rFonts w:ascii="Times New Roman" w:hAnsi="Times New Roman" w:cs="Times New Roman"/>
          <w:i/>
          <w:sz w:val="24"/>
          <w:szCs w:val="24"/>
        </w:rPr>
        <w:lastRenderedPageBreak/>
        <w:t>quo</w:t>
      </w:r>
      <w:r w:rsidRPr="00774EDB">
        <w:rPr>
          <w:rFonts w:ascii="Times New Roman" w:hAnsi="Times New Roman" w:cs="Times New Roman"/>
          <w:sz w:val="24"/>
          <w:szCs w:val="24"/>
        </w:rPr>
        <w:t xml:space="preserve"> </w:t>
      </w:r>
      <w:r w:rsidR="00AD74B6" w:rsidRPr="00774EDB">
        <w:rPr>
          <w:rFonts w:ascii="Times New Roman" w:hAnsi="Times New Roman" w:cs="Times New Roman"/>
          <w:sz w:val="24"/>
          <w:szCs w:val="24"/>
        </w:rPr>
        <w:t xml:space="preserve">and </w:t>
      </w:r>
      <w:r w:rsidR="009A239B" w:rsidRPr="00774EDB">
        <w:rPr>
          <w:rFonts w:ascii="Times New Roman" w:hAnsi="Times New Roman" w:cs="Times New Roman"/>
          <w:sz w:val="24"/>
          <w:szCs w:val="24"/>
        </w:rPr>
        <w:t xml:space="preserve">the </w:t>
      </w:r>
      <w:r w:rsidR="00AD74B6" w:rsidRPr="00774EDB">
        <w:rPr>
          <w:rFonts w:ascii="Times New Roman" w:hAnsi="Times New Roman" w:cs="Times New Roman"/>
          <w:sz w:val="24"/>
          <w:szCs w:val="24"/>
        </w:rPr>
        <w:t xml:space="preserve">case study research </w:t>
      </w:r>
      <w:r w:rsidRPr="00774EDB">
        <w:rPr>
          <w:rFonts w:ascii="Times New Roman" w:hAnsi="Times New Roman" w:cs="Times New Roman"/>
          <w:sz w:val="24"/>
          <w:szCs w:val="24"/>
        </w:rPr>
        <w:t xml:space="preserve">along with the revelations from the industrial settings. </w:t>
      </w:r>
      <w:r w:rsidR="00CF7895">
        <w:rPr>
          <w:rFonts w:ascii="Times New Roman" w:hAnsi="Times New Roman" w:cs="Times New Roman"/>
          <w:sz w:val="24"/>
          <w:szCs w:val="24"/>
        </w:rPr>
        <w:t>Draw</w:t>
      </w:r>
      <w:r w:rsidRPr="00774EDB">
        <w:rPr>
          <w:rFonts w:ascii="Times New Roman" w:hAnsi="Times New Roman" w:cs="Times New Roman"/>
          <w:sz w:val="24"/>
          <w:szCs w:val="24"/>
        </w:rPr>
        <w:t xml:space="preserve">ing on these, progressive steps and step-by-step findings </w:t>
      </w:r>
      <w:r w:rsidR="00CF7895">
        <w:rPr>
          <w:rFonts w:ascii="Times New Roman" w:hAnsi="Times New Roman" w:cs="Times New Roman"/>
          <w:sz w:val="24"/>
          <w:szCs w:val="24"/>
        </w:rPr>
        <w:t>are</w:t>
      </w:r>
      <w:r w:rsidRPr="00774EDB">
        <w:rPr>
          <w:rFonts w:ascii="Times New Roman" w:hAnsi="Times New Roman" w:cs="Times New Roman"/>
          <w:sz w:val="24"/>
          <w:szCs w:val="24"/>
        </w:rPr>
        <w:t xml:space="preserve"> </w:t>
      </w:r>
      <w:r w:rsidR="00CF7895">
        <w:rPr>
          <w:rFonts w:ascii="Times New Roman" w:hAnsi="Times New Roman" w:cs="Times New Roman"/>
          <w:sz w:val="24"/>
          <w:szCs w:val="24"/>
        </w:rPr>
        <w:t>also explained</w:t>
      </w:r>
      <w:r w:rsidRPr="00774EDB">
        <w:rPr>
          <w:rFonts w:ascii="Times New Roman" w:hAnsi="Times New Roman" w:cs="Times New Roman"/>
          <w:sz w:val="24"/>
          <w:szCs w:val="24"/>
        </w:rPr>
        <w:t>, in the Introduction.</w:t>
      </w:r>
    </w:p>
    <w:p w14:paraId="6DF5CA19" w14:textId="0328D6CC"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second and third chapters draw a general framework to </w:t>
      </w:r>
      <w:r w:rsidR="00DE4240">
        <w:rPr>
          <w:rFonts w:ascii="Times New Roman" w:hAnsi="Times New Roman" w:cs="Times New Roman"/>
          <w:sz w:val="24"/>
          <w:szCs w:val="24"/>
        </w:rPr>
        <w:t>clarify</w:t>
      </w:r>
      <w:r w:rsidRPr="00774EDB">
        <w:rPr>
          <w:rFonts w:ascii="Times New Roman" w:hAnsi="Times New Roman" w:cs="Times New Roman"/>
          <w:sz w:val="24"/>
          <w:szCs w:val="24"/>
        </w:rPr>
        <w:t xml:space="preserve"> the fundamental concepts </w:t>
      </w:r>
      <w:r w:rsidR="00DE4240">
        <w:rPr>
          <w:rFonts w:ascii="Times New Roman" w:hAnsi="Times New Roman" w:cs="Times New Roman"/>
          <w:sz w:val="24"/>
          <w:szCs w:val="24"/>
        </w:rPr>
        <w:t xml:space="preserve">and the technological underpinnings of the study, </w:t>
      </w:r>
      <w:r w:rsidRPr="00774EDB">
        <w:rPr>
          <w:rFonts w:ascii="Times New Roman" w:hAnsi="Times New Roman" w:cs="Times New Roman"/>
          <w:sz w:val="24"/>
          <w:szCs w:val="24"/>
        </w:rPr>
        <w:t xml:space="preserve">and their interplay throughout the thesis. The second chapter deals with the underlying technical and economic concepts and their definitions, whereas the third chapter is focused on the regulation of interoperability in the EU legal fora. </w:t>
      </w:r>
    </w:p>
    <w:p w14:paraId="6E3A6420" w14:textId="30330E29"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second chapter starts with the definition and underpinnings of ‘interoperability’ and deepens with the related concepts, including open and proprietary interfaces, standards and network effects, and ending up with the main characteristics of ICT networks and the internet’s architecture e.g. technical layers. Thereunder, key market-based and technological developments e.g. convergence and all-IP migration are also explained, along with their implications concerning interoperability. By this means, it is aimed to ensure a deeper understanding is </w:t>
      </w:r>
      <w:r w:rsidR="009A239B" w:rsidRPr="00774EDB">
        <w:rPr>
          <w:rFonts w:ascii="Times New Roman" w:hAnsi="Times New Roman" w:cs="Times New Roman"/>
          <w:sz w:val="24"/>
          <w:szCs w:val="24"/>
        </w:rPr>
        <w:t>constructed regarding</w:t>
      </w:r>
      <w:r w:rsidRPr="00774EDB">
        <w:rPr>
          <w:rFonts w:ascii="Times New Roman" w:hAnsi="Times New Roman" w:cs="Times New Roman"/>
          <w:sz w:val="24"/>
          <w:szCs w:val="24"/>
        </w:rPr>
        <w:t xml:space="preserve"> the evolution of the ICT networks, IP-based ecosystems and technological layers.</w:t>
      </w:r>
    </w:p>
    <w:p w14:paraId="54922674" w14:textId="1BE6BB0D"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this respect, particular attention is paid to ‘convergence’ which increasingly refashions the interoperability needs and requirements </w:t>
      </w:r>
      <w:r w:rsidR="002C5516" w:rsidRPr="00774EDB">
        <w:rPr>
          <w:rFonts w:ascii="Times New Roman" w:hAnsi="Times New Roman" w:cs="Times New Roman"/>
          <w:sz w:val="24"/>
          <w:szCs w:val="24"/>
        </w:rPr>
        <w:t xml:space="preserve">as are reflected </w:t>
      </w:r>
      <w:r w:rsidRPr="00774EDB">
        <w:rPr>
          <w:rFonts w:ascii="Times New Roman" w:hAnsi="Times New Roman" w:cs="Times New Roman"/>
          <w:sz w:val="24"/>
          <w:szCs w:val="24"/>
        </w:rPr>
        <w:t xml:space="preserve">in our everyday lives. </w:t>
      </w:r>
      <w:r w:rsidR="002C5516" w:rsidRPr="00774EDB">
        <w:rPr>
          <w:rFonts w:ascii="Times New Roman" w:hAnsi="Times New Roman" w:cs="Times New Roman"/>
          <w:sz w:val="24"/>
          <w:szCs w:val="24"/>
        </w:rPr>
        <w:t>I</w:t>
      </w:r>
      <w:r w:rsidRPr="00774EDB">
        <w:rPr>
          <w:rFonts w:ascii="Times New Roman" w:hAnsi="Times New Roman" w:cs="Times New Roman"/>
          <w:sz w:val="24"/>
          <w:szCs w:val="24"/>
        </w:rPr>
        <w:t xml:space="preserve">t is emphasized that from micro level devices e.g. smart meters, to macro level e.g. next generation networks, interoperability is key to the convergence, which is taking place at the IP level and having an impact on all the related markets, e.g. telecommunications, broadcasting and information technologies (IT). Within this landscape, every sector still continues to be regulated with separate rules and measures, </w:t>
      </w:r>
      <w:r w:rsidR="002906A7">
        <w:rPr>
          <w:rFonts w:ascii="Times New Roman" w:hAnsi="Times New Roman" w:cs="Times New Roman"/>
          <w:sz w:val="24"/>
          <w:szCs w:val="24"/>
        </w:rPr>
        <w:lastRenderedPageBreak/>
        <w:t>although this</w:t>
      </w:r>
      <w:r w:rsidRPr="00774EDB">
        <w:rPr>
          <w:rFonts w:ascii="Times New Roman" w:hAnsi="Times New Roman" w:cs="Times New Roman"/>
          <w:sz w:val="24"/>
          <w:szCs w:val="24"/>
        </w:rPr>
        <w:t xml:space="preserve"> is open to criticism and needs to be checked out </w:t>
      </w:r>
      <w:r w:rsidR="002906A7" w:rsidRPr="00774EDB">
        <w:rPr>
          <w:rFonts w:ascii="Times New Roman" w:hAnsi="Times New Roman" w:cs="Times New Roman"/>
          <w:sz w:val="24"/>
          <w:szCs w:val="24"/>
        </w:rPr>
        <w:t>from an overall ICT perspective</w:t>
      </w:r>
      <w:r w:rsidRPr="00774EDB">
        <w:rPr>
          <w:rFonts w:ascii="Times New Roman" w:hAnsi="Times New Roman" w:cs="Times New Roman"/>
          <w:sz w:val="24"/>
          <w:szCs w:val="24"/>
        </w:rPr>
        <w:t>.</w:t>
      </w:r>
    </w:p>
    <w:p w14:paraId="1B1C3892" w14:textId="5302B926"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subsequent (third) chapter sheds light on the relevant concerns surrounding the lack of interoperability and the</w:t>
      </w:r>
      <w:r w:rsidR="002906A7">
        <w:rPr>
          <w:rFonts w:ascii="Times New Roman" w:hAnsi="Times New Roman" w:cs="Times New Roman"/>
          <w:sz w:val="24"/>
          <w:szCs w:val="24"/>
        </w:rPr>
        <w:t xml:space="preserve"> so called gatekeeping concept</w:t>
      </w:r>
      <w:r w:rsidRPr="00774EDB">
        <w:rPr>
          <w:rFonts w:ascii="Times New Roman" w:hAnsi="Times New Roman" w:cs="Times New Roman"/>
          <w:sz w:val="24"/>
          <w:szCs w:val="24"/>
        </w:rPr>
        <w:t>, and touching base regarding the interoperability-oriented regulations</w:t>
      </w:r>
      <w:r w:rsidR="002906A7">
        <w:rPr>
          <w:rFonts w:ascii="Times New Roman" w:hAnsi="Times New Roman" w:cs="Times New Roman"/>
          <w:sz w:val="24"/>
          <w:szCs w:val="24"/>
        </w:rPr>
        <w:t xml:space="preserve"> within the EU legal </w:t>
      </w:r>
      <w:r w:rsidR="008F3B98">
        <w:rPr>
          <w:rFonts w:ascii="Times New Roman" w:hAnsi="Times New Roman" w:cs="Times New Roman"/>
          <w:sz w:val="24"/>
          <w:szCs w:val="24"/>
        </w:rPr>
        <w:t>system</w:t>
      </w:r>
      <w:r w:rsidRPr="00774EDB">
        <w:rPr>
          <w:rFonts w:ascii="Times New Roman" w:hAnsi="Times New Roman" w:cs="Times New Roman"/>
          <w:sz w:val="24"/>
          <w:szCs w:val="24"/>
        </w:rPr>
        <w:t xml:space="preserve">. Commencing with framing the identified concerns, this chapter clarifies the most </w:t>
      </w:r>
      <w:r w:rsidR="008F3B98">
        <w:rPr>
          <w:rFonts w:ascii="Times New Roman" w:hAnsi="Times New Roman" w:cs="Times New Roman"/>
          <w:sz w:val="24"/>
          <w:szCs w:val="24"/>
        </w:rPr>
        <w:t>prevalent</w:t>
      </w:r>
      <w:r w:rsidR="008F3B98" w:rsidRPr="00774EDB">
        <w:rPr>
          <w:rFonts w:ascii="Times New Roman" w:hAnsi="Times New Roman" w:cs="Times New Roman"/>
          <w:sz w:val="24"/>
          <w:szCs w:val="24"/>
        </w:rPr>
        <w:t xml:space="preserve"> </w:t>
      </w:r>
      <w:r w:rsidR="008F3B98">
        <w:rPr>
          <w:rFonts w:ascii="Times New Roman" w:hAnsi="Times New Roman" w:cs="Times New Roman"/>
          <w:sz w:val="24"/>
          <w:szCs w:val="24"/>
        </w:rPr>
        <w:t xml:space="preserve">gatekeeping </w:t>
      </w:r>
      <w:r w:rsidRPr="00774EDB">
        <w:rPr>
          <w:rFonts w:ascii="Times New Roman" w:hAnsi="Times New Roman" w:cs="Times New Roman"/>
          <w:sz w:val="24"/>
          <w:szCs w:val="24"/>
        </w:rPr>
        <w:t xml:space="preserve">problems caused by the lack of interoperability. Not only competition </w:t>
      </w:r>
      <w:r w:rsidR="008F3B98">
        <w:rPr>
          <w:rFonts w:ascii="Times New Roman" w:hAnsi="Times New Roman" w:cs="Times New Roman"/>
          <w:sz w:val="24"/>
          <w:szCs w:val="24"/>
        </w:rPr>
        <w:t>concerns</w:t>
      </w:r>
      <w:r w:rsidR="008F3B98" w:rsidRPr="00774EDB">
        <w:rPr>
          <w:rFonts w:ascii="Times New Roman" w:hAnsi="Times New Roman" w:cs="Times New Roman"/>
          <w:sz w:val="24"/>
          <w:szCs w:val="24"/>
        </w:rPr>
        <w:t xml:space="preserve"> </w:t>
      </w:r>
      <w:r w:rsidRPr="00774EDB">
        <w:rPr>
          <w:rFonts w:ascii="Times New Roman" w:hAnsi="Times New Roman" w:cs="Times New Roman"/>
          <w:sz w:val="24"/>
          <w:szCs w:val="24"/>
        </w:rPr>
        <w:t>e.g.</w:t>
      </w:r>
      <w:r w:rsidR="008F3B98">
        <w:rPr>
          <w:rFonts w:ascii="Times New Roman" w:hAnsi="Times New Roman" w:cs="Times New Roman"/>
          <w:sz w:val="24"/>
          <w:szCs w:val="24"/>
        </w:rPr>
        <w:t xml:space="preserve"> </w:t>
      </w:r>
      <w:r w:rsidR="008F3B98" w:rsidRPr="00774EDB">
        <w:rPr>
          <w:rFonts w:ascii="Times New Roman" w:hAnsi="Times New Roman" w:cs="Times New Roman"/>
          <w:sz w:val="24"/>
          <w:szCs w:val="24"/>
        </w:rPr>
        <w:t>vendor lock-in, switching costs and market foreclosure</w:t>
      </w:r>
      <w:r w:rsidRPr="00774EDB">
        <w:rPr>
          <w:rFonts w:ascii="Times New Roman" w:hAnsi="Times New Roman" w:cs="Times New Roman"/>
          <w:sz w:val="24"/>
          <w:szCs w:val="24"/>
        </w:rPr>
        <w:t xml:space="preserve">, but also </w:t>
      </w:r>
      <w:r w:rsidR="008F3B98">
        <w:rPr>
          <w:rFonts w:ascii="Times New Roman" w:hAnsi="Times New Roman" w:cs="Times New Roman"/>
          <w:sz w:val="24"/>
          <w:szCs w:val="24"/>
        </w:rPr>
        <w:t xml:space="preserve">techno-social </w:t>
      </w:r>
      <w:r w:rsidRPr="00774EDB">
        <w:rPr>
          <w:rFonts w:ascii="Times New Roman" w:hAnsi="Times New Roman" w:cs="Times New Roman"/>
          <w:sz w:val="24"/>
          <w:szCs w:val="24"/>
        </w:rPr>
        <w:t xml:space="preserve">concerns e.g. end-to-end connectivity, </w:t>
      </w:r>
      <w:r w:rsidR="008F3B98">
        <w:rPr>
          <w:rFonts w:ascii="Times New Roman" w:hAnsi="Times New Roman" w:cs="Times New Roman"/>
          <w:sz w:val="24"/>
          <w:szCs w:val="24"/>
        </w:rPr>
        <w:t xml:space="preserve">hindered innovation and information flows </w:t>
      </w:r>
      <w:r w:rsidRPr="00774EDB">
        <w:rPr>
          <w:rFonts w:ascii="Times New Roman" w:hAnsi="Times New Roman" w:cs="Times New Roman"/>
          <w:sz w:val="24"/>
          <w:szCs w:val="24"/>
        </w:rPr>
        <w:t xml:space="preserve">are highlighted in this </w:t>
      </w:r>
      <w:r w:rsidR="00E915F3">
        <w:rPr>
          <w:rFonts w:ascii="Times New Roman" w:hAnsi="Times New Roman" w:cs="Times New Roman"/>
          <w:sz w:val="24"/>
          <w:szCs w:val="24"/>
        </w:rPr>
        <w:t>context</w:t>
      </w:r>
      <w:r w:rsidRPr="00774EDB">
        <w:rPr>
          <w:rFonts w:ascii="Times New Roman" w:hAnsi="Times New Roman" w:cs="Times New Roman"/>
          <w:sz w:val="24"/>
          <w:szCs w:val="24"/>
        </w:rPr>
        <w:t xml:space="preserve">. Then the focus is shifted to how these problems are met and responded to by the policy makers under the distinct bodies of </w:t>
      </w:r>
      <w:r w:rsidR="00E915F3">
        <w:rPr>
          <w:rFonts w:ascii="Times New Roman" w:hAnsi="Times New Roman" w:cs="Times New Roman"/>
          <w:sz w:val="24"/>
          <w:szCs w:val="24"/>
        </w:rPr>
        <w:t xml:space="preserve">EU </w:t>
      </w:r>
      <w:r w:rsidRPr="00774EDB">
        <w:rPr>
          <w:rFonts w:ascii="Times New Roman" w:hAnsi="Times New Roman" w:cs="Times New Roman"/>
          <w:sz w:val="24"/>
          <w:szCs w:val="24"/>
        </w:rPr>
        <w:t xml:space="preserve">law. In this section, IPR rules, competition law and sector-specific rules (ECRF) are examined from the perspective of interoperability, at a rather introductory level. In addition, </w:t>
      </w:r>
      <w:r w:rsidR="00E915F3">
        <w:rPr>
          <w:rFonts w:ascii="Times New Roman" w:hAnsi="Times New Roman" w:cs="Times New Roman"/>
          <w:sz w:val="24"/>
          <w:szCs w:val="24"/>
        </w:rPr>
        <w:t xml:space="preserve">EU </w:t>
      </w:r>
      <w:r w:rsidRPr="00774EDB">
        <w:rPr>
          <w:rFonts w:ascii="Times New Roman" w:hAnsi="Times New Roman" w:cs="Times New Roman"/>
          <w:sz w:val="24"/>
          <w:szCs w:val="24"/>
        </w:rPr>
        <w:t>data protection</w:t>
      </w:r>
      <w:r w:rsidR="00E915F3">
        <w:rPr>
          <w:rFonts w:ascii="Times New Roman" w:hAnsi="Times New Roman" w:cs="Times New Roman"/>
          <w:sz w:val="24"/>
          <w:szCs w:val="24"/>
        </w:rPr>
        <w:t xml:space="preserve"> rules</w:t>
      </w:r>
      <w:r w:rsidRPr="00774EDB">
        <w:rPr>
          <w:rFonts w:ascii="Times New Roman" w:hAnsi="Times New Roman" w:cs="Times New Roman"/>
          <w:sz w:val="24"/>
          <w:szCs w:val="24"/>
        </w:rPr>
        <w:t xml:space="preserve"> </w:t>
      </w:r>
      <w:r w:rsidR="00E915F3">
        <w:rPr>
          <w:rFonts w:ascii="Times New Roman" w:hAnsi="Times New Roman" w:cs="Times New Roman"/>
          <w:sz w:val="24"/>
          <w:szCs w:val="24"/>
        </w:rPr>
        <w:t>are</w:t>
      </w:r>
      <w:r w:rsidR="00E915F3" w:rsidRPr="00774EDB">
        <w:rPr>
          <w:rFonts w:ascii="Times New Roman" w:hAnsi="Times New Roman" w:cs="Times New Roman"/>
          <w:sz w:val="24"/>
          <w:szCs w:val="24"/>
        </w:rPr>
        <w:t xml:space="preserve"> </w:t>
      </w:r>
      <w:r w:rsidRPr="00774EDB">
        <w:rPr>
          <w:rFonts w:ascii="Times New Roman" w:hAnsi="Times New Roman" w:cs="Times New Roman"/>
          <w:sz w:val="24"/>
          <w:szCs w:val="24"/>
        </w:rPr>
        <w:t>fleshed out, with the emphasis being on ‘data portability’, given the fact that this recently introduced right enables the consumers to port their data from one platform to another, based on the common data processing systems, and which is cl</w:t>
      </w:r>
      <w:r w:rsidR="00E915F3">
        <w:rPr>
          <w:rFonts w:ascii="Times New Roman" w:hAnsi="Times New Roman" w:cs="Times New Roman"/>
          <w:sz w:val="24"/>
          <w:szCs w:val="24"/>
        </w:rPr>
        <w:t>os</w:t>
      </w:r>
      <w:r w:rsidRPr="00774EDB">
        <w:rPr>
          <w:rFonts w:ascii="Times New Roman" w:hAnsi="Times New Roman" w:cs="Times New Roman"/>
          <w:sz w:val="24"/>
          <w:szCs w:val="24"/>
        </w:rPr>
        <w:t xml:space="preserve">ely related to interoperability. </w:t>
      </w:r>
    </w:p>
    <w:p w14:paraId="0102A04A" w14:textId="65FDCB0D"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following three chapters (Chapters 4, 5 and 6) make an in-depth analysis of the </w:t>
      </w:r>
      <w:r w:rsidR="00E915F3">
        <w:rPr>
          <w:rFonts w:ascii="Times New Roman" w:hAnsi="Times New Roman" w:cs="Times New Roman"/>
          <w:sz w:val="24"/>
          <w:szCs w:val="24"/>
        </w:rPr>
        <w:t xml:space="preserve">EU rules and precedents governing ICT </w:t>
      </w:r>
      <w:r w:rsidRPr="00774EDB">
        <w:rPr>
          <w:rFonts w:ascii="Times New Roman" w:hAnsi="Times New Roman" w:cs="Times New Roman"/>
          <w:sz w:val="24"/>
          <w:szCs w:val="24"/>
        </w:rPr>
        <w:t xml:space="preserve">interoperability under the specified three legal regimes, namely IPR rules, competition law and the ECRF. In these chapters, whether and to what extent the </w:t>
      </w:r>
      <w:r w:rsidR="00E915F3">
        <w:rPr>
          <w:rFonts w:ascii="Times New Roman" w:hAnsi="Times New Roman" w:cs="Times New Roman"/>
          <w:sz w:val="24"/>
          <w:szCs w:val="24"/>
        </w:rPr>
        <w:t>(non-)</w:t>
      </w:r>
      <w:r w:rsidRPr="00774EDB">
        <w:rPr>
          <w:rFonts w:ascii="Times New Roman" w:hAnsi="Times New Roman" w:cs="Times New Roman"/>
          <w:sz w:val="24"/>
          <w:szCs w:val="24"/>
        </w:rPr>
        <w:t xml:space="preserve">interoperability </w:t>
      </w:r>
      <w:r w:rsidR="00E915F3">
        <w:rPr>
          <w:rFonts w:ascii="Times New Roman" w:hAnsi="Times New Roman" w:cs="Times New Roman"/>
          <w:sz w:val="24"/>
          <w:szCs w:val="24"/>
        </w:rPr>
        <w:t>is given</w:t>
      </w:r>
      <w:r w:rsidRPr="00774EDB">
        <w:rPr>
          <w:rFonts w:ascii="Times New Roman" w:hAnsi="Times New Roman" w:cs="Times New Roman"/>
          <w:sz w:val="24"/>
          <w:szCs w:val="24"/>
        </w:rPr>
        <w:t xml:space="preserve"> a response from relevant legal regimes is investigated. In so doing, quite a detailed doctrinal (blackletter) analysis is conducted to clarify the scope and limits of each legal regime. Not only legal texts (hard and soft law) and case law, but also previous research and publications, including </w:t>
      </w:r>
      <w:r w:rsidRPr="00774EDB">
        <w:rPr>
          <w:rFonts w:ascii="Times New Roman" w:hAnsi="Times New Roman" w:cs="Times New Roman"/>
          <w:sz w:val="24"/>
          <w:szCs w:val="24"/>
        </w:rPr>
        <w:lastRenderedPageBreak/>
        <w:t xml:space="preserve">journal articles, books, reports and newsletters, are reflected on, in order to deepen the discussion. In this regard, one chapter is dedicated to each legal regime, </w:t>
      </w:r>
      <w:r w:rsidR="00BE343D">
        <w:rPr>
          <w:rFonts w:ascii="Times New Roman" w:hAnsi="Times New Roman" w:cs="Times New Roman"/>
          <w:sz w:val="24"/>
          <w:szCs w:val="24"/>
        </w:rPr>
        <w:t>based on</w:t>
      </w:r>
      <w:r w:rsidR="00BE343D" w:rsidRPr="00774EDB">
        <w:rPr>
          <w:rFonts w:ascii="Times New Roman" w:hAnsi="Times New Roman" w:cs="Times New Roman"/>
          <w:sz w:val="24"/>
          <w:szCs w:val="24"/>
        </w:rPr>
        <w:t xml:space="preserve"> </w:t>
      </w:r>
      <w:r w:rsidR="00BE343D">
        <w:rPr>
          <w:rFonts w:ascii="Times New Roman" w:hAnsi="Times New Roman" w:cs="Times New Roman"/>
          <w:sz w:val="24"/>
          <w:szCs w:val="24"/>
        </w:rPr>
        <w:t>the</w:t>
      </w:r>
      <w:r w:rsidR="00BE343D" w:rsidRPr="00774EDB">
        <w:rPr>
          <w:rFonts w:ascii="Times New Roman" w:hAnsi="Times New Roman" w:cs="Times New Roman"/>
          <w:sz w:val="24"/>
          <w:szCs w:val="24"/>
        </w:rPr>
        <w:t xml:space="preserve"> </w:t>
      </w:r>
      <w:r w:rsidR="00BE343D">
        <w:rPr>
          <w:rFonts w:ascii="Times New Roman" w:hAnsi="Times New Roman" w:cs="Times New Roman"/>
          <w:sz w:val="24"/>
          <w:szCs w:val="24"/>
        </w:rPr>
        <w:t>respective analysis</w:t>
      </w:r>
      <w:r w:rsidR="00BE343D"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of </w:t>
      </w:r>
      <w:r w:rsidR="00BE343D">
        <w:rPr>
          <w:rFonts w:ascii="Times New Roman" w:hAnsi="Times New Roman" w:cs="Times New Roman"/>
          <w:sz w:val="24"/>
          <w:szCs w:val="24"/>
        </w:rPr>
        <w:t xml:space="preserve">the investigated </w:t>
      </w:r>
      <w:r w:rsidRPr="00774EDB">
        <w:rPr>
          <w:rFonts w:ascii="Times New Roman" w:hAnsi="Times New Roman" w:cs="Times New Roman"/>
          <w:sz w:val="24"/>
          <w:szCs w:val="24"/>
        </w:rPr>
        <w:t xml:space="preserve">primary and secondary </w:t>
      </w:r>
      <w:r w:rsidR="00BE343D">
        <w:rPr>
          <w:rFonts w:ascii="Times New Roman" w:hAnsi="Times New Roman" w:cs="Times New Roman"/>
          <w:sz w:val="24"/>
          <w:szCs w:val="24"/>
        </w:rPr>
        <w:t>re</w:t>
      </w:r>
      <w:r w:rsidRPr="00774EDB">
        <w:rPr>
          <w:rFonts w:ascii="Times New Roman" w:hAnsi="Times New Roman" w:cs="Times New Roman"/>
          <w:sz w:val="24"/>
          <w:szCs w:val="24"/>
        </w:rPr>
        <w:t xml:space="preserve">sources. </w:t>
      </w:r>
    </w:p>
    <w:p w14:paraId="789D1E07" w14:textId="7C2B9EAA" w:rsidR="00660C23"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IPR rules constitute the subject-matter of Chapter 4, </w:t>
      </w:r>
      <w:r w:rsidR="00E572FB" w:rsidRPr="00774EDB">
        <w:rPr>
          <w:rFonts w:ascii="Times New Roman" w:hAnsi="Times New Roman" w:cs="Times New Roman"/>
          <w:sz w:val="24"/>
          <w:szCs w:val="24"/>
        </w:rPr>
        <w:t>embrac</w:t>
      </w:r>
      <w:r w:rsidRPr="00774EDB">
        <w:rPr>
          <w:rFonts w:ascii="Times New Roman" w:hAnsi="Times New Roman" w:cs="Times New Roman"/>
          <w:sz w:val="24"/>
          <w:szCs w:val="24"/>
        </w:rPr>
        <w:t>ing all the related IPR</w:t>
      </w:r>
      <w:r w:rsidR="00E572FB" w:rsidRPr="00774EDB">
        <w:rPr>
          <w:rFonts w:ascii="Times New Roman" w:hAnsi="Times New Roman" w:cs="Times New Roman"/>
          <w:sz w:val="24"/>
          <w:szCs w:val="24"/>
        </w:rPr>
        <w:t xml:space="preserve"> type</w:t>
      </w:r>
      <w:r w:rsidRPr="00774EDB">
        <w:rPr>
          <w:rFonts w:ascii="Times New Roman" w:hAnsi="Times New Roman" w:cs="Times New Roman"/>
          <w:sz w:val="24"/>
          <w:szCs w:val="24"/>
        </w:rPr>
        <w:t>s, namely copyrights, patents, databases and trade</w:t>
      </w:r>
      <w:r w:rsidR="00013E2F" w:rsidRPr="00774EDB">
        <w:rPr>
          <w:rFonts w:ascii="Times New Roman" w:hAnsi="Times New Roman" w:cs="Times New Roman"/>
          <w:sz w:val="24"/>
          <w:szCs w:val="24"/>
        </w:rPr>
        <w:t xml:space="preserve"> secret</w:t>
      </w:r>
      <w:r w:rsidRPr="00774EDB">
        <w:rPr>
          <w:rFonts w:ascii="Times New Roman" w:hAnsi="Times New Roman" w:cs="Times New Roman"/>
          <w:sz w:val="24"/>
          <w:szCs w:val="24"/>
        </w:rPr>
        <w:t>s. These IPRs are mainly analysed from the EU legal perspective, and where necessary with references to US case law</w:t>
      </w:r>
      <w:r w:rsidR="00660C23">
        <w:rPr>
          <w:rFonts w:ascii="Times New Roman" w:hAnsi="Times New Roman" w:cs="Times New Roman"/>
          <w:sz w:val="24"/>
          <w:szCs w:val="24"/>
        </w:rPr>
        <w:t xml:space="preserve"> and</w:t>
      </w:r>
      <w:r w:rsidRPr="00774EDB">
        <w:rPr>
          <w:rFonts w:ascii="Times New Roman" w:hAnsi="Times New Roman" w:cs="Times New Roman"/>
          <w:sz w:val="24"/>
          <w:szCs w:val="24"/>
        </w:rPr>
        <w:t xml:space="preserve"> legislative measures</w:t>
      </w:r>
      <w:r w:rsidR="00660C23">
        <w:rPr>
          <w:rFonts w:ascii="Times New Roman" w:hAnsi="Times New Roman" w:cs="Times New Roman"/>
          <w:sz w:val="24"/>
          <w:szCs w:val="24"/>
        </w:rPr>
        <w:t xml:space="preserve"> e.g. Digital Millennium Copyright Act (DMCA)</w:t>
      </w:r>
      <w:r w:rsidRPr="00774EDB">
        <w:rPr>
          <w:rFonts w:ascii="Times New Roman" w:hAnsi="Times New Roman" w:cs="Times New Roman"/>
          <w:sz w:val="24"/>
          <w:szCs w:val="24"/>
        </w:rPr>
        <w:t>. Copyrights, patents, trade</w:t>
      </w:r>
      <w:r w:rsidR="00013E2F" w:rsidRPr="00774EDB">
        <w:rPr>
          <w:rFonts w:ascii="Times New Roman" w:hAnsi="Times New Roman" w:cs="Times New Roman"/>
          <w:sz w:val="24"/>
          <w:szCs w:val="24"/>
        </w:rPr>
        <w:t xml:space="preserve"> secrets</w:t>
      </w:r>
      <w:r w:rsidRPr="00774EDB">
        <w:rPr>
          <w:rFonts w:ascii="Times New Roman" w:hAnsi="Times New Roman" w:cs="Times New Roman"/>
          <w:sz w:val="24"/>
          <w:szCs w:val="24"/>
        </w:rPr>
        <w:t xml:space="preserve"> and databases are thereby investigated as to whether and to what extent interoperability is enabled under each</w:t>
      </w:r>
      <w:r w:rsidR="00660C23">
        <w:rPr>
          <w:rFonts w:ascii="Times New Roman" w:hAnsi="Times New Roman" w:cs="Times New Roman"/>
          <w:sz w:val="24"/>
          <w:szCs w:val="24"/>
        </w:rPr>
        <w:t xml:space="preserve"> </w:t>
      </w:r>
      <w:r w:rsidRPr="00774EDB">
        <w:rPr>
          <w:rFonts w:ascii="Times New Roman" w:hAnsi="Times New Roman" w:cs="Times New Roman"/>
          <w:sz w:val="24"/>
          <w:szCs w:val="24"/>
        </w:rPr>
        <w:t xml:space="preserve">IPR regime, within the EU framework. </w:t>
      </w:r>
      <w:r w:rsidR="00660C23">
        <w:rPr>
          <w:rFonts w:ascii="Times New Roman" w:hAnsi="Times New Roman" w:cs="Times New Roman"/>
          <w:sz w:val="24"/>
          <w:szCs w:val="24"/>
        </w:rPr>
        <w:t xml:space="preserve">EU IPR rules and the </w:t>
      </w:r>
      <w:r w:rsidR="004F3858">
        <w:rPr>
          <w:rFonts w:ascii="Times New Roman" w:hAnsi="Times New Roman" w:cs="Times New Roman"/>
          <w:sz w:val="24"/>
          <w:szCs w:val="24"/>
        </w:rPr>
        <w:t>applicable</w:t>
      </w:r>
      <w:r w:rsidR="00660C23">
        <w:rPr>
          <w:rFonts w:ascii="Times New Roman" w:hAnsi="Times New Roman" w:cs="Times New Roman"/>
          <w:sz w:val="24"/>
          <w:szCs w:val="24"/>
        </w:rPr>
        <w:t xml:space="preserve"> exceptions such as the decompilation </w:t>
      </w:r>
      <w:r w:rsidR="004F3858">
        <w:rPr>
          <w:rFonts w:ascii="Times New Roman" w:hAnsi="Times New Roman" w:cs="Times New Roman"/>
          <w:sz w:val="24"/>
          <w:szCs w:val="24"/>
        </w:rPr>
        <w:t xml:space="preserve">right </w:t>
      </w:r>
      <w:r w:rsidR="00660C23">
        <w:rPr>
          <w:rFonts w:ascii="Times New Roman" w:hAnsi="Times New Roman" w:cs="Times New Roman"/>
          <w:sz w:val="24"/>
          <w:szCs w:val="24"/>
        </w:rPr>
        <w:t xml:space="preserve">are found not to be promising in this respect, particularly for the overprotected interfaces that </w:t>
      </w:r>
      <w:r w:rsidR="004F3858">
        <w:rPr>
          <w:rFonts w:ascii="Times New Roman" w:hAnsi="Times New Roman" w:cs="Times New Roman"/>
          <w:sz w:val="24"/>
          <w:szCs w:val="24"/>
        </w:rPr>
        <w:t xml:space="preserve">would </w:t>
      </w:r>
      <w:r w:rsidR="00660C23">
        <w:rPr>
          <w:rFonts w:ascii="Times New Roman" w:hAnsi="Times New Roman" w:cs="Times New Roman"/>
          <w:sz w:val="24"/>
          <w:szCs w:val="24"/>
        </w:rPr>
        <w:t xml:space="preserve">otherwise </w:t>
      </w:r>
      <w:r w:rsidR="004F3858">
        <w:rPr>
          <w:rFonts w:ascii="Times New Roman" w:hAnsi="Times New Roman" w:cs="Times New Roman"/>
          <w:sz w:val="24"/>
          <w:szCs w:val="24"/>
        </w:rPr>
        <w:t xml:space="preserve">serve </w:t>
      </w:r>
      <w:r w:rsidR="00660C23">
        <w:rPr>
          <w:rFonts w:ascii="Times New Roman" w:hAnsi="Times New Roman" w:cs="Times New Roman"/>
          <w:sz w:val="24"/>
          <w:szCs w:val="24"/>
        </w:rPr>
        <w:t xml:space="preserve">opening </w:t>
      </w:r>
      <w:r w:rsidR="004F3858">
        <w:rPr>
          <w:rFonts w:ascii="Times New Roman" w:hAnsi="Times New Roman" w:cs="Times New Roman"/>
          <w:sz w:val="24"/>
          <w:szCs w:val="24"/>
        </w:rPr>
        <w:t xml:space="preserve">up </w:t>
      </w:r>
      <w:r w:rsidR="00660C23">
        <w:rPr>
          <w:rFonts w:ascii="Times New Roman" w:hAnsi="Times New Roman" w:cs="Times New Roman"/>
          <w:sz w:val="24"/>
          <w:szCs w:val="24"/>
        </w:rPr>
        <w:t xml:space="preserve">the </w:t>
      </w:r>
      <w:r w:rsidR="004F3858">
        <w:rPr>
          <w:rFonts w:ascii="Times New Roman" w:hAnsi="Times New Roman" w:cs="Times New Roman"/>
          <w:sz w:val="24"/>
          <w:szCs w:val="24"/>
        </w:rPr>
        <w:t xml:space="preserve">ICT markets to innovative new entries. </w:t>
      </w:r>
      <w:r w:rsidR="00660C23">
        <w:rPr>
          <w:rFonts w:ascii="Times New Roman" w:hAnsi="Times New Roman" w:cs="Times New Roman"/>
          <w:sz w:val="24"/>
          <w:szCs w:val="24"/>
        </w:rPr>
        <w:t xml:space="preserve"> </w:t>
      </w:r>
    </w:p>
    <w:p w14:paraId="2E0AC6FC" w14:textId="3A43A182" w:rsidR="0057387C" w:rsidRPr="00774EDB" w:rsidRDefault="004F3858" w:rsidP="00BD5871">
      <w:pPr>
        <w:spacing w:before="360"/>
        <w:jc w:val="both"/>
        <w:rPr>
          <w:rFonts w:ascii="Times New Roman" w:hAnsi="Times New Roman" w:cs="Times New Roman"/>
          <w:sz w:val="24"/>
          <w:szCs w:val="24"/>
        </w:rPr>
      </w:pPr>
      <w:r>
        <w:rPr>
          <w:rFonts w:ascii="Times New Roman" w:hAnsi="Times New Roman" w:cs="Times New Roman"/>
          <w:sz w:val="24"/>
          <w:szCs w:val="24"/>
        </w:rPr>
        <w:t xml:space="preserve">In this regard, it is concluded that not only copyrights but </w:t>
      </w:r>
      <w:r w:rsidR="00E70DEC">
        <w:rPr>
          <w:rFonts w:ascii="Times New Roman" w:hAnsi="Times New Roman" w:cs="Times New Roman"/>
          <w:sz w:val="24"/>
          <w:szCs w:val="24"/>
        </w:rPr>
        <w:t>also</w:t>
      </w:r>
      <w:r w:rsidR="0057387C" w:rsidRPr="00774EDB">
        <w:rPr>
          <w:rFonts w:ascii="Times New Roman" w:hAnsi="Times New Roman" w:cs="Times New Roman"/>
          <w:sz w:val="24"/>
          <w:szCs w:val="24"/>
        </w:rPr>
        <w:t xml:space="preserve"> other IPR types pose strict </w:t>
      </w:r>
      <w:r w:rsidR="00E70DEC">
        <w:rPr>
          <w:rFonts w:ascii="Times New Roman" w:hAnsi="Times New Roman" w:cs="Times New Roman"/>
          <w:sz w:val="24"/>
          <w:szCs w:val="24"/>
        </w:rPr>
        <w:t xml:space="preserve">and insurmountable </w:t>
      </w:r>
      <w:r w:rsidR="0057387C" w:rsidRPr="00774EDB">
        <w:rPr>
          <w:rFonts w:ascii="Times New Roman" w:hAnsi="Times New Roman" w:cs="Times New Roman"/>
          <w:sz w:val="24"/>
          <w:szCs w:val="24"/>
        </w:rPr>
        <w:t>barrier</w:t>
      </w:r>
      <w:r w:rsidR="00E70DEC">
        <w:rPr>
          <w:rFonts w:ascii="Times New Roman" w:hAnsi="Times New Roman" w:cs="Times New Roman"/>
          <w:sz w:val="24"/>
          <w:szCs w:val="24"/>
        </w:rPr>
        <w:t>s</w:t>
      </w:r>
      <w:r w:rsidR="0057387C" w:rsidRPr="00774EDB">
        <w:rPr>
          <w:rFonts w:ascii="Times New Roman" w:hAnsi="Times New Roman" w:cs="Times New Roman"/>
          <w:sz w:val="24"/>
          <w:szCs w:val="24"/>
        </w:rPr>
        <w:t xml:space="preserve"> to interoperability, </w:t>
      </w:r>
      <w:r w:rsidR="00E70DEC">
        <w:rPr>
          <w:rFonts w:ascii="Times New Roman" w:hAnsi="Times New Roman" w:cs="Times New Roman"/>
          <w:sz w:val="24"/>
          <w:szCs w:val="24"/>
        </w:rPr>
        <w:t xml:space="preserve">although </w:t>
      </w:r>
      <w:r w:rsidR="0057387C" w:rsidRPr="00774EDB">
        <w:rPr>
          <w:rFonts w:ascii="Times New Roman" w:hAnsi="Times New Roman" w:cs="Times New Roman"/>
          <w:sz w:val="24"/>
          <w:szCs w:val="24"/>
        </w:rPr>
        <w:t>no IPR rule is</w:t>
      </w:r>
      <w:r w:rsidR="00E70DEC">
        <w:rPr>
          <w:rFonts w:ascii="Times New Roman" w:hAnsi="Times New Roman" w:cs="Times New Roman"/>
          <w:sz w:val="24"/>
          <w:szCs w:val="24"/>
        </w:rPr>
        <w:t xml:space="preserve"> designed to augment</w:t>
      </w:r>
      <w:r w:rsidR="0057387C" w:rsidRPr="00774EDB">
        <w:rPr>
          <w:rFonts w:ascii="Times New Roman" w:hAnsi="Times New Roman" w:cs="Times New Roman"/>
          <w:sz w:val="24"/>
          <w:szCs w:val="24"/>
        </w:rPr>
        <w:t xml:space="preserve"> entry barriers or anti-competitive conducts. Patents, databases and trade</w:t>
      </w:r>
      <w:r w:rsidR="00374B27" w:rsidRPr="00774EDB">
        <w:rPr>
          <w:rFonts w:ascii="Times New Roman" w:hAnsi="Times New Roman" w:cs="Times New Roman"/>
          <w:sz w:val="24"/>
          <w:szCs w:val="24"/>
        </w:rPr>
        <w:t xml:space="preserve"> secret</w:t>
      </w:r>
      <w:r w:rsidR="0057387C" w:rsidRPr="00774EDB">
        <w:rPr>
          <w:rFonts w:ascii="Times New Roman" w:hAnsi="Times New Roman" w:cs="Times New Roman"/>
          <w:sz w:val="24"/>
          <w:szCs w:val="24"/>
        </w:rPr>
        <w:t xml:space="preserve">s are designed to protect their owners from unauthorised third-party uses, and do not touch upon </w:t>
      </w:r>
      <w:r w:rsidR="00A71A25">
        <w:rPr>
          <w:rFonts w:ascii="Times New Roman" w:hAnsi="Times New Roman" w:cs="Times New Roman"/>
          <w:sz w:val="24"/>
          <w:szCs w:val="24"/>
        </w:rPr>
        <w:t xml:space="preserve">many of </w:t>
      </w:r>
      <w:r w:rsidR="0057387C" w:rsidRPr="00774EDB">
        <w:rPr>
          <w:rFonts w:ascii="Times New Roman" w:hAnsi="Times New Roman" w:cs="Times New Roman"/>
          <w:sz w:val="24"/>
          <w:szCs w:val="24"/>
        </w:rPr>
        <w:t xml:space="preserve">the </w:t>
      </w:r>
      <w:r w:rsidR="00A71A25">
        <w:rPr>
          <w:rFonts w:ascii="Times New Roman" w:hAnsi="Times New Roman" w:cs="Times New Roman"/>
          <w:sz w:val="24"/>
          <w:szCs w:val="24"/>
        </w:rPr>
        <w:t>highlight</w:t>
      </w:r>
      <w:r w:rsidR="0057387C" w:rsidRPr="00774EDB">
        <w:rPr>
          <w:rFonts w:ascii="Times New Roman" w:hAnsi="Times New Roman" w:cs="Times New Roman"/>
          <w:sz w:val="24"/>
          <w:szCs w:val="24"/>
        </w:rPr>
        <w:t xml:space="preserve">ed concerns surrounding lack of interoperability. </w:t>
      </w:r>
      <w:r w:rsidR="00A71A25">
        <w:rPr>
          <w:rFonts w:ascii="Times New Roman" w:hAnsi="Times New Roman" w:cs="Times New Roman"/>
          <w:sz w:val="24"/>
          <w:szCs w:val="24"/>
        </w:rPr>
        <w:t>Given this fact</w:t>
      </w:r>
      <w:r w:rsidR="0057387C" w:rsidRPr="00774EDB">
        <w:rPr>
          <w:rFonts w:ascii="Times New Roman" w:hAnsi="Times New Roman" w:cs="Times New Roman"/>
          <w:sz w:val="24"/>
          <w:szCs w:val="24"/>
        </w:rPr>
        <w:t xml:space="preserve">, the role of IPRs </w:t>
      </w:r>
      <w:r w:rsidR="00A71A25">
        <w:rPr>
          <w:rFonts w:ascii="Times New Roman" w:hAnsi="Times New Roman" w:cs="Times New Roman"/>
          <w:sz w:val="24"/>
          <w:szCs w:val="24"/>
        </w:rPr>
        <w:t>become</w:t>
      </w:r>
      <w:r w:rsidR="0057387C" w:rsidRPr="00774EDB">
        <w:rPr>
          <w:rFonts w:ascii="Times New Roman" w:hAnsi="Times New Roman" w:cs="Times New Roman"/>
          <w:sz w:val="24"/>
          <w:szCs w:val="24"/>
        </w:rPr>
        <w:t xml:space="preserve">s controversial, as over-protection of interfaces is not deterred by EU IPR rules, which are usually fragile and not supportive of </w:t>
      </w:r>
      <w:r w:rsidR="00455F62">
        <w:rPr>
          <w:rFonts w:ascii="Times New Roman" w:hAnsi="Times New Roman" w:cs="Times New Roman"/>
          <w:sz w:val="24"/>
          <w:szCs w:val="24"/>
        </w:rPr>
        <w:t>f</w:t>
      </w:r>
      <w:r w:rsidR="00A71A25">
        <w:rPr>
          <w:rFonts w:ascii="Times New Roman" w:hAnsi="Times New Roman" w:cs="Times New Roman"/>
          <w:sz w:val="24"/>
          <w:szCs w:val="24"/>
        </w:rPr>
        <w:t>ollow-on</w:t>
      </w:r>
      <w:r w:rsidR="0057387C" w:rsidRPr="00774EDB">
        <w:rPr>
          <w:rFonts w:ascii="Times New Roman" w:hAnsi="Times New Roman" w:cs="Times New Roman"/>
          <w:sz w:val="24"/>
          <w:szCs w:val="24"/>
        </w:rPr>
        <w:t xml:space="preserve"> innovation e.g. not filter</w:t>
      </w:r>
      <w:r w:rsidR="005F0876">
        <w:rPr>
          <w:rFonts w:ascii="Times New Roman" w:hAnsi="Times New Roman" w:cs="Times New Roman"/>
          <w:sz w:val="24"/>
          <w:szCs w:val="24"/>
        </w:rPr>
        <w:t>ing</w:t>
      </w:r>
      <w:r w:rsidR="0057387C" w:rsidRPr="00774EDB">
        <w:rPr>
          <w:rFonts w:ascii="Times New Roman" w:hAnsi="Times New Roman" w:cs="Times New Roman"/>
          <w:sz w:val="24"/>
          <w:szCs w:val="24"/>
        </w:rPr>
        <w:t xml:space="preserve"> out the artificial</w:t>
      </w:r>
      <w:r w:rsidR="00F22C56" w:rsidRPr="00774EDB">
        <w:rPr>
          <w:rFonts w:ascii="Times New Roman" w:hAnsi="Times New Roman" w:cs="Times New Roman"/>
          <w:sz w:val="24"/>
          <w:szCs w:val="24"/>
        </w:rPr>
        <w:t>/overzealous</w:t>
      </w:r>
      <w:r w:rsidR="0057387C" w:rsidRPr="00774EDB">
        <w:rPr>
          <w:rFonts w:ascii="Times New Roman" w:hAnsi="Times New Roman" w:cs="Times New Roman"/>
          <w:sz w:val="24"/>
          <w:szCs w:val="24"/>
        </w:rPr>
        <w:t xml:space="preserve"> IPR uses that hamper innovation. Summing up, after a detailed analysis of IPR rules at the EU level, it is found that such rules do not ensure guaranteed and effective access to the APIs</w:t>
      </w:r>
      <w:r w:rsidR="00374B27" w:rsidRPr="00774EDB">
        <w:rPr>
          <w:rFonts w:ascii="Times New Roman" w:hAnsi="Times New Roman" w:cs="Times New Roman"/>
          <w:sz w:val="24"/>
          <w:szCs w:val="24"/>
        </w:rPr>
        <w:t>,</w:t>
      </w:r>
      <w:r w:rsidR="0057387C" w:rsidRPr="00774EDB">
        <w:rPr>
          <w:rFonts w:ascii="Times New Roman" w:hAnsi="Times New Roman" w:cs="Times New Roman"/>
          <w:sz w:val="24"/>
          <w:szCs w:val="24"/>
        </w:rPr>
        <w:t xml:space="preserve"> </w:t>
      </w:r>
      <w:r w:rsidR="00374B27" w:rsidRPr="00774EDB">
        <w:rPr>
          <w:rFonts w:ascii="Times New Roman" w:hAnsi="Times New Roman" w:cs="Times New Roman"/>
          <w:sz w:val="24"/>
          <w:szCs w:val="24"/>
        </w:rPr>
        <w:t>which</w:t>
      </w:r>
      <w:r w:rsidR="0057387C" w:rsidRPr="00774EDB">
        <w:rPr>
          <w:rFonts w:ascii="Times New Roman" w:hAnsi="Times New Roman" w:cs="Times New Roman"/>
          <w:sz w:val="24"/>
          <w:szCs w:val="24"/>
        </w:rPr>
        <w:t xml:space="preserve"> </w:t>
      </w:r>
      <w:r w:rsidR="0057387C" w:rsidRPr="00774EDB">
        <w:rPr>
          <w:rFonts w:ascii="Times New Roman" w:hAnsi="Times New Roman" w:cs="Times New Roman"/>
          <w:sz w:val="24"/>
          <w:szCs w:val="24"/>
        </w:rPr>
        <w:lastRenderedPageBreak/>
        <w:t xml:space="preserve">are key to ensuring a competitive and innovative market, and thus revealing a gap from the interoperability perspective.  </w:t>
      </w:r>
    </w:p>
    <w:p w14:paraId="5350B392" w14:textId="6211EED0"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 comparable, even more detailed analysis has been conducted under Chapter 5, capturing EU competition rules. Under this chapter, it is clearly established that ensuring and/or advancing interoperability does not constitute an aim of EU competition law, but could be considered as such under certain circumstances, often arising out of the refusal practices which are likely to lead to market foreclosure and consumer harm e.g. because of the </w:t>
      </w:r>
      <w:r w:rsidR="00CA0A34">
        <w:rPr>
          <w:rFonts w:ascii="Times New Roman" w:hAnsi="Times New Roman" w:cs="Times New Roman"/>
          <w:sz w:val="24"/>
          <w:szCs w:val="24"/>
        </w:rPr>
        <w:t>access</w:t>
      </w:r>
      <w:r w:rsidRPr="00774EDB">
        <w:rPr>
          <w:rFonts w:ascii="Times New Roman" w:hAnsi="Times New Roman" w:cs="Times New Roman"/>
          <w:sz w:val="24"/>
          <w:szCs w:val="24"/>
        </w:rPr>
        <w:t xml:space="preserve"> denied interfaces. </w:t>
      </w:r>
      <w:r w:rsidR="00CA0A34">
        <w:rPr>
          <w:rFonts w:ascii="Times New Roman" w:hAnsi="Times New Roman" w:cs="Times New Roman"/>
          <w:sz w:val="24"/>
          <w:szCs w:val="24"/>
        </w:rPr>
        <w:t>As detailed in this chapter</w:t>
      </w:r>
      <w:r w:rsidRPr="00774EDB">
        <w:rPr>
          <w:rFonts w:ascii="Times New Roman" w:hAnsi="Times New Roman" w:cs="Times New Roman"/>
          <w:sz w:val="24"/>
          <w:szCs w:val="24"/>
        </w:rPr>
        <w:t xml:space="preserve">, EU competition law measures </w:t>
      </w:r>
      <w:r w:rsidR="00CA0A34">
        <w:rPr>
          <w:rFonts w:ascii="Times New Roman" w:hAnsi="Times New Roman" w:cs="Times New Roman"/>
          <w:sz w:val="24"/>
          <w:szCs w:val="24"/>
        </w:rPr>
        <w:t>provide wide-ranging</w:t>
      </w:r>
      <w:r w:rsidR="00CA0A34"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tools and tests </w:t>
      </w:r>
      <w:r w:rsidR="00CA0A34">
        <w:rPr>
          <w:rFonts w:ascii="Times New Roman" w:hAnsi="Times New Roman" w:cs="Times New Roman"/>
          <w:sz w:val="24"/>
          <w:szCs w:val="24"/>
        </w:rPr>
        <w:t xml:space="preserve">that can be </w:t>
      </w:r>
      <w:r w:rsidRPr="00774EDB">
        <w:rPr>
          <w:rFonts w:ascii="Times New Roman" w:hAnsi="Times New Roman" w:cs="Times New Roman"/>
          <w:sz w:val="24"/>
          <w:szCs w:val="24"/>
        </w:rPr>
        <w:t xml:space="preserve">applied to deal with </w:t>
      </w:r>
      <w:r w:rsidR="00CA0A34">
        <w:rPr>
          <w:rFonts w:ascii="Times New Roman" w:hAnsi="Times New Roman" w:cs="Times New Roman"/>
          <w:sz w:val="24"/>
          <w:szCs w:val="24"/>
        </w:rPr>
        <w:t>the identified concerns in relation to lack of interoperability</w:t>
      </w:r>
      <w:r w:rsidRPr="00774EDB">
        <w:rPr>
          <w:rFonts w:ascii="Times New Roman" w:hAnsi="Times New Roman" w:cs="Times New Roman"/>
          <w:sz w:val="24"/>
          <w:szCs w:val="24"/>
        </w:rPr>
        <w:t>.</w:t>
      </w:r>
    </w:p>
    <w:p w14:paraId="2864B800" w14:textId="5D48FDE7"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After the comprehensive analysis, </w:t>
      </w:r>
      <w:r w:rsidR="00F22C56" w:rsidRPr="00774EDB">
        <w:rPr>
          <w:rFonts w:ascii="Times New Roman" w:hAnsi="Times New Roman" w:cs="Times New Roman"/>
          <w:sz w:val="24"/>
          <w:szCs w:val="24"/>
        </w:rPr>
        <w:t xml:space="preserve">it is found that, </w:t>
      </w:r>
      <w:r w:rsidRPr="00774EDB">
        <w:rPr>
          <w:rFonts w:ascii="Times New Roman" w:hAnsi="Times New Roman" w:cs="Times New Roman"/>
          <w:sz w:val="24"/>
          <w:szCs w:val="24"/>
        </w:rPr>
        <w:t xml:space="preserve">unlike with the Article 101 </w:t>
      </w:r>
      <w:r w:rsidR="00DC6E74">
        <w:rPr>
          <w:rFonts w:ascii="Times New Roman" w:hAnsi="Times New Roman" w:cs="Times New Roman"/>
          <w:sz w:val="24"/>
          <w:szCs w:val="24"/>
        </w:rPr>
        <w:t xml:space="preserve">of the </w:t>
      </w:r>
      <w:r w:rsidRPr="00774EDB">
        <w:rPr>
          <w:rFonts w:ascii="Times New Roman" w:hAnsi="Times New Roman" w:cs="Times New Roman"/>
          <w:sz w:val="24"/>
          <w:szCs w:val="24"/>
        </w:rPr>
        <w:t xml:space="preserve">TFEU and merger control mechanisms, </w:t>
      </w:r>
      <w:r w:rsidR="00455F62">
        <w:rPr>
          <w:rFonts w:ascii="Times New Roman" w:hAnsi="Times New Roman" w:cs="Times New Roman"/>
          <w:sz w:val="24"/>
          <w:szCs w:val="24"/>
        </w:rPr>
        <w:t>implementation</w:t>
      </w:r>
      <w:r w:rsidR="00D554B0">
        <w:rPr>
          <w:rFonts w:ascii="Times New Roman" w:hAnsi="Times New Roman" w:cs="Times New Roman"/>
          <w:sz w:val="24"/>
          <w:szCs w:val="24"/>
        </w:rPr>
        <w:t xml:space="preserve"> of </w:t>
      </w:r>
      <w:r w:rsidRPr="00774EDB">
        <w:rPr>
          <w:rFonts w:ascii="Times New Roman" w:hAnsi="Times New Roman" w:cs="Times New Roman"/>
          <w:sz w:val="24"/>
          <w:szCs w:val="24"/>
        </w:rPr>
        <w:t xml:space="preserve">Article 102 </w:t>
      </w:r>
      <w:r w:rsidR="00DC6E74">
        <w:rPr>
          <w:rFonts w:ascii="Times New Roman" w:hAnsi="Times New Roman" w:cs="Times New Roman"/>
          <w:sz w:val="24"/>
          <w:szCs w:val="24"/>
        </w:rPr>
        <w:t>of the</w:t>
      </w:r>
      <w:r w:rsidR="00DC6E74"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TFEU poses </w:t>
      </w:r>
      <w:r w:rsidR="00D554B0">
        <w:rPr>
          <w:rFonts w:ascii="Times New Roman" w:hAnsi="Times New Roman" w:cs="Times New Roman"/>
          <w:sz w:val="24"/>
          <w:szCs w:val="24"/>
        </w:rPr>
        <w:t>some uneven standards</w:t>
      </w:r>
      <w:r w:rsidRPr="00774EDB">
        <w:rPr>
          <w:rFonts w:ascii="Times New Roman" w:hAnsi="Times New Roman" w:cs="Times New Roman"/>
          <w:sz w:val="24"/>
          <w:szCs w:val="24"/>
        </w:rPr>
        <w:t xml:space="preserve"> </w:t>
      </w:r>
      <w:r w:rsidR="00CA0A34">
        <w:rPr>
          <w:rFonts w:ascii="Times New Roman" w:hAnsi="Times New Roman" w:cs="Times New Roman"/>
          <w:sz w:val="24"/>
          <w:szCs w:val="24"/>
        </w:rPr>
        <w:t xml:space="preserve">that would make it difficult </w:t>
      </w:r>
      <w:r w:rsidR="00D554B0">
        <w:rPr>
          <w:rFonts w:ascii="Times New Roman" w:hAnsi="Times New Roman" w:cs="Times New Roman"/>
          <w:sz w:val="24"/>
          <w:szCs w:val="24"/>
        </w:rPr>
        <w:t xml:space="preserve">for </w:t>
      </w:r>
      <w:r w:rsidRPr="00774EDB">
        <w:rPr>
          <w:rFonts w:ascii="Times New Roman" w:hAnsi="Times New Roman" w:cs="Times New Roman"/>
          <w:sz w:val="24"/>
          <w:szCs w:val="24"/>
        </w:rPr>
        <w:t>timely and effective intervention</w:t>
      </w:r>
      <w:r w:rsidR="00CA0A34">
        <w:rPr>
          <w:rFonts w:ascii="Times New Roman" w:hAnsi="Times New Roman" w:cs="Times New Roman"/>
          <w:sz w:val="24"/>
          <w:szCs w:val="24"/>
        </w:rPr>
        <w:t xml:space="preserve"> against </w:t>
      </w:r>
      <w:r w:rsidR="00D554B0">
        <w:rPr>
          <w:rFonts w:ascii="Times New Roman" w:hAnsi="Times New Roman" w:cs="Times New Roman"/>
          <w:sz w:val="24"/>
          <w:szCs w:val="24"/>
        </w:rPr>
        <w:t xml:space="preserve">the </w:t>
      </w:r>
      <w:r w:rsidR="00CA0A34">
        <w:rPr>
          <w:rFonts w:ascii="Times New Roman" w:hAnsi="Times New Roman" w:cs="Times New Roman"/>
          <w:sz w:val="24"/>
          <w:szCs w:val="24"/>
        </w:rPr>
        <w:t>gatekeeping roles and functionalities</w:t>
      </w:r>
      <w:r w:rsidR="00D554B0">
        <w:rPr>
          <w:rFonts w:ascii="Times New Roman" w:hAnsi="Times New Roman" w:cs="Times New Roman"/>
          <w:sz w:val="24"/>
          <w:szCs w:val="24"/>
        </w:rPr>
        <w:t>,</w:t>
      </w:r>
      <w:r w:rsidR="00CA0A34">
        <w:rPr>
          <w:rFonts w:ascii="Times New Roman" w:hAnsi="Times New Roman" w:cs="Times New Roman"/>
          <w:sz w:val="24"/>
          <w:szCs w:val="24"/>
        </w:rPr>
        <w:t xml:space="preserve"> broadly speaking</w:t>
      </w:r>
      <w:r w:rsidRPr="00774EDB">
        <w:rPr>
          <w:rFonts w:ascii="Times New Roman" w:hAnsi="Times New Roman" w:cs="Times New Roman"/>
          <w:sz w:val="24"/>
          <w:szCs w:val="24"/>
        </w:rPr>
        <w:t>. Not only the criteria e.g. regarding ‘dominant position’ and the tests e.g. to control abusive behaviours invoked by the EU competition rules, but also the lengthy processes and the underlying costs e.g. regulatory and enforcement, are found to be prohibitive for the related parties. It is thus concluded that, although often based on the case-specific analysis</w:t>
      </w:r>
      <w:r w:rsidR="00D554B0">
        <w:rPr>
          <w:rFonts w:ascii="Times New Roman" w:hAnsi="Times New Roman" w:cs="Times New Roman"/>
          <w:sz w:val="24"/>
          <w:szCs w:val="24"/>
        </w:rPr>
        <w:t xml:space="preserve"> and data</w:t>
      </w:r>
      <w:r w:rsidRPr="00774EDB">
        <w:rPr>
          <w:rFonts w:ascii="Times New Roman" w:hAnsi="Times New Roman" w:cs="Times New Roman"/>
          <w:sz w:val="24"/>
          <w:szCs w:val="24"/>
        </w:rPr>
        <w:t xml:space="preserve">; competition law exercises, particularly involving Article 102 </w:t>
      </w:r>
      <w:r w:rsidR="00DC6E74">
        <w:rPr>
          <w:rFonts w:ascii="Times New Roman" w:hAnsi="Times New Roman" w:cs="Times New Roman"/>
          <w:sz w:val="24"/>
          <w:szCs w:val="24"/>
        </w:rPr>
        <w:t>of the</w:t>
      </w:r>
      <w:r w:rsidR="00DC6E74"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TFEU, which aims to address ‘abuse of dominance’, would not cope with the ICT-based interoperability challenges in a timely and effective fashion. </w:t>
      </w:r>
    </w:p>
    <w:p w14:paraId="2FAA316B" w14:textId="59370B8B"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ECRF’s perspective and rules are elaborated in Chapter 6, where main characteristics of this regulatory framework, including the interoperability aspects, are </w:t>
      </w:r>
      <w:r w:rsidRPr="00774EDB">
        <w:rPr>
          <w:rFonts w:ascii="Times New Roman" w:hAnsi="Times New Roman" w:cs="Times New Roman"/>
          <w:sz w:val="24"/>
          <w:szCs w:val="24"/>
        </w:rPr>
        <w:lastRenderedPageBreak/>
        <w:t xml:space="preserve">investigated. To have a deeper look through the interoperability aspects, firstly main pillars and the evolution of the ECRF </w:t>
      </w:r>
      <w:r w:rsidR="00D554B0">
        <w:rPr>
          <w:rFonts w:ascii="Times New Roman" w:hAnsi="Times New Roman" w:cs="Times New Roman"/>
          <w:sz w:val="24"/>
          <w:szCs w:val="24"/>
        </w:rPr>
        <w:t>are</w:t>
      </w:r>
      <w:r w:rsidRPr="00774EDB">
        <w:rPr>
          <w:rFonts w:ascii="Times New Roman" w:hAnsi="Times New Roman" w:cs="Times New Roman"/>
          <w:sz w:val="24"/>
          <w:szCs w:val="24"/>
        </w:rPr>
        <w:t xml:space="preserve"> examined, </w:t>
      </w:r>
      <w:r w:rsidR="00D554B0">
        <w:rPr>
          <w:rFonts w:ascii="Times New Roman" w:hAnsi="Times New Roman" w:cs="Times New Roman"/>
          <w:sz w:val="24"/>
          <w:szCs w:val="24"/>
        </w:rPr>
        <w:t>incorporating</w:t>
      </w:r>
      <w:r w:rsidRPr="00774EDB">
        <w:rPr>
          <w:rFonts w:ascii="Times New Roman" w:hAnsi="Times New Roman" w:cs="Times New Roman"/>
          <w:sz w:val="24"/>
          <w:szCs w:val="24"/>
        </w:rPr>
        <w:t xml:space="preserve"> the policy objectives and major regulatory tools and mechanisms. In this regard, both the remedies imposed on operators that have ‘significant market power’ (SMP) and th</w:t>
      </w:r>
      <w:r w:rsidR="00D554B0">
        <w:rPr>
          <w:rFonts w:ascii="Times New Roman" w:hAnsi="Times New Roman" w:cs="Times New Roman"/>
          <w:sz w:val="24"/>
          <w:szCs w:val="24"/>
        </w:rPr>
        <w:t>os</w:t>
      </w:r>
      <w:r w:rsidRPr="00774EDB">
        <w:rPr>
          <w:rFonts w:ascii="Times New Roman" w:hAnsi="Times New Roman" w:cs="Times New Roman"/>
          <w:sz w:val="24"/>
          <w:szCs w:val="24"/>
        </w:rPr>
        <w:t>e</w:t>
      </w:r>
      <w:r w:rsidR="00D554B0">
        <w:rPr>
          <w:rFonts w:ascii="Times New Roman" w:hAnsi="Times New Roman" w:cs="Times New Roman"/>
          <w:sz w:val="24"/>
          <w:szCs w:val="24"/>
        </w:rPr>
        <w:t xml:space="preserve"> of a</w:t>
      </w:r>
      <w:r w:rsidRPr="00774EDB">
        <w:rPr>
          <w:rFonts w:ascii="Times New Roman" w:hAnsi="Times New Roman" w:cs="Times New Roman"/>
          <w:sz w:val="24"/>
          <w:szCs w:val="24"/>
        </w:rPr>
        <w:t xml:space="preserve"> generic symmetric/horizontal </w:t>
      </w:r>
      <w:r w:rsidR="00D554B0">
        <w:rPr>
          <w:rFonts w:ascii="Times New Roman" w:hAnsi="Times New Roman" w:cs="Times New Roman"/>
          <w:sz w:val="24"/>
          <w:szCs w:val="24"/>
        </w:rPr>
        <w:t xml:space="preserve">nature </w:t>
      </w:r>
      <w:r w:rsidRPr="00774EDB">
        <w:rPr>
          <w:rFonts w:ascii="Times New Roman" w:hAnsi="Times New Roman" w:cs="Times New Roman"/>
          <w:sz w:val="24"/>
          <w:szCs w:val="24"/>
        </w:rPr>
        <w:t xml:space="preserve">are examined to have a broader viewpoint. After all, it is </w:t>
      </w:r>
      <w:r w:rsidR="000373FC" w:rsidRPr="00774EDB">
        <w:rPr>
          <w:rFonts w:ascii="Times New Roman" w:hAnsi="Times New Roman" w:cs="Times New Roman"/>
          <w:sz w:val="24"/>
          <w:szCs w:val="24"/>
        </w:rPr>
        <w:t>seen</w:t>
      </w:r>
      <w:r w:rsidRPr="00774EDB">
        <w:rPr>
          <w:rFonts w:ascii="Times New Roman" w:hAnsi="Times New Roman" w:cs="Times New Roman"/>
          <w:sz w:val="24"/>
          <w:szCs w:val="24"/>
        </w:rPr>
        <w:t xml:space="preserve"> that, interoperability-specific remedies</w:t>
      </w:r>
      <w:r w:rsidR="000373FC" w:rsidRPr="00774EDB">
        <w:rPr>
          <w:rFonts w:ascii="Times New Roman" w:hAnsi="Times New Roman" w:cs="Times New Roman"/>
          <w:sz w:val="24"/>
          <w:szCs w:val="24"/>
        </w:rPr>
        <w:t xml:space="preserve"> are limited</w:t>
      </w:r>
      <w:r w:rsidRPr="00774EDB">
        <w:rPr>
          <w:rFonts w:ascii="Times New Roman" w:hAnsi="Times New Roman" w:cs="Times New Roman"/>
          <w:sz w:val="24"/>
          <w:szCs w:val="24"/>
        </w:rPr>
        <w:t xml:space="preserve"> </w:t>
      </w:r>
      <w:r w:rsidR="000373FC" w:rsidRPr="00774EDB">
        <w:rPr>
          <w:rFonts w:ascii="Times New Roman" w:hAnsi="Times New Roman" w:cs="Times New Roman"/>
          <w:sz w:val="24"/>
          <w:szCs w:val="24"/>
        </w:rPr>
        <w:t xml:space="preserve">and </w:t>
      </w:r>
      <w:r w:rsidRPr="00774EDB">
        <w:rPr>
          <w:rFonts w:ascii="Times New Roman" w:hAnsi="Times New Roman" w:cs="Times New Roman"/>
          <w:sz w:val="24"/>
          <w:szCs w:val="24"/>
        </w:rPr>
        <w:t xml:space="preserve">subordinated to the access and interconnection remedies that are designed mainly to </w:t>
      </w:r>
      <w:r w:rsidR="00D554B0">
        <w:rPr>
          <w:rFonts w:ascii="Times New Roman" w:hAnsi="Times New Roman" w:cs="Times New Roman"/>
          <w:sz w:val="24"/>
          <w:szCs w:val="24"/>
        </w:rPr>
        <w:t>protect consumer interests</w:t>
      </w:r>
      <w:r w:rsidR="00D554B0" w:rsidRPr="00774EDB">
        <w:rPr>
          <w:rFonts w:ascii="Times New Roman" w:hAnsi="Times New Roman" w:cs="Times New Roman"/>
          <w:sz w:val="24"/>
          <w:szCs w:val="24"/>
        </w:rPr>
        <w:t xml:space="preserve"> </w:t>
      </w:r>
      <w:r w:rsidR="00D554B0">
        <w:rPr>
          <w:rFonts w:ascii="Times New Roman" w:hAnsi="Times New Roman" w:cs="Times New Roman"/>
          <w:sz w:val="24"/>
          <w:szCs w:val="24"/>
        </w:rPr>
        <w:t xml:space="preserve">and to </w:t>
      </w:r>
      <w:r w:rsidRPr="00774EDB">
        <w:rPr>
          <w:rFonts w:ascii="Times New Roman" w:hAnsi="Times New Roman" w:cs="Times New Roman"/>
          <w:sz w:val="24"/>
          <w:szCs w:val="24"/>
        </w:rPr>
        <w:t>ensure market competition.</w:t>
      </w:r>
    </w:p>
    <w:p w14:paraId="60AC2307" w14:textId="28E1C0FF"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It is also concluded that while this denotes a good </w:t>
      </w:r>
      <w:r w:rsidR="00374B27" w:rsidRPr="00774EDB">
        <w:rPr>
          <w:rFonts w:ascii="Times New Roman" w:hAnsi="Times New Roman" w:cs="Times New Roman"/>
          <w:sz w:val="24"/>
          <w:szCs w:val="24"/>
        </w:rPr>
        <w:t>‘</w:t>
      </w:r>
      <w:r w:rsidRPr="00774EDB">
        <w:rPr>
          <w:rFonts w:ascii="Times New Roman" w:hAnsi="Times New Roman" w:cs="Times New Roman"/>
          <w:sz w:val="24"/>
          <w:szCs w:val="24"/>
        </w:rPr>
        <w:t>mix and match</w:t>
      </w:r>
      <w:r w:rsidR="00374B27" w:rsidRPr="00774EDB">
        <w:rPr>
          <w:rFonts w:ascii="Times New Roman" w:hAnsi="Times New Roman" w:cs="Times New Roman"/>
          <w:sz w:val="24"/>
          <w:szCs w:val="24"/>
        </w:rPr>
        <w:t>’</w:t>
      </w:r>
      <w:r w:rsidRPr="00774EDB">
        <w:rPr>
          <w:rFonts w:ascii="Times New Roman" w:hAnsi="Times New Roman" w:cs="Times New Roman"/>
          <w:sz w:val="24"/>
          <w:szCs w:val="24"/>
        </w:rPr>
        <w:t xml:space="preserve"> regulatory structure, under which are captured both competitive and other regulatory goals, potential gaps are discernible in view of the </w:t>
      </w:r>
      <w:r w:rsidR="0062051E">
        <w:rPr>
          <w:rFonts w:ascii="Times New Roman" w:hAnsi="Times New Roman" w:cs="Times New Roman"/>
          <w:sz w:val="24"/>
          <w:szCs w:val="24"/>
        </w:rPr>
        <w:t>ever fast changing</w:t>
      </w:r>
      <w:r w:rsidR="0062051E"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ICT markets which depend on increasing interdependencies. Given the IP convergence and the multi-layered nature of ICT networks/services, the promulgated policy objectives and measures of the ECRF </w:t>
      </w:r>
      <w:r w:rsidR="0062051E">
        <w:rPr>
          <w:rFonts w:ascii="Times New Roman" w:hAnsi="Times New Roman" w:cs="Times New Roman"/>
          <w:sz w:val="24"/>
          <w:szCs w:val="24"/>
        </w:rPr>
        <w:t xml:space="preserve">are found </w:t>
      </w:r>
      <w:r w:rsidRPr="00774EDB">
        <w:rPr>
          <w:rFonts w:ascii="Times New Roman" w:hAnsi="Times New Roman" w:cs="Times New Roman"/>
          <w:sz w:val="24"/>
          <w:szCs w:val="24"/>
        </w:rPr>
        <w:t>not</w:t>
      </w:r>
      <w:r w:rsidR="0062051E">
        <w:rPr>
          <w:rFonts w:ascii="Times New Roman" w:hAnsi="Times New Roman" w:cs="Times New Roman"/>
          <w:sz w:val="24"/>
          <w:szCs w:val="24"/>
        </w:rPr>
        <w:t xml:space="preserve"> to</w:t>
      </w:r>
      <w:r w:rsidRPr="00774EDB">
        <w:rPr>
          <w:rFonts w:ascii="Times New Roman" w:hAnsi="Times New Roman" w:cs="Times New Roman"/>
          <w:sz w:val="24"/>
          <w:szCs w:val="24"/>
        </w:rPr>
        <w:t xml:space="preserve"> </w:t>
      </w:r>
      <w:r w:rsidR="00374B27" w:rsidRPr="00774EDB">
        <w:rPr>
          <w:rFonts w:ascii="Times New Roman" w:hAnsi="Times New Roman" w:cs="Times New Roman"/>
          <w:sz w:val="24"/>
          <w:szCs w:val="24"/>
        </w:rPr>
        <w:t>respond to</w:t>
      </w:r>
      <w:r w:rsidRPr="00774EDB">
        <w:rPr>
          <w:rFonts w:ascii="Times New Roman" w:hAnsi="Times New Roman" w:cs="Times New Roman"/>
          <w:sz w:val="24"/>
          <w:szCs w:val="24"/>
        </w:rPr>
        <w:t xml:space="preserve"> the so-called interdependencies that characterise a holistic landscape. In fact, the fragmentation </w:t>
      </w:r>
      <w:r w:rsidR="0062051E">
        <w:rPr>
          <w:rFonts w:ascii="Times New Roman" w:hAnsi="Times New Roman" w:cs="Times New Roman"/>
          <w:sz w:val="24"/>
          <w:szCs w:val="24"/>
        </w:rPr>
        <w:t xml:space="preserve">in regulatory mind-set </w:t>
      </w:r>
      <w:r w:rsidRPr="00774EDB">
        <w:rPr>
          <w:rFonts w:ascii="Times New Roman" w:hAnsi="Times New Roman" w:cs="Times New Roman"/>
          <w:sz w:val="24"/>
          <w:szCs w:val="24"/>
        </w:rPr>
        <w:t xml:space="preserve">risks the </w:t>
      </w:r>
      <w:r w:rsidR="0062051E">
        <w:rPr>
          <w:rFonts w:ascii="Times New Roman" w:hAnsi="Times New Roman" w:cs="Times New Roman"/>
          <w:sz w:val="24"/>
          <w:szCs w:val="24"/>
        </w:rPr>
        <w:t>gatekeeping</w:t>
      </w:r>
      <w:r w:rsidR="0062051E"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problems being </w:t>
      </w:r>
      <w:r w:rsidR="00BD5871">
        <w:rPr>
          <w:rFonts w:ascii="Times New Roman" w:hAnsi="Times New Roman" w:cs="Times New Roman"/>
          <w:sz w:val="24"/>
          <w:szCs w:val="24"/>
        </w:rPr>
        <w:t xml:space="preserve">fragmented and even </w:t>
      </w:r>
      <w:r w:rsidRPr="00774EDB">
        <w:rPr>
          <w:rFonts w:ascii="Times New Roman" w:hAnsi="Times New Roman" w:cs="Times New Roman"/>
          <w:sz w:val="24"/>
          <w:szCs w:val="24"/>
        </w:rPr>
        <w:t>aggravated</w:t>
      </w:r>
      <w:r w:rsidR="00BD5871">
        <w:rPr>
          <w:rFonts w:ascii="Times New Roman" w:hAnsi="Times New Roman" w:cs="Times New Roman"/>
          <w:sz w:val="24"/>
          <w:szCs w:val="24"/>
        </w:rPr>
        <w:t>,</w:t>
      </w:r>
      <w:r w:rsidRPr="00774EDB">
        <w:rPr>
          <w:rFonts w:ascii="Times New Roman" w:hAnsi="Times New Roman" w:cs="Times New Roman"/>
          <w:sz w:val="24"/>
          <w:szCs w:val="24"/>
        </w:rPr>
        <w:t xml:space="preserve"> </w:t>
      </w:r>
      <w:r w:rsidR="00BD5871">
        <w:rPr>
          <w:rFonts w:ascii="Times New Roman" w:hAnsi="Times New Roman" w:cs="Times New Roman"/>
          <w:sz w:val="24"/>
          <w:szCs w:val="24"/>
        </w:rPr>
        <w:t>given</w:t>
      </w:r>
      <w:r w:rsidRPr="00774EDB">
        <w:rPr>
          <w:rFonts w:ascii="Times New Roman" w:hAnsi="Times New Roman" w:cs="Times New Roman"/>
          <w:sz w:val="24"/>
          <w:szCs w:val="24"/>
        </w:rPr>
        <w:t xml:space="preserve"> the competiti</w:t>
      </w:r>
      <w:r w:rsidR="0062051E">
        <w:rPr>
          <w:rFonts w:ascii="Times New Roman" w:hAnsi="Times New Roman" w:cs="Times New Roman"/>
          <w:sz w:val="24"/>
          <w:szCs w:val="24"/>
        </w:rPr>
        <w:t>on and techno-social</w:t>
      </w:r>
      <w:r w:rsidRPr="00774EDB">
        <w:rPr>
          <w:rFonts w:ascii="Times New Roman" w:hAnsi="Times New Roman" w:cs="Times New Roman"/>
          <w:sz w:val="24"/>
          <w:szCs w:val="24"/>
        </w:rPr>
        <w:t xml:space="preserve"> concerns</w:t>
      </w:r>
      <w:r w:rsidR="00BD5871">
        <w:rPr>
          <w:rFonts w:ascii="Times New Roman" w:hAnsi="Times New Roman" w:cs="Times New Roman"/>
          <w:sz w:val="24"/>
          <w:szCs w:val="24"/>
        </w:rPr>
        <w:t xml:space="preserve"> </w:t>
      </w:r>
      <w:r w:rsidRPr="00774EDB">
        <w:rPr>
          <w:rFonts w:ascii="Times New Roman" w:hAnsi="Times New Roman" w:cs="Times New Roman"/>
          <w:sz w:val="24"/>
          <w:szCs w:val="24"/>
        </w:rPr>
        <w:t xml:space="preserve">and the </w:t>
      </w:r>
      <w:r w:rsidR="0062051E">
        <w:rPr>
          <w:rFonts w:ascii="Times New Roman" w:hAnsi="Times New Roman" w:cs="Times New Roman"/>
          <w:sz w:val="24"/>
          <w:szCs w:val="24"/>
        </w:rPr>
        <w:t>shortcomings of</w:t>
      </w:r>
      <w:r w:rsidRPr="00774EDB">
        <w:rPr>
          <w:rFonts w:ascii="Times New Roman" w:hAnsi="Times New Roman" w:cs="Times New Roman"/>
          <w:sz w:val="24"/>
          <w:szCs w:val="24"/>
        </w:rPr>
        <w:t xml:space="preserve"> competition law mechanisms</w:t>
      </w:r>
      <w:r w:rsidR="00BD5871">
        <w:rPr>
          <w:rFonts w:ascii="Times New Roman" w:hAnsi="Times New Roman" w:cs="Times New Roman"/>
          <w:sz w:val="24"/>
          <w:szCs w:val="24"/>
        </w:rPr>
        <w:t xml:space="preserve"> as well as IPR rules</w:t>
      </w:r>
      <w:r w:rsidRPr="00774EDB">
        <w:rPr>
          <w:rFonts w:ascii="Times New Roman" w:hAnsi="Times New Roman" w:cs="Times New Roman"/>
          <w:sz w:val="24"/>
          <w:szCs w:val="24"/>
        </w:rPr>
        <w:t>.</w:t>
      </w:r>
    </w:p>
    <w:p w14:paraId="1C69A653" w14:textId="46482A2F" w:rsidR="0057387C" w:rsidRPr="00774EDB" w:rsidRDefault="001E4A05" w:rsidP="00A70042">
      <w:pPr>
        <w:spacing w:before="360"/>
        <w:jc w:val="both"/>
        <w:rPr>
          <w:rFonts w:ascii="Times New Roman" w:hAnsi="Times New Roman" w:cs="Times New Roman"/>
          <w:sz w:val="24"/>
          <w:szCs w:val="24"/>
        </w:rPr>
      </w:pPr>
      <w:r>
        <w:rPr>
          <w:rFonts w:ascii="Times New Roman" w:hAnsi="Times New Roman" w:cs="Times New Roman"/>
          <w:sz w:val="24"/>
          <w:szCs w:val="24"/>
        </w:rPr>
        <w:t xml:space="preserve">Summing up, </w:t>
      </w:r>
      <w:r w:rsidR="0057387C" w:rsidRPr="00BD5871">
        <w:rPr>
          <w:rFonts w:ascii="Times New Roman" w:hAnsi="Times New Roman" w:cs="Times New Roman"/>
          <w:sz w:val="24"/>
          <w:szCs w:val="24"/>
        </w:rPr>
        <w:t xml:space="preserve">the doctrinal research of this study values </w:t>
      </w:r>
      <w:r>
        <w:rPr>
          <w:rFonts w:ascii="Times New Roman" w:hAnsi="Times New Roman" w:cs="Times New Roman"/>
          <w:sz w:val="24"/>
          <w:szCs w:val="24"/>
        </w:rPr>
        <w:t xml:space="preserve">and surfaces </w:t>
      </w:r>
      <w:r w:rsidR="0057387C" w:rsidRPr="00BD5871">
        <w:rPr>
          <w:rFonts w:ascii="Times New Roman" w:hAnsi="Times New Roman" w:cs="Times New Roman"/>
          <w:sz w:val="24"/>
          <w:szCs w:val="24"/>
        </w:rPr>
        <w:t>the finding that regulatory governance of ICT interoperability should subsist within a holistic policy approach.</w:t>
      </w:r>
      <w:r>
        <w:rPr>
          <w:rFonts w:ascii="Times New Roman" w:hAnsi="Times New Roman" w:cs="Times New Roman"/>
          <w:sz w:val="24"/>
          <w:szCs w:val="24"/>
        </w:rPr>
        <w:t xml:space="preserve"> Following this standpoint, it is considered the multiple case studies would bring out some new </w:t>
      </w:r>
      <w:r w:rsidR="00411A89">
        <w:rPr>
          <w:rFonts w:ascii="Times New Roman" w:hAnsi="Times New Roman" w:cs="Times New Roman"/>
          <w:sz w:val="24"/>
          <w:szCs w:val="24"/>
        </w:rPr>
        <w:t>and</w:t>
      </w:r>
      <w:r>
        <w:rPr>
          <w:rFonts w:ascii="Times New Roman" w:hAnsi="Times New Roman" w:cs="Times New Roman"/>
          <w:sz w:val="24"/>
          <w:szCs w:val="24"/>
        </w:rPr>
        <w:t xml:space="preserve"> verifying outputs, furthering this groundwork </w:t>
      </w:r>
      <w:r w:rsidR="00E5108D">
        <w:rPr>
          <w:rFonts w:ascii="Times New Roman" w:hAnsi="Times New Roman" w:cs="Times New Roman"/>
          <w:sz w:val="24"/>
          <w:szCs w:val="24"/>
        </w:rPr>
        <w:t xml:space="preserve">multidisciplinary research </w:t>
      </w:r>
      <w:r>
        <w:rPr>
          <w:rFonts w:ascii="Times New Roman" w:hAnsi="Times New Roman" w:cs="Times New Roman"/>
          <w:sz w:val="24"/>
          <w:szCs w:val="24"/>
        </w:rPr>
        <w:t xml:space="preserve">towards </w:t>
      </w:r>
      <w:r w:rsidR="00E5108D">
        <w:rPr>
          <w:rFonts w:ascii="Times New Roman" w:hAnsi="Times New Roman" w:cs="Times New Roman"/>
          <w:sz w:val="24"/>
          <w:szCs w:val="24"/>
        </w:rPr>
        <w:t xml:space="preserve">a </w:t>
      </w:r>
      <w:r>
        <w:rPr>
          <w:rFonts w:ascii="Times New Roman" w:hAnsi="Times New Roman" w:cs="Times New Roman"/>
          <w:sz w:val="24"/>
          <w:szCs w:val="24"/>
        </w:rPr>
        <w:t xml:space="preserve">crystallised policy approach. It is in the case study </w:t>
      </w:r>
      <w:r>
        <w:rPr>
          <w:rFonts w:ascii="Times New Roman" w:hAnsi="Times New Roman" w:cs="Times New Roman"/>
          <w:sz w:val="24"/>
          <w:szCs w:val="24"/>
        </w:rPr>
        <w:lastRenderedPageBreak/>
        <w:t>research where the ICT interdependencies are revisited through architectural analysis of emerging technologies, arriving to new findings</w:t>
      </w:r>
      <w:r w:rsidR="00E5108D">
        <w:rPr>
          <w:rFonts w:ascii="Times New Roman" w:hAnsi="Times New Roman" w:cs="Times New Roman"/>
          <w:sz w:val="24"/>
          <w:szCs w:val="24"/>
        </w:rPr>
        <w:t>,</w:t>
      </w:r>
      <w:r>
        <w:rPr>
          <w:rFonts w:ascii="Times New Roman" w:hAnsi="Times New Roman" w:cs="Times New Roman"/>
          <w:sz w:val="24"/>
          <w:szCs w:val="24"/>
        </w:rPr>
        <w:t xml:space="preserve"> as explained below</w:t>
      </w:r>
      <w:r w:rsidR="003445FC" w:rsidRPr="00BD5871">
        <w:rPr>
          <w:rFonts w:ascii="Times New Roman" w:hAnsi="Times New Roman" w:cs="Times New Roman"/>
          <w:sz w:val="24"/>
          <w:szCs w:val="24"/>
        </w:rPr>
        <w:t>.</w:t>
      </w:r>
    </w:p>
    <w:p w14:paraId="1C1E766D" w14:textId="77777777" w:rsidR="0057387C" w:rsidRPr="00774EDB" w:rsidRDefault="0057387C" w:rsidP="00A70042">
      <w:pPr>
        <w:pStyle w:val="Heading3"/>
        <w:numPr>
          <w:ilvl w:val="2"/>
          <w:numId w:val="17"/>
        </w:numPr>
        <w:spacing w:before="360"/>
        <w:ind w:left="0" w:firstLine="0"/>
        <w:jc w:val="both"/>
        <w:rPr>
          <w:rFonts w:ascii="Times New Roman" w:hAnsi="Times New Roman" w:cs="Times New Roman"/>
          <w:b/>
          <w:bCs/>
        </w:rPr>
      </w:pPr>
      <w:bookmarkStart w:id="95" w:name="_Toc17611342"/>
      <w:bookmarkStart w:id="96" w:name="_Toc17611559"/>
      <w:bookmarkStart w:id="97" w:name="_Toc17611771"/>
      <w:bookmarkStart w:id="98" w:name="_Toc17611985"/>
      <w:bookmarkStart w:id="99" w:name="_Toc17612198"/>
      <w:bookmarkStart w:id="100" w:name="_Toc17611343"/>
      <w:bookmarkStart w:id="101" w:name="_Toc53576022"/>
      <w:bookmarkEnd w:id="95"/>
      <w:bookmarkEnd w:id="96"/>
      <w:bookmarkEnd w:id="97"/>
      <w:bookmarkEnd w:id="98"/>
      <w:bookmarkEnd w:id="99"/>
      <w:r w:rsidRPr="00774EDB">
        <w:rPr>
          <w:rFonts w:ascii="Times New Roman" w:hAnsi="Times New Roman" w:cs="Times New Roman"/>
          <w:b/>
          <w:bCs/>
          <w:color w:val="auto"/>
        </w:rPr>
        <w:t>Main findings</w:t>
      </w:r>
      <w:bookmarkEnd w:id="100"/>
      <w:bookmarkEnd w:id="101"/>
      <w:r w:rsidRPr="00774EDB">
        <w:rPr>
          <w:rFonts w:ascii="Times New Roman" w:hAnsi="Times New Roman" w:cs="Times New Roman"/>
          <w:b/>
          <w:bCs/>
          <w:color w:val="auto"/>
        </w:rPr>
        <w:t xml:space="preserve"> </w:t>
      </w:r>
    </w:p>
    <w:p w14:paraId="61591A49" w14:textId="7D11BBFA"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After having a tentative conclusion at the end of doctrinal (blackletter) analysis, Chapter 7 consists of case study research, seeking to test the former findings and to further these findings with additional inputs based on the industrial settings. To that end, two distinctive but complementary fields, namely Cloud Computing and the I</w:t>
      </w:r>
      <w:r w:rsidR="00BF3D1C" w:rsidRPr="00774EDB">
        <w:rPr>
          <w:rFonts w:ascii="Times New Roman" w:hAnsi="Times New Roman" w:cs="Times New Roman"/>
          <w:sz w:val="24"/>
          <w:szCs w:val="24"/>
        </w:rPr>
        <w:t>oT</w:t>
      </w:r>
      <w:r w:rsidRPr="00774EDB">
        <w:rPr>
          <w:rFonts w:ascii="Times New Roman" w:hAnsi="Times New Roman" w:cs="Times New Roman"/>
          <w:sz w:val="24"/>
          <w:szCs w:val="24"/>
        </w:rPr>
        <w:t xml:space="preserve">, have been chosen. In this regard, it is aimed to find out the industrial responses to lack of interoperability and accompanying concerns. </w:t>
      </w:r>
      <w:r w:rsidR="00406C87">
        <w:rPr>
          <w:rFonts w:ascii="Times New Roman" w:hAnsi="Times New Roman" w:cs="Times New Roman"/>
          <w:sz w:val="24"/>
          <w:szCs w:val="24"/>
        </w:rPr>
        <w:t>C</w:t>
      </w:r>
      <w:r w:rsidRPr="00774EDB">
        <w:rPr>
          <w:rFonts w:ascii="Times New Roman" w:hAnsi="Times New Roman" w:cs="Times New Roman"/>
          <w:sz w:val="24"/>
          <w:szCs w:val="24"/>
        </w:rPr>
        <w:t>ase study research is mainly led by the analysis of the cloud and the IoT architectures</w:t>
      </w:r>
      <w:r w:rsidR="003445FC" w:rsidRPr="00774EDB">
        <w:rPr>
          <w:rFonts w:ascii="Times New Roman" w:hAnsi="Times New Roman" w:cs="Times New Roman"/>
          <w:sz w:val="24"/>
          <w:szCs w:val="24"/>
        </w:rPr>
        <w:t>,</w:t>
      </w:r>
      <w:r w:rsidRPr="00774EDB">
        <w:rPr>
          <w:rFonts w:ascii="Times New Roman" w:hAnsi="Times New Roman" w:cs="Times New Roman"/>
          <w:sz w:val="24"/>
          <w:szCs w:val="24"/>
        </w:rPr>
        <w:t xml:space="preserve"> </w:t>
      </w:r>
      <w:r w:rsidR="00411A89">
        <w:rPr>
          <w:rFonts w:ascii="Times New Roman" w:hAnsi="Times New Roman" w:cs="Times New Roman"/>
          <w:sz w:val="24"/>
          <w:szCs w:val="24"/>
        </w:rPr>
        <w:t xml:space="preserve">their technological and </w:t>
      </w:r>
      <w:r w:rsidRPr="00774EDB">
        <w:rPr>
          <w:rFonts w:ascii="Times New Roman" w:hAnsi="Times New Roman" w:cs="Times New Roman"/>
          <w:sz w:val="24"/>
          <w:szCs w:val="24"/>
        </w:rPr>
        <w:t xml:space="preserve">economic underpinnings, including industrial processes like standardisation, </w:t>
      </w:r>
      <w:r w:rsidR="00406C87">
        <w:rPr>
          <w:rFonts w:ascii="Times New Roman" w:hAnsi="Times New Roman" w:cs="Times New Roman"/>
          <w:sz w:val="24"/>
          <w:szCs w:val="24"/>
        </w:rPr>
        <w:t xml:space="preserve">which </w:t>
      </w:r>
      <w:r w:rsidRPr="00774EDB">
        <w:rPr>
          <w:rFonts w:ascii="Times New Roman" w:hAnsi="Times New Roman" w:cs="Times New Roman"/>
          <w:sz w:val="24"/>
          <w:szCs w:val="24"/>
        </w:rPr>
        <w:t>have been investigated to gain a fulfilling answer, as against the fragmented legal solutions mentioned above.</w:t>
      </w:r>
    </w:p>
    <w:p w14:paraId="19BCB1C2" w14:textId="53CFFDD1" w:rsidR="0057387C" w:rsidRPr="00A70042" w:rsidRDefault="0057387C"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 xml:space="preserve">Case studies are primarily conducted to </w:t>
      </w:r>
      <w:r w:rsidR="00406C87">
        <w:rPr>
          <w:rFonts w:ascii="Times New Roman" w:hAnsi="Times New Roman" w:cs="Times New Roman"/>
          <w:spacing w:val="-2"/>
          <w:sz w:val="24"/>
          <w:szCs w:val="24"/>
        </w:rPr>
        <w:t>verify</w:t>
      </w:r>
      <w:r w:rsidR="00406C87" w:rsidRPr="00A70042">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 xml:space="preserve">the former findings gathered from the </w:t>
      </w:r>
      <w:r w:rsidR="00406C87">
        <w:rPr>
          <w:rFonts w:ascii="Times New Roman" w:hAnsi="Times New Roman" w:cs="Times New Roman"/>
          <w:spacing w:val="-2"/>
          <w:sz w:val="24"/>
          <w:szCs w:val="24"/>
        </w:rPr>
        <w:t>doctrinal analysis</w:t>
      </w:r>
      <w:r w:rsidRPr="00A70042">
        <w:rPr>
          <w:rFonts w:ascii="Times New Roman" w:hAnsi="Times New Roman" w:cs="Times New Roman"/>
          <w:spacing w:val="-2"/>
          <w:sz w:val="24"/>
          <w:szCs w:val="24"/>
        </w:rPr>
        <w:t>. However, this does not fully reflect the Chapter 7</w:t>
      </w:r>
      <w:r w:rsidR="003445FC" w:rsidRPr="00A70042">
        <w:rPr>
          <w:rFonts w:ascii="Times New Roman" w:hAnsi="Times New Roman" w:cs="Times New Roman"/>
          <w:spacing w:val="-2"/>
          <w:sz w:val="24"/>
          <w:szCs w:val="24"/>
        </w:rPr>
        <w:t>, which</w:t>
      </w:r>
      <w:r w:rsidRPr="00A70042">
        <w:rPr>
          <w:rFonts w:ascii="Times New Roman" w:hAnsi="Times New Roman" w:cs="Times New Roman"/>
          <w:spacing w:val="-2"/>
          <w:sz w:val="24"/>
          <w:szCs w:val="24"/>
        </w:rPr>
        <w:t xml:space="preserve"> also aims to </w:t>
      </w:r>
      <w:r w:rsidR="00406C87">
        <w:rPr>
          <w:rFonts w:ascii="Times New Roman" w:hAnsi="Times New Roman" w:cs="Times New Roman"/>
          <w:spacing w:val="-2"/>
          <w:sz w:val="24"/>
          <w:szCs w:val="24"/>
        </w:rPr>
        <w:t xml:space="preserve">check </w:t>
      </w:r>
      <w:r w:rsidRPr="00A70042">
        <w:rPr>
          <w:rFonts w:ascii="Times New Roman" w:hAnsi="Times New Roman" w:cs="Times New Roman"/>
          <w:spacing w:val="-2"/>
          <w:sz w:val="24"/>
          <w:szCs w:val="24"/>
        </w:rPr>
        <w:t>and find out the gaps relating to ICT interoperability</w:t>
      </w:r>
      <w:r w:rsidR="00406C87">
        <w:rPr>
          <w:rFonts w:ascii="Times New Roman" w:hAnsi="Times New Roman" w:cs="Times New Roman"/>
          <w:spacing w:val="-2"/>
          <w:sz w:val="24"/>
          <w:szCs w:val="24"/>
        </w:rPr>
        <w:t xml:space="preserve"> arising out of </w:t>
      </w:r>
      <w:r w:rsidR="00406C87" w:rsidRPr="00A70042">
        <w:rPr>
          <w:rFonts w:ascii="Times New Roman" w:hAnsi="Times New Roman" w:cs="Times New Roman"/>
          <w:spacing w:val="-2"/>
          <w:sz w:val="24"/>
          <w:szCs w:val="24"/>
        </w:rPr>
        <w:t>industrial practices</w:t>
      </w:r>
      <w:r w:rsidRPr="00A70042">
        <w:rPr>
          <w:rFonts w:ascii="Times New Roman" w:hAnsi="Times New Roman" w:cs="Times New Roman"/>
          <w:spacing w:val="-2"/>
          <w:sz w:val="24"/>
          <w:szCs w:val="24"/>
        </w:rPr>
        <w:t>,</w:t>
      </w:r>
      <w:r w:rsidR="003445FC" w:rsidRPr="00A70042">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 xml:space="preserve">towards development of the ultimate regulatory model. Crucially, a progressive and </w:t>
      </w:r>
      <w:r w:rsidR="000373FC" w:rsidRPr="00A70042">
        <w:rPr>
          <w:rFonts w:ascii="Times New Roman" w:hAnsi="Times New Roman" w:cs="Times New Roman"/>
          <w:spacing w:val="-2"/>
          <w:sz w:val="24"/>
          <w:szCs w:val="24"/>
        </w:rPr>
        <w:t>multi-faceted</w:t>
      </w:r>
      <w:r w:rsidRPr="00A70042">
        <w:rPr>
          <w:rFonts w:ascii="Times New Roman" w:hAnsi="Times New Roman" w:cs="Times New Roman"/>
          <w:spacing w:val="-2"/>
          <w:sz w:val="24"/>
          <w:szCs w:val="24"/>
        </w:rPr>
        <w:t xml:space="preserve"> research has been </w:t>
      </w:r>
      <w:r w:rsidR="00406C87">
        <w:rPr>
          <w:rFonts w:ascii="Times New Roman" w:hAnsi="Times New Roman" w:cs="Times New Roman"/>
          <w:spacing w:val="-2"/>
          <w:sz w:val="24"/>
          <w:szCs w:val="24"/>
        </w:rPr>
        <w:t>conducted throughout</w:t>
      </w:r>
      <w:r w:rsidRPr="00A70042">
        <w:rPr>
          <w:rFonts w:ascii="Times New Roman" w:hAnsi="Times New Roman" w:cs="Times New Roman"/>
          <w:spacing w:val="-2"/>
          <w:sz w:val="24"/>
          <w:szCs w:val="24"/>
        </w:rPr>
        <w:t xml:space="preserve"> the case studies, </w:t>
      </w:r>
      <w:r w:rsidR="00406C87">
        <w:rPr>
          <w:rFonts w:ascii="Times New Roman" w:hAnsi="Times New Roman" w:cs="Times New Roman"/>
          <w:spacing w:val="-2"/>
          <w:sz w:val="24"/>
          <w:szCs w:val="24"/>
        </w:rPr>
        <w:t>reveal</w:t>
      </w:r>
      <w:r w:rsidRPr="00A70042">
        <w:rPr>
          <w:rFonts w:ascii="Times New Roman" w:hAnsi="Times New Roman" w:cs="Times New Roman"/>
          <w:spacing w:val="-2"/>
          <w:sz w:val="24"/>
          <w:szCs w:val="24"/>
        </w:rPr>
        <w:t xml:space="preserve">ing a set of naturally constructed research components for the overall study. This natural progression </w:t>
      </w:r>
      <w:r w:rsidR="00406C87">
        <w:rPr>
          <w:rFonts w:ascii="Times New Roman" w:hAnsi="Times New Roman" w:cs="Times New Roman"/>
          <w:spacing w:val="-2"/>
          <w:sz w:val="24"/>
          <w:szCs w:val="24"/>
        </w:rPr>
        <w:t xml:space="preserve">is also hidden within the fact </w:t>
      </w:r>
      <w:r w:rsidRPr="00A70042">
        <w:rPr>
          <w:rFonts w:ascii="Times New Roman" w:hAnsi="Times New Roman" w:cs="Times New Roman"/>
          <w:spacing w:val="-2"/>
          <w:sz w:val="24"/>
          <w:szCs w:val="24"/>
        </w:rPr>
        <w:t>that each case study has resulted in distinct but complementary findings, laying down the stepping stones for the ultimate regulatory design.</w:t>
      </w:r>
    </w:p>
    <w:p w14:paraId="40F3FADB" w14:textId="05DC74F2" w:rsidR="0057387C" w:rsidRPr="00774EDB" w:rsidRDefault="005D701C" w:rsidP="00C9567A">
      <w:pPr>
        <w:spacing w:before="360"/>
        <w:jc w:val="both"/>
        <w:rPr>
          <w:rFonts w:ascii="Times New Roman" w:hAnsi="Times New Roman" w:cs="Times New Roman"/>
          <w:sz w:val="24"/>
          <w:szCs w:val="24"/>
        </w:rPr>
      </w:pPr>
      <w:r>
        <w:rPr>
          <w:rFonts w:ascii="Times New Roman" w:hAnsi="Times New Roman" w:cs="Times New Roman"/>
          <w:sz w:val="24"/>
          <w:szCs w:val="24"/>
        </w:rPr>
        <w:lastRenderedPageBreak/>
        <w:t>It is found that</w:t>
      </w:r>
      <w:r w:rsidR="0057387C" w:rsidRPr="00774EDB">
        <w:rPr>
          <w:rFonts w:ascii="Times New Roman" w:hAnsi="Times New Roman" w:cs="Times New Roman"/>
          <w:sz w:val="24"/>
          <w:szCs w:val="24"/>
        </w:rPr>
        <w:t xml:space="preserve">, despite the absence of common standards, cloud computing settings point to a thriving industry because of the </w:t>
      </w:r>
      <w:r>
        <w:rPr>
          <w:rFonts w:ascii="Times New Roman" w:hAnsi="Times New Roman" w:cs="Times New Roman"/>
          <w:sz w:val="24"/>
          <w:szCs w:val="24"/>
        </w:rPr>
        <w:t xml:space="preserve">utility type functioning, </w:t>
      </w:r>
      <w:r w:rsidR="0057387C" w:rsidRPr="00774EDB">
        <w:rPr>
          <w:rFonts w:ascii="Times New Roman" w:hAnsi="Times New Roman" w:cs="Times New Roman"/>
          <w:sz w:val="24"/>
          <w:szCs w:val="24"/>
        </w:rPr>
        <w:t>ever</w:t>
      </w:r>
      <w:r w:rsidR="003445FC" w:rsidRPr="00774EDB">
        <w:rPr>
          <w:rFonts w:ascii="Times New Roman" w:hAnsi="Times New Roman" w:cs="Times New Roman"/>
          <w:sz w:val="24"/>
          <w:szCs w:val="24"/>
        </w:rPr>
        <w:t>-</w:t>
      </w:r>
      <w:r w:rsidR="000E1F0D" w:rsidRPr="00774EDB">
        <w:rPr>
          <w:rFonts w:ascii="Times New Roman" w:hAnsi="Times New Roman" w:cs="Times New Roman"/>
          <w:sz w:val="24"/>
          <w:szCs w:val="24"/>
        </w:rPr>
        <w:t>fast</w:t>
      </w:r>
      <w:r w:rsidR="00112980" w:rsidRPr="00774EDB">
        <w:rPr>
          <w:rFonts w:ascii="Times New Roman" w:hAnsi="Times New Roman" w:cs="Times New Roman"/>
          <w:sz w:val="24"/>
          <w:szCs w:val="24"/>
        </w:rPr>
        <w:t>er</w:t>
      </w:r>
      <w:r w:rsidR="0057387C" w:rsidRPr="00774EDB">
        <w:rPr>
          <w:rFonts w:ascii="Times New Roman" w:hAnsi="Times New Roman" w:cs="Times New Roman"/>
          <w:sz w:val="24"/>
          <w:szCs w:val="24"/>
        </w:rPr>
        <w:t xml:space="preserve"> </w:t>
      </w:r>
      <w:r w:rsidR="000E1F0D" w:rsidRPr="00774EDB">
        <w:rPr>
          <w:rFonts w:ascii="Times New Roman" w:hAnsi="Times New Roman" w:cs="Times New Roman"/>
          <w:sz w:val="24"/>
          <w:szCs w:val="24"/>
        </w:rPr>
        <w:t>enhanc</w:t>
      </w:r>
      <w:r w:rsidR="0057387C" w:rsidRPr="00774EDB">
        <w:rPr>
          <w:rFonts w:ascii="Times New Roman" w:hAnsi="Times New Roman" w:cs="Times New Roman"/>
          <w:sz w:val="24"/>
          <w:szCs w:val="24"/>
        </w:rPr>
        <w:t>ing cloud adoption and the surrounding ecosystems. However, the IoT settings demonstrate that interoperability gaps, mainly stemming from silo type proprietary systems, bear</w:t>
      </w:r>
      <w:r>
        <w:rPr>
          <w:rFonts w:ascii="Times New Roman" w:hAnsi="Times New Roman" w:cs="Times New Roman"/>
          <w:sz w:val="24"/>
          <w:szCs w:val="24"/>
        </w:rPr>
        <w:t>ing</w:t>
      </w:r>
      <w:r w:rsidR="0057387C" w:rsidRPr="00774EDB">
        <w:rPr>
          <w:rFonts w:ascii="Times New Roman" w:hAnsi="Times New Roman" w:cs="Times New Roman"/>
          <w:sz w:val="24"/>
          <w:szCs w:val="24"/>
        </w:rPr>
        <w:t xml:space="preserve"> noticeable risks that threaten the potential ecosystem</w:t>
      </w:r>
      <w:r>
        <w:rPr>
          <w:rFonts w:ascii="Times New Roman" w:hAnsi="Times New Roman" w:cs="Times New Roman"/>
          <w:sz w:val="24"/>
          <w:szCs w:val="24"/>
        </w:rPr>
        <w:t xml:space="preserve"> </w:t>
      </w:r>
      <w:r w:rsidR="0057387C" w:rsidRPr="00774EDB">
        <w:rPr>
          <w:rFonts w:ascii="Times New Roman" w:hAnsi="Times New Roman" w:cs="Times New Roman"/>
          <w:sz w:val="24"/>
          <w:szCs w:val="24"/>
        </w:rPr>
        <w:t>s</w:t>
      </w:r>
      <w:r>
        <w:rPr>
          <w:rFonts w:ascii="Times New Roman" w:hAnsi="Times New Roman" w:cs="Times New Roman"/>
          <w:sz w:val="24"/>
          <w:szCs w:val="24"/>
        </w:rPr>
        <w:t>ettings</w:t>
      </w:r>
      <w:r w:rsidR="0057387C" w:rsidRPr="00774EDB">
        <w:rPr>
          <w:rFonts w:ascii="Times New Roman" w:hAnsi="Times New Roman" w:cs="Times New Roman"/>
          <w:sz w:val="24"/>
          <w:szCs w:val="24"/>
        </w:rPr>
        <w:t xml:space="preserve">. These distinctive findings from the case studies demonstrate that industrial settings do not necessarily reflect the ecosystem characteristics e.g. based on </w:t>
      </w:r>
      <w:r w:rsidR="00021426" w:rsidRPr="00774EDB">
        <w:rPr>
          <w:rFonts w:ascii="Times New Roman" w:hAnsi="Times New Roman" w:cs="Times New Roman"/>
          <w:sz w:val="24"/>
          <w:szCs w:val="24"/>
        </w:rPr>
        <w:t>coopetition</w:t>
      </w:r>
      <w:r w:rsidR="0057387C" w:rsidRPr="00774EDB">
        <w:rPr>
          <w:rFonts w:ascii="Times New Roman" w:hAnsi="Times New Roman" w:cs="Times New Roman"/>
          <w:sz w:val="24"/>
          <w:szCs w:val="24"/>
        </w:rPr>
        <w:t xml:space="preserve"> among the ICT stakeholders, </w:t>
      </w:r>
      <w:r>
        <w:rPr>
          <w:rFonts w:ascii="Times New Roman" w:hAnsi="Times New Roman" w:cs="Times New Roman"/>
          <w:sz w:val="24"/>
          <w:szCs w:val="24"/>
        </w:rPr>
        <w:t>and often</w:t>
      </w:r>
      <w:r w:rsidRPr="00774EDB">
        <w:rPr>
          <w:rFonts w:ascii="Times New Roman" w:hAnsi="Times New Roman" w:cs="Times New Roman"/>
          <w:sz w:val="24"/>
          <w:szCs w:val="24"/>
        </w:rPr>
        <w:t xml:space="preserve"> </w:t>
      </w:r>
      <w:r w:rsidR="0057387C" w:rsidRPr="00774EDB">
        <w:rPr>
          <w:rFonts w:ascii="Times New Roman" w:hAnsi="Times New Roman" w:cs="Times New Roman"/>
          <w:sz w:val="24"/>
          <w:szCs w:val="24"/>
        </w:rPr>
        <w:t>require a regulatory</w:t>
      </w:r>
      <w:r>
        <w:rPr>
          <w:rFonts w:ascii="Times New Roman" w:hAnsi="Times New Roman" w:cs="Times New Roman"/>
          <w:sz w:val="24"/>
          <w:szCs w:val="24"/>
        </w:rPr>
        <w:t xml:space="preserve"> touch</w:t>
      </w:r>
      <w:r w:rsidR="0057387C" w:rsidRPr="00774EDB">
        <w:rPr>
          <w:rFonts w:ascii="Times New Roman" w:hAnsi="Times New Roman" w:cs="Times New Roman"/>
          <w:sz w:val="24"/>
          <w:szCs w:val="24"/>
        </w:rPr>
        <w:t xml:space="preserve">, </w:t>
      </w:r>
      <w:r>
        <w:rPr>
          <w:rFonts w:ascii="Times New Roman" w:hAnsi="Times New Roman" w:cs="Times New Roman"/>
          <w:sz w:val="24"/>
          <w:szCs w:val="24"/>
        </w:rPr>
        <w:t xml:space="preserve">via which </w:t>
      </w:r>
      <w:r w:rsidR="0057387C" w:rsidRPr="00774EDB">
        <w:rPr>
          <w:rFonts w:ascii="Times New Roman" w:hAnsi="Times New Roman" w:cs="Times New Roman"/>
          <w:sz w:val="24"/>
          <w:szCs w:val="24"/>
        </w:rPr>
        <w:t>both ecosystem and non-ecosystem settings</w:t>
      </w:r>
      <w:r>
        <w:rPr>
          <w:rFonts w:ascii="Times New Roman" w:hAnsi="Times New Roman" w:cs="Times New Roman"/>
          <w:sz w:val="24"/>
          <w:szCs w:val="24"/>
        </w:rPr>
        <w:t xml:space="preserve"> are captured</w:t>
      </w:r>
      <w:r w:rsidR="0057387C" w:rsidRPr="00774EDB">
        <w:rPr>
          <w:rFonts w:ascii="Times New Roman" w:hAnsi="Times New Roman" w:cs="Times New Roman"/>
          <w:sz w:val="24"/>
          <w:szCs w:val="24"/>
        </w:rPr>
        <w:t>.</w:t>
      </w:r>
      <w:r>
        <w:rPr>
          <w:rFonts w:ascii="Times New Roman" w:hAnsi="Times New Roman" w:cs="Times New Roman"/>
          <w:sz w:val="24"/>
          <w:szCs w:val="24"/>
        </w:rPr>
        <w:t xml:space="preserve"> </w:t>
      </w:r>
      <w:r w:rsidRPr="00774EDB">
        <w:rPr>
          <w:rFonts w:ascii="Times New Roman" w:hAnsi="Times New Roman" w:cs="Times New Roman"/>
          <w:sz w:val="24"/>
          <w:szCs w:val="24"/>
        </w:rPr>
        <w:t xml:space="preserve">Summing up, the case studies not only verified the former findings and supported the plausible need for a holistic regulatory approach, they also </w:t>
      </w:r>
      <w:r>
        <w:rPr>
          <w:rFonts w:ascii="Times New Roman" w:hAnsi="Times New Roman" w:cs="Times New Roman"/>
          <w:sz w:val="24"/>
          <w:szCs w:val="24"/>
        </w:rPr>
        <w:t>helped carving out new concepts e.g. co-opetition against the layer interdependencies.</w:t>
      </w:r>
      <w:r w:rsidR="0057387C" w:rsidRPr="00774EDB">
        <w:rPr>
          <w:rFonts w:ascii="Times New Roman" w:hAnsi="Times New Roman" w:cs="Times New Roman"/>
          <w:sz w:val="24"/>
          <w:szCs w:val="24"/>
        </w:rPr>
        <w:t xml:space="preserve">      </w:t>
      </w:r>
    </w:p>
    <w:p w14:paraId="6445659C" w14:textId="757F16E4" w:rsidR="0057387C" w:rsidRPr="00774EDB" w:rsidRDefault="005738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Chapter 8 (Conclusion) filters the findings gathered from the previous chapters. To build on and also respond to them, </w:t>
      </w:r>
      <w:r w:rsidRPr="00774EDB">
        <w:rPr>
          <w:rFonts w:ascii="Times New Roman" w:hAnsi="Times New Roman" w:cs="Times New Roman"/>
          <w:i/>
          <w:iCs/>
          <w:sz w:val="24"/>
          <w:szCs w:val="24"/>
        </w:rPr>
        <w:t>layering theory</w:t>
      </w:r>
      <w:r w:rsidRPr="00774EDB">
        <w:rPr>
          <w:rFonts w:ascii="Times New Roman" w:hAnsi="Times New Roman" w:cs="Times New Roman"/>
          <w:sz w:val="24"/>
          <w:szCs w:val="24"/>
        </w:rPr>
        <w:t xml:space="preserve"> has been analysed in </w:t>
      </w:r>
      <w:r w:rsidR="000E1F0D" w:rsidRPr="00774EDB">
        <w:rPr>
          <w:rFonts w:ascii="Times New Roman" w:hAnsi="Times New Roman" w:cs="Times New Roman"/>
          <w:sz w:val="24"/>
          <w:szCs w:val="24"/>
        </w:rPr>
        <w:t>conjunction</w:t>
      </w:r>
      <w:r w:rsidRPr="00774EDB">
        <w:rPr>
          <w:rFonts w:ascii="Times New Roman" w:hAnsi="Times New Roman" w:cs="Times New Roman"/>
          <w:sz w:val="24"/>
          <w:szCs w:val="24"/>
        </w:rPr>
        <w:t xml:space="preserve"> with the established competition</w:t>
      </w:r>
      <w:r w:rsidR="00E14727">
        <w:rPr>
          <w:rFonts w:ascii="Times New Roman" w:hAnsi="Times New Roman" w:cs="Times New Roman"/>
          <w:sz w:val="24"/>
          <w:szCs w:val="24"/>
        </w:rPr>
        <w:t xml:space="preserve"> law and </w:t>
      </w:r>
      <w:r w:rsidRPr="00774EDB">
        <w:rPr>
          <w:rFonts w:ascii="Times New Roman" w:hAnsi="Times New Roman" w:cs="Times New Roman"/>
          <w:sz w:val="24"/>
          <w:szCs w:val="24"/>
        </w:rPr>
        <w:t xml:space="preserve">regulatory </w:t>
      </w:r>
      <w:r w:rsidR="008D5B17" w:rsidRPr="00774EDB">
        <w:rPr>
          <w:rFonts w:ascii="Times New Roman" w:hAnsi="Times New Roman" w:cs="Times New Roman"/>
          <w:sz w:val="24"/>
          <w:szCs w:val="24"/>
        </w:rPr>
        <w:t xml:space="preserve">concepts </w:t>
      </w:r>
      <w:r w:rsidRPr="00774EDB">
        <w:rPr>
          <w:rFonts w:ascii="Times New Roman" w:hAnsi="Times New Roman" w:cs="Times New Roman"/>
          <w:sz w:val="24"/>
          <w:szCs w:val="24"/>
        </w:rPr>
        <w:t>e.g. market definition</w:t>
      </w:r>
      <w:r w:rsidR="004D7539">
        <w:rPr>
          <w:rFonts w:ascii="Times New Roman" w:hAnsi="Times New Roman" w:cs="Times New Roman"/>
          <w:sz w:val="24"/>
          <w:szCs w:val="24"/>
        </w:rPr>
        <w:t>, dominance, essential facilities</w:t>
      </w:r>
      <w:r w:rsidRPr="00774EDB">
        <w:rPr>
          <w:rFonts w:ascii="Times New Roman" w:hAnsi="Times New Roman" w:cs="Times New Roman"/>
          <w:sz w:val="24"/>
          <w:szCs w:val="24"/>
        </w:rPr>
        <w:t>. While the deficiencies of the established concepts and regulatory patterns are derivable from the doctrinal study (see Chapters 4,</w:t>
      </w:r>
      <w:r w:rsidR="000E1F0D"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5 and 6), the </w:t>
      </w:r>
      <w:r w:rsidR="000E1F0D" w:rsidRPr="00774EDB">
        <w:rPr>
          <w:rFonts w:ascii="Times New Roman" w:hAnsi="Times New Roman" w:cs="Times New Roman"/>
          <w:sz w:val="24"/>
          <w:szCs w:val="24"/>
        </w:rPr>
        <w:t>‘</w:t>
      </w:r>
      <w:r w:rsidRPr="00774EDB">
        <w:rPr>
          <w:rFonts w:ascii="Times New Roman" w:hAnsi="Times New Roman" w:cs="Times New Roman"/>
          <w:sz w:val="24"/>
          <w:szCs w:val="24"/>
        </w:rPr>
        <w:t>layering</w:t>
      </w:r>
      <w:r w:rsidR="008D5B17" w:rsidRPr="00774EDB">
        <w:rPr>
          <w:rFonts w:ascii="Times New Roman" w:hAnsi="Times New Roman" w:cs="Times New Roman"/>
          <w:sz w:val="24"/>
          <w:szCs w:val="24"/>
        </w:rPr>
        <w:t xml:space="preserve"> theory</w:t>
      </w:r>
      <w:r w:rsidR="000E1F0D" w:rsidRPr="00774EDB">
        <w:rPr>
          <w:rFonts w:ascii="Times New Roman" w:hAnsi="Times New Roman" w:cs="Times New Roman"/>
          <w:sz w:val="24"/>
          <w:szCs w:val="24"/>
        </w:rPr>
        <w:t>’</w:t>
      </w:r>
      <w:r w:rsidRPr="00774EDB">
        <w:rPr>
          <w:rFonts w:ascii="Times New Roman" w:hAnsi="Times New Roman" w:cs="Times New Roman"/>
          <w:sz w:val="24"/>
          <w:szCs w:val="24"/>
        </w:rPr>
        <w:t xml:space="preserve"> is featured in Chapter 8, for it fits well with both ecosystem and non-ecosystem settings</w:t>
      </w:r>
      <w:r w:rsidR="004D7539">
        <w:rPr>
          <w:rFonts w:ascii="Times New Roman" w:hAnsi="Times New Roman" w:cs="Times New Roman"/>
          <w:sz w:val="24"/>
          <w:szCs w:val="24"/>
        </w:rPr>
        <w:t xml:space="preserve"> having the potential to respond the layer interdependencies as well as gatekeeping activities</w:t>
      </w:r>
      <w:r w:rsidRPr="00774EDB">
        <w:rPr>
          <w:rFonts w:ascii="Times New Roman" w:hAnsi="Times New Roman" w:cs="Times New Roman"/>
          <w:sz w:val="24"/>
          <w:szCs w:val="24"/>
        </w:rPr>
        <w:t xml:space="preserve">. This stems mainly from the fact that the </w:t>
      </w:r>
      <w:r w:rsidR="009B25FA">
        <w:rPr>
          <w:rFonts w:ascii="Times New Roman" w:hAnsi="Times New Roman" w:cs="Times New Roman"/>
          <w:sz w:val="24"/>
          <w:szCs w:val="24"/>
        </w:rPr>
        <w:t>‘</w:t>
      </w:r>
      <w:r w:rsidRPr="00774EDB">
        <w:rPr>
          <w:rFonts w:ascii="Times New Roman" w:hAnsi="Times New Roman" w:cs="Times New Roman"/>
          <w:sz w:val="24"/>
          <w:szCs w:val="24"/>
        </w:rPr>
        <w:t>layering</w:t>
      </w:r>
      <w:r w:rsidR="009B25FA">
        <w:rPr>
          <w:rFonts w:ascii="Times New Roman" w:hAnsi="Times New Roman" w:cs="Times New Roman"/>
          <w:sz w:val="24"/>
          <w:szCs w:val="24"/>
        </w:rPr>
        <w:t>’</w:t>
      </w:r>
      <w:r w:rsidRPr="00774EDB">
        <w:rPr>
          <w:rFonts w:ascii="Times New Roman" w:hAnsi="Times New Roman" w:cs="Times New Roman"/>
          <w:sz w:val="24"/>
          <w:szCs w:val="24"/>
        </w:rPr>
        <w:t xml:space="preserve"> concept is very conducive to architectural interdependencies, allowing both a holistic/integral viewpoint and</w:t>
      </w:r>
      <w:r w:rsidR="008D5B17" w:rsidRPr="00774EDB">
        <w:rPr>
          <w:rFonts w:ascii="Times New Roman" w:hAnsi="Times New Roman" w:cs="Times New Roman"/>
          <w:sz w:val="24"/>
          <w:szCs w:val="24"/>
        </w:rPr>
        <w:t xml:space="preserve"> individual treatment</w:t>
      </w:r>
      <w:r w:rsidRPr="00774EDB">
        <w:rPr>
          <w:rFonts w:ascii="Times New Roman" w:hAnsi="Times New Roman" w:cs="Times New Roman"/>
          <w:sz w:val="24"/>
          <w:szCs w:val="24"/>
        </w:rPr>
        <w:t xml:space="preserve"> of each layer; ‘access’, ‘middleware’, ‘application’ and ‘content’, depending on the identified </w:t>
      </w:r>
      <w:r w:rsidR="004D7539">
        <w:rPr>
          <w:rFonts w:ascii="Times New Roman" w:hAnsi="Times New Roman" w:cs="Times New Roman"/>
          <w:sz w:val="24"/>
          <w:szCs w:val="24"/>
        </w:rPr>
        <w:t xml:space="preserve">gatekeeping </w:t>
      </w:r>
      <w:r w:rsidRPr="00774EDB">
        <w:rPr>
          <w:rFonts w:ascii="Times New Roman" w:hAnsi="Times New Roman" w:cs="Times New Roman"/>
          <w:sz w:val="24"/>
          <w:szCs w:val="24"/>
        </w:rPr>
        <w:t>concerns.</w:t>
      </w:r>
    </w:p>
    <w:p w14:paraId="29B64978" w14:textId="19C59BC2" w:rsidR="0057387C" w:rsidRPr="00774EDB" w:rsidRDefault="002456DE" w:rsidP="00A70042">
      <w:pPr>
        <w:spacing w:before="360"/>
        <w:jc w:val="both"/>
        <w:rPr>
          <w:rFonts w:ascii="Times New Roman" w:hAnsi="Times New Roman" w:cs="Times New Roman"/>
          <w:sz w:val="24"/>
          <w:szCs w:val="24"/>
        </w:rPr>
      </w:pPr>
      <w:r>
        <w:rPr>
          <w:rFonts w:ascii="Times New Roman" w:hAnsi="Times New Roman" w:cs="Times New Roman"/>
          <w:sz w:val="24"/>
          <w:szCs w:val="24"/>
        </w:rPr>
        <w:lastRenderedPageBreak/>
        <w:t>L</w:t>
      </w:r>
      <w:r w:rsidR="0026142E" w:rsidRPr="00774EDB">
        <w:rPr>
          <w:rFonts w:ascii="Times New Roman" w:hAnsi="Times New Roman" w:cs="Times New Roman"/>
          <w:sz w:val="24"/>
          <w:szCs w:val="24"/>
        </w:rPr>
        <w:t xml:space="preserve">ayering theory </w:t>
      </w:r>
      <w:r>
        <w:rPr>
          <w:rFonts w:ascii="Times New Roman" w:hAnsi="Times New Roman" w:cs="Times New Roman"/>
          <w:sz w:val="24"/>
          <w:szCs w:val="24"/>
        </w:rPr>
        <w:t xml:space="preserve">while </w:t>
      </w:r>
      <w:r w:rsidR="0026142E" w:rsidRPr="00774EDB">
        <w:rPr>
          <w:rFonts w:ascii="Times New Roman" w:hAnsi="Times New Roman" w:cs="Times New Roman"/>
          <w:sz w:val="24"/>
          <w:szCs w:val="24"/>
        </w:rPr>
        <w:t>implicat</w:t>
      </w:r>
      <w:r>
        <w:rPr>
          <w:rFonts w:ascii="Times New Roman" w:hAnsi="Times New Roman" w:cs="Times New Roman"/>
          <w:sz w:val="24"/>
          <w:szCs w:val="24"/>
        </w:rPr>
        <w:t>ing</w:t>
      </w:r>
      <w:r w:rsidR="0026142E" w:rsidRPr="00774EDB">
        <w:rPr>
          <w:rFonts w:ascii="Times New Roman" w:hAnsi="Times New Roman" w:cs="Times New Roman"/>
          <w:sz w:val="24"/>
          <w:szCs w:val="24"/>
        </w:rPr>
        <w:t xml:space="preserve"> the finding of the </w:t>
      </w:r>
      <w:r w:rsidR="00CD07BF">
        <w:rPr>
          <w:rFonts w:ascii="Times New Roman" w:hAnsi="Times New Roman" w:cs="Times New Roman"/>
          <w:sz w:val="24"/>
          <w:szCs w:val="24"/>
        </w:rPr>
        <w:t xml:space="preserve">regulatory </w:t>
      </w:r>
      <w:r w:rsidR="0026142E" w:rsidRPr="00774EDB">
        <w:rPr>
          <w:rFonts w:ascii="Times New Roman" w:hAnsi="Times New Roman" w:cs="Times New Roman"/>
          <w:sz w:val="24"/>
          <w:szCs w:val="24"/>
        </w:rPr>
        <w:t>layout for the intended model</w:t>
      </w:r>
      <w:r w:rsidR="0057387C" w:rsidRPr="00774EDB">
        <w:rPr>
          <w:rFonts w:ascii="Times New Roman" w:hAnsi="Times New Roman" w:cs="Times New Roman"/>
          <w:sz w:val="24"/>
          <w:szCs w:val="24"/>
        </w:rPr>
        <w:t>,</w:t>
      </w:r>
      <w:r w:rsidR="004D7539">
        <w:rPr>
          <w:rFonts w:ascii="Times New Roman" w:hAnsi="Times New Roman" w:cs="Times New Roman"/>
          <w:sz w:val="24"/>
          <w:szCs w:val="24"/>
        </w:rPr>
        <w:t xml:space="preserve"> </w:t>
      </w:r>
      <w:r>
        <w:rPr>
          <w:rFonts w:ascii="Times New Roman" w:hAnsi="Times New Roman" w:cs="Times New Roman"/>
          <w:sz w:val="24"/>
          <w:szCs w:val="24"/>
        </w:rPr>
        <w:t>paves the way also to</w:t>
      </w:r>
      <w:r w:rsidR="003B71B2">
        <w:rPr>
          <w:rFonts w:ascii="Times New Roman" w:hAnsi="Times New Roman" w:cs="Times New Roman"/>
          <w:sz w:val="24"/>
          <w:szCs w:val="24"/>
        </w:rPr>
        <w:t xml:space="preserve"> find </w:t>
      </w:r>
      <w:r>
        <w:rPr>
          <w:rFonts w:ascii="Times New Roman" w:hAnsi="Times New Roman" w:cs="Times New Roman"/>
          <w:sz w:val="24"/>
          <w:szCs w:val="24"/>
        </w:rPr>
        <w:t xml:space="preserve">and figure </w:t>
      </w:r>
      <w:r w:rsidR="003B71B2">
        <w:rPr>
          <w:rFonts w:ascii="Times New Roman" w:hAnsi="Times New Roman" w:cs="Times New Roman"/>
          <w:sz w:val="24"/>
          <w:szCs w:val="24"/>
        </w:rPr>
        <w:t xml:space="preserve">out </w:t>
      </w:r>
      <w:r w:rsidR="004D7539">
        <w:rPr>
          <w:rFonts w:ascii="Times New Roman" w:hAnsi="Times New Roman" w:cs="Times New Roman"/>
          <w:sz w:val="24"/>
          <w:szCs w:val="24"/>
        </w:rPr>
        <w:t xml:space="preserve">the </w:t>
      </w:r>
      <w:r>
        <w:rPr>
          <w:rFonts w:ascii="Times New Roman" w:hAnsi="Times New Roman" w:cs="Times New Roman"/>
          <w:sz w:val="24"/>
          <w:szCs w:val="24"/>
        </w:rPr>
        <w:t>way</w:t>
      </w:r>
      <w:r w:rsidR="00CD07BF">
        <w:rPr>
          <w:rFonts w:ascii="Times New Roman" w:hAnsi="Times New Roman" w:cs="Times New Roman"/>
          <w:sz w:val="24"/>
          <w:szCs w:val="24"/>
        </w:rPr>
        <w:t xml:space="preserve"> </w:t>
      </w:r>
      <w:r>
        <w:rPr>
          <w:rFonts w:ascii="Times New Roman" w:hAnsi="Times New Roman" w:cs="Times New Roman"/>
          <w:sz w:val="24"/>
          <w:szCs w:val="24"/>
        </w:rPr>
        <w:t xml:space="preserve">how </w:t>
      </w:r>
      <w:r w:rsidR="004D7539">
        <w:rPr>
          <w:rFonts w:ascii="Times New Roman" w:hAnsi="Times New Roman" w:cs="Times New Roman"/>
          <w:sz w:val="24"/>
          <w:szCs w:val="24"/>
        </w:rPr>
        <w:t>the gatekeeping roles and functionalities</w:t>
      </w:r>
      <w:r>
        <w:rPr>
          <w:rFonts w:ascii="Times New Roman" w:hAnsi="Times New Roman" w:cs="Times New Roman"/>
          <w:sz w:val="24"/>
          <w:szCs w:val="24"/>
        </w:rPr>
        <w:t xml:space="preserve"> are addressed</w:t>
      </w:r>
      <w:r w:rsidR="004D7539">
        <w:rPr>
          <w:rFonts w:ascii="Times New Roman" w:hAnsi="Times New Roman" w:cs="Times New Roman"/>
          <w:sz w:val="24"/>
          <w:szCs w:val="24"/>
        </w:rPr>
        <w:t xml:space="preserve">. Having said that, one could find the </w:t>
      </w:r>
      <w:r w:rsidR="00CD07BF">
        <w:rPr>
          <w:rFonts w:ascii="Times New Roman" w:hAnsi="Times New Roman" w:cs="Times New Roman"/>
          <w:sz w:val="24"/>
          <w:szCs w:val="24"/>
        </w:rPr>
        <w:t xml:space="preserve">widely comprehensible </w:t>
      </w:r>
      <w:r w:rsidR="004D7539">
        <w:rPr>
          <w:rFonts w:ascii="Times New Roman" w:hAnsi="Times New Roman" w:cs="Times New Roman"/>
          <w:sz w:val="24"/>
          <w:szCs w:val="24"/>
        </w:rPr>
        <w:t>gatekeeping activities as</w:t>
      </w:r>
      <w:r w:rsidR="00CD07BF">
        <w:rPr>
          <w:rFonts w:ascii="Times New Roman" w:hAnsi="Times New Roman" w:cs="Times New Roman"/>
          <w:sz w:val="24"/>
          <w:szCs w:val="24"/>
        </w:rPr>
        <w:t xml:space="preserve"> </w:t>
      </w:r>
      <w:r w:rsidR="004D7539">
        <w:rPr>
          <w:rFonts w:ascii="Times New Roman" w:hAnsi="Times New Roman" w:cs="Times New Roman"/>
          <w:sz w:val="24"/>
          <w:szCs w:val="24"/>
        </w:rPr>
        <w:t>addressed</w:t>
      </w:r>
      <w:r w:rsidR="00CD07BF">
        <w:rPr>
          <w:rFonts w:ascii="Times New Roman" w:hAnsi="Times New Roman" w:cs="Times New Roman"/>
          <w:sz w:val="24"/>
          <w:szCs w:val="24"/>
        </w:rPr>
        <w:t xml:space="preserve"> with </w:t>
      </w:r>
      <w:r w:rsidR="00A34176">
        <w:rPr>
          <w:rFonts w:ascii="Times New Roman" w:hAnsi="Times New Roman" w:cs="Times New Roman"/>
          <w:sz w:val="24"/>
          <w:szCs w:val="24"/>
        </w:rPr>
        <w:t xml:space="preserve">an </w:t>
      </w:r>
      <w:r w:rsidR="004D7539">
        <w:rPr>
          <w:rFonts w:ascii="Times New Roman" w:hAnsi="Times New Roman" w:cs="Times New Roman"/>
          <w:sz w:val="24"/>
          <w:szCs w:val="24"/>
        </w:rPr>
        <w:t>appropriate matching between the</w:t>
      </w:r>
      <w:r w:rsidR="00A34176">
        <w:rPr>
          <w:rFonts w:ascii="Times New Roman" w:hAnsi="Times New Roman" w:cs="Times New Roman"/>
          <w:sz w:val="24"/>
          <w:szCs w:val="24"/>
        </w:rPr>
        <w:t xml:space="preserve">se underlying concepts, namely the ‘layering’ and ‘gatekeeping’. At this point, </w:t>
      </w:r>
      <w:r w:rsidR="00485301">
        <w:rPr>
          <w:rFonts w:ascii="Times New Roman" w:hAnsi="Times New Roman" w:cs="Times New Roman"/>
          <w:sz w:val="24"/>
          <w:szCs w:val="24"/>
        </w:rPr>
        <w:t>both</w:t>
      </w:r>
      <w:r w:rsidR="00A34176">
        <w:rPr>
          <w:rFonts w:ascii="Times New Roman" w:hAnsi="Times New Roman" w:cs="Times New Roman"/>
          <w:sz w:val="24"/>
          <w:szCs w:val="24"/>
        </w:rPr>
        <w:t xml:space="preserve"> concepts </w:t>
      </w:r>
      <w:r w:rsidR="00CD07BF">
        <w:rPr>
          <w:rFonts w:ascii="Times New Roman" w:hAnsi="Times New Roman" w:cs="Times New Roman"/>
          <w:sz w:val="24"/>
          <w:szCs w:val="24"/>
        </w:rPr>
        <w:t xml:space="preserve">transform </w:t>
      </w:r>
      <w:r w:rsidR="00A34176">
        <w:rPr>
          <w:rFonts w:ascii="Times New Roman" w:hAnsi="Times New Roman" w:cs="Times New Roman"/>
          <w:sz w:val="24"/>
          <w:szCs w:val="24"/>
        </w:rPr>
        <w:t xml:space="preserve">into </w:t>
      </w:r>
      <w:r w:rsidR="00D27FDA">
        <w:rPr>
          <w:rFonts w:ascii="Times New Roman" w:hAnsi="Times New Roman" w:cs="Times New Roman"/>
          <w:sz w:val="24"/>
          <w:szCs w:val="24"/>
        </w:rPr>
        <w:t xml:space="preserve">key </w:t>
      </w:r>
      <w:r w:rsidR="00A34176">
        <w:rPr>
          <w:rFonts w:ascii="Times New Roman" w:hAnsi="Times New Roman" w:cs="Times New Roman"/>
          <w:sz w:val="24"/>
          <w:szCs w:val="24"/>
        </w:rPr>
        <w:t xml:space="preserve">technical terms </w:t>
      </w:r>
      <w:r w:rsidR="00CD07BF">
        <w:rPr>
          <w:rFonts w:ascii="Times New Roman" w:hAnsi="Times New Roman" w:cs="Times New Roman"/>
          <w:sz w:val="24"/>
          <w:szCs w:val="24"/>
        </w:rPr>
        <w:t xml:space="preserve">and </w:t>
      </w:r>
      <w:r w:rsidR="00D27FDA">
        <w:rPr>
          <w:rFonts w:ascii="Times New Roman" w:hAnsi="Times New Roman" w:cs="Times New Roman"/>
          <w:sz w:val="24"/>
          <w:szCs w:val="24"/>
        </w:rPr>
        <w:t>thrusts</w:t>
      </w:r>
      <w:r w:rsidR="00CD07BF">
        <w:rPr>
          <w:rFonts w:ascii="Times New Roman" w:hAnsi="Times New Roman" w:cs="Times New Roman"/>
          <w:sz w:val="24"/>
          <w:szCs w:val="24"/>
        </w:rPr>
        <w:t xml:space="preserve"> of the model </w:t>
      </w:r>
      <w:r w:rsidR="00A34176">
        <w:rPr>
          <w:rFonts w:ascii="Times New Roman" w:hAnsi="Times New Roman" w:cs="Times New Roman"/>
          <w:sz w:val="24"/>
          <w:szCs w:val="24"/>
        </w:rPr>
        <w:t xml:space="preserve">characterising the normative approach </w:t>
      </w:r>
      <w:r w:rsidR="00485301">
        <w:rPr>
          <w:rFonts w:ascii="Times New Roman" w:hAnsi="Times New Roman" w:cs="Times New Roman"/>
          <w:sz w:val="24"/>
          <w:szCs w:val="24"/>
        </w:rPr>
        <w:t>to be followed</w:t>
      </w:r>
      <w:r w:rsidR="00A34176">
        <w:rPr>
          <w:rFonts w:ascii="Times New Roman" w:hAnsi="Times New Roman" w:cs="Times New Roman"/>
          <w:sz w:val="24"/>
          <w:szCs w:val="24"/>
        </w:rPr>
        <w:t>. From this vantage point of view</w:t>
      </w:r>
      <w:r w:rsidR="0057387C" w:rsidRPr="00774EDB">
        <w:rPr>
          <w:rFonts w:ascii="Times New Roman" w:hAnsi="Times New Roman" w:cs="Times New Roman"/>
          <w:sz w:val="24"/>
          <w:szCs w:val="24"/>
        </w:rPr>
        <w:t xml:space="preserve">, the ‘gatekeeping’ concept, which </w:t>
      </w:r>
      <w:r w:rsidR="00A34176">
        <w:rPr>
          <w:rFonts w:ascii="Times New Roman" w:hAnsi="Times New Roman" w:cs="Times New Roman"/>
          <w:sz w:val="24"/>
          <w:szCs w:val="24"/>
        </w:rPr>
        <w:t>has been referred at the outset of the study</w:t>
      </w:r>
      <w:r w:rsidR="0057387C" w:rsidRPr="00774EDB">
        <w:rPr>
          <w:rFonts w:ascii="Times New Roman" w:hAnsi="Times New Roman" w:cs="Times New Roman"/>
          <w:sz w:val="24"/>
          <w:szCs w:val="24"/>
        </w:rPr>
        <w:t xml:space="preserve">, </w:t>
      </w:r>
      <w:r w:rsidR="00A34176">
        <w:rPr>
          <w:rFonts w:ascii="Times New Roman" w:hAnsi="Times New Roman" w:cs="Times New Roman"/>
          <w:sz w:val="24"/>
          <w:szCs w:val="24"/>
        </w:rPr>
        <w:t>is</w:t>
      </w:r>
      <w:r w:rsidR="0057387C" w:rsidRPr="00774EDB">
        <w:rPr>
          <w:rFonts w:ascii="Times New Roman" w:hAnsi="Times New Roman" w:cs="Times New Roman"/>
          <w:sz w:val="24"/>
          <w:szCs w:val="24"/>
        </w:rPr>
        <w:t xml:space="preserve"> revitalised to </w:t>
      </w:r>
      <w:r w:rsidR="00B93D63" w:rsidRPr="00774EDB">
        <w:rPr>
          <w:rFonts w:ascii="Times New Roman" w:hAnsi="Times New Roman" w:cs="Times New Roman"/>
          <w:sz w:val="24"/>
          <w:szCs w:val="24"/>
        </w:rPr>
        <w:t>embrace</w:t>
      </w:r>
      <w:r w:rsidR="0057387C" w:rsidRPr="00774EDB">
        <w:rPr>
          <w:rFonts w:ascii="Times New Roman" w:hAnsi="Times New Roman" w:cs="Times New Roman"/>
          <w:sz w:val="24"/>
          <w:szCs w:val="24"/>
        </w:rPr>
        <w:t xml:space="preserve"> </w:t>
      </w:r>
      <w:r w:rsidR="00B93D63" w:rsidRPr="00774EDB">
        <w:rPr>
          <w:rFonts w:ascii="Times New Roman" w:hAnsi="Times New Roman" w:cs="Times New Roman"/>
          <w:sz w:val="24"/>
          <w:szCs w:val="24"/>
        </w:rPr>
        <w:t xml:space="preserve">and respond to the </w:t>
      </w:r>
      <w:r w:rsidR="0057387C" w:rsidRPr="00774EDB">
        <w:rPr>
          <w:rFonts w:ascii="Times New Roman" w:hAnsi="Times New Roman" w:cs="Times New Roman"/>
          <w:sz w:val="24"/>
          <w:szCs w:val="24"/>
        </w:rPr>
        <w:t xml:space="preserve">interoperability-centric concerns and problems. </w:t>
      </w:r>
      <w:r w:rsidR="00485301">
        <w:rPr>
          <w:rFonts w:ascii="Times New Roman" w:hAnsi="Times New Roman" w:cs="Times New Roman"/>
          <w:sz w:val="24"/>
          <w:szCs w:val="24"/>
        </w:rPr>
        <w:t>Hence</w:t>
      </w:r>
      <w:r w:rsidR="0057387C" w:rsidRPr="00774EDB">
        <w:rPr>
          <w:rFonts w:ascii="Times New Roman" w:hAnsi="Times New Roman" w:cs="Times New Roman"/>
          <w:sz w:val="24"/>
          <w:szCs w:val="24"/>
        </w:rPr>
        <w:t xml:space="preserve">, this concept has been put at the centre of the </w:t>
      </w:r>
      <w:r w:rsidR="0026142E" w:rsidRPr="00774EDB">
        <w:rPr>
          <w:rFonts w:ascii="Times New Roman" w:hAnsi="Times New Roman" w:cs="Times New Roman"/>
          <w:sz w:val="24"/>
          <w:szCs w:val="24"/>
        </w:rPr>
        <w:t>proposed</w:t>
      </w:r>
      <w:r w:rsidR="0057387C" w:rsidRPr="00774EDB">
        <w:rPr>
          <w:rFonts w:ascii="Times New Roman" w:hAnsi="Times New Roman" w:cs="Times New Roman"/>
          <w:sz w:val="24"/>
          <w:szCs w:val="24"/>
        </w:rPr>
        <w:t xml:space="preserve"> ‘layered regulatory model’, with the view to filter and sort out the </w:t>
      </w:r>
      <w:r w:rsidR="00A34176">
        <w:rPr>
          <w:rFonts w:ascii="Times New Roman" w:hAnsi="Times New Roman" w:cs="Times New Roman"/>
          <w:sz w:val="24"/>
          <w:szCs w:val="24"/>
        </w:rPr>
        <w:t xml:space="preserve">related </w:t>
      </w:r>
      <w:r w:rsidR="0057387C" w:rsidRPr="00774EDB">
        <w:rPr>
          <w:rFonts w:ascii="Times New Roman" w:hAnsi="Times New Roman" w:cs="Times New Roman"/>
          <w:sz w:val="24"/>
          <w:szCs w:val="24"/>
        </w:rPr>
        <w:t xml:space="preserve">problems </w:t>
      </w:r>
      <w:r w:rsidR="00A34176">
        <w:rPr>
          <w:rFonts w:ascii="Times New Roman" w:hAnsi="Times New Roman" w:cs="Times New Roman"/>
          <w:sz w:val="24"/>
          <w:szCs w:val="24"/>
        </w:rPr>
        <w:t xml:space="preserve">not strictly limited to, but also </w:t>
      </w:r>
      <w:r w:rsidR="0057387C" w:rsidRPr="00774EDB">
        <w:rPr>
          <w:rFonts w:ascii="Times New Roman" w:hAnsi="Times New Roman" w:cs="Times New Roman"/>
          <w:sz w:val="24"/>
          <w:szCs w:val="24"/>
        </w:rPr>
        <w:t>surrounding</w:t>
      </w:r>
      <w:r w:rsidR="00A34176">
        <w:rPr>
          <w:rFonts w:ascii="Times New Roman" w:hAnsi="Times New Roman" w:cs="Times New Roman"/>
          <w:sz w:val="24"/>
          <w:szCs w:val="24"/>
        </w:rPr>
        <w:t>,</w:t>
      </w:r>
      <w:r w:rsidR="0057387C" w:rsidRPr="00774EDB">
        <w:rPr>
          <w:rFonts w:ascii="Times New Roman" w:hAnsi="Times New Roman" w:cs="Times New Roman"/>
          <w:sz w:val="24"/>
          <w:szCs w:val="24"/>
        </w:rPr>
        <w:t xml:space="preserve"> the lack of interoperability.</w:t>
      </w:r>
    </w:p>
    <w:p w14:paraId="1000D647" w14:textId="3F53CD8D" w:rsidR="00C7635B" w:rsidRDefault="0057387C">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According to this, gatekeeping activities are accepted to exist and be captured by the layered model, as long as they mean an </w:t>
      </w:r>
      <w:r w:rsidR="0026142E" w:rsidRPr="00774EDB">
        <w:rPr>
          <w:rFonts w:ascii="Times New Roman" w:hAnsi="Times New Roman" w:cs="Times New Roman"/>
          <w:sz w:val="24"/>
          <w:szCs w:val="24"/>
        </w:rPr>
        <w:t>“</w:t>
      </w:r>
      <w:r w:rsidRPr="00774EDB">
        <w:rPr>
          <w:rFonts w:ascii="Times New Roman" w:hAnsi="Times New Roman" w:cs="Times New Roman"/>
          <w:sz w:val="24"/>
          <w:szCs w:val="24"/>
        </w:rPr>
        <w:t xml:space="preserve">access </w:t>
      </w:r>
      <w:r w:rsidR="001F0E01">
        <w:rPr>
          <w:rFonts w:ascii="Times New Roman" w:hAnsi="Times New Roman" w:cs="Times New Roman"/>
          <w:sz w:val="24"/>
          <w:szCs w:val="24"/>
        </w:rPr>
        <w:t xml:space="preserve">and interoperability </w:t>
      </w:r>
      <w:r w:rsidRPr="00774EDB">
        <w:rPr>
          <w:rFonts w:ascii="Times New Roman" w:hAnsi="Times New Roman" w:cs="Times New Roman"/>
          <w:sz w:val="24"/>
          <w:szCs w:val="24"/>
        </w:rPr>
        <w:t>restriction at the expense of limit</w:t>
      </w:r>
      <w:r w:rsidR="00485301">
        <w:rPr>
          <w:rFonts w:ascii="Times New Roman" w:hAnsi="Times New Roman" w:cs="Times New Roman"/>
          <w:sz w:val="24"/>
          <w:szCs w:val="24"/>
        </w:rPr>
        <w:t>ing the</w:t>
      </w:r>
      <w:r w:rsidRPr="00774EDB">
        <w:rPr>
          <w:rFonts w:ascii="Times New Roman" w:hAnsi="Times New Roman" w:cs="Times New Roman"/>
          <w:sz w:val="24"/>
          <w:szCs w:val="24"/>
        </w:rPr>
        <w:t xml:space="preserve"> consumer choices</w:t>
      </w:r>
      <w:r w:rsidR="0026142E" w:rsidRPr="00774EDB">
        <w:rPr>
          <w:rFonts w:ascii="Times New Roman" w:hAnsi="Times New Roman" w:cs="Times New Roman"/>
          <w:sz w:val="24"/>
          <w:szCs w:val="24"/>
        </w:rPr>
        <w:t>”</w:t>
      </w:r>
      <w:r w:rsidRPr="00774EDB">
        <w:rPr>
          <w:rFonts w:ascii="Times New Roman" w:hAnsi="Times New Roman" w:cs="Times New Roman"/>
          <w:sz w:val="24"/>
          <w:szCs w:val="24"/>
        </w:rPr>
        <w:t xml:space="preserve">. While it is </w:t>
      </w:r>
      <w:r w:rsidR="00485301">
        <w:rPr>
          <w:rFonts w:ascii="Times New Roman" w:hAnsi="Times New Roman" w:cs="Times New Roman"/>
          <w:sz w:val="24"/>
          <w:szCs w:val="24"/>
        </w:rPr>
        <w:t>propos</w:t>
      </w:r>
      <w:r w:rsidRPr="00774EDB">
        <w:rPr>
          <w:rFonts w:ascii="Times New Roman" w:hAnsi="Times New Roman" w:cs="Times New Roman"/>
          <w:sz w:val="24"/>
          <w:szCs w:val="24"/>
        </w:rPr>
        <w:t xml:space="preserve">ed that such kind of restrictions be prohibited as the </w:t>
      </w:r>
      <w:r w:rsidR="0026142E" w:rsidRPr="00774EDB">
        <w:rPr>
          <w:rFonts w:ascii="Times New Roman" w:hAnsi="Times New Roman" w:cs="Times New Roman"/>
          <w:sz w:val="24"/>
          <w:szCs w:val="24"/>
        </w:rPr>
        <w:t>starting</w:t>
      </w:r>
      <w:r w:rsidRPr="00774EDB">
        <w:rPr>
          <w:rFonts w:ascii="Times New Roman" w:hAnsi="Times New Roman" w:cs="Times New Roman"/>
          <w:sz w:val="24"/>
          <w:szCs w:val="24"/>
        </w:rPr>
        <w:t xml:space="preserve"> </w:t>
      </w:r>
      <w:r w:rsidR="00E37387" w:rsidRPr="00774EDB">
        <w:rPr>
          <w:rFonts w:ascii="Times New Roman" w:hAnsi="Times New Roman" w:cs="Times New Roman"/>
          <w:sz w:val="24"/>
          <w:szCs w:val="24"/>
        </w:rPr>
        <w:t xml:space="preserve">point or </w:t>
      </w:r>
      <w:r w:rsidRPr="00774EDB">
        <w:rPr>
          <w:rFonts w:ascii="Times New Roman" w:hAnsi="Times New Roman" w:cs="Times New Roman"/>
          <w:sz w:val="24"/>
          <w:szCs w:val="24"/>
        </w:rPr>
        <w:t xml:space="preserve">principle, the accompanying principles of transparency, </w:t>
      </w:r>
      <w:r w:rsidR="00485301">
        <w:rPr>
          <w:rFonts w:ascii="Times New Roman" w:hAnsi="Times New Roman" w:cs="Times New Roman"/>
          <w:sz w:val="24"/>
          <w:szCs w:val="24"/>
        </w:rPr>
        <w:t>fairness</w:t>
      </w:r>
      <w:r w:rsidRPr="00774EDB">
        <w:rPr>
          <w:rFonts w:ascii="Times New Roman" w:hAnsi="Times New Roman" w:cs="Times New Roman"/>
          <w:sz w:val="24"/>
          <w:szCs w:val="24"/>
        </w:rPr>
        <w:t xml:space="preserve"> and accountability are also incorporated thereupon. Furthermore, a</w:t>
      </w:r>
      <w:r w:rsidR="00485301">
        <w:rPr>
          <w:rFonts w:ascii="Times New Roman" w:hAnsi="Times New Roman" w:cs="Times New Roman"/>
          <w:sz w:val="24"/>
          <w:szCs w:val="24"/>
        </w:rPr>
        <w:t xml:space="preserve"> following</w:t>
      </w:r>
      <w:r w:rsidRPr="00774EDB">
        <w:rPr>
          <w:rFonts w:ascii="Times New Roman" w:hAnsi="Times New Roman" w:cs="Times New Roman"/>
          <w:sz w:val="24"/>
          <w:szCs w:val="24"/>
        </w:rPr>
        <w:t xml:space="preserve"> set of remedies ha</w:t>
      </w:r>
      <w:r w:rsidR="00485301">
        <w:rPr>
          <w:rFonts w:ascii="Times New Roman" w:hAnsi="Times New Roman" w:cs="Times New Roman"/>
          <w:sz w:val="24"/>
          <w:szCs w:val="24"/>
        </w:rPr>
        <w:t>ve</w:t>
      </w:r>
      <w:r w:rsidRPr="00774EDB">
        <w:rPr>
          <w:rFonts w:ascii="Times New Roman" w:hAnsi="Times New Roman" w:cs="Times New Roman"/>
          <w:sz w:val="24"/>
          <w:szCs w:val="24"/>
        </w:rPr>
        <w:t xml:space="preserve"> also been designated, considering the potential failure(s) to comply with these principles. Having these instruments, the European Commission at the EU level and NRAs at the national level, are expected to firstly designate the gatekeeping activities at each layer and if necessary, at multiple/cross layers and intervene in them in coordination with the stakeholders.</w:t>
      </w:r>
    </w:p>
    <w:p w14:paraId="52217AF2" w14:textId="68F91A84" w:rsidR="0057387C" w:rsidRPr="00774EDB" w:rsidRDefault="00C7635B" w:rsidP="00A70042">
      <w:pPr>
        <w:spacing w:before="360"/>
        <w:jc w:val="both"/>
        <w:rPr>
          <w:rFonts w:ascii="Times New Roman" w:hAnsi="Times New Roman" w:cs="Times New Roman"/>
          <w:sz w:val="24"/>
          <w:szCs w:val="24"/>
        </w:rPr>
      </w:pPr>
      <w:r>
        <w:rPr>
          <w:rFonts w:ascii="Times New Roman" w:hAnsi="Times New Roman" w:cs="Times New Roman"/>
          <w:sz w:val="24"/>
          <w:szCs w:val="24"/>
        </w:rPr>
        <w:t xml:space="preserve">Thereby, it is aimed that the proposed model embraces all the </w:t>
      </w:r>
      <w:r w:rsidR="009323CF">
        <w:rPr>
          <w:rFonts w:ascii="Times New Roman" w:hAnsi="Times New Roman" w:cs="Times New Roman"/>
          <w:sz w:val="24"/>
          <w:szCs w:val="24"/>
        </w:rPr>
        <w:t xml:space="preserve">IP, or broadly speaking ICT, </w:t>
      </w:r>
      <w:r>
        <w:rPr>
          <w:rFonts w:ascii="Times New Roman" w:hAnsi="Times New Roman" w:cs="Times New Roman"/>
          <w:sz w:val="24"/>
          <w:szCs w:val="24"/>
        </w:rPr>
        <w:t xml:space="preserve">layers with responsive principles and remedies that target at gatekeeping </w:t>
      </w:r>
      <w:r>
        <w:rPr>
          <w:rFonts w:ascii="Times New Roman" w:hAnsi="Times New Roman" w:cs="Times New Roman"/>
          <w:sz w:val="24"/>
          <w:szCs w:val="24"/>
        </w:rPr>
        <w:lastRenderedPageBreak/>
        <w:t xml:space="preserve">activities. While the proposed model embodies a comprehensive viewpoint as to tackling </w:t>
      </w:r>
      <w:r w:rsidR="009323CF">
        <w:rPr>
          <w:rFonts w:ascii="Times New Roman" w:hAnsi="Times New Roman" w:cs="Times New Roman"/>
          <w:sz w:val="24"/>
          <w:szCs w:val="24"/>
        </w:rPr>
        <w:t xml:space="preserve">the </w:t>
      </w:r>
      <w:r>
        <w:rPr>
          <w:rFonts w:ascii="Times New Roman" w:hAnsi="Times New Roman" w:cs="Times New Roman"/>
          <w:sz w:val="24"/>
          <w:szCs w:val="24"/>
        </w:rPr>
        <w:t>gatekeeping activities, interoperability lies at the centre</w:t>
      </w:r>
      <w:r w:rsidR="009323CF">
        <w:rPr>
          <w:rFonts w:ascii="Times New Roman" w:hAnsi="Times New Roman" w:cs="Times New Roman"/>
          <w:sz w:val="24"/>
          <w:szCs w:val="24"/>
        </w:rPr>
        <w:t>,</w:t>
      </w:r>
      <w:r>
        <w:rPr>
          <w:rFonts w:ascii="Times New Roman" w:hAnsi="Times New Roman" w:cs="Times New Roman"/>
          <w:sz w:val="24"/>
          <w:szCs w:val="24"/>
        </w:rPr>
        <w:t xml:space="preserve"> representing the core thread of the </w:t>
      </w:r>
      <w:r w:rsidR="009323CF">
        <w:rPr>
          <w:rFonts w:ascii="Times New Roman" w:hAnsi="Times New Roman" w:cs="Times New Roman"/>
          <w:sz w:val="24"/>
          <w:szCs w:val="24"/>
        </w:rPr>
        <w:t>interdependent</w:t>
      </w:r>
      <w:r>
        <w:rPr>
          <w:rFonts w:ascii="Times New Roman" w:hAnsi="Times New Roman" w:cs="Times New Roman"/>
          <w:sz w:val="24"/>
          <w:szCs w:val="24"/>
        </w:rPr>
        <w:t xml:space="preserve"> layers </w:t>
      </w:r>
      <w:r w:rsidR="00485301">
        <w:rPr>
          <w:rFonts w:ascii="Times New Roman" w:hAnsi="Times New Roman" w:cs="Times New Roman"/>
          <w:sz w:val="24"/>
          <w:szCs w:val="24"/>
        </w:rPr>
        <w:t xml:space="preserve">as well as </w:t>
      </w:r>
      <w:r w:rsidR="009323CF">
        <w:rPr>
          <w:rFonts w:ascii="Times New Roman" w:hAnsi="Times New Roman" w:cs="Times New Roman"/>
          <w:sz w:val="24"/>
          <w:szCs w:val="24"/>
        </w:rPr>
        <w:t>the primary</w:t>
      </w:r>
      <w:r>
        <w:rPr>
          <w:rFonts w:ascii="Times New Roman" w:hAnsi="Times New Roman" w:cs="Times New Roman"/>
          <w:sz w:val="24"/>
          <w:szCs w:val="24"/>
        </w:rPr>
        <w:t xml:space="preserve"> source </w:t>
      </w:r>
      <w:r w:rsidR="009323CF">
        <w:rPr>
          <w:rFonts w:ascii="Times New Roman" w:hAnsi="Times New Roman" w:cs="Times New Roman"/>
          <w:sz w:val="24"/>
          <w:szCs w:val="24"/>
        </w:rPr>
        <w:t>for the related concerns</w:t>
      </w:r>
      <w:r>
        <w:rPr>
          <w:rFonts w:ascii="Times New Roman" w:hAnsi="Times New Roman" w:cs="Times New Roman"/>
          <w:sz w:val="24"/>
          <w:szCs w:val="24"/>
        </w:rPr>
        <w:t xml:space="preserve">.  </w:t>
      </w:r>
    </w:p>
    <w:p w14:paraId="71B5B03B" w14:textId="00A4932B" w:rsidR="009B25FA" w:rsidRPr="00A70042" w:rsidRDefault="009B25FA" w:rsidP="00A70042">
      <w:pPr>
        <w:pStyle w:val="Heading3"/>
        <w:spacing w:before="360"/>
        <w:jc w:val="both"/>
        <w:rPr>
          <w:rFonts w:ascii="Times New Roman" w:hAnsi="Times New Roman" w:cs="Times New Roman"/>
          <w:b/>
          <w:bCs/>
        </w:rPr>
      </w:pPr>
      <w:bookmarkStart w:id="102" w:name="_Toc53576023"/>
      <w:r w:rsidRPr="00A70042">
        <w:rPr>
          <w:rFonts w:ascii="Times New Roman" w:hAnsi="Times New Roman" w:cs="Times New Roman"/>
          <w:b/>
          <w:bCs/>
          <w:color w:val="000000" w:themeColor="text1"/>
        </w:rPr>
        <w:t>1.6.3.</w:t>
      </w:r>
      <w:r w:rsidRPr="00A70042">
        <w:rPr>
          <w:rFonts w:ascii="Times New Roman" w:hAnsi="Times New Roman" w:cs="Times New Roman"/>
          <w:b/>
          <w:bCs/>
          <w:color w:val="000000" w:themeColor="text1"/>
        </w:rPr>
        <w:tab/>
        <w:t>Contribution to knowledge</w:t>
      </w:r>
      <w:bookmarkEnd w:id="102"/>
    </w:p>
    <w:p w14:paraId="1B3679DE" w14:textId="0B6215A0" w:rsidR="00390293" w:rsidRDefault="00F159A1">
      <w:pPr>
        <w:spacing w:before="360"/>
        <w:jc w:val="both"/>
        <w:rPr>
          <w:rFonts w:ascii="Times New Roman" w:hAnsi="Times New Roman" w:cs="Times New Roman"/>
          <w:sz w:val="24"/>
          <w:szCs w:val="24"/>
        </w:rPr>
      </w:pPr>
      <w:r>
        <w:rPr>
          <w:rFonts w:ascii="Times New Roman" w:hAnsi="Times New Roman" w:cs="Times New Roman"/>
          <w:sz w:val="24"/>
          <w:szCs w:val="24"/>
        </w:rPr>
        <w:t xml:space="preserve">As stated above, interoperability related concerns are dealt with from a holistic viewpoint in this research, which </w:t>
      </w:r>
      <w:r w:rsidR="00BE7B8C">
        <w:rPr>
          <w:rFonts w:ascii="Times New Roman" w:hAnsi="Times New Roman" w:cs="Times New Roman"/>
          <w:sz w:val="24"/>
          <w:szCs w:val="24"/>
        </w:rPr>
        <w:t xml:space="preserve">goes beyond the existing literature </w:t>
      </w:r>
      <w:r w:rsidR="0069708D">
        <w:rPr>
          <w:rFonts w:ascii="Times New Roman" w:hAnsi="Times New Roman" w:cs="Times New Roman"/>
          <w:sz w:val="24"/>
          <w:szCs w:val="24"/>
        </w:rPr>
        <w:t xml:space="preserve">and research </w:t>
      </w:r>
      <w:r w:rsidR="00BE7B8C">
        <w:rPr>
          <w:rFonts w:ascii="Times New Roman" w:hAnsi="Times New Roman" w:cs="Times New Roman"/>
          <w:sz w:val="24"/>
          <w:szCs w:val="24"/>
        </w:rPr>
        <w:t>for they have a narrow-minded approach</w:t>
      </w:r>
      <w:r w:rsidR="0044798E">
        <w:rPr>
          <w:rFonts w:ascii="Times New Roman" w:hAnsi="Times New Roman" w:cs="Times New Roman"/>
          <w:sz w:val="24"/>
          <w:szCs w:val="24"/>
        </w:rPr>
        <w:t>. Although having a lot of references to the previous research in the field of interoperability,</w:t>
      </w:r>
      <w:r w:rsidR="00BE7B8C">
        <w:rPr>
          <w:rFonts w:ascii="Times New Roman" w:hAnsi="Times New Roman" w:cs="Times New Roman"/>
          <w:sz w:val="24"/>
          <w:szCs w:val="24"/>
        </w:rPr>
        <w:t xml:space="preserve"> </w:t>
      </w:r>
      <w:r w:rsidR="0044798E">
        <w:rPr>
          <w:rFonts w:ascii="Times New Roman" w:hAnsi="Times New Roman" w:cs="Times New Roman"/>
          <w:sz w:val="24"/>
          <w:szCs w:val="24"/>
        </w:rPr>
        <w:t>this study uph</w:t>
      </w:r>
      <w:r w:rsidR="0069708D">
        <w:rPr>
          <w:rFonts w:ascii="Times New Roman" w:hAnsi="Times New Roman" w:cs="Times New Roman"/>
          <w:sz w:val="24"/>
          <w:szCs w:val="24"/>
        </w:rPr>
        <w:t>o</w:t>
      </w:r>
      <w:r w:rsidR="0044798E">
        <w:rPr>
          <w:rFonts w:ascii="Times New Roman" w:hAnsi="Times New Roman" w:cs="Times New Roman"/>
          <w:sz w:val="24"/>
          <w:szCs w:val="24"/>
        </w:rPr>
        <w:t>ld</w:t>
      </w:r>
      <w:r w:rsidR="0069708D">
        <w:rPr>
          <w:rFonts w:ascii="Times New Roman" w:hAnsi="Times New Roman" w:cs="Times New Roman"/>
          <w:sz w:val="24"/>
          <w:szCs w:val="24"/>
        </w:rPr>
        <w:t>s</w:t>
      </w:r>
      <w:r w:rsidR="0044798E">
        <w:rPr>
          <w:rFonts w:ascii="Times New Roman" w:hAnsi="Times New Roman" w:cs="Times New Roman"/>
          <w:sz w:val="24"/>
          <w:szCs w:val="24"/>
        </w:rPr>
        <w:t xml:space="preserve"> an expansive outlook from interoperability towards gatekeeping activities</w:t>
      </w:r>
      <w:r w:rsidR="00390293">
        <w:rPr>
          <w:rFonts w:ascii="Times New Roman" w:hAnsi="Times New Roman" w:cs="Times New Roman"/>
          <w:sz w:val="24"/>
          <w:szCs w:val="24"/>
        </w:rPr>
        <w:t>, which marks a remarkable distinction from the existing works</w:t>
      </w:r>
      <w:r w:rsidR="0044798E">
        <w:rPr>
          <w:rFonts w:ascii="Times New Roman" w:hAnsi="Times New Roman" w:cs="Times New Roman"/>
          <w:sz w:val="24"/>
          <w:szCs w:val="24"/>
        </w:rPr>
        <w:t>.</w:t>
      </w:r>
      <w:r w:rsidR="00390293">
        <w:rPr>
          <w:rFonts w:ascii="Times New Roman" w:hAnsi="Times New Roman" w:cs="Times New Roman"/>
          <w:sz w:val="24"/>
          <w:szCs w:val="24"/>
        </w:rPr>
        <w:t xml:space="preserve"> As a matter of fact, existing scholarly works </w:t>
      </w:r>
      <w:r w:rsidR="00A3370B">
        <w:rPr>
          <w:rFonts w:ascii="Times New Roman" w:hAnsi="Times New Roman" w:cs="Times New Roman"/>
          <w:sz w:val="24"/>
          <w:szCs w:val="24"/>
        </w:rPr>
        <w:t>mostly</w:t>
      </w:r>
      <w:r w:rsidR="00390293">
        <w:rPr>
          <w:rFonts w:ascii="Times New Roman" w:hAnsi="Times New Roman" w:cs="Times New Roman"/>
          <w:sz w:val="24"/>
          <w:szCs w:val="24"/>
        </w:rPr>
        <w:t xml:space="preserve"> focus on the interoperability concept </w:t>
      </w:r>
      <w:r w:rsidR="0059738C">
        <w:rPr>
          <w:rFonts w:ascii="Times New Roman" w:hAnsi="Times New Roman" w:cs="Times New Roman"/>
          <w:sz w:val="24"/>
          <w:szCs w:val="24"/>
        </w:rPr>
        <w:t xml:space="preserve">and </w:t>
      </w:r>
      <w:r w:rsidR="00A3370B">
        <w:rPr>
          <w:rFonts w:ascii="Times New Roman" w:hAnsi="Times New Roman" w:cs="Times New Roman"/>
          <w:sz w:val="24"/>
          <w:szCs w:val="24"/>
        </w:rPr>
        <w:t>seek out the possible ways as to how to improve interoperability</w:t>
      </w:r>
      <w:r w:rsidR="0059738C">
        <w:rPr>
          <w:rFonts w:ascii="Times New Roman" w:hAnsi="Times New Roman" w:cs="Times New Roman"/>
          <w:sz w:val="24"/>
          <w:szCs w:val="24"/>
        </w:rPr>
        <w:t xml:space="preserve"> within the boundaries of certain bodies of law or industrial solutions</w:t>
      </w:r>
      <w:r w:rsidR="00A3370B">
        <w:rPr>
          <w:rFonts w:ascii="Times New Roman" w:hAnsi="Times New Roman" w:cs="Times New Roman"/>
          <w:sz w:val="24"/>
          <w:szCs w:val="24"/>
        </w:rPr>
        <w:t xml:space="preserve">. </w:t>
      </w:r>
    </w:p>
    <w:p w14:paraId="24217B9C" w14:textId="12BA7747" w:rsidR="00F33E16" w:rsidRDefault="00A3370B" w:rsidP="00C9567A">
      <w:pPr>
        <w:spacing w:before="360"/>
        <w:jc w:val="both"/>
        <w:rPr>
          <w:rFonts w:ascii="Times New Roman" w:hAnsi="Times New Roman" w:cs="Times New Roman"/>
          <w:sz w:val="24"/>
          <w:szCs w:val="24"/>
        </w:rPr>
      </w:pPr>
      <w:r>
        <w:rPr>
          <w:rFonts w:ascii="Times New Roman" w:hAnsi="Times New Roman" w:cs="Times New Roman"/>
          <w:sz w:val="24"/>
          <w:szCs w:val="24"/>
        </w:rPr>
        <w:t>One research</w:t>
      </w:r>
      <w:r w:rsidR="005672C4">
        <w:rPr>
          <w:rFonts w:ascii="Times New Roman" w:hAnsi="Times New Roman" w:cs="Times New Roman"/>
          <w:sz w:val="24"/>
          <w:szCs w:val="24"/>
        </w:rPr>
        <w:t xml:space="preserve"> strand </w:t>
      </w:r>
      <w:r>
        <w:rPr>
          <w:rFonts w:ascii="Times New Roman" w:hAnsi="Times New Roman" w:cs="Times New Roman"/>
          <w:sz w:val="24"/>
          <w:szCs w:val="24"/>
        </w:rPr>
        <w:t>compare</w:t>
      </w:r>
      <w:r w:rsidR="005672C4">
        <w:rPr>
          <w:rFonts w:ascii="Times New Roman" w:hAnsi="Times New Roman" w:cs="Times New Roman"/>
          <w:sz w:val="24"/>
          <w:szCs w:val="24"/>
        </w:rPr>
        <w:t>s</w:t>
      </w:r>
      <w:r>
        <w:rPr>
          <w:rFonts w:ascii="Times New Roman" w:hAnsi="Times New Roman" w:cs="Times New Roman"/>
          <w:sz w:val="24"/>
          <w:szCs w:val="24"/>
        </w:rPr>
        <w:t xml:space="preserve"> and contrast</w:t>
      </w:r>
      <w:r w:rsidR="005672C4">
        <w:rPr>
          <w:rFonts w:ascii="Times New Roman" w:hAnsi="Times New Roman" w:cs="Times New Roman"/>
          <w:sz w:val="24"/>
          <w:szCs w:val="24"/>
        </w:rPr>
        <w:t>s</w:t>
      </w:r>
      <w:r>
        <w:rPr>
          <w:rFonts w:ascii="Times New Roman" w:hAnsi="Times New Roman" w:cs="Times New Roman"/>
          <w:sz w:val="24"/>
          <w:szCs w:val="24"/>
        </w:rPr>
        <w:t xml:space="preserve"> the existing legal disciplines i.e. competition and copyright laws, with a view to find out the best potential solutions from a multidisciplinary </w:t>
      </w:r>
      <w:r w:rsidR="005672C4">
        <w:rPr>
          <w:rFonts w:ascii="Times New Roman" w:hAnsi="Times New Roman" w:cs="Times New Roman"/>
          <w:sz w:val="24"/>
          <w:szCs w:val="24"/>
        </w:rPr>
        <w:t>point of view.</w:t>
      </w:r>
      <w:r w:rsidR="005672C4">
        <w:rPr>
          <w:rStyle w:val="FootnoteReference"/>
          <w:rFonts w:ascii="Times New Roman" w:hAnsi="Times New Roman" w:cs="Times New Roman"/>
          <w:sz w:val="24"/>
          <w:szCs w:val="24"/>
        </w:rPr>
        <w:footnoteReference w:id="40"/>
      </w:r>
      <w:r w:rsidR="005672C4">
        <w:rPr>
          <w:rFonts w:ascii="Times New Roman" w:hAnsi="Times New Roman" w:cs="Times New Roman"/>
          <w:sz w:val="24"/>
          <w:szCs w:val="24"/>
        </w:rPr>
        <w:t xml:space="preserve"> Here is where this study has common</w:t>
      </w:r>
      <w:r w:rsidR="00A77160">
        <w:rPr>
          <w:rFonts w:ascii="Times New Roman" w:hAnsi="Times New Roman" w:cs="Times New Roman"/>
          <w:sz w:val="24"/>
          <w:szCs w:val="24"/>
        </w:rPr>
        <w:t xml:space="preserve"> aspects</w:t>
      </w:r>
      <w:r w:rsidR="00BE5ED6">
        <w:rPr>
          <w:rFonts w:ascii="Times New Roman" w:hAnsi="Times New Roman" w:cs="Times New Roman"/>
          <w:sz w:val="24"/>
          <w:szCs w:val="24"/>
        </w:rPr>
        <w:t xml:space="preserve"> with the previous literature</w:t>
      </w:r>
      <w:r w:rsidR="005672C4">
        <w:rPr>
          <w:rFonts w:ascii="Times New Roman" w:hAnsi="Times New Roman" w:cs="Times New Roman"/>
          <w:sz w:val="24"/>
          <w:szCs w:val="24"/>
        </w:rPr>
        <w:t>,</w:t>
      </w:r>
      <w:r>
        <w:rPr>
          <w:rFonts w:ascii="Times New Roman" w:hAnsi="Times New Roman" w:cs="Times New Roman"/>
          <w:sz w:val="24"/>
          <w:szCs w:val="24"/>
        </w:rPr>
        <w:t xml:space="preserve"> </w:t>
      </w:r>
      <w:r w:rsidR="005672C4">
        <w:rPr>
          <w:rFonts w:ascii="Times New Roman" w:hAnsi="Times New Roman" w:cs="Times New Roman"/>
          <w:sz w:val="24"/>
          <w:szCs w:val="24"/>
        </w:rPr>
        <w:t>given the Chapters 4, 5 and 6 which respectively examine the EU IPR rules, competition law and ECRF</w:t>
      </w:r>
      <w:r w:rsidR="00A77160">
        <w:rPr>
          <w:rFonts w:ascii="Times New Roman" w:hAnsi="Times New Roman" w:cs="Times New Roman"/>
          <w:sz w:val="24"/>
          <w:szCs w:val="24"/>
        </w:rPr>
        <w:t xml:space="preserve">, </w:t>
      </w:r>
      <w:r w:rsidR="00456649">
        <w:rPr>
          <w:rFonts w:ascii="Times New Roman" w:hAnsi="Times New Roman" w:cs="Times New Roman"/>
          <w:sz w:val="24"/>
          <w:szCs w:val="24"/>
        </w:rPr>
        <w:t>elaborating</w:t>
      </w:r>
      <w:r w:rsidR="00A77160">
        <w:rPr>
          <w:rFonts w:ascii="Times New Roman" w:hAnsi="Times New Roman" w:cs="Times New Roman"/>
          <w:sz w:val="24"/>
          <w:szCs w:val="24"/>
        </w:rPr>
        <w:t xml:space="preserve"> on such literature</w:t>
      </w:r>
      <w:r w:rsidR="005672C4">
        <w:rPr>
          <w:rFonts w:ascii="Times New Roman" w:hAnsi="Times New Roman" w:cs="Times New Roman"/>
          <w:sz w:val="24"/>
          <w:szCs w:val="24"/>
        </w:rPr>
        <w:t xml:space="preserve">. </w:t>
      </w:r>
      <w:r w:rsidR="00456649">
        <w:rPr>
          <w:rFonts w:ascii="Times New Roman" w:hAnsi="Times New Roman" w:cs="Times New Roman"/>
          <w:sz w:val="24"/>
          <w:szCs w:val="24"/>
        </w:rPr>
        <w:t>Notwithstanding</w:t>
      </w:r>
      <w:r w:rsidR="005672C4">
        <w:rPr>
          <w:rFonts w:ascii="Times New Roman" w:hAnsi="Times New Roman" w:cs="Times New Roman"/>
          <w:sz w:val="24"/>
          <w:szCs w:val="24"/>
        </w:rPr>
        <w:t xml:space="preserve">, this study </w:t>
      </w:r>
      <w:r w:rsidR="002B0949">
        <w:rPr>
          <w:rFonts w:ascii="Times New Roman" w:hAnsi="Times New Roman" w:cs="Times New Roman"/>
          <w:sz w:val="24"/>
          <w:szCs w:val="24"/>
        </w:rPr>
        <w:t>expand</w:t>
      </w:r>
      <w:r w:rsidR="00BE5ED6">
        <w:rPr>
          <w:rFonts w:ascii="Times New Roman" w:hAnsi="Times New Roman" w:cs="Times New Roman"/>
          <w:sz w:val="24"/>
          <w:szCs w:val="24"/>
        </w:rPr>
        <w:t>s</w:t>
      </w:r>
      <w:r w:rsidR="002B0949">
        <w:rPr>
          <w:rFonts w:ascii="Times New Roman" w:hAnsi="Times New Roman" w:cs="Times New Roman"/>
          <w:sz w:val="24"/>
          <w:szCs w:val="24"/>
        </w:rPr>
        <w:t xml:space="preserve"> the </w:t>
      </w:r>
      <w:r w:rsidR="00456649">
        <w:rPr>
          <w:rFonts w:ascii="Times New Roman" w:hAnsi="Times New Roman" w:cs="Times New Roman"/>
          <w:sz w:val="24"/>
          <w:szCs w:val="24"/>
        </w:rPr>
        <w:t>multidisciplinary research</w:t>
      </w:r>
      <w:r w:rsidR="002B0949">
        <w:rPr>
          <w:rFonts w:ascii="Times New Roman" w:hAnsi="Times New Roman" w:cs="Times New Roman"/>
          <w:sz w:val="24"/>
          <w:szCs w:val="24"/>
        </w:rPr>
        <w:t xml:space="preserve"> </w:t>
      </w:r>
      <w:r w:rsidR="00456649">
        <w:rPr>
          <w:rFonts w:ascii="Times New Roman" w:hAnsi="Times New Roman" w:cs="Times New Roman"/>
          <w:sz w:val="24"/>
          <w:szCs w:val="24"/>
        </w:rPr>
        <w:t>reflecting</w:t>
      </w:r>
      <w:r w:rsidR="002B0949">
        <w:rPr>
          <w:rFonts w:ascii="Times New Roman" w:hAnsi="Times New Roman" w:cs="Times New Roman"/>
          <w:sz w:val="24"/>
          <w:szCs w:val="24"/>
        </w:rPr>
        <w:t xml:space="preserve"> on three disciplines</w:t>
      </w:r>
      <w:r w:rsidR="00BE5ED6">
        <w:rPr>
          <w:rFonts w:ascii="Times New Roman" w:hAnsi="Times New Roman" w:cs="Times New Roman"/>
          <w:sz w:val="24"/>
          <w:szCs w:val="24"/>
        </w:rPr>
        <w:t>,</w:t>
      </w:r>
      <w:r w:rsidR="002B0949">
        <w:rPr>
          <w:rFonts w:ascii="Times New Roman" w:hAnsi="Times New Roman" w:cs="Times New Roman"/>
          <w:sz w:val="24"/>
          <w:szCs w:val="24"/>
        </w:rPr>
        <w:t xml:space="preserve"> as opposed to the existing works</w:t>
      </w:r>
      <w:r w:rsidR="00BE5ED6">
        <w:rPr>
          <w:rFonts w:ascii="Times New Roman" w:hAnsi="Times New Roman" w:cs="Times New Roman"/>
          <w:sz w:val="24"/>
          <w:szCs w:val="24"/>
        </w:rPr>
        <w:t xml:space="preserve"> which mainly opt and examine two</w:t>
      </w:r>
      <w:r w:rsidR="00456649">
        <w:rPr>
          <w:rFonts w:ascii="Times New Roman" w:hAnsi="Times New Roman" w:cs="Times New Roman"/>
          <w:sz w:val="24"/>
          <w:szCs w:val="24"/>
        </w:rPr>
        <w:t xml:space="preserve">, </w:t>
      </w:r>
      <w:r w:rsidR="00456649">
        <w:rPr>
          <w:rFonts w:ascii="Times New Roman" w:hAnsi="Times New Roman" w:cs="Times New Roman"/>
          <w:sz w:val="24"/>
          <w:szCs w:val="24"/>
        </w:rPr>
        <w:lastRenderedPageBreak/>
        <w:t>mostly competition and IPR laws</w:t>
      </w:r>
      <w:r w:rsidR="002B0949">
        <w:rPr>
          <w:rFonts w:ascii="Times New Roman" w:hAnsi="Times New Roman" w:cs="Times New Roman"/>
          <w:sz w:val="24"/>
          <w:szCs w:val="24"/>
        </w:rPr>
        <w:t>.</w:t>
      </w:r>
      <w:r w:rsidR="00456649">
        <w:rPr>
          <w:rStyle w:val="FootnoteReference"/>
          <w:rFonts w:ascii="Times New Roman" w:hAnsi="Times New Roman" w:cs="Times New Roman"/>
          <w:sz w:val="24"/>
          <w:szCs w:val="24"/>
        </w:rPr>
        <w:footnoteReference w:id="41"/>
      </w:r>
      <w:r w:rsidR="00F33E16">
        <w:rPr>
          <w:rFonts w:ascii="Times New Roman" w:hAnsi="Times New Roman" w:cs="Times New Roman"/>
          <w:sz w:val="24"/>
          <w:szCs w:val="24"/>
        </w:rPr>
        <w:t xml:space="preserve"> </w:t>
      </w:r>
      <w:r w:rsidR="00D27FDA">
        <w:rPr>
          <w:rFonts w:ascii="Times New Roman" w:hAnsi="Times New Roman" w:cs="Times New Roman"/>
          <w:sz w:val="24"/>
          <w:szCs w:val="24"/>
        </w:rPr>
        <w:t>Conceiving and c</w:t>
      </w:r>
      <w:r w:rsidR="00F33E16">
        <w:rPr>
          <w:rFonts w:ascii="Times New Roman" w:hAnsi="Times New Roman" w:cs="Times New Roman"/>
          <w:sz w:val="24"/>
          <w:szCs w:val="24"/>
        </w:rPr>
        <w:t xml:space="preserve">onsidering </w:t>
      </w:r>
      <w:r w:rsidR="00A77160">
        <w:rPr>
          <w:rFonts w:ascii="Times New Roman" w:hAnsi="Times New Roman" w:cs="Times New Roman"/>
          <w:sz w:val="24"/>
          <w:szCs w:val="24"/>
        </w:rPr>
        <w:t>regulation of</w:t>
      </w:r>
      <w:r w:rsidR="00BE5ED6">
        <w:rPr>
          <w:rFonts w:ascii="Times New Roman" w:hAnsi="Times New Roman" w:cs="Times New Roman"/>
          <w:sz w:val="24"/>
          <w:szCs w:val="24"/>
        </w:rPr>
        <w:t xml:space="preserve"> interoperability</w:t>
      </w:r>
      <w:r w:rsidR="00F33E16">
        <w:rPr>
          <w:rFonts w:ascii="Times New Roman" w:hAnsi="Times New Roman" w:cs="Times New Roman"/>
          <w:sz w:val="24"/>
          <w:szCs w:val="24"/>
        </w:rPr>
        <w:t xml:space="preserve"> ‘outside of the box’, this thesis aims to explore</w:t>
      </w:r>
      <w:r w:rsidR="00456649">
        <w:rPr>
          <w:rFonts w:ascii="Times New Roman" w:hAnsi="Times New Roman" w:cs="Times New Roman"/>
          <w:sz w:val="24"/>
          <w:szCs w:val="24"/>
        </w:rPr>
        <w:t>,</w:t>
      </w:r>
      <w:r w:rsidR="00F33E16">
        <w:rPr>
          <w:rFonts w:ascii="Times New Roman" w:hAnsi="Times New Roman" w:cs="Times New Roman"/>
          <w:sz w:val="24"/>
          <w:szCs w:val="24"/>
        </w:rPr>
        <w:t xml:space="preserve"> expand </w:t>
      </w:r>
      <w:r w:rsidR="00456649">
        <w:rPr>
          <w:rFonts w:ascii="Times New Roman" w:hAnsi="Times New Roman" w:cs="Times New Roman"/>
          <w:sz w:val="24"/>
          <w:szCs w:val="24"/>
        </w:rPr>
        <w:t xml:space="preserve">and refashion </w:t>
      </w:r>
      <w:r w:rsidR="00F33E16">
        <w:rPr>
          <w:rFonts w:ascii="Times New Roman" w:hAnsi="Times New Roman" w:cs="Times New Roman"/>
          <w:sz w:val="24"/>
          <w:szCs w:val="24"/>
        </w:rPr>
        <w:t xml:space="preserve">the </w:t>
      </w:r>
      <w:r w:rsidR="00177485" w:rsidRPr="00692824">
        <w:rPr>
          <w:rFonts w:ascii="Times New Roman" w:hAnsi="Times New Roman" w:cs="Times New Roman"/>
          <w:i/>
          <w:iCs/>
          <w:sz w:val="24"/>
          <w:szCs w:val="24"/>
        </w:rPr>
        <w:t>status quo</w:t>
      </w:r>
      <w:r w:rsidR="00F33E16">
        <w:rPr>
          <w:rFonts w:ascii="Times New Roman" w:hAnsi="Times New Roman" w:cs="Times New Roman"/>
          <w:sz w:val="24"/>
          <w:szCs w:val="24"/>
        </w:rPr>
        <w:t xml:space="preserve">, not </w:t>
      </w:r>
      <w:r w:rsidR="00BE4C07">
        <w:rPr>
          <w:rFonts w:ascii="Times New Roman" w:hAnsi="Times New Roman" w:cs="Times New Roman"/>
          <w:sz w:val="24"/>
          <w:szCs w:val="24"/>
        </w:rPr>
        <w:t xml:space="preserve">narrowing </w:t>
      </w:r>
      <w:r w:rsidR="00456649">
        <w:rPr>
          <w:rFonts w:ascii="Times New Roman" w:hAnsi="Times New Roman" w:cs="Times New Roman"/>
          <w:sz w:val="24"/>
          <w:szCs w:val="24"/>
        </w:rPr>
        <w:t xml:space="preserve">down </w:t>
      </w:r>
      <w:r w:rsidR="00BE4C07">
        <w:rPr>
          <w:rFonts w:ascii="Times New Roman" w:hAnsi="Times New Roman" w:cs="Times New Roman"/>
          <w:sz w:val="24"/>
          <w:szCs w:val="24"/>
        </w:rPr>
        <w:t xml:space="preserve">the research </w:t>
      </w:r>
      <w:r w:rsidR="00177485">
        <w:rPr>
          <w:rFonts w:ascii="Times New Roman" w:hAnsi="Times New Roman" w:cs="Times New Roman"/>
          <w:sz w:val="24"/>
          <w:szCs w:val="24"/>
        </w:rPr>
        <w:t>to be conducted in</w:t>
      </w:r>
      <w:r w:rsidR="00BE4C07">
        <w:rPr>
          <w:rFonts w:ascii="Times New Roman" w:hAnsi="Times New Roman" w:cs="Times New Roman"/>
          <w:sz w:val="24"/>
          <w:szCs w:val="24"/>
        </w:rPr>
        <w:t xml:space="preserve">to </w:t>
      </w:r>
      <w:r w:rsidR="00177485">
        <w:rPr>
          <w:rFonts w:ascii="Times New Roman" w:hAnsi="Times New Roman" w:cs="Times New Roman"/>
          <w:sz w:val="24"/>
          <w:szCs w:val="24"/>
        </w:rPr>
        <w:t>the existing legal boundaries</w:t>
      </w:r>
      <w:r w:rsidR="00F33E16">
        <w:rPr>
          <w:rFonts w:ascii="Times New Roman" w:hAnsi="Times New Roman" w:cs="Times New Roman"/>
          <w:sz w:val="24"/>
          <w:szCs w:val="24"/>
        </w:rPr>
        <w:t xml:space="preserve">. </w:t>
      </w:r>
    </w:p>
    <w:p w14:paraId="12EB2D4E" w14:textId="4830CB0F" w:rsidR="001F329B" w:rsidRDefault="002B0949">
      <w:pPr>
        <w:spacing w:before="360"/>
        <w:jc w:val="both"/>
        <w:rPr>
          <w:rFonts w:ascii="Times New Roman" w:hAnsi="Times New Roman" w:cs="Times New Roman"/>
          <w:sz w:val="24"/>
          <w:szCs w:val="24"/>
        </w:rPr>
      </w:pPr>
      <w:r>
        <w:rPr>
          <w:rFonts w:ascii="Times New Roman" w:hAnsi="Times New Roman" w:cs="Times New Roman"/>
          <w:sz w:val="24"/>
          <w:szCs w:val="24"/>
        </w:rPr>
        <w:t xml:space="preserve">Another research strand aims to investigate the extent to what certain </w:t>
      </w:r>
      <w:r w:rsidR="00BE4C07">
        <w:rPr>
          <w:rFonts w:ascii="Times New Roman" w:hAnsi="Times New Roman" w:cs="Times New Roman"/>
          <w:sz w:val="24"/>
          <w:szCs w:val="24"/>
        </w:rPr>
        <w:t xml:space="preserve">industry or </w:t>
      </w:r>
      <w:r>
        <w:rPr>
          <w:rFonts w:ascii="Times New Roman" w:hAnsi="Times New Roman" w:cs="Times New Roman"/>
          <w:sz w:val="24"/>
          <w:szCs w:val="24"/>
        </w:rPr>
        <w:t>industries have solved the need to interoperability within their dynamics e.g. collaborati</w:t>
      </w:r>
      <w:r w:rsidR="004F13E0">
        <w:rPr>
          <w:rFonts w:ascii="Times New Roman" w:hAnsi="Times New Roman" w:cs="Times New Roman"/>
          <w:sz w:val="24"/>
          <w:szCs w:val="24"/>
        </w:rPr>
        <w:t>ve actions, de jure or de facto standards</w:t>
      </w:r>
      <w:r>
        <w:rPr>
          <w:rFonts w:ascii="Times New Roman" w:hAnsi="Times New Roman" w:cs="Times New Roman"/>
          <w:sz w:val="24"/>
          <w:szCs w:val="24"/>
        </w:rPr>
        <w:t>.</w:t>
      </w:r>
      <w:r w:rsidR="00E96087">
        <w:rPr>
          <w:rStyle w:val="FootnoteReference"/>
          <w:rFonts w:ascii="Times New Roman" w:hAnsi="Times New Roman" w:cs="Times New Roman"/>
          <w:sz w:val="24"/>
          <w:szCs w:val="24"/>
        </w:rPr>
        <w:footnoteReference w:id="42"/>
      </w:r>
      <w:r>
        <w:rPr>
          <w:rFonts w:ascii="Times New Roman" w:hAnsi="Times New Roman" w:cs="Times New Roman"/>
          <w:sz w:val="24"/>
          <w:szCs w:val="24"/>
        </w:rPr>
        <w:t xml:space="preserve"> This group of researches often select an ICT industry to delve deeper into the practices </w:t>
      </w:r>
      <w:r w:rsidR="00B749BA">
        <w:rPr>
          <w:rFonts w:ascii="Times New Roman" w:hAnsi="Times New Roman" w:cs="Times New Roman"/>
          <w:sz w:val="24"/>
          <w:szCs w:val="24"/>
        </w:rPr>
        <w:t xml:space="preserve">of the industry stakeholders </w:t>
      </w:r>
      <w:r>
        <w:rPr>
          <w:rFonts w:ascii="Times New Roman" w:hAnsi="Times New Roman" w:cs="Times New Roman"/>
          <w:sz w:val="24"/>
          <w:szCs w:val="24"/>
        </w:rPr>
        <w:t xml:space="preserve">by which to investigate the market forces or </w:t>
      </w:r>
      <w:r w:rsidR="00B749BA">
        <w:rPr>
          <w:rFonts w:ascii="Times New Roman" w:hAnsi="Times New Roman" w:cs="Times New Roman"/>
          <w:sz w:val="24"/>
          <w:szCs w:val="24"/>
        </w:rPr>
        <w:t xml:space="preserve">self-regulatory measures e.g. </w:t>
      </w:r>
      <w:r>
        <w:rPr>
          <w:rFonts w:ascii="Times New Roman" w:hAnsi="Times New Roman" w:cs="Times New Roman"/>
          <w:sz w:val="24"/>
          <w:szCs w:val="24"/>
        </w:rPr>
        <w:t>code of conduct</w:t>
      </w:r>
      <w:r w:rsidR="00B749BA">
        <w:rPr>
          <w:rFonts w:ascii="Times New Roman" w:hAnsi="Times New Roman" w:cs="Times New Roman"/>
          <w:sz w:val="24"/>
          <w:szCs w:val="24"/>
        </w:rPr>
        <w:t>,</w:t>
      </w:r>
      <w:r>
        <w:rPr>
          <w:rFonts w:ascii="Times New Roman" w:hAnsi="Times New Roman" w:cs="Times New Roman"/>
          <w:sz w:val="24"/>
          <w:szCs w:val="24"/>
        </w:rPr>
        <w:t xml:space="preserve"> </w:t>
      </w:r>
      <w:r w:rsidR="00BE4C07">
        <w:rPr>
          <w:rFonts w:ascii="Times New Roman" w:hAnsi="Times New Roman" w:cs="Times New Roman"/>
          <w:sz w:val="24"/>
          <w:szCs w:val="24"/>
        </w:rPr>
        <w:t xml:space="preserve">often </w:t>
      </w:r>
      <w:r w:rsidR="00B749BA">
        <w:rPr>
          <w:rFonts w:ascii="Times New Roman" w:hAnsi="Times New Roman" w:cs="Times New Roman"/>
          <w:sz w:val="24"/>
          <w:szCs w:val="24"/>
        </w:rPr>
        <w:t>seeking</w:t>
      </w:r>
      <w:r>
        <w:rPr>
          <w:rFonts w:ascii="Times New Roman" w:hAnsi="Times New Roman" w:cs="Times New Roman"/>
          <w:sz w:val="24"/>
          <w:szCs w:val="24"/>
        </w:rPr>
        <w:t xml:space="preserve"> out whether any coercive rule is needed.</w:t>
      </w:r>
      <w:r w:rsidR="00E96087">
        <w:rPr>
          <w:rFonts w:ascii="Times New Roman" w:hAnsi="Times New Roman" w:cs="Times New Roman"/>
          <w:sz w:val="24"/>
          <w:szCs w:val="24"/>
        </w:rPr>
        <w:t xml:space="preserve"> This thesis benefited </w:t>
      </w:r>
      <w:r w:rsidR="00BE4C07">
        <w:rPr>
          <w:rFonts w:ascii="Times New Roman" w:hAnsi="Times New Roman" w:cs="Times New Roman"/>
          <w:sz w:val="24"/>
          <w:szCs w:val="24"/>
        </w:rPr>
        <w:t xml:space="preserve">also </w:t>
      </w:r>
      <w:r w:rsidR="00E96087">
        <w:rPr>
          <w:rFonts w:ascii="Times New Roman" w:hAnsi="Times New Roman" w:cs="Times New Roman"/>
          <w:sz w:val="24"/>
          <w:szCs w:val="24"/>
        </w:rPr>
        <w:t>from these group of research</w:t>
      </w:r>
      <w:r w:rsidR="00BE4C07">
        <w:rPr>
          <w:rFonts w:ascii="Times New Roman" w:hAnsi="Times New Roman" w:cs="Times New Roman"/>
          <w:sz w:val="24"/>
          <w:szCs w:val="24"/>
        </w:rPr>
        <w:t>es</w:t>
      </w:r>
      <w:r w:rsidR="00B749BA">
        <w:rPr>
          <w:rFonts w:ascii="Times New Roman" w:hAnsi="Times New Roman" w:cs="Times New Roman"/>
          <w:sz w:val="24"/>
          <w:szCs w:val="24"/>
        </w:rPr>
        <w:t xml:space="preserve"> and the relevant literature</w:t>
      </w:r>
      <w:r w:rsidR="00E96087">
        <w:rPr>
          <w:rFonts w:ascii="Times New Roman" w:hAnsi="Times New Roman" w:cs="Times New Roman"/>
          <w:sz w:val="24"/>
          <w:szCs w:val="24"/>
        </w:rPr>
        <w:t xml:space="preserve">, given the Chapter 7, which focuses on cloud and IoT interoperability. </w:t>
      </w:r>
      <w:r w:rsidR="00BE4C07">
        <w:rPr>
          <w:rFonts w:ascii="Times New Roman" w:hAnsi="Times New Roman" w:cs="Times New Roman"/>
          <w:sz w:val="24"/>
          <w:szCs w:val="24"/>
        </w:rPr>
        <w:t>O</w:t>
      </w:r>
      <w:r w:rsidR="00E96087">
        <w:rPr>
          <w:rFonts w:ascii="Times New Roman" w:hAnsi="Times New Roman" w:cs="Times New Roman"/>
          <w:sz w:val="24"/>
          <w:szCs w:val="24"/>
        </w:rPr>
        <w:t>n the other hand</w:t>
      </w:r>
      <w:r w:rsidR="00BE4C07">
        <w:rPr>
          <w:rFonts w:ascii="Times New Roman" w:hAnsi="Times New Roman" w:cs="Times New Roman"/>
          <w:sz w:val="24"/>
          <w:szCs w:val="24"/>
        </w:rPr>
        <w:t>, this study</w:t>
      </w:r>
      <w:r w:rsidR="00E96087">
        <w:rPr>
          <w:rFonts w:ascii="Times New Roman" w:hAnsi="Times New Roman" w:cs="Times New Roman"/>
          <w:sz w:val="24"/>
          <w:szCs w:val="24"/>
        </w:rPr>
        <w:t xml:space="preserve"> differs from these </w:t>
      </w:r>
      <w:r w:rsidR="00BE4C07">
        <w:rPr>
          <w:rFonts w:ascii="Times New Roman" w:hAnsi="Times New Roman" w:cs="Times New Roman"/>
          <w:sz w:val="24"/>
          <w:szCs w:val="24"/>
        </w:rPr>
        <w:t xml:space="preserve">previous </w:t>
      </w:r>
      <w:r w:rsidR="00E96087">
        <w:rPr>
          <w:rFonts w:ascii="Times New Roman" w:hAnsi="Times New Roman" w:cs="Times New Roman"/>
          <w:sz w:val="24"/>
          <w:szCs w:val="24"/>
        </w:rPr>
        <w:t xml:space="preserve">works by avoiding </w:t>
      </w:r>
      <w:r w:rsidR="001F329B">
        <w:rPr>
          <w:rFonts w:ascii="Times New Roman" w:hAnsi="Times New Roman" w:cs="Times New Roman"/>
          <w:sz w:val="24"/>
          <w:szCs w:val="24"/>
        </w:rPr>
        <w:t xml:space="preserve">a technologically oriented approach, although being inspired of the technological layers and their interaction. </w:t>
      </w:r>
      <w:r w:rsidR="00E96087">
        <w:rPr>
          <w:rFonts w:ascii="Times New Roman" w:hAnsi="Times New Roman" w:cs="Times New Roman"/>
          <w:sz w:val="24"/>
          <w:szCs w:val="24"/>
        </w:rPr>
        <w:t xml:space="preserve">While the </w:t>
      </w:r>
      <w:r w:rsidR="001F329B">
        <w:rPr>
          <w:rFonts w:ascii="Times New Roman" w:hAnsi="Times New Roman" w:cs="Times New Roman"/>
          <w:sz w:val="24"/>
          <w:szCs w:val="24"/>
        </w:rPr>
        <w:t xml:space="preserve">ICT </w:t>
      </w:r>
      <w:r w:rsidR="00E96087">
        <w:rPr>
          <w:rFonts w:ascii="Times New Roman" w:hAnsi="Times New Roman" w:cs="Times New Roman"/>
          <w:sz w:val="24"/>
          <w:szCs w:val="24"/>
        </w:rPr>
        <w:t xml:space="preserve">standards and protocols are discussed </w:t>
      </w:r>
      <w:r w:rsidR="001F329B">
        <w:rPr>
          <w:rFonts w:ascii="Times New Roman" w:hAnsi="Times New Roman" w:cs="Times New Roman"/>
          <w:sz w:val="24"/>
          <w:szCs w:val="24"/>
        </w:rPr>
        <w:t>across th</w:t>
      </w:r>
      <w:r w:rsidR="004978E8">
        <w:rPr>
          <w:rFonts w:ascii="Times New Roman" w:hAnsi="Times New Roman" w:cs="Times New Roman"/>
          <w:sz w:val="24"/>
          <w:szCs w:val="24"/>
        </w:rPr>
        <w:t>is</w:t>
      </w:r>
      <w:r w:rsidR="001F329B">
        <w:rPr>
          <w:rFonts w:ascii="Times New Roman" w:hAnsi="Times New Roman" w:cs="Times New Roman"/>
          <w:sz w:val="24"/>
          <w:szCs w:val="24"/>
        </w:rPr>
        <w:t xml:space="preserve"> research</w:t>
      </w:r>
      <w:r w:rsidR="00E96087">
        <w:rPr>
          <w:rFonts w:ascii="Times New Roman" w:hAnsi="Times New Roman" w:cs="Times New Roman"/>
          <w:sz w:val="24"/>
          <w:szCs w:val="24"/>
        </w:rPr>
        <w:t>,</w:t>
      </w:r>
      <w:r w:rsidR="001F329B">
        <w:rPr>
          <w:rFonts w:ascii="Times New Roman" w:hAnsi="Times New Roman" w:cs="Times New Roman"/>
          <w:sz w:val="24"/>
          <w:szCs w:val="24"/>
        </w:rPr>
        <w:t xml:space="preserve"> </w:t>
      </w:r>
      <w:r w:rsidR="00E96087">
        <w:rPr>
          <w:rFonts w:ascii="Times New Roman" w:hAnsi="Times New Roman" w:cs="Times New Roman"/>
          <w:sz w:val="24"/>
          <w:szCs w:val="24"/>
        </w:rPr>
        <w:t xml:space="preserve">they </w:t>
      </w:r>
      <w:r w:rsidR="00AC5004">
        <w:rPr>
          <w:rFonts w:ascii="Times New Roman" w:hAnsi="Times New Roman" w:cs="Times New Roman"/>
          <w:sz w:val="24"/>
          <w:szCs w:val="24"/>
        </w:rPr>
        <w:t>do</w:t>
      </w:r>
      <w:r w:rsidR="00E96087">
        <w:rPr>
          <w:rFonts w:ascii="Times New Roman" w:hAnsi="Times New Roman" w:cs="Times New Roman"/>
          <w:sz w:val="24"/>
          <w:szCs w:val="24"/>
        </w:rPr>
        <w:t xml:space="preserve"> not </w:t>
      </w:r>
      <w:r w:rsidR="00AC5004">
        <w:rPr>
          <w:rFonts w:ascii="Times New Roman" w:hAnsi="Times New Roman" w:cs="Times New Roman"/>
          <w:sz w:val="24"/>
          <w:szCs w:val="24"/>
        </w:rPr>
        <w:t>mean</w:t>
      </w:r>
      <w:r w:rsidR="00E96087">
        <w:rPr>
          <w:rFonts w:ascii="Times New Roman" w:hAnsi="Times New Roman" w:cs="Times New Roman"/>
          <w:sz w:val="24"/>
          <w:szCs w:val="24"/>
        </w:rPr>
        <w:t xml:space="preserve"> the core </w:t>
      </w:r>
      <w:r w:rsidR="00C9567A">
        <w:rPr>
          <w:rFonts w:ascii="Times New Roman" w:hAnsi="Times New Roman" w:cs="Times New Roman"/>
          <w:sz w:val="24"/>
          <w:szCs w:val="24"/>
        </w:rPr>
        <w:t xml:space="preserve">activity of </w:t>
      </w:r>
      <w:r w:rsidR="00E96087">
        <w:rPr>
          <w:rFonts w:ascii="Times New Roman" w:hAnsi="Times New Roman" w:cs="Times New Roman"/>
          <w:sz w:val="24"/>
          <w:szCs w:val="24"/>
        </w:rPr>
        <w:t>research</w:t>
      </w:r>
      <w:r w:rsidR="00AC5004">
        <w:rPr>
          <w:rFonts w:ascii="Times New Roman" w:hAnsi="Times New Roman" w:cs="Times New Roman"/>
          <w:sz w:val="24"/>
          <w:szCs w:val="24"/>
        </w:rPr>
        <w:t xml:space="preserve"> </w:t>
      </w:r>
      <w:r w:rsidR="00C9567A">
        <w:rPr>
          <w:rFonts w:ascii="Times New Roman" w:hAnsi="Times New Roman" w:cs="Times New Roman"/>
          <w:sz w:val="24"/>
          <w:szCs w:val="24"/>
        </w:rPr>
        <w:t xml:space="preserve">in view of </w:t>
      </w:r>
      <w:r w:rsidR="00AC5004">
        <w:rPr>
          <w:rFonts w:ascii="Times New Roman" w:hAnsi="Times New Roman" w:cs="Times New Roman"/>
          <w:sz w:val="24"/>
          <w:szCs w:val="24"/>
        </w:rPr>
        <w:t xml:space="preserve">the </w:t>
      </w:r>
      <w:bookmarkStart w:id="103" w:name="_Hlk53562071"/>
      <w:r w:rsidR="00D27FDA">
        <w:rPr>
          <w:rFonts w:ascii="Times New Roman" w:hAnsi="Times New Roman" w:cs="Times New Roman"/>
          <w:sz w:val="24"/>
          <w:szCs w:val="24"/>
        </w:rPr>
        <w:t>scope and purpose of the</w:t>
      </w:r>
      <w:bookmarkEnd w:id="103"/>
      <w:r w:rsidR="00D27FDA">
        <w:rPr>
          <w:rFonts w:ascii="Times New Roman" w:hAnsi="Times New Roman" w:cs="Times New Roman"/>
          <w:sz w:val="24"/>
          <w:szCs w:val="24"/>
        </w:rPr>
        <w:t xml:space="preserve"> </w:t>
      </w:r>
      <w:r w:rsidR="00AC5004">
        <w:rPr>
          <w:rFonts w:ascii="Times New Roman" w:hAnsi="Times New Roman" w:cs="Times New Roman"/>
          <w:sz w:val="24"/>
          <w:szCs w:val="24"/>
        </w:rPr>
        <w:t xml:space="preserve">case studies based on the cloud and IoT interoperability. </w:t>
      </w:r>
    </w:p>
    <w:p w14:paraId="618F794E" w14:textId="1C16C746" w:rsidR="009323CF" w:rsidRDefault="00C920FB">
      <w:pPr>
        <w:spacing w:before="360"/>
        <w:jc w:val="both"/>
        <w:rPr>
          <w:rFonts w:ascii="Times New Roman" w:hAnsi="Times New Roman" w:cs="Times New Roman"/>
          <w:sz w:val="24"/>
          <w:szCs w:val="24"/>
        </w:rPr>
      </w:pPr>
      <w:r>
        <w:rPr>
          <w:rFonts w:ascii="Times New Roman" w:hAnsi="Times New Roman" w:cs="Times New Roman"/>
          <w:sz w:val="24"/>
          <w:szCs w:val="24"/>
        </w:rPr>
        <w:t>While interacting with</w:t>
      </w:r>
      <w:r w:rsidR="0057387C" w:rsidRPr="00774EDB">
        <w:rPr>
          <w:rFonts w:ascii="Times New Roman" w:hAnsi="Times New Roman" w:cs="Times New Roman"/>
          <w:sz w:val="24"/>
          <w:szCs w:val="24"/>
        </w:rPr>
        <w:t xml:space="preserve"> the</w:t>
      </w:r>
      <w:r w:rsidR="00AC5004">
        <w:rPr>
          <w:rFonts w:ascii="Times New Roman" w:hAnsi="Times New Roman" w:cs="Times New Roman"/>
          <w:sz w:val="24"/>
          <w:szCs w:val="24"/>
        </w:rPr>
        <w:t xml:space="preserve"> given research strands</w:t>
      </w:r>
      <w:r w:rsidR="0057387C" w:rsidRPr="00774EDB">
        <w:rPr>
          <w:rFonts w:ascii="Times New Roman" w:hAnsi="Times New Roman" w:cs="Times New Roman"/>
          <w:i/>
          <w:sz w:val="24"/>
          <w:szCs w:val="24"/>
        </w:rPr>
        <w:t>,</w:t>
      </w:r>
      <w:r w:rsidR="0057387C" w:rsidRPr="00774EDB">
        <w:rPr>
          <w:rFonts w:ascii="Times New Roman" w:hAnsi="Times New Roman" w:cs="Times New Roman"/>
          <w:sz w:val="24"/>
          <w:szCs w:val="24"/>
        </w:rPr>
        <w:t xml:space="preserve"> </w:t>
      </w:r>
      <w:r>
        <w:rPr>
          <w:rFonts w:ascii="Times New Roman" w:hAnsi="Times New Roman" w:cs="Times New Roman"/>
          <w:sz w:val="24"/>
          <w:szCs w:val="24"/>
        </w:rPr>
        <w:t xml:space="preserve">this study broadens the horizon and proposes a </w:t>
      </w:r>
      <w:r w:rsidRPr="00BD5871">
        <w:rPr>
          <w:rFonts w:ascii="Times New Roman" w:hAnsi="Times New Roman" w:cs="Times New Roman"/>
          <w:sz w:val="24"/>
          <w:szCs w:val="24"/>
        </w:rPr>
        <w:t xml:space="preserve">regulatory model </w:t>
      </w:r>
      <w:r>
        <w:rPr>
          <w:rFonts w:ascii="Times New Roman" w:hAnsi="Times New Roman" w:cs="Times New Roman"/>
          <w:sz w:val="24"/>
          <w:szCs w:val="24"/>
        </w:rPr>
        <w:t xml:space="preserve">that </w:t>
      </w:r>
      <w:r w:rsidRPr="00BD5871">
        <w:rPr>
          <w:rFonts w:ascii="Times New Roman" w:hAnsi="Times New Roman" w:cs="Times New Roman"/>
          <w:sz w:val="24"/>
          <w:szCs w:val="24"/>
        </w:rPr>
        <w:t xml:space="preserve">would </w:t>
      </w:r>
      <w:r>
        <w:rPr>
          <w:rFonts w:ascii="Times New Roman" w:hAnsi="Times New Roman" w:cs="Times New Roman"/>
          <w:sz w:val="24"/>
          <w:szCs w:val="24"/>
        </w:rPr>
        <w:t xml:space="preserve">widely </w:t>
      </w:r>
      <w:r w:rsidRPr="00BD5871">
        <w:rPr>
          <w:rFonts w:ascii="Times New Roman" w:hAnsi="Times New Roman" w:cs="Times New Roman"/>
          <w:sz w:val="24"/>
          <w:szCs w:val="24"/>
        </w:rPr>
        <w:t>respond to the interoperability-based needs and concerns</w:t>
      </w:r>
      <w:r>
        <w:rPr>
          <w:rFonts w:ascii="Times New Roman" w:hAnsi="Times New Roman" w:cs="Times New Roman"/>
          <w:sz w:val="24"/>
          <w:szCs w:val="24"/>
        </w:rPr>
        <w:t xml:space="preserve">. </w:t>
      </w:r>
      <w:r w:rsidR="00C9567A" w:rsidRPr="00BD5871">
        <w:rPr>
          <w:rFonts w:ascii="Times New Roman" w:hAnsi="Times New Roman" w:cs="Times New Roman"/>
          <w:sz w:val="24"/>
          <w:szCs w:val="24"/>
        </w:rPr>
        <w:t xml:space="preserve">It is </w:t>
      </w:r>
      <w:r>
        <w:rPr>
          <w:rFonts w:ascii="Times New Roman" w:hAnsi="Times New Roman" w:cs="Times New Roman"/>
          <w:sz w:val="24"/>
          <w:szCs w:val="24"/>
        </w:rPr>
        <w:t xml:space="preserve">the </w:t>
      </w:r>
      <w:r w:rsidR="00C9567A" w:rsidRPr="00BD5871">
        <w:rPr>
          <w:rFonts w:ascii="Times New Roman" w:hAnsi="Times New Roman" w:cs="Times New Roman"/>
          <w:sz w:val="24"/>
          <w:szCs w:val="24"/>
        </w:rPr>
        <w:t xml:space="preserve">concluded that, as opposed to the insufficient, partial and </w:t>
      </w:r>
      <w:r w:rsidR="00C9567A" w:rsidRPr="00BD5871">
        <w:rPr>
          <w:rFonts w:ascii="Times New Roman" w:hAnsi="Times New Roman" w:cs="Times New Roman"/>
          <w:sz w:val="24"/>
          <w:szCs w:val="24"/>
        </w:rPr>
        <w:lastRenderedPageBreak/>
        <w:t>limited solutions derived from the EU legal framework</w:t>
      </w:r>
      <w:r>
        <w:rPr>
          <w:rFonts w:ascii="Times New Roman" w:hAnsi="Times New Roman" w:cs="Times New Roman"/>
          <w:sz w:val="24"/>
          <w:szCs w:val="24"/>
        </w:rPr>
        <w:t xml:space="preserve"> as well as those of the industrial practices</w:t>
      </w:r>
      <w:r w:rsidR="00C9567A" w:rsidRPr="00BD5871">
        <w:rPr>
          <w:rFonts w:ascii="Times New Roman" w:hAnsi="Times New Roman" w:cs="Times New Roman"/>
          <w:sz w:val="24"/>
          <w:szCs w:val="24"/>
        </w:rPr>
        <w:t xml:space="preserve">, a holistic and multi-layered </w:t>
      </w:r>
      <w:r>
        <w:rPr>
          <w:rFonts w:ascii="Times New Roman" w:hAnsi="Times New Roman" w:cs="Times New Roman"/>
          <w:sz w:val="24"/>
          <w:szCs w:val="24"/>
        </w:rPr>
        <w:t xml:space="preserve">framework needs to be embedded into the proposed model. Thereby, </w:t>
      </w:r>
      <w:r w:rsidR="0057387C" w:rsidRPr="00774EDB">
        <w:rPr>
          <w:rFonts w:ascii="Times New Roman" w:hAnsi="Times New Roman" w:cs="Times New Roman"/>
          <w:sz w:val="24"/>
          <w:szCs w:val="24"/>
        </w:rPr>
        <w:t xml:space="preserve">the </w:t>
      </w:r>
      <w:r w:rsidR="009323CF">
        <w:rPr>
          <w:rFonts w:ascii="Times New Roman" w:hAnsi="Times New Roman" w:cs="Times New Roman"/>
          <w:sz w:val="24"/>
          <w:szCs w:val="24"/>
        </w:rPr>
        <w:t xml:space="preserve">proposed </w:t>
      </w:r>
      <w:r w:rsidR="0057387C" w:rsidRPr="00774EDB">
        <w:rPr>
          <w:rFonts w:ascii="Times New Roman" w:hAnsi="Times New Roman" w:cs="Times New Roman"/>
          <w:sz w:val="24"/>
          <w:szCs w:val="24"/>
        </w:rPr>
        <w:t xml:space="preserve">‘layered regulatory model’ has </w:t>
      </w:r>
      <w:r>
        <w:rPr>
          <w:rFonts w:ascii="Times New Roman" w:hAnsi="Times New Roman" w:cs="Times New Roman"/>
          <w:sz w:val="24"/>
          <w:szCs w:val="24"/>
        </w:rPr>
        <w:t xml:space="preserve">been devised to have </w:t>
      </w:r>
      <w:r w:rsidR="0057387C" w:rsidRPr="00774EDB">
        <w:rPr>
          <w:rFonts w:ascii="Times New Roman" w:hAnsi="Times New Roman" w:cs="Times New Roman"/>
          <w:sz w:val="24"/>
          <w:szCs w:val="24"/>
        </w:rPr>
        <w:t>a dynamic nature and functioning</w:t>
      </w:r>
      <w:r w:rsidR="00AC5004">
        <w:rPr>
          <w:rFonts w:ascii="Times New Roman" w:hAnsi="Times New Roman" w:cs="Times New Roman"/>
          <w:sz w:val="24"/>
          <w:szCs w:val="24"/>
        </w:rPr>
        <w:t xml:space="preserve"> </w:t>
      </w:r>
      <w:r w:rsidR="00AC5004" w:rsidRPr="00774EDB">
        <w:rPr>
          <w:rFonts w:ascii="Times New Roman" w:hAnsi="Times New Roman" w:cs="Times New Roman"/>
          <w:sz w:val="24"/>
          <w:szCs w:val="24"/>
        </w:rPr>
        <w:t xml:space="preserve">for the </w:t>
      </w:r>
      <w:r w:rsidR="00AC5004">
        <w:rPr>
          <w:rFonts w:ascii="Times New Roman" w:hAnsi="Times New Roman" w:cs="Times New Roman"/>
          <w:sz w:val="24"/>
          <w:szCs w:val="24"/>
        </w:rPr>
        <w:t>‘</w:t>
      </w:r>
      <w:r w:rsidR="00AC5004" w:rsidRPr="00774EDB">
        <w:rPr>
          <w:rFonts w:ascii="Times New Roman" w:hAnsi="Times New Roman" w:cs="Times New Roman"/>
          <w:sz w:val="24"/>
          <w:szCs w:val="24"/>
        </w:rPr>
        <w:t>layered</w:t>
      </w:r>
      <w:r w:rsidR="00AC5004">
        <w:rPr>
          <w:rFonts w:ascii="Times New Roman" w:hAnsi="Times New Roman" w:cs="Times New Roman"/>
          <w:sz w:val="24"/>
          <w:szCs w:val="24"/>
        </w:rPr>
        <w:t>’</w:t>
      </w:r>
      <w:r w:rsidR="00AC5004" w:rsidRPr="00774EDB">
        <w:rPr>
          <w:rFonts w:ascii="Times New Roman" w:hAnsi="Times New Roman" w:cs="Times New Roman"/>
          <w:sz w:val="24"/>
          <w:szCs w:val="24"/>
        </w:rPr>
        <w:t xml:space="preserve"> structure </w:t>
      </w:r>
      <w:r>
        <w:rPr>
          <w:rFonts w:ascii="Times New Roman" w:hAnsi="Times New Roman" w:cs="Times New Roman"/>
          <w:sz w:val="24"/>
          <w:szCs w:val="24"/>
        </w:rPr>
        <w:t>that is capable to embody and address</w:t>
      </w:r>
      <w:r w:rsidR="00AC5004" w:rsidRPr="00774EDB">
        <w:rPr>
          <w:rFonts w:ascii="Times New Roman" w:hAnsi="Times New Roman" w:cs="Times New Roman"/>
          <w:sz w:val="24"/>
          <w:szCs w:val="24"/>
        </w:rPr>
        <w:t xml:space="preserve"> </w:t>
      </w:r>
      <w:r>
        <w:rPr>
          <w:rFonts w:ascii="Times New Roman" w:hAnsi="Times New Roman" w:cs="Times New Roman"/>
          <w:sz w:val="24"/>
          <w:szCs w:val="24"/>
        </w:rPr>
        <w:t>the so called</w:t>
      </w:r>
      <w:r w:rsidR="00AC5004" w:rsidRPr="00774EDB">
        <w:rPr>
          <w:rFonts w:ascii="Times New Roman" w:hAnsi="Times New Roman" w:cs="Times New Roman"/>
          <w:sz w:val="24"/>
          <w:szCs w:val="24"/>
        </w:rPr>
        <w:t xml:space="preserve"> </w:t>
      </w:r>
      <w:r w:rsidR="00AC5004">
        <w:rPr>
          <w:rFonts w:ascii="Times New Roman" w:hAnsi="Times New Roman" w:cs="Times New Roman"/>
          <w:sz w:val="24"/>
          <w:szCs w:val="24"/>
        </w:rPr>
        <w:t>‘</w:t>
      </w:r>
      <w:r w:rsidR="00AC5004" w:rsidRPr="00774EDB">
        <w:rPr>
          <w:rFonts w:ascii="Times New Roman" w:hAnsi="Times New Roman" w:cs="Times New Roman"/>
          <w:sz w:val="24"/>
          <w:szCs w:val="24"/>
        </w:rPr>
        <w:t>gatekeeping</w:t>
      </w:r>
      <w:r w:rsidR="00AC5004">
        <w:rPr>
          <w:rFonts w:ascii="Times New Roman" w:hAnsi="Times New Roman" w:cs="Times New Roman"/>
          <w:sz w:val="24"/>
          <w:szCs w:val="24"/>
        </w:rPr>
        <w:t>’</w:t>
      </w:r>
      <w:r w:rsidR="00AC5004" w:rsidRPr="00774EDB">
        <w:rPr>
          <w:rFonts w:ascii="Times New Roman" w:hAnsi="Times New Roman" w:cs="Times New Roman"/>
          <w:sz w:val="24"/>
          <w:szCs w:val="24"/>
        </w:rPr>
        <w:t xml:space="preserve"> </w:t>
      </w:r>
      <w:r>
        <w:rPr>
          <w:rFonts w:ascii="Times New Roman" w:hAnsi="Times New Roman" w:cs="Times New Roman"/>
          <w:sz w:val="24"/>
          <w:szCs w:val="24"/>
        </w:rPr>
        <w:t>activities</w:t>
      </w:r>
      <w:r w:rsidR="0057387C" w:rsidRPr="00774EDB">
        <w:rPr>
          <w:rFonts w:ascii="Times New Roman" w:hAnsi="Times New Roman" w:cs="Times New Roman"/>
          <w:sz w:val="24"/>
          <w:szCs w:val="24"/>
        </w:rPr>
        <w:t xml:space="preserve">. Commencing with </w:t>
      </w:r>
      <w:r w:rsidR="00E37387" w:rsidRPr="00774EDB">
        <w:rPr>
          <w:rFonts w:ascii="Times New Roman" w:hAnsi="Times New Roman" w:cs="Times New Roman"/>
          <w:sz w:val="24"/>
          <w:szCs w:val="24"/>
        </w:rPr>
        <w:t>a set of</w:t>
      </w:r>
      <w:r w:rsidR="0057387C" w:rsidRPr="00774EDB">
        <w:rPr>
          <w:rFonts w:ascii="Times New Roman" w:hAnsi="Times New Roman" w:cs="Times New Roman"/>
          <w:sz w:val="24"/>
          <w:szCs w:val="24"/>
        </w:rPr>
        <w:t xml:space="preserve"> principles and leaving </w:t>
      </w:r>
      <w:r w:rsidR="0094351C">
        <w:rPr>
          <w:rFonts w:ascii="Times New Roman" w:hAnsi="Times New Roman" w:cs="Times New Roman"/>
          <w:sz w:val="24"/>
          <w:szCs w:val="24"/>
        </w:rPr>
        <w:t>the</w:t>
      </w:r>
      <w:r w:rsidR="0056489B">
        <w:rPr>
          <w:rFonts w:ascii="Times New Roman" w:hAnsi="Times New Roman" w:cs="Times New Roman"/>
          <w:sz w:val="24"/>
          <w:szCs w:val="24"/>
        </w:rPr>
        <w:t xml:space="preserve"> </w:t>
      </w:r>
      <w:r w:rsidR="004A5082">
        <w:rPr>
          <w:rFonts w:ascii="Times New Roman" w:hAnsi="Times New Roman" w:cs="Times New Roman"/>
          <w:sz w:val="24"/>
          <w:szCs w:val="24"/>
        </w:rPr>
        <w:t xml:space="preserve">corresponding remedies </w:t>
      </w:r>
      <w:r w:rsidR="0094351C">
        <w:rPr>
          <w:rFonts w:ascii="Times New Roman" w:hAnsi="Times New Roman" w:cs="Times New Roman"/>
          <w:sz w:val="24"/>
          <w:szCs w:val="24"/>
        </w:rPr>
        <w:t xml:space="preserve">to </w:t>
      </w:r>
      <w:r>
        <w:rPr>
          <w:rFonts w:ascii="Times New Roman" w:hAnsi="Times New Roman" w:cs="Times New Roman"/>
          <w:sz w:val="24"/>
          <w:szCs w:val="24"/>
        </w:rPr>
        <w:t>the</w:t>
      </w:r>
      <w:r w:rsidR="0094351C">
        <w:rPr>
          <w:rFonts w:ascii="Times New Roman" w:hAnsi="Times New Roman" w:cs="Times New Roman"/>
          <w:sz w:val="24"/>
          <w:szCs w:val="24"/>
        </w:rPr>
        <w:t xml:space="preserve"> overall implementation </w:t>
      </w:r>
      <w:r w:rsidR="00C7373A">
        <w:rPr>
          <w:rFonts w:ascii="Times New Roman" w:hAnsi="Times New Roman" w:cs="Times New Roman"/>
          <w:sz w:val="24"/>
          <w:szCs w:val="24"/>
        </w:rPr>
        <w:t>process</w:t>
      </w:r>
      <w:r w:rsidR="0057387C" w:rsidRPr="00774EDB">
        <w:rPr>
          <w:rFonts w:ascii="Times New Roman" w:hAnsi="Times New Roman" w:cs="Times New Roman"/>
          <w:sz w:val="24"/>
          <w:szCs w:val="24"/>
        </w:rPr>
        <w:t>, the model opts for a bottom-up approach, instead of imposing top-down and form-based rules.</w:t>
      </w:r>
      <w:r w:rsidR="009323CF">
        <w:rPr>
          <w:rFonts w:ascii="Times New Roman" w:hAnsi="Times New Roman" w:cs="Times New Roman"/>
          <w:sz w:val="24"/>
          <w:szCs w:val="24"/>
        </w:rPr>
        <w:t xml:space="preserve"> </w:t>
      </w:r>
      <w:r w:rsidR="00B1335F">
        <w:rPr>
          <w:rFonts w:ascii="Times New Roman" w:hAnsi="Times New Roman" w:cs="Times New Roman"/>
          <w:sz w:val="24"/>
          <w:szCs w:val="24"/>
        </w:rPr>
        <w:t>Furthermore</w:t>
      </w:r>
      <w:r w:rsidR="0057387C" w:rsidRPr="00774EDB">
        <w:rPr>
          <w:rFonts w:ascii="Times New Roman" w:hAnsi="Times New Roman" w:cs="Times New Roman"/>
          <w:sz w:val="24"/>
          <w:szCs w:val="24"/>
        </w:rPr>
        <w:t xml:space="preserve">, involvement of all the stakeholders in the regulatory process is </w:t>
      </w:r>
      <w:r w:rsidR="000D4096">
        <w:rPr>
          <w:rFonts w:ascii="Times New Roman" w:hAnsi="Times New Roman" w:cs="Times New Roman"/>
          <w:sz w:val="24"/>
          <w:szCs w:val="24"/>
        </w:rPr>
        <w:t>emphasized</w:t>
      </w:r>
      <w:r w:rsidR="0057387C" w:rsidRPr="00774EDB">
        <w:rPr>
          <w:rFonts w:ascii="Times New Roman" w:hAnsi="Times New Roman" w:cs="Times New Roman"/>
          <w:sz w:val="24"/>
          <w:szCs w:val="24"/>
        </w:rPr>
        <w:t xml:space="preserve"> so as to filter and sort out the interoperability-based </w:t>
      </w:r>
      <w:r>
        <w:rPr>
          <w:rFonts w:ascii="Times New Roman" w:hAnsi="Times New Roman" w:cs="Times New Roman"/>
          <w:sz w:val="24"/>
          <w:szCs w:val="24"/>
        </w:rPr>
        <w:t xml:space="preserve">concerns </w:t>
      </w:r>
      <w:r w:rsidR="0057387C" w:rsidRPr="00774EDB">
        <w:rPr>
          <w:rFonts w:ascii="Times New Roman" w:hAnsi="Times New Roman" w:cs="Times New Roman"/>
          <w:sz w:val="24"/>
          <w:szCs w:val="24"/>
        </w:rPr>
        <w:t>and accompanying</w:t>
      </w:r>
      <w:r>
        <w:rPr>
          <w:rFonts w:ascii="Times New Roman" w:hAnsi="Times New Roman" w:cs="Times New Roman"/>
          <w:sz w:val="24"/>
          <w:szCs w:val="24"/>
        </w:rPr>
        <w:t xml:space="preserve"> gatekeeping</w:t>
      </w:r>
      <w:r w:rsidR="0057387C" w:rsidRPr="00774EDB">
        <w:rPr>
          <w:rFonts w:ascii="Times New Roman" w:hAnsi="Times New Roman" w:cs="Times New Roman"/>
          <w:sz w:val="24"/>
          <w:szCs w:val="24"/>
        </w:rPr>
        <w:t xml:space="preserve"> problems, which all are intended to be captured by the </w:t>
      </w:r>
      <w:r w:rsidR="000D4096">
        <w:rPr>
          <w:rFonts w:ascii="Times New Roman" w:hAnsi="Times New Roman" w:cs="Times New Roman"/>
          <w:sz w:val="24"/>
          <w:szCs w:val="24"/>
        </w:rPr>
        <w:t>propos</w:t>
      </w:r>
      <w:r w:rsidR="0057387C" w:rsidRPr="00774EDB">
        <w:rPr>
          <w:rFonts w:ascii="Times New Roman" w:hAnsi="Times New Roman" w:cs="Times New Roman"/>
          <w:sz w:val="24"/>
          <w:szCs w:val="24"/>
        </w:rPr>
        <w:t>ed model.</w:t>
      </w:r>
    </w:p>
    <w:p w14:paraId="6169AF8B" w14:textId="1BB4A2F8" w:rsidR="00981B22" w:rsidRDefault="009323CF">
      <w:pPr>
        <w:spacing w:before="360"/>
        <w:jc w:val="both"/>
        <w:rPr>
          <w:rFonts w:ascii="Times New Roman" w:hAnsi="Times New Roman" w:cs="Times New Roman"/>
          <w:sz w:val="24"/>
          <w:szCs w:val="24"/>
        </w:rPr>
      </w:pPr>
      <w:r>
        <w:rPr>
          <w:rFonts w:ascii="Times New Roman" w:hAnsi="Times New Roman" w:cs="Times New Roman"/>
          <w:sz w:val="24"/>
          <w:szCs w:val="24"/>
        </w:rPr>
        <w:t>Against this background, the contribution to knowledge brought by this thesis entails two ma</w:t>
      </w:r>
      <w:r w:rsidR="00526086">
        <w:rPr>
          <w:rFonts w:ascii="Times New Roman" w:hAnsi="Times New Roman" w:cs="Times New Roman"/>
          <w:sz w:val="24"/>
          <w:szCs w:val="24"/>
        </w:rPr>
        <w:t>in</w:t>
      </w:r>
      <w:r>
        <w:rPr>
          <w:rFonts w:ascii="Times New Roman" w:hAnsi="Times New Roman" w:cs="Times New Roman"/>
          <w:sz w:val="24"/>
          <w:szCs w:val="24"/>
        </w:rPr>
        <w:t xml:space="preserve"> elements. Firstly, </w:t>
      </w:r>
      <w:r w:rsidR="006A0410">
        <w:rPr>
          <w:rFonts w:ascii="Times New Roman" w:hAnsi="Times New Roman" w:cs="Times New Roman"/>
          <w:sz w:val="24"/>
          <w:szCs w:val="24"/>
        </w:rPr>
        <w:t xml:space="preserve">it is proposed that </w:t>
      </w:r>
      <w:r w:rsidR="003A6BE7">
        <w:rPr>
          <w:rFonts w:ascii="Times New Roman" w:hAnsi="Times New Roman" w:cs="Times New Roman"/>
          <w:sz w:val="24"/>
          <w:szCs w:val="24"/>
        </w:rPr>
        <w:t>all the ICT layers and activities are treated in a homogenous and holistic manner through ‘</w:t>
      </w:r>
      <w:r>
        <w:rPr>
          <w:rFonts w:ascii="Times New Roman" w:hAnsi="Times New Roman" w:cs="Times New Roman"/>
          <w:sz w:val="24"/>
          <w:szCs w:val="24"/>
        </w:rPr>
        <w:t xml:space="preserve">layered </w:t>
      </w:r>
      <w:r w:rsidR="00253B32">
        <w:rPr>
          <w:rFonts w:ascii="Times New Roman" w:hAnsi="Times New Roman" w:cs="Times New Roman"/>
          <w:sz w:val="24"/>
          <w:szCs w:val="24"/>
        </w:rPr>
        <w:t xml:space="preserve">regulatory </w:t>
      </w:r>
      <w:r>
        <w:rPr>
          <w:rFonts w:ascii="Times New Roman" w:hAnsi="Times New Roman" w:cs="Times New Roman"/>
          <w:sz w:val="24"/>
          <w:szCs w:val="24"/>
        </w:rPr>
        <w:t>model</w:t>
      </w:r>
      <w:r w:rsidR="003A6BE7">
        <w:rPr>
          <w:rFonts w:ascii="Times New Roman" w:hAnsi="Times New Roman" w:cs="Times New Roman"/>
          <w:sz w:val="24"/>
          <w:szCs w:val="24"/>
        </w:rPr>
        <w:t>’ proposed</w:t>
      </w:r>
      <w:r w:rsidR="00F40D0C">
        <w:rPr>
          <w:rFonts w:ascii="Times New Roman" w:hAnsi="Times New Roman" w:cs="Times New Roman"/>
          <w:sz w:val="24"/>
          <w:szCs w:val="24"/>
        </w:rPr>
        <w:t xml:space="preserve"> </w:t>
      </w:r>
      <w:r w:rsidR="003A6BE7">
        <w:rPr>
          <w:rFonts w:ascii="Times New Roman" w:hAnsi="Times New Roman" w:cs="Times New Roman"/>
          <w:sz w:val="24"/>
          <w:szCs w:val="24"/>
        </w:rPr>
        <w:t>at the end of this study</w:t>
      </w:r>
      <w:r w:rsidR="00B22933">
        <w:rPr>
          <w:rFonts w:ascii="Times New Roman" w:hAnsi="Times New Roman" w:cs="Times New Roman"/>
          <w:sz w:val="24"/>
          <w:szCs w:val="24"/>
        </w:rPr>
        <w:t xml:space="preserve">. </w:t>
      </w:r>
      <w:r>
        <w:rPr>
          <w:rFonts w:ascii="Times New Roman" w:hAnsi="Times New Roman" w:cs="Times New Roman"/>
          <w:sz w:val="24"/>
          <w:szCs w:val="24"/>
        </w:rPr>
        <w:t>Secondly, the proposed model</w:t>
      </w:r>
      <w:r w:rsidR="00526086">
        <w:rPr>
          <w:rFonts w:ascii="Times New Roman" w:hAnsi="Times New Roman" w:cs="Times New Roman"/>
          <w:sz w:val="24"/>
          <w:szCs w:val="24"/>
        </w:rPr>
        <w:t xml:space="preserve"> builds on the so</w:t>
      </w:r>
      <w:r w:rsidR="00F40D0C">
        <w:rPr>
          <w:rFonts w:ascii="Times New Roman" w:hAnsi="Times New Roman" w:cs="Times New Roman"/>
          <w:sz w:val="24"/>
          <w:szCs w:val="24"/>
        </w:rPr>
        <w:t xml:space="preserve"> </w:t>
      </w:r>
      <w:r w:rsidR="00526086">
        <w:rPr>
          <w:rFonts w:ascii="Times New Roman" w:hAnsi="Times New Roman" w:cs="Times New Roman"/>
          <w:sz w:val="24"/>
          <w:szCs w:val="24"/>
        </w:rPr>
        <w:t xml:space="preserve">called </w:t>
      </w:r>
      <w:r w:rsidR="00506D02">
        <w:rPr>
          <w:rFonts w:ascii="Times New Roman" w:hAnsi="Times New Roman" w:cs="Times New Roman"/>
          <w:sz w:val="24"/>
          <w:szCs w:val="24"/>
        </w:rPr>
        <w:t>‘</w:t>
      </w:r>
      <w:r w:rsidR="00526086">
        <w:rPr>
          <w:rFonts w:ascii="Times New Roman" w:hAnsi="Times New Roman" w:cs="Times New Roman"/>
          <w:sz w:val="24"/>
          <w:szCs w:val="24"/>
        </w:rPr>
        <w:t>gatekeeping</w:t>
      </w:r>
      <w:r w:rsidR="00506D02">
        <w:rPr>
          <w:rFonts w:ascii="Times New Roman" w:hAnsi="Times New Roman" w:cs="Times New Roman"/>
          <w:sz w:val="24"/>
          <w:szCs w:val="24"/>
        </w:rPr>
        <w:t>’</w:t>
      </w:r>
      <w:r w:rsidR="00526086">
        <w:rPr>
          <w:rFonts w:ascii="Times New Roman" w:hAnsi="Times New Roman" w:cs="Times New Roman"/>
          <w:sz w:val="24"/>
          <w:szCs w:val="24"/>
        </w:rPr>
        <w:t xml:space="preserve"> </w:t>
      </w:r>
      <w:r w:rsidR="00506D02">
        <w:rPr>
          <w:rFonts w:ascii="Times New Roman" w:hAnsi="Times New Roman" w:cs="Times New Roman"/>
          <w:sz w:val="24"/>
          <w:szCs w:val="24"/>
        </w:rPr>
        <w:t>concept</w:t>
      </w:r>
      <w:r w:rsidR="00526086">
        <w:rPr>
          <w:rFonts w:ascii="Times New Roman" w:hAnsi="Times New Roman" w:cs="Times New Roman"/>
          <w:sz w:val="24"/>
          <w:szCs w:val="24"/>
        </w:rPr>
        <w:t xml:space="preserve">, which </w:t>
      </w:r>
      <w:r w:rsidR="00506D02">
        <w:rPr>
          <w:rFonts w:ascii="Times New Roman" w:hAnsi="Times New Roman" w:cs="Times New Roman"/>
          <w:sz w:val="24"/>
          <w:szCs w:val="24"/>
        </w:rPr>
        <w:t>is</w:t>
      </w:r>
      <w:r w:rsidR="00526086">
        <w:rPr>
          <w:rFonts w:ascii="Times New Roman" w:hAnsi="Times New Roman" w:cs="Times New Roman"/>
          <w:sz w:val="24"/>
          <w:szCs w:val="24"/>
        </w:rPr>
        <w:t xml:space="preserve"> revitalised in this study</w:t>
      </w:r>
      <w:r w:rsidR="00981B22">
        <w:rPr>
          <w:rFonts w:ascii="Times New Roman" w:hAnsi="Times New Roman" w:cs="Times New Roman"/>
          <w:sz w:val="24"/>
          <w:szCs w:val="24"/>
        </w:rPr>
        <w:t xml:space="preserve">, creating a new horizon for </w:t>
      </w:r>
      <w:r w:rsidR="00B22933">
        <w:rPr>
          <w:rFonts w:ascii="Times New Roman" w:hAnsi="Times New Roman" w:cs="Times New Roman"/>
          <w:sz w:val="24"/>
          <w:szCs w:val="24"/>
        </w:rPr>
        <w:t xml:space="preserve">ex ante </w:t>
      </w:r>
      <w:r w:rsidR="00981B22">
        <w:rPr>
          <w:rFonts w:ascii="Times New Roman" w:hAnsi="Times New Roman" w:cs="Times New Roman"/>
          <w:sz w:val="24"/>
          <w:szCs w:val="24"/>
        </w:rPr>
        <w:t>regulation</w:t>
      </w:r>
      <w:r w:rsidR="00F40D0C">
        <w:rPr>
          <w:rFonts w:ascii="Times New Roman" w:hAnsi="Times New Roman" w:cs="Times New Roman"/>
          <w:sz w:val="24"/>
          <w:szCs w:val="24"/>
        </w:rPr>
        <w:t xml:space="preserve"> of </w:t>
      </w:r>
      <w:r w:rsidR="00A02B83">
        <w:rPr>
          <w:rFonts w:ascii="Times New Roman" w:hAnsi="Times New Roman" w:cs="Times New Roman"/>
          <w:sz w:val="24"/>
          <w:szCs w:val="24"/>
        </w:rPr>
        <w:t>ICT layers and activities</w:t>
      </w:r>
      <w:r w:rsidR="00981B22">
        <w:rPr>
          <w:rFonts w:ascii="Times New Roman" w:hAnsi="Times New Roman" w:cs="Times New Roman"/>
          <w:sz w:val="24"/>
          <w:szCs w:val="24"/>
        </w:rPr>
        <w:t>.</w:t>
      </w:r>
    </w:p>
    <w:p w14:paraId="64831F16" w14:textId="542CF100" w:rsidR="0082590C" w:rsidRDefault="00BC0E71">
      <w:pPr>
        <w:spacing w:before="360"/>
        <w:jc w:val="both"/>
        <w:rPr>
          <w:rFonts w:ascii="Times New Roman" w:hAnsi="Times New Roman" w:cs="Times New Roman"/>
          <w:sz w:val="24"/>
          <w:szCs w:val="24"/>
        </w:rPr>
      </w:pPr>
      <w:r>
        <w:rPr>
          <w:rFonts w:ascii="Times New Roman" w:hAnsi="Times New Roman" w:cs="Times New Roman"/>
          <w:sz w:val="24"/>
          <w:szCs w:val="24"/>
        </w:rPr>
        <w:t xml:space="preserve">While the previously proposed </w:t>
      </w:r>
      <w:r w:rsidR="00A02B83">
        <w:rPr>
          <w:rFonts w:ascii="Times New Roman" w:hAnsi="Times New Roman" w:cs="Times New Roman"/>
          <w:sz w:val="24"/>
          <w:szCs w:val="24"/>
        </w:rPr>
        <w:t xml:space="preserve">layered </w:t>
      </w:r>
      <w:r>
        <w:rPr>
          <w:rFonts w:ascii="Times New Roman" w:hAnsi="Times New Roman" w:cs="Times New Roman"/>
          <w:sz w:val="24"/>
          <w:szCs w:val="24"/>
        </w:rPr>
        <w:t xml:space="preserve">models have overlapping aspects with the </w:t>
      </w:r>
      <w:r w:rsidR="00A02B83">
        <w:rPr>
          <w:rFonts w:ascii="Times New Roman" w:hAnsi="Times New Roman" w:cs="Times New Roman"/>
          <w:sz w:val="24"/>
          <w:szCs w:val="24"/>
        </w:rPr>
        <w:t>‘</w:t>
      </w:r>
      <w:r>
        <w:rPr>
          <w:rFonts w:ascii="Times New Roman" w:hAnsi="Times New Roman" w:cs="Times New Roman"/>
          <w:sz w:val="24"/>
          <w:szCs w:val="24"/>
        </w:rPr>
        <w:t>layered regulatory model</w:t>
      </w:r>
      <w:r w:rsidR="00A02B83">
        <w:rPr>
          <w:rFonts w:ascii="Times New Roman" w:hAnsi="Times New Roman" w:cs="Times New Roman"/>
          <w:sz w:val="24"/>
          <w:szCs w:val="24"/>
        </w:rPr>
        <w:t>’</w:t>
      </w:r>
      <w:r>
        <w:rPr>
          <w:rFonts w:ascii="Times New Roman" w:hAnsi="Times New Roman" w:cs="Times New Roman"/>
          <w:sz w:val="24"/>
          <w:szCs w:val="24"/>
        </w:rPr>
        <w:t>, the complete and adaptive nature of this newly proposed model should be emphasized. IP stack (layers) being embedded into this model represents the</w:t>
      </w:r>
      <w:r w:rsidR="009323CF">
        <w:rPr>
          <w:rFonts w:ascii="Times New Roman" w:hAnsi="Times New Roman" w:cs="Times New Roman"/>
          <w:sz w:val="24"/>
          <w:szCs w:val="24"/>
        </w:rPr>
        <w:t xml:space="preserve"> </w:t>
      </w:r>
      <w:r>
        <w:rPr>
          <w:rFonts w:ascii="Times New Roman" w:hAnsi="Times New Roman" w:cs="Times New Roman"/>
          <w:sz w:val="24"/>
          <w:szCs w:val="24"/>
        </w:rPr>
        <w:t xml:space="preserve">common aspect with the previously proposed model, as discussed in the </w:t>
      </w:r>
      <w:r w:rsidR="00A02B83">
        <w:rPr>
          <w:rFonts w:ascii="Times New Roman" w:hAnsi="Times New Roman" w:cs="Times New Roman"/>
          <w:sz w:val="24"/>
          <w:szCs w:val="24"/>
        </w:rPr>
        <w:t>last chapter (</w:t>
      </w:r>
      <w:r>
        <w:rPr>
          <w:rFonts w:ascii="Times New Roman" w:hAnsi="Times New Roman" w:cs="Times New Roman"/>
          <w:sz w:val="24"/>
          <w:szCs w:val="24"/>
        </w:rPr>
        <w:t>Conclusion</w:t>
      </w:r>
      <w:r w:rsidR="00A02B83">
        <w:rPr>
          <w:rFonts w:ascii="Times New Roman" w:hAnsi="Times New Roman" w:cs="Times New Roman"/>
          <w:sz w:val="24"/>
          <w:szCs w:val="24"/>
        </w:rPr>
        <w:t>)</w:t>
      </w:r>
      <w:r>
        <w:rPr>
          <w:rFonts w:ascii="Times New Roman" w:hAnsi="Times New Roman" w:cs="Times New Roman"/>
          <w:sz w:val="24"/>
          <w:szCs w:val="24"/>
        </w:rPr>
        <w:t xml:space="preserve">. However, </w:t>
      </w:r>
      <w:r w:rsidR="00BB0575">
        <w:rPr>
          <w:rFonts w:ascii="Times New Roman" w:hAnsi="Times New Roman" w:cs="Times New Roman"/>
          <w:sz w:val="24"/>
          <w:szCs w:val="24"/>
        </w:rPr>
        <w:t>c</w:t>
      </w:r>
      <w:r w:rsidR="00B46A96">
        <w:rPr>
          <w:rFonts w:ascii="Times New Roman" w:hAnsi="Times New Roman" w:cs="Times New Roman"/>
          <w:sz w:val="24"/>
          <w:szCs w:val="24"/>
        </w:rPr>
        <w:t>onditions</w:t>
      </w:r>
      <w:r>
        <w:rPr>
          <w:rFonts w:ascii="Times New Roman" w:hAnsi="Times New Roman" w:cs="Times New Roman"/>
          <w:sz w:val="24"/>
          <w:szCs w:val="24"/>
        </w:rPr>
        <w:t xml:space="preserve"> for </w:t>
      </w:r>
      <w:r w:rsidR="00BB0575">
        <w:rPr>
          <w:rFonts w:ascii="Times New Roman" w:hAnsi="Times New Roman" w:cs="Times New Roman"/>
          <w:sz w:val="24"/>
          <w:szCs w:val="24"/>
        </w:rPr>
        <w:t xml:space="preserve">regulatory intervention under the </w:t>
      </w:r>
      <w:r>
        <w:rPr>
          <w:rFonts w:ascii="Times New Roman" w:hAnsi="Times New Roman" w:cs="Times New Roman"/>
          <w:sz w:val="24"/>
          <w:szCs w:val="24"/>
        </w:rPr>
        <w:t>newly proposed model</w:t>
      </w:r>
      <w:r w:rsidR="00BB0575">
        <w:rPr>
          <w:rFonts w:ascii="Times New Roman" w:hAnsi="Times New Roman" w:cs="Times New Roman"/>
          <w:sz w:val="24"/>
          <w:szCs w:val="24"/>
        </w:rPr>
        <w:t xml:space="preserve"> are distinctive in the sense that</w:t>
      </w:r>
      <w:r w:rsidR="008E6A45">
        <w:rPr>
          <w:rFonts w:ascii="Times New Roman" w:hAnsi="Times New Roman" w:cs="Times New Roman"/>
          <w:sz w:val="24"/>
          <w:szCs w:val="24"/>
        </w:rPr>
        <w:t xml:space="preserve"> </w:t>
      </w:r>
      <w:r w:rsidR="00A02B83">
        <w:rPr>
          <w:rFonts w:ascii="Times New Roman" w:hAnsi="Times New Roman" w:cs="Times New Roman"/>
          <w:sz w:val="24"/>
          <w:szCs w:val="24"/>
        </w:rPr>
        <w:t xml:space="preserve">the onus in this new framework is the gateways, or technically speaking the interfaces, being exploited to the harm of </w:t>
      </w:r>
      <w:r w:rsidR="00A02B83">
        <w:rPr>
          <w:rFonts w:ascii="Times New Roman" w:hAnsi="Times New Roman" w:cs="Times New Roman"/>
          <w:sz w:val="24"/>
          <w:szCs w:val="24"/>
        </w:rPr>
        <w:lastRenderedPageBreak/>
        <w:t xml:space="preserve">consumers across the layers. </w:t>
      </w:r>
      <w:r w:rsidR="00FB5B9A">
        <w:rPr>
          <w:rFonts w:ascii="Times New Roman" w:hAnsi="Times New Roman" w:cs="Times New Roman"/>
          <w:sz w:val="24"/>
          <w:szCs w:val="24"/>
        </w:rPr>
        <w:t>From this point of view</w:t>
      </w:r>
      <w:r w:rsidR="00FB5B9A" w:rsidRPr="00774EDB">
        <w:rPr>
          <w:rFonts w:ascii="Times New Roman" w:hAnsi="Times New Roman" w:cs="Times New Roman"/>
          <w:sz w:val="24"/>
          <w:szCs w:val="24"/>
        </w:rPr>
        <w:t xml:space="preserve">, </w:t>
      </w:r>
      <w:r w:rsidR="00FB5B9A">
        <w:rPr>
          <w:rFonts w:ascii="Times New Roman" w:hAnsi="Times New Roman" w:cs="Times New Roman"/>
          <w:sz w:val="24"/>
          <w:szCs w:val="24"/>
        </w:rPr>
        <w:t>‘</w:t>
      </w:r>
      <w:r w:rsidR="00FB5B9A" w:rsidRPr="00774EDB">
        <w:rPr>
          <w:rFonts w:ascii="Times New Roman" w:hAnsi="Times New Roman" w:cs="Times New Roman"/>
          <w:sz w:val="24"/>
          <w:szCs w:val="24"/>
        </w:rPr>
        <w:t>gatekeep</w:t>
      </w:r>
      <w:r w:rsidR="00FB5B9A">
        <w:rPr>
          <w:rFonts w:ascii="Times New Roman" w:hAnsi="Times New Roman" w:cs="Times New Roman"/>
          <w:sz w:val="24"/>
          <w:szCs w:val="24"/>
        </w:rPr>
        <w:t>ers’</w:t>
      </w:r>
      <w:r w:rsidR="00FB5B9A" w:rsidRPr="00774EDB">
        <w:rPr>
          <w:rFonts w:ascii="Times New Roman" w:hAnsi="Times New Roman" w:cs="Times New Roman"/>
          <w:sz w:val="24"/>
          <w:szCs w:val="24"/>
        </w:rPr>
        <w:t xml:space="preserve"> not only controlling the media and information flow, but also access to infrastructural, physical and software interfaces</w:t>
      </w:r>
      <w:r w:rsidR="00FB5B9A">
        <w:rPr>
          <w:rFonts w:ascii="Times New Roman" w:hAnsi="Times New Roman" w:cs="Times New Roman"/>
          <w:sz w:val="24"/>
          <w:szCs w:val="24"/>
        </w:rPr>
        <w:t xml:space="preserve"> are captured in the definitional framework.</w:t>
      </w:r>
      <w:r w:rsidR="0082590C">
        <w:rPr>
          <w:rFonts w:ascii="Times New Roman" w:hAnsi="Times New Roman" w:cs="Times New Roman"/>
          <w:sz w:val="24"/>
          <w:szCs w:val="24"/>
        </w:rPr>
        <w:t xml:space="preserve"> </w:t>
      </w:r>
      <w:r w:rsidR="00102806">
        <w:rPr>
          <w:rFonts w:ascii="Times New Roman" w:hAnsi="Times New Roman"/>
          <w:sz w:val="24"/>
          <w:szCs w:val="24"/>
        </w:rPr>
        <w:t>According to the proposal</w:t>
      </w:r>
      <w:r w:rsidR="0082590C">
        <w:rPr>
          <w:rFonts w:ascii="Times New Roman" w:hAnsi="Times New Roman"/>
          <w:sz w:val="24"/>
          <w:szCs w:val="24"/>
        </w:rPr>
        <w:t xml:space="preserve">, exploitation of the underlying controlling mechanisms, i.e. IPRs, </w:t>
      </w:r>
      <w:r w:rsidR="00E20E42" w:rsidRPr="00774EDB">
        <w:rPr>
          <w:rFonts w:ascii="Times New Roman" w:hAnsi="Times New Roman" w:cs="Times New Roman"/>
          <w:sz w:val="24"/>
          <w:szCs w:val="24"/>
        </w:rPr>
        <w:t>technological protection measure</w:t>
      </w:r>
      <w:r w:rsidR="00E20E42">
        <w:rPr>
          <w:rFonts w:ascii="Times New Roman" w:hAnsi="Times New Roman" w:cs="Times New Roman"/>
          <w:sz w:val="24"/>
          <w:szCs w:val="24"/>
        </w:rPr>
        <w:t>s</w:t>
      </w:r>
      <w:r w:rsidR="00E20E42" w:rsidRPr="00774EDB">
        <w:rPr>
          <w:rFonts w:ascii="Times New Roman" w:hAnsi="Times New Roman" w:cs="Times New Roman"/>
          <w:sz w:val="24"/>
          <w:szCs w:val="24"/>
        </w:rPr>
        <w:t xml:space="preserve"> (TPM</w:t>
      </w:r>
      <w:r w:rsidR="00E20E42">
        <w:rPr>
          <w:rFonts w:ascii="Times New Roman" w:hAnsi="Times New Roman" w:cs="Times New Roman"/>
          <w:sz w:val="24"/>
          <w:szCs w:val="24"/>
        </w:rPr>
        <w:t>s)</w:t>
      </w:r>
      <w:r w:rsidR="0082590C">
        <w:rPr>
          <w:rFonts w:ascii="Times New Roman" w:hAnsi="Times New Roman"/>
          <w:sz w:val="24"/>
          <w:szCs w:val="24"/>
        </w:rPr>
        <w:t>, AI-based algorithms for restricting consumer choices would mean presence of gatekeepers and point to a necessity to ex ante regulation.</w:t>
      </w:r>
    </w:p>
    <w:p w14:paraId="7629251E" w14:textId="6B9D1D2E" w:rsidR="008E6A45" w:rsidRDefault="00FB5B9A">
      <w:pPr>
        <w:spacing w:before="360"/>
        <w:jc w:val="both"/>
        <w:rPr>
          <w:rFonts w:ascii="Times New Roman" w:hAnsi="Times New Roman" w:cs="Times New Roman"/>
          <w:sz w:val="24"/>
          <w:szCs w:val="24"/>
        </w:rPr>
      </w:pPr>
      <w:r>
        <w:rPr>
          <w:rFonts w:ascii="Times New Roman" w:hAnsi="Times New Roman" w:cs="Times New Roman"/>
          <w:sz w:val="24"/>
          <w:szCs w:val="24"/>
        </w:rPr>
        <w:t>Within this normative framework</w:t>
      </w:r>
      <w:r w:rsidR="005201BC">
        <w:rPr>
          <w:rFonts w:ascii="Times New Roman" w:hAnsi="Times New Roman" w:cs="Times New Roman"/>
          <w:sz w:val="24"/>
          <w:szCs w:val="24"/>
        </w:rPr>
        <w:t>,</w:t>
      </w:r>
      <w:r w:rsidR="00A02B83">
        <w:rPr>
          <w:rFonts w:ascii="Times New Roman" w:hAnsi="Times New Roman" w:cs="Times New Roman"/>
          <w:sz w:val="24"/>
          <w:szCs w:val="24"/>
        </w:rPr>
        <w:t xml:space="preserve"> </w:t>
      </w:r>
      <w:r w:rsidR="008E6A45">
        <w:rPr>
          <w:rFonts w:ascii="Times New Roman" w:hAnsi="Times New Roman" w:cs="Times New Roman"/>
          <w:sz w:val="24"/>
          <w:szCs w:val="24"/>
        </w:rPr>
        <w:t>all the players</w:t>
      </w:r>
      <w:r w:rsidR="00D26E5C">
        <w:rPr>
          <w:rFonts w:ascii="Times New Roman" w:hAnsi="Times New Roman" w:cs="Times New Roman"/>
          <w:sz w:val="24"/>
          <w:szCs w:val="24"/>
        </w:rPr>
        <w:t xml:space="preserve"> (gatekeepers)</w:t>
      </w:r>
      <w:r w:rsidR="008E6A45">
        <w:rPr>
          <w:rFonts w:ascii="Times New Roman" w:hAnsi="Times New Roman" w:cs="Times New Roman"/>
          <w:sz w:val="24"/>
          <w:szCs w:val="24"/>
        </w:rPr>
        <w:t xml:space="preserve"> across the layers are </w:t>
      </w:r>
      <w:r w:rsidR="005201BC">
        <w:rPr>
          <w:rFonts w:ascii="Times New Roman" w:hAnsi="Times New Roman" w:cs="Times New Roman"/>
          <w:sz w:val="24"/>
          <w:szCs w:val="24"/>
        </w:rPr>
        <w:t xml:space="preserve">instructed not to </w:t>
      </w:r>
      <w:r w:rsidR="00142792">
        <w:rPr>
          <w:rFonts w:ascii="Times New Roman" w:hAnsi="Times New Roman" w:cs="Times New Roman"/>
          <w:sz w:val="24"/>
          <w:szCs w:val="24"/>
        </w:rPr>
        <w:t>‘</w:t>
      </w:r>
      <w:r w:rsidR="008E6A45">
        <w:rPr>
          <w:rFonts w:ascii="Times New Roman" w:hAnsi="Times New Roman" w:cs="Times New Roman"/>
          <w:sz w:val="24"/>
          <w:szCs w:val="24"/>
        </w:rPr>
        <w:t>restrict access and interoperability</w:t>
      </w:r>
      <w:r w:rsidR="00142792">
        <w:rPr>
          <w:rFonts w:ascii="Times New Roman" w:hAnsi="Times New Roman" w:cs="Times New Roman"/>
          <w:sz w:val="24"/>
          <w:szCs w:val="24"/>
        </w:rPr>
        <w:t>’</w:t>
      </w:r>
      <w:r w:rsidR="00102806">
        <w:rPr>
          <w:rFonts w:ascii="Times New Roman" w:hAnsi="Times New Roman" w:cs="Times New Roman"/>
          <w:sz w:val="24"/>
          <w:szCs w:val="24"/>
        </w:rPr>
        <w:t>,</w:t>
      </w:r>
      <w:r w:rsidR="008E6A45">
        <w:rPr>
          <w:rFonts w:ascii="Times New Roman" w:hAnsi="Times New Roman" w:cs="Times New Roman"/>
          <w:sz w:val="24"/>
          <w:szCs w:val="24"/>
        </w:rPr>
        <w:t xml:space="preserve"> </w:t>
      </w:r>
      <w:r w:rsidR="00102806">
        <w:rPr>
          <w:rFonts w:ascii="Times New Roman" w:hAnsi="Times New Roman" w:cs="Times New Roman"/>
          <w:sz w:val="24"/>
          <w:szCs w:val="24"/>
        </w:rPr>
        <w:t>should</w:t>
      </w:r>
      <w:r w:rsidR="00A02B83">
        <w:rPr>
          <w:rFonts w:ascii="Times New Roman" w:hAnsi="Times New Roman" w:cs="Times New Roman"/>
          <w:sz w:val="24"/>
          <w:szCs w:val="24"/>
        </w:rPr>
        <w:t xml:space="preserve"> </w:t>
      </w:r>
      <w:r w:rsidR="00102806">
        <w:rPr>
          <w:rFonts w:ascii="Times New Roman" w:hAnsi="Times New Roman" w:cs="Times New Roman"/>
          <w:sz w:val="24"/>
          <w:szCs w:val="24"/>
        </w:rPr>
        <w:t xml:space="preserve">this </w:t>
      </w:r>
      <w:r w:rsidR="008E6A45">
        <w:rPr>
          <w:rFonts w:ascii="Times New Roman" w:hAnsi="Times New Roman" w:cs="Times New Roman"/>
          <w:sz w:val="24"/>
          <w:szCs w:val="24"/>
        </w:rPr>
        <w:t>result in limited consumer choices</w:t>
      </w:r>
      <w:r w:rsidR="00A02B83">
        <w:rPr>
          <w:rFonts w:ascii="Times New Roman" w:hAnsi="Times New Roman" w:cs="Times New Roman"/>
          <w:sz w:val="24"/>
          <w:szCs w:val="24"/>
        </w:rPr>
        <w:t xml:space="preserve"> and freedom</w:t>
      </w:r>
      <w:r w:rsidR="008E6A45">
        <w:rPr>
          <w:rFonts w:ascii="Times New Roman" w:hAnsi="Times New Roman" w:cs="Times New Roman"/>
          <w:sz w:val="24"/>
          <w:szCs w:val="24"/>
        </w:rPr>
        <w:t>.</w:t>
      </w:r>
      <w:r w:rsidR="00A02B83">
        <w:rPr>
          <w:rFonts w:ascii="Times New Roman" w:hAnsi="Times New Roman" w:cs="Times New Roman"/>
          <w:sz w:val="24"/>
          <w:szCs w:val="24"/>
        </w:rPr>
        <w:t xml:space="preserve"> </w:t>
      </w:r>
      <w:r w:rsidR="00102806">
        <w:rPr>
          <w:rFonts w:ascii="Times New Roman" w:hAnsi="Times New Roman" w:cs="Times New Roman"/>
          <w:sz w:val="24"/>
          <w:szCs w:val="24"/>
        </w:rPr>
        <w:t>In this vein</w:t>
      </w:r>
      <w:r w:rsidR="00A02B83">
        <w:rPr>
          <w:rFonts w:ascii="Times New Roman" w:hAnsi="Times New Roman" w:cs="Times New Roman"/>
          <w:sz w:val="24"/>
          <w:szCs w:val="24"/>
        </w:rPr>
        <w:t xml:space="preserve">, it is key to keep in mind that not only reduced consumer surplus </w:t>
      </w:r>
      <w:r w:rsidR="005201BC">
        <w:rPr>
          <w:rFonts w:ascii="Times New Roman" w:hAnsi="Times New Roman" w:cs="Times New Roman"/>
          <w:sz w:val="24"/>
          <w:szCs w:val="24"/>
        </w:rPr>
        <w:t xml:space="preserve">from the competition law perspective </w:t>
      </w:r>
      <w:r w:rsidR="00A02B83">
        <w:rPr>
          <w:rFonts w:ascii="Times New Roman" w:hAnsi="Times New Roman" w:cs="Times New Roman"/>
          <w:sz w:val="24"/>
          <w:szCs w:val="24"/>
        </w:rPr>
        <w:t>but also the hindered access to informational resources needs to be taken of utmost account</w:t>
      </w:r>
      <w:r w:rsidR="00102806">
        <w:rPr>
          <w:rFonts w:ascii="Times New Roman" w:hAnsi="Times New Roman" w:cs="Times New Roman"/>
          <w:sz w:val="24"/>
          <w:szCs w:val="24"/>
        </w:rPr>
        <w:t>,</w:t>
      </w:r>
      <w:r w:rsidR="00A02B83">
        <w:rPr>
          <w:rFonts w:ascii="Times New Roman" w:hAnsi="Times New Roman" w:cs="Times New Roman"/>
          <w:sz w:val="24"/>
          <w:szCs w:val="24"/>
        </w:rPr>
        <w:t xml:space="preserve"> </w:t>
      </w:r>
      <w:r w:rsidR="00102806">
        <w:rPr>
          <w:rFonts w:ascii="Times New Roman" w:hAnsi="Times New Roman" w:cs="Times New Roman"/>
          <w:sz w:val="24"/>
          <w:szCs w:val="24"/>
        </w:rPr>
        <w:t>since</w:t>
      </w:r>
      <w:r w:rsidR="00A02B83">
        <w:rPr>
          <w:rFonts w:ascii="Times New Roman" w:hAnsi="Times New Roman" w:cs="Times New Roman"/>
          <w:sz w:val="24"/>
          <w:szCs w:val="24"/>
        </w:rPr>
        <w:t xml:space="preserve"> the</w:t>
      </w:r>
      <w:r w:rsidR="00D077F6">
        <w:rPr>
          <w:rFonts w:ascii="Times New Roman" w:hAnsi="Times New Roman" w:cs="Times New Roman"/>
          <w:sz w:val="24"/>
          <w:szCs w:val="24"/>
        </w:rPr>
        <w:t>se</w:t>
      </w:r>
      <w:r w:rsidR="00A02B83">
        <w:rPr>
          <w:rFonts w:ascii="Times New Roman" w:hAnsi="Times New Roman" w:cs="Times New Roman"/>
          <w:sz w:val="24"/>
          <w:szCs w:val="24"/>
        </w:rPr>
        <w:t xml:space="preserve"> cumulatively constitute the ground of gatekeeping activities. </w:t>
      </w:r>
      <w:r w:rsidR="005201BC">
        <w:rPr>
          <w:rFonts w:ascii="Times New Roman" w:hAnsi="Times New Roman" w:cs="Times New Roman"/>
          <w:sz w:val="24"/>
          <w:szCs w:val="24"/>
        </w:rPr>
        <w:t>Here, the most featured aspect of the contribution to the knowledge surfaces w</w:t>
      </w:r>
      <w:r w:rsidR="00194A2D">
        <w:rPr>
          <w:rFonts w:ascii="Times New Roman" w:hAnsi="Times New Roman" w:cs="Times New Roman"/>
          <w:sz w:val="24"/>
          <w:szCs w:val="24"/>
        </w:rPr>
        <w:t>hereby</w:t>
      </w:r>
      <w:r w:rsidR="005201BC">
        <w:rPr>
          <w:rFonts w:ascii="Times New Roman" w:hAnsi="Times New Roman" w:cs="Times New Roman"/>
          <w:sz w:val="24"/>
          <w:szCs w:val="24"/>
        </w:rPr>
        <w:t xml:space="preserve"> the interoperability is expanded from </w:t>
      </w:r>
      <w:r w:rsidR="0082590C">
        <w:rPr>
          <w:rFonts w:ascii="Times New Roman" w:hAnsi="Times New Roman" w:cs="Times New Roman"/>
          <w:sz w:val="24"/>
          <w:szCs w:val="24"/>
        </w:rPr>
        <w:t xml:space="preserve">a </w:t>
      </w:r>
      <w:r w:rsidR="005201BC">
        <w:rPr>
          <w:rFonts w:ascii="Times New Roman" w:hAnsi="Times New Roman" w:cs="Times New Roman"/>
          <w:sz w:val="24"/>
          <w:szCs w:val="24"/>
        </w:rPr>
        <w:t xml:space="preserve">technical </w:t>
      </w:r>
      <w:r w:rsidR="0082590C">
        <w:rPr>
          <w:rFonts w:ascii="Times New Roman" w:hAnsi="Times New Roman" w:cs="Times New Roman"/>
          <w:sz w:val="24"/>
          <w:szCs w:val="24"/>
        </w:rPr>
        <w:t>term</w:t>
      </w:r>
      <w:r w:rsidR="005201BC">
        <w:rPr>
          <w:rFonts w:ascii="Times New Roman" w:hAnsi="Times New Roman" w:cs="Times New Roman"/>
          <w:sz w:val="24"/>
          <w:szCs w:val="24"/>
        </w:rPr>
        <w:t xml:space="preserve"> to a techno-social </w:t>
      </w:r>
      <w:r w:rsidR="0082590C">
        <w:rPr>
          <w:rFonts w:ascii="Times New Roman" w:hAnsi="Times New Roman" w:cs="Times New Roman"/>
          <w:sz w:val="24"/>
          <w:szCs w:val="24"/>
        </w:rPr>
        <w:t>conception</w:t>
      </w:r>
      <w:r w:rsidR="005201BC">
        <w:rPr>
          <w:rFonts w:ascii="Times New Roman" w:hAnsi="Times New Roman" w:cs="Times New Roman"/>
          <w:sz w:val="24"/>
          <w:szCs w:val="24"/>
        </w:rPr>
        <w:t>, as detailed in the last chapter.</w:t>
      </w:r>
    </w:p>
    <w:p w14:paraId="3761E94C" w14:textId="2D9DF626" w:rsidR="00A811D8" w:rsidRDefault="005201BC">
      <w:pPr>
        <w:spacing w:before="360"/>
        <w:jc w:val="both"/>
        <w:rPr>
          <w:rFonts w:ascii="Times New Roman" w:hAnsi="Times New Roman" w:cs="Times New Roman"/>
          <w:sz w:val="24"/>
          <w:szCs w:val="24"/>
        </w:rPr>
      </w:pPr>
      <w:r>
        <w:rPr>
          <w:rFonts w:ascii="Times New Roman" w:hAnsi="Times New Roman" w:cs="Times New Roman"/>
          <w:sz w:val="24"/>
          <w:szCs w:val="24"/>
        </w:rPr>
        <w:t xml:space="preserve">Flowing this spirit, it is aimed that the broadly minded interoperability concerns within the meaning of gatekeeping concept are diagnosed and deterred effectively. </w:t>
      </w:r>
      <w:r w:rsidR="00BB0575">
        <w:rPr>
          <w:rFonts w:ascii="Times New Roman" w:hAnsi="Times New Roman" w:cs="Times New Roman"/>
          <w:sz w:val="24"/>
          <w:szCs w:val="24"/>
        </w:rPr>
        <w:t xml:space="preserve">While </w:t>
      </w:r>
      <w:r w:rsidR="00D26E5C">
        <w:rPr>
          <w:rFonts w:ascii="Times New Roman" w:hAnsi="Times New Roman" w:cs="Times New Roman"/>
          <w:sz w:val="24"/>
          <w:szCs w:val="24"/>
        </w:rPr>
        <w:t>further</w:t>
      </w:r>
      <w:r w:rsidR="00BB0575">
        <w:rPr>
          <w:rFonts w:ascii="Times New Roman" w:hAnsi="Times New Roman" w:cs="Times New Roman"/>
          <w:sz w:val="24"/>
          <w:szCs w:val="24"/>
        </w:rPr>
        <w:t xml:space="preserve"> principles</w:t>
      </w:r>
      <w:r w:rsidR="00D26E5C">
        <w:rPr>
          <w:rFonts w:ascii="Times New Roman" w:hAnsi="Times New Roman" w:cs="Times New Roman"/>
          <w:sz w:val="24"/>
          <w:szCs w:val="24"/>
        </w:rPr>
        <w:t>,</w:t>
      </w:r>
      <w:r w:rsidR="00D26E5C" w:rsidRPr="00774EDB">
        <w:rPr>
          <w:rFonts w:ascii="Times New Roman" w:hAnsi="Times New Roman" w:cs="Times New Roman"/>
          <w:sz w:val="24"/>
          <w:szCs w:val="24"/>
        </w:rPr>
        <w:t xml:space="preserve"> </w:t>
      </w:r>
      <w:r w:rsidR="00D26E5C">
        <w:rPr>
          <w:rFonts w:ascii="Times New Roman" w:hAnsi="Times New Roman" w:cs="Times New Roman"/>
          <w:sz w:val="24"/>
          <w:szCs w:val="24"/>
        </w:rPr>
        <w:t xml:space="preserve">e.g. </w:t>
      </w:r>
      <w:r w:rsidR="00D26E5C" w:rsidRPr="00774EDB">
        <w:rPr>
          <w:rFonts w:ascii="Times New Roman" w:hAnsi="Times New Roman" w:cs="Times New Roman"/>
          <w:sz w:val="24"/>
          <w:szCs w:val="24"/>
        </w:rPr>
        <w:t>transparency, non-discrimination</w:t>
      </w:r>
      <w:r w:rsidR="00D26E5C">
        <w:rPr>
          <w:rFonts w:ascii="Times New Roman" w:hAnsi="Times New Roman" w:cs="Times New Roman"/>
          <w:sz w:val="24"/>
          <w:szCs w:val="24"/>
        </w:rPr>
        <w:t>, accountability,</w:t>
      </w:r>
      <w:r w:rsidR="00D26E5C" w:rsidRPr="00774EDB">
        <w:rPr>
          <w:rFonts w:ascii="Times New Roman" w:hAnsi="Times New Roman" w:cs="Times New Roman"/>
          <w:sz w:val="24"/>
          <w:szCs w:val="24"/>
        </w:rPr>
        <w:t xml:space="preserve"> </w:t>
      </w:r>
      <w:r w:rsidR="00BB0575">
        <w:rPr>
          <w:rFonts w:ascii="Times New Roman" w:hAnsi="Times New Roman" w:cs="Times New Roman"/>
          <w:sz w:val="24"/>
          <w:szCs w:val="24"/>
        </w:rPr>
        <w:t xml:space="preserve">and </w:t>
      </w:r>
      <w:r w:rsidR="00783C37">
        <w:rPr>
          <w:rFonts w:ascii="Times New Roman" w:hAnsi="Times New Roman" w:cs="Times New Roman"/>
          <w:sz w:val="24"/>
          <w:szCs w:val="24"/>
        </w:rPr>
        <w:t>corresponding</w:t>
      </w:r>
      <w:r w:rsidR="00D26E5C">
        <w:rPr>
          <w:rFonts w:ascii="Times New Roman" w:hAnsi="Times New Roman" w:cs="Times New Roman"/>
          <w:sz w:val="24"/>
          <w:szCs w:val="24"/>
        </w:rPr>
        <w:t xml:space="preserve"> </w:t>
      </w:r>
      <w:r w:rsidR="00BB0575">
        <w:rPr>
          <w:rFonts w:ascii="Times New Roman" w:hAnsi="Times New Roman" w:cs="Times New Roman"/>
          <w:sz w:val="24"/>
          <w:szCs w:val="24"/>
        </w:rPr>
        <w:t xml:space="preserve">remedies are </w:t>
      </w:r>
      <w:r w:rsidR="00B97D4B">
        <w:rPr>
          <w:rFonts w:ascii="Times New Roman" w:hAnsi="Times New Roman" w:cs="Times New Roman"/>
          <w:sz w:val="24"/>
          <w:szCs w:val="24"/>
        </w:rPr>
        <w:t xml:space="preserve">also </w:t>
      </w:r>
      <w:r w:rsidR="00BB0575">
        <w:rPr>
          <w:rFonts w:ascii="Times New Roman" w:hAnsi="Times New Roman" w:cs="Times New Roman"/>
          <w:sz w:val="24"/>
          <w:szCs w:val="24"/>
        </w:rPr>
        <w:t xml:space="preserve">set </w:t>
      </w:r>
      <w:r w:rsidR="00914551">
        <w:rPr>
          <w:rFonts w:ascii="Times New Roman" w:hAnsi="Times New Roman" w:cs="Times New Roman"/>
          <w:sz w:val="24"/>
          <w:szCs w:val="24"/>
        </w:rPr>
        <w:t xml:space="preserve">out </w:t>
      </w:r>
      <w:r w:rsidR="00BB0575">
        <w:rPr>
          <w:rFonts w:ascii="Times New Roman" w:hAnsi="Times New Roman" w:cs="Times New Roman"/>
          <w:sz w:val="24"/>
          <w:szCs w:val="24"/>
        </w:rPr>
        <w:t xml:space="preserve">within the framework of the layered regulatory model, </w:t>
      </w:r>
      <w:r w:rsidR="00914551">
        <w:rPr>
          <w:rFonts w:ascii="Times New Roman" w:hAnsi="Times New Roman" w:cs="Times New Roman"/>
          <w:sz w:val="24"/>
          <w:szCs w:val="24"/>
        </w:rPr>
        <w:t>the</w:t>
      </w:r>
      <w:r w:rsidR="00B97D4B">
        <w:rPr>
          <w:rFonts w:ascii="Times New Roman" w:hAnsi="Times New Roman" w:cs="Times New Roman"/>
          <w:sz w:val="24"/>
          <w:szCs w:val="24"/>
        </w:rPr>
        <w:t>se rules</w:t>
      </w:r>
      <w:r w:rsidR="00914551">
        <w:rPr>
          <w:rFonts w:ascii="Times New Roman" w:hAnsi="Times New Roman" w:cs="Times New Roman"/>
          <w:sz w:val="24"/>
          <w:szCs w:val="24"/>
        </w:rPr>
        <w:t xml:space="preserve"> do not mean direct and straightforward intervention unl</w:t>
      </w:r>
      <w:r w:rsidR="00962188">
        <w:rPr>
          <w:rFonts w:ascii="Times New Roman" w:hAnsi="Times New Roman" w:cs="Times New Roman"/>
          <w:sz w:val="24"/>
          <w:szCs w:val="24"/>
        </w:rPr>
        <w:t xml:space="preserve">ess contrary practices </w:t>
      </w:r>
      <w:r w:rsidR="00142792">
        <w:rPr>
          <w:rFonts w:ascii="Times New Roman" w:hAnsi="Times New Roman" w:cs="Times New Roman"/>
          <w:sz w:val="24"/>
          <w:szCs w:val="24"/>
        </w:rPr>
        <w:t>endure,</w:t>
      </w:r>
      <w:r w:rsidR="00962188">
        <w:rPr>
          <w:rFonts w:ascii="Times New Roman" w:hAnsi="Times New Roman" w:cs="Times New Roman"/>
          <w:sz w:val="24"/>
          <w:szCs w:val="24"/>
        </w:rPr>
        <w:t xml:space="preserve"> a</w:t>
      </w:r>
      <w:r w:rsidR="00142792">
        <w:rPr>
          <w:rFonts w:ascii="Times New Roman" w:hAnsi="Times New Roman" w:cs="Times New Roman"/>
          <w:sz w:val="24"/>
          <w:szCs w:val="24"/>
        </w:rPr>
        <w:t xml:space="preserve">nd </w:t>
      </w:r>
      <w:r w:rsidR="00C136D5">
        <w:rPr>
          <w:rFonts w:ascii="Times New Roman" w:hAnsi="Times New Roman" w:cs="Times New Roman"/>
          <w:sz w:val="24"/>
          <w:szCs w:val="24"/>
        </w:rPr>
        <w:t>ecosystems that are characterised by coopetition or equ</w:t>
      </w:r>
      <w:r w:rsidR="0082590C">
        <w:rPr>
          <w:rFonts w:ascii="Times New Roman" w:hAnsi="Times New Roman" w:cs="Times New Roman"/>
          <w:sz w:val="24"/>
          <w:szCs w:val="24"/>
        </w:rPr>
        <w:t xml:space="preserve">ivalent </w:t>
      </w:r>
      <w:r w:rsidR="00142792">
        <w:rPr>
          <w:rFonts w:ascii="Times New Roman" w:hAnsi="Times New Roman" w:cs="Times New Roman"/>
          <w:sz w:val="24"/>
          <w:szCs w:val="24"/>
        </w:rPr>
        <w:t xml:space="preserve">self-regulatory measures are not </w:t>
      </w:r>
      <w:r w:rsidR="00C136D5">
        <w:rPr>
          <w:rFonts w:ascii="Times New Roman" w:hAnsi="Times New Roman" w:cs="Times New Roman"/>
          <w:sz w:val="24"/>
          <w:szCs w:val="24"/>
        </w:rPr>
        <w:t>in place</w:t>
      </w:r>
      <w:r w:rsidR="00142792">
        <w:rPr>
          <w:rFonts w:ascii="Times New Roman" w:hAnsi="Times New Roman" w:cs="Times New Roman"/>
          <w:sz w:val="24"/>
          <w:szCs w:val="24"/>
        </w:rPr>
        <w:t xml:space="preserve">. Should the so called </w:t>
      </w:r>
      <w:r w:rsidR="006479C2">
        <w:rPr>
          <w:rFonts w:ascii="Times New Roman" w:hAnsi="Times New Roman" w:cs="Times New Roman"/>
          <w:sz w:val="24"/>
          <w:szCs w:val="24"/>
        </w:rPr>
        <w:t xml:space="preserve">potentially </w:t>
      </w:r>
      <w:r w:rsidR="00142792">
        <w:rPr>
          <w:rFonts w:ascii="Times New Roman" w:hAnsi="Times New Roman" w:cs="Times New Roman"/>
          <w:sz w:val="24"/>
          <w:szCs w:val="24"/>
        </w:rPr>
        <w:t xml:space="preserve">gatekeeping practices do not denote any restrictive activity e.g. for the existent ecosystem </w:t>
      </w:r>
      <w:r w:rsidR="00142792">
        <w:rPr>
          <w:rFonts w:ascii="Times New Roman" w:hAnsi="Times New Roman" w:cs="Times New Roman"/>
          <w:sz w:val="24"/>
          <w:szCs w:val="24"/>
        </w:rPr>
        <w:lastRenderedPageBreak/>
        <w:t xml:space="preserve">structures, this needs to be taken into consideration to mitigate the potential </w:t>
      </w:r>
      <w:r w:rsidR="0082590C">
        <w:rPr>
          <w:rFonts w:ascii="Times New Roman" w:hAnsi="Times New Roman" w:cs="Times New Roman"/>
          <w:sz w:val="24"/>
          <w:szCs w:val="24"/>
        </w:rPr>
        <w:t>remedi</w:t>
      </w:r>
      <w:r w:rsidR="00142792">
        <w:rPr>
          <w:rFonts w:ascii="Times New Roman" w:hAnsi="Times New Roman" w:cs="Times New Roman"/>
          <w:sz w:val="24"/>
          <w:szCs w:val="24"/>
        </w:rPr>
        <w:t>es, as per the proposed model</w:t>
      </w:r>
      <w:r w:rsidR="00914551">
        <w:rPr>
          <w:rFonts w:ascii="Times New Roman" w:hAnsi="Times New Roman" w:cs="Times New Roman"/>
          <w:sz w:val="24"/>
          <w:szCs w:val="24"/>
        </w:rPr>
        <w:t xml:space="preserve">. </w:t>
      </w:r>
      <w:r w:rsidR="00142792">
        <w:rPr>
          <w:rFonts w:ascii="Times New Roman" w:hAnsi="Times New Roman" w:cs="Times New Roman"/>
          <w:sz w:val="24"/>
          <w:szCs w:val="24"/>
        </w:rPr>
        <w:t>Having said that, a</w:t>
      </w:r>
      <w:r w:rsidR="00024580">
        <w:rPr>
          <w:rFonts w:ascii="Times New Roman" w:hAnsi="Times New Roman" w:cs="Times New Roman"/>
          <w:sz w:val="24"/>
          <w:szCs w:val="24"/>
        </w:rPr>
        <w:t xml:space="preserve">lthough having an </w:t>
      </w:r>
      <w:r w:rsidR="00B46A96">
        <w:rPr>
          <w:rFonts w:ascii="Times New Roman" w:hAnsi="Times New Roman" w:cs="Times New Roman"/>
          <w:sz w:val="24"/>
          <w:szCs w:val="24"/>
        </w:rPr>
        <w:t>e</w:t>
      </w:r>
      <w:r w:rsidR="00024580">
        <w:rPr>
          <w:rFonts w:ascii="Times New Roman" w:hAnsi="Times New Roman" w:cs="Times New Roman"/>
          <w:sz w:val="24"/>
          <w:szCs w:val="24"/>
        </w:rPr>
        <w:t xml:space="preserve">x ante nature, newly proposed remedies are designed as </w:t>
      </w:r>
      <w:r w:rsidR="00B97D4B">
        <w:rPr>
          <w:rFonts w:ascii="Times New Roman" w:hAnsi="Times New Roman" w:cs="Times New Roman"/>
          <w:sz w:val="24"/>
          <w:szCs w:val="24"/>
        </w:rPr>
        <w:t xml:space="preserve">circumstantial </w:t>
      </w:r>
      <w:r w:rsidR="00024580">
        <w:rPr>
          <w:rFonts w:ascii="Times New Roman" w:hAnsi="Times New Roman" w:cs="Times New Roman"/>
          <w:sz w:val="24"/>
          <w:szCs w:val="24"/>
        </w:rPr>
        <w:t>obligations to be imposed on the so-called gatekeepers. In this context,</w:t>
      </w:r>
      <w:r w:rsidR="00024580" w:rsidRPr="00024580">
        <w:rPr>
          <w:rFonts w:ascii="Times New Roman" w:hAnsi="Times New Roman" w:cs="Times New Roman"/>
          <w:sz w:val="24"/>
          <w:szCs w:val="24"/>
        </w:rPr>
        <w:t xml:space="preserve"> emphasis </w:t>
      </w:r>
      <w:r w:rsidR="00A811D8">
        <w:rPr>
          <w:rFonts w:ascii="Times New Roman" w:hAnsi="Times New Roman" w:cs="Times New Roman"/>
          <w:sz w:val="24"/>
          <w:szCs w:val="24"/>
        </w:rPr>
        <w:t>is</w:t>
      </w:r>
      <w:r w:rsidR="00024580">
        <w:rPr>
          <w:rFonts w:ascii="Times New Roman" w:hAnsi="Times New Roman" w:cs="Times New Roman"/>
          <w:sz w:val="24"/>
          <w:szCs w:val="24"/>
        </w:rPr>
        <w:t xml:space="preserve"> </w:t>
      </w:r>
      <w:r w:rsidR="00024580" w:rsidRPr="00024580">
        <w:rPr>
          <w:rFonts w:ascii="Times New Roman" w:hAnsi="Times New Roman" w:cs="Times New Roman"/>
          <w:sz w:val="24"/>
          <w:szCs w:val="24"/>
        </w:rPr>
        <w:t xml:space="preserve">given to the collaboration of the gatekeepers with the regulators, which will determine the extent of the applicable obligations, alongside other factors e.g. </w:t>
      </w:r>
      <w:r w:rsidR="00142792">
        <w:rPr>
          <w:rFonts w:ascii="Times New Roman" w:hAnsi="Times New Roman" w:cs="Times New Roman"/>
          <w:sz w:val="24"/>
          <w:szCs w:val="24"/>
        </w:rPr>
        <w:t>coopetiti</w:t>
      </w:r>
      <w:r w:rsidR="00C136D5">
        <w:rPr>
          <w:rFonts w:ascii="Times New Roman" w:hAnsi="Times New Roman" w:cs="Times New Roman"/>
          <w:sz w:val="24"/>
          <w:szCs w:val="24"/>
        </w:rPr>
        <w:t>on</w:t>
      </w:r>
      <w:r w:rsidR="00FF1776">
        <w:rPr>
          <w:rFonts w:ascii="Times New Roman" w:hAnsi="Times New Roman" w:cs="Times New Roman"/>
          <w:sz w:val="24"/>
          <w:szCs w:val="24"/>
        </w:rPr>
        <w:t xml:space="preserve">, </w:t>
      </w:r>
      <w:r w:rsidR="00024580" w:rsidRPr="00024580">
        <w:rPr>
          <w:rFonts w:ascii="Times New Roman" w:hAnsi="Times New Roman" w:cs="Times New Roman"/>
          <w:sz w:val="24"/>
          <w:szCs w:val="24"/>
        </w:rPr>
        <w:t>ecosystem</w:t>
      </w:r>
      <w:r w:rsidR="00FF1776">
        <w:rPr>
          <w:rFonts w:ascii="Times New Roman" w:hAnsi="Times New Roman" w:cs="Times New Roman"/>
          <w:sz w:val="24"/>
          <w:szCs w:val="24"/>
        </w:rPr>
        <w:t xml:space="preserve"> and</w:t>
      </w:r>
      <w:r w:rsidR="00024580" w:rsidRPr="00024580">
        <w:rPr>
          <w:rFonts w:ascii="Times New Roman" w:hAnsi="Times New Roman" w:cs="Times New Roman"/>
          <w:sz w:val="24"/>
          <w:szCs w:val="24"/>
        </w:rPr>
        <w:t xml:space="preserve"> non-ecosystem </w:t>
      </w:r>
      <w:r w:rsidR="00FF1776">
        <w:rPr>
          <w:rFonts w:ascii="Times New Roman" w:hAnsi="Times New Roman" w:cs="Times New Roman"/>
          <w:sz w:val="24"/>
          <w:szCs w:val="24"/>
        </w:rPr>
        <w:t>structures</w:t>
      </w:r>
      <w:r w:rsidR="00024580" w:rsidRPr="00024580">
        <w:rPr>
          <w:rFonts w:ascii="Times New Roman" w:hAnsi="Times New Roman" w:cs="Times New Roman"/>
          <w:sz w:val="24"/>
          <w:szCs w:val="24"/>
        </w:rPr>
        <w:t>.</w:t>
      </w:r>
    </w:p>
    <w:p w14:paraId="5A9C9E7C" w14:textId="76799E1B" w:rsidR="00922933" w:rsidRDefault="00FF1776">
      <w:pPr>
        <w:spacing w:before="360"/>
        <w:jc w:val="both"/>
        <w:rPr>
          <w:rFonts w:ascii="Times New Roman" w:hAnsi="Times New Roman" w:cs="Times New Roman"/>
          <w:sz w:val="24"/>
          <w:szCs w:val="24"/>
        </w:rPr>
      </w:pPr>
      <w:r>
        <w:rPr>
          <w:rFonts w:ascii="Times New Roman" w:hAnsi="Times New Roman" w:cs="Times New Roman"/>
          <w:sz w:val="24"/>
          <w:szCs w:val="24"/>
        </w:rPr>
        <w:t>Summing up</w:t>
      </w:r>
      <w:r w:rsidR="0005213D">
        <w:rPr>
          <w:rFonts w:ascii="Times New Roman" w:hAnsi="Times New Roman" w:cs="Times New Roman"/>
          <w:sz w:val="24"/>
          <w:szCs w:val="24"/>
        </w:rPr>
        <w:t>,</w:t>
      </w:r>
      <w:r>
        <w:rPr>
          <w:rFonts w:ascii="Times New Roman" w:hAnsi="Times New Roman" w:cs="Times New Roman"/>
          <w:sz w:val="24"/>
          <w:szCs w:val="24"/>
        </w:rPr>
        <w:t xml:space="preserve"> it is suggested that</w:t>
      </w:r>
      <w:r w:rsidR="0005213D">
        <w:rPr>
          <w:rFonts w:ascii="Times New Roman" w:hAnsi="Times New Roman" w:cs="Times New Roman"/>
          <w:sz w:val="24"/>
          <w:szCs w:val="24"/>
        </w:rPr>
        <w:t xml:space="preserve"> gatekeepers operating in </w:t>
      </w:r>
      <w:r w:rsidR="00A811D8">
        <w:rPr>
          <w:rFonts w:ascii="Times New Roman" w:hAnsi="Times New Roman" w:cs="Times New Roman"/>
          <w:sz w:val="24"/>
          <w:szCs w:val="24"/>
        </w:rPr>
        <w:t>each layer (</w:t>
      </w:r>
      <w:r w:rsidR="0005213D">
        <w:rPr>
          <w:rFonts w:ascii="Times New Roman" w:hAnsi="Times New Roman" w:cs="Times New Roman"/>
          <w:sz w:val="24"/>
          <w:szCs w:val="24"/>
        </w:rPr>
        <w:t>‘</w:t>
      </w:r>
      <w:r w:rsidR="00A811D8">
        <w:rPr>
          <w:rFonts w:ascii="Times New Roman" w:hAnsi="Times New Roman" w:cs="Times New Roman"/>
          <w:sz w:val="24"/>
          <w:szCs w:val="24"/>
        </w:rPr>
        <w:t>access</w:t>
      </w:r>
      <w:r w:rsidR="0005213D">
        <w:rPr>
          <w:rFonts w:ascii="Times New Roman" w:hAnsi="Times New Roman" w:cs="Times New Roman"/>
          <w:sz w:val="24"/>
          <w:szCs w:val="24"/>
        </w:rPr>
        <w:t>’</w:t>
      </w:r>
      <w:r w:rsidR="00A811D8">
        <w:rPr>
          <w:rFonts w:ascii="Times New Roman" w:hAnsi="Times New Roman" w:cs="Times New Roman"/>
          <w:sz w:val="24"/>
          <w:szCs w:val="24"/>
        </w:rPr>
        <w:t xml:space="preserve">, </w:t>
      </w:r>
      <w:r w:rsidR="0005213D">
        <w:rPr>
          <w:rFonts w:ascii="Times New Roman" w:hAnsi="Times New Roman" w:cs="Times New Roman"/>
          <w:sz w:val="24"/>
          <w:szCs w:val="24"/>
        </w:rPr>
        <w:t>‘</w:t>
      </w:r>
      <w:r w:rsidR="00A811D8">
        <w:rPr>
          <w:rFonts w:ascii="Times New Roman" w:hAnsi="Times New Roman" w:cs="Times New Roman"/>
          <w:sz w:val="24"/>
          <w:szCs w:val="24"/>
        </w:rPr>
        <w:t>middleware</w:t>
      </w:r>
      <w:r w:rsidR="0005213D">
        <w:rPr>
          <w:rFonts w:ascii="Times New Roman" w:hAnsi="Times New Roman" w:cs="Times New Roman"/>
          <w:sz w:val="24"/>
          <w:szCs w:val="24"/>
        </w:rPr>
        <w:t>’</w:t>
      </w:r>
      <w:r w:rsidR="00A811D8">
        <w:rPr>
          <w:rFonts w:ascii="Times New Roman" w:hAnsi="Times New Roman" w:cs="Times New Roman"/>
          <w:sz w:val="24"/>
          <w:szCs w:val="24"/>
        </w:rPr>
        <w:t xml:space="preserve">, </w:t>
      </w:r>
      <w:r w:rsidR="0005213D">
        <w:rPr>
          <w:rFonts w:ascii="Times New Roman" w:hAnsi="Times New Roman" w:cs="Times New Roman"/>
          <w:sz w:val="24"/>
          <w:szCs w:val="24"/>
        </w:rPr>
        <w:t>‘</w:t>
      </w:r>
      <w:r w:rsidR="00A811D8">
        <w:rPr>
          <w:rFonts w:ascii="Times New Roman" w:hAnsi="Times New Roman" w:cs="Times New Roman"/>
          <w:sz w:val="24"/>
          <w:szCs w:val="24"/>
        </w:rPr>
        <w:t>application</w:t>
      </w:r>
      <w:r w:rsidR="0005213D">
        <w:rPr>
          <w:rFonts w:ascii="Times New Roman" w:hAnsi="Times New Roman" w:cs="Times New Roman"/>
          <w:sz w:val="24"/>
          <w:szCs w:val="24"/>
        </w:rPr>
        <w:t>’</w:t>
      </w:r>
      <w:r w:rsidR="00A811D8">
        <w:rPr>
          <w:rFonts w:ascii="Times New Roman" w:hAnsi="Times New Roman" w:cs="Times New Roman"/>
          <w:sz w:val="24"/>
          <w:szCs w:val="24"/>
        </w:rPr>
        <w:t xml:space="preserve"> and </w:t>
      </w:r>
      <w:r w:rsidR="0005213D">
        <w:rPr>
          <w:rFonts w:ascii="Times New Roman" w:hAnsi="Times New Roman" w:cs="Times New Roman"/>
          <w:sz w:val="24"/>
          <w:szCs w:val="24"/>
        </w:rPr>
        <w:t>‘</w:t>
      </w:r>
      <w:r w:rsidR="00A811D8">
        <w:rPr>
          <w:rFonts w:ascii="Times New Roman" w:hAnsi="Times New Roman" w:cs="Times New Roman"/>
          <w:sz w:val="24"/>
          <w:szCs w:val="24"/>
        </w:rPr>
        <w:t>content</w:t>
      </w:r>
      <w:r w:rsidR="0005213D">
        <w:rPr>
          <w:rFonts w:ascii="Times New Roman" w:hAnsi="Times New Roman" w:cs="Times New Roman"/>
          <w:sz w:val="24"/>
          <w:szCs w:val="24"/>
        </w:rPr>
        <w:t>’</w:t>
      </w:r>
      <w:r w:rsidR="00A811D8">
        <w:rPr>
          <w:rFonts w:ascii="Times New Roman" w:hAnsi="Times New Roman" w:cs="Times New Roman"/>
          <w:sz w:val="24"/>
          <w:szCs w:val="24"/>
        </w:rPr>
        <w:t xml:space="preserve">) be subject to the </w:t>
      </w:r>
      <w:r>
        <w:rPr>
          <w:rFonts w:ascii="Times New Roman" w:hAnsi="Times New Roman" w:cs="Times New Roman"/>
          <w:sz w:val="24"/>
          <w:szCs w:val="24"/>
        </w:rPr>
        <w:t xml:space="preserve">governing </w:t>
      </w:r>
      <w:r w:rsidR="00A811D8">
        <w:rPr>
          <w:rFonts w:ascii="Times New Roman" w:hAnsi="Times New Roman" w:cs="Times New Roman"/>
          <w:sz w:val="24"/>
          <w:szCs w:val="24"/>
        </w:rPr>
        <w:t>principles a</w:t>
      </w:r>
      <w:r w:rsidR="0005213D">
        <w:rPr>
          <w:rFonts w:ascii="Times New Roman" w:hAnsi="Times New Roman" w:cs="Times New Roman"/>
          <w:sz w:val="24"/>
          <w:szCs w:val="24"/>
        </w:rPr>
        <w:t>long with</w:t>
      </w:r>
      <w:r w:rsidR="00A811D8">
        <w:rPr>
          <w:rFonts w:ascii="Times New Roman" w:hAnsi="Times New Roman" w:cs="Times New Roman"/>
          <w:sz w:val="24"/>
          <w:szCs w:val="24"/>
        </w:rPr>
        <w:t xml:space="preserve"> the </w:t>
      </w:r>
      <w:r w:rsidR="00C256BB">
        <w:rPr>
          <w:rFonts w:ascii="Times New Roman" w:hAnsi="Times New Roman" w:cs="Times New Roman"/>
          <w:sz w:val="24"/>
          <w:szCs w:val="24"/>
        </w:rPr>
        <w:t xml:space="preserve">potentially applicable </w:t>
      </w:r>
      <w:r w:rsidR="00A811D8">
        <w:rPr>
          <w:rFonts w:ascii="Times New Roman" w:hAnsi="Times New Roman" w:cs="Times New Roman"/>
          <w:sz w:val="24"/>
          <w:szCs w:val="24"/>
        </w:rPr>
        <w:t>remedies</w:t>
      </w:r>
      <w:r w:rsidR="0005213D">
        <w:rPr>
          <w:rFonts w:ascii="Times New Roman" w:hAnsi="Times New Roman" w:cs="Times New Roman"/>
          <w:sz w:val="24"/>
          <w:szCs w:val="24"/>
        </w:rPr>
        <w:t xml:space="preserve"> </w:t>
      </w:r>
      <w:r w:rsidR="00C256BB">
        <w:rPr>
          <w:rFonts w:ascii="Times New Roman" w:hAnsi="Times New Roman" w:cs="Times New Roman"/>
          <w:sz w:val="24"/>
          <w:szCs w:val="24"/>
        </w:rPr>
        <w:t xml:space="preserve">under the </w:t>
      </w:r>
      <w:r w:rsidR="0011722F">
        <w:rPr>
          <w:rFonts w:ascii="Times New Roman" w:hAnsi="Times New Roman" w:cs="Times New Roman"/>
          <w:sz w:val="24"/>
          <w:szCs w:val="24"/>
        </w:rPr>
        <w:t>given circumstances</w:t>
      </w:r>
      <w:r w:rsidR="0005213D">
        <w:rPr>
          <w:rFonts w:ascii="Times New Roman" w:hAnsi="Times New Roman" w:cs="Times New Roman"/>
          <w:sz w:val="24"/>
          <w:szCs w:val="24"/>
        </w:rPr>
        <w:t xml:space="preserve">. </w:t>
      </w:r>
      <w:r w:rsidR="00A811D8">
        <w:rPr>
          <w:rFonts w:ascii="Times New Roman" w:hAnsi="Times New Roman" w:cs="Times New Roman"/>
          <w:sz w:val="24"/>
          <w:szCs w:val="24"/>
        </w:rPr>
        <w:t xml:space="preserve">Crucially, the </w:t>
      </w:r>
      <w:r w:rsidR="00922933">
        <w:rPr>
          <w:rFonts w:ascii="Times New Roman" w:hAnsi="Times New Roman" w:cs="Times New Roman"/>
          <w:sz w:val="24"/>
          <w:szCs w:val="24"/>
        </w:rPr>
        <w:t xml:space="preserve">governing </w:t>
      </w:r>
      <w:r w:rsidR="00A811D8">
        <w:rPr>
          <w:rFonts w:ascii="Times New Roman" w:hAnsi="Times New Roman" w:cs="Times New Roman"/>
          <w:sz w:val="24"/>
          <w:szCs w:val="24"/>
        </w:rPr>
        <w:t>principles (</w:t>
      </w:r>
      <w:r w:rsidR="00A811D8" w:rsidRPr="00A811D8">
        <w:rPr>
          <w:rFonts w:ascii="Times New Roman" w:hAnsi="Times New Roman" w:cs="Times New Roman"/>
          <w:sz w:val="24"/>
          <w:szCs w:val="24"/>
        </w:rPr>
        <w:t xml:space="preserve">‘prohibition of restriction of access and interoperability </w:t>
      </w:r>
      <w:r>
        <w:rPr>
          <w:rFonts w:ascii="Times New Roman" w:hAnsi="Times New Roman" w:cs="Times New Roman"/>
          <w:sz w:val="24"/>
          <w:szCs w:val="24"/>
        </w:rPr>
        <w:t>at the expense of</w:t>
      </w:r>
      <w:r w:rsidR="00A811D8" w:rsidRPr="00A811D8">
        <w:rPr>
          <w:rFonts w:ascii="Times New Roman" w:hAnsi="Times New Roman" w:cs="Times New Roman"/>
          <w:sz w:val="24"/>
          <w:szCs w:val="24"/>
        </w:rPr>
        <w:t xml:space="preserve"> limit</w:t>
      </w:r>
      <w:r>
        <w:rPr>
          <w:rFonts w:ascii="Times New Roman" w:hAnsi="Times New Roman" w:cs="Times New Roman"/>
          <w:sz w:val="24"/>
          <w:szCs w:val="24"/>
        </w:rPr>
        <w:t>ing</w:t>
      </w:r>
      <w:r w:rsidR="00A811D8" w:rsidRPr="00A811D8">
        <w:rPr>
          <w:rFonts w:ascii="Times New Roman" w:hAnsi="Times New Roman" w:cs="Times New Roman"/>
          <w:sz w:val="24"/>
          <w:szCs w:val="24"/>
        </w:rPr>
        <w:t xml:space="preserve"> consumer choices’, ‘transparency’, ‘non-discrimination’ and ‘accountability’)</w:t>
      </w:r>
      <w:r w:rsidR="00A811D8">
        <w:rPr>
          <w:rFonts w:ascii="Times New Roman" w:hAnsi="Times New Roman" w:cs="Times New Roman"/>
          <w:sz w:val="24"/>
          <w:szCs w:val="24"/>
        </w:rPr>
        <w:t xml:space="preserve"> are applicable </w:t>
      </w:r>
      <w:r>
        <w:rPr>
          <w:rFonts w:ascii="Times New Roman" w:hAnsi="Times New Roman" w:cs="Times New Roman"/>
          <w:sz w:val="24"/>
          <w:szCs w:val="24"/>
        </w:rPr>
        <w:t>to all the ICT players</w:t>
      </w:r>
      <w:r w:rsidR="00A811D8">
        <w:rPr>
          <w:rFonts w:ascii="Times New Roman" w:hAnsi="Times New Roman" w:cs="Times New Roman"/>
          <w:sz w:val="24"/>
          <w:szCs w:val="24"/>
        </w:rPr>
        <w:t xml:space="preserve">, regardless of market power. However, the extent to what the remedies are going to be applied </w:t>
      </w:r>
      <w:r>
        <w:rPr>
          <w:rFonts w:ascii="Times New Roman" w:hAnsi="Times New Roman" w:cs="Times New Roman"/>
          <w:sz w:val="24"/>
          <w:szCs w:val="24"/>
        </w:rPr>
        <w:t xml:space="preserve">to the ICT players, specifically the ‘gatekeepers’, </w:t>
      </w:r>
      <w:r w:rsidR="00A811D8">
        <w:rPr>
          <w:rFonts w:ascii="Times New Roman" w:hAnsi="Times New Roman" w:cs="Times New Roman"/>
          <w:sz w:val="24"/>
          <w:szCs w:val="24"/>
        </w:rPr>
        <w:t xml:space="preserve">will be </w:t>
      </w:r>
      <w:r w:rsidR="00C136D5">
        <w:rPr>
          <w:rFonts w:ascii="Times New Roman" w:hAnsi="Times New Roman" w:cs="Times New Roman"/>
          <w:sz w:val="24"/>
          <w:szCs w:val="24"/>
        </w:rPr>
        <w:t xml:space="preserve">set out </w:t>
      </w:r>
      <w:r w:rsidR="00016310">
        <w:rPr>
          <w:rFonts w:ascii="Times New Roman" w:hAnsi="Times New Roman" w:cs="Times New Roman"/>
          <w:sz w:val="24"/>
          <w:szCs w:val="24"/>
        </w:rPr>
        <w:t>within the experimental and learning process of the model.</w:t>
      </w:r>
      <w:r w:rsidR="00922933">
        <w:rPr>
          <w:rFonts w:ascii="Times New Roman" w:hAnsi="Times New Roman" w:cs="Times New Roman"/>
          <w:sz w:val="24"/>
          <w:szCs w:val="24"/>
        </w:rPr>
        <w:t xml:space="preserve"> From this point of view, the proposed model is both dynamic and holistic in nature. </w:t>
      </w:r>
    </w:p>
    <w:p w14:paraId="01E8F6ED" w14:textId="13585489" w:rsidR="0057387C" w:rsidRPr="00774EDB" w:rsidRDefault="00922933" w:rsidP="00A70042">
      <w:pPr>
        <w:spacing w:before="360"/>
        <w:jc w:val="both"/>
        <w:rPr>
          <w:rFonts w:ascii="Times New Roman" w:hAnsi="Times New Roman" w:cs="Times New Roman"/>
          <w:sz w:val="24"/>
          <w:szCs w:val="24"/>
        </w:rPr>
      </w:pPr>
      <w:r>
        <w:rPr>
          <w:rFonts w:ascii="Times New Roman" w:hAnsi="Times New Roman" w:cs="Times New Roman"/>
          <w:sz w:val="24"/>
          <w:szCs w:val="24"/>
        </w:rPr>
        <w:t xml:space="preserve">As elaborated in the Conclusion, the dynamic nature of the model would bring out </w:t>
      </w:r>
      <w:r w:rsidR="002D14A3">
        <w:rPr>
          <w:rFonts w:ascii="Times New Roman" w:hAnsi="Times New Roman" w:cs="Times New Roman"/>
          <w:sz w:val="24"/>
          <w:szCs w:val="24"/>
        </w:rPr>
        <w:t xml:space="preserve">some </w:t>
      </w:r>
      <w:r>
        <w:rPr>
          <w:rFonts w:ascii="Times New Roman" w:hAnsi="Times New Roman" w:cs="Times New Roman"/>
          <w:sz w:val="24"/>
          <w:szCs w:val="24"/>
        </w:rPr>
        <w:t xml:space="preserve">more discussion in terms of implementation of the principles and remedies. Considering this is inevitable and healthy for the prospect of the proposed model, further research </w:t>
      </w:r>
      <w:r w:rsidR="00FB5B9A">
        <w:rPr>
          <w:rFonts w:ascii="Times New Roman" w:hAnsi="Times New Roman" w:cs="Times New Roman"/>
          <w:sz w:val="24"/>
          <w:szCs w:val="24"/>
        </w:rPr>
        <w:t>is always</w:t>
      </w:r>
      <w:r w:rsidR="00465B5A">
        <w:rPr>
          <w:rFonts w:ascii="Times New Roman" w:hAnsi="Times New Roman" w:cs="Times New Roman"/>
          <w:sz w:val="24"/>
          <w:szCs w:val="24"/>
        </w:rPr>
        <w:t xml:space="preserve"> welcome </w:t>
      </w:r>
      <w:r>
        <w:rPr>
          <w:rFonts w:ascii="Times New Roman" w:hAnsi="Times New Roman" w:cs="Times New Roman"/>
          <w:sz w:val="24"/>
          <w:szCs w:val="24"/>
        </w:rPr>
        <w:t xml:space="preserve">with regards to how to interpret </w:t>
      </w:r>
      <w:r w:rsidR="0082590C">
        <w:rPr>
          <w:rFonts w:ascii="Times New Roman" w:hAnsi="Times New Roman" w:cs="Times New Roman"/>
          <w:sz w:val="24"/>
          <w:szCs w:val="24"/>
        </w:rPr>
        <w:t xml:space="preserve">and implement </w:t>
      </w:r>
      <w:r>
        <w:rPr>
          <w:rFonts w:ascii="Times New Roman" w:hAnsi="Times New Roman" w:cs="Times New Roman"/>
          <w:sz w:val="24"/>
          <w:szCs w:val="24"/>
        </w:rPr>
        <w:t xml:space="preserve">the ‘layered regulatory model’ within the context of </w:t>
      </w:r>
      <w:r w:rsidR="002D14A3">
        <w:rPr>
          <w:rFonts w:ascii="Times New Roman" w:hAnsi="Times New Roman" w:cs="Times New Roman"/>
          <w:sz w:val="24"/>
          <w:szCs w:val="24"/>
        </w:rPr>
        <w:t>hidden aspects of algorithmic</w:t>
      </w:r>
      <w:r w:rsidR="003A67F0">
        <w:rPr>
          <w:rFonts w:ascii="Times New Roman" w:hAnsi="Times New Roman" w:cs="Times New Roman"/>
          <w:sz w:val="24"/>
          <w:szCs w:val="24"/>
        </w:rPr>
        <w:t>,</w:t>
      </w:r>
      <w:r w:rsidR="002D14A3">
        <w:rPr>
          <w:rFonts w:ascii="Times New Roman" w:hAnsi="Times New Roman" w:cs="Times New Roman"/>
          <w:sz w:val="24"/>
          <w:szCs w:val="24"/>
        </w:rPr>
        <w:t xml:space="preserve"> </w:t>
      </w:r>
      <w:r w:rsidR="003A67F0">
        <w:rPr>
          <w:rFonts w:ascii="Times New Roman" w:hAnsi="Times New Roman" w:cs="Times New Roman"/>
          <w:sz w:val="24"/>
          <w:szCs w:val="24"/>
        </w:rPr>
        <w:t>artificial intelligence (</w:t>
      </w:r>
      <w:r w:rsidR="002D14A3" w:rsidRPr="00774EDB">
        <w:rPr>
          <w:rFonts w:ascii="Times New Roman" w:hAnsi="Times New Roman" w:cs="Times New Roman"/>
          <w:sz w:val="24"/>
          <w:szCs w:val="24"/>
        </w:rPr>
        <w:t>AI</w:t>
      </w:r>
      <w:r w:rsidR="003A67F0">
        <w:rPr>
          <w:rFonts w:ascii="Times New Roman" w:hAnsi="Times New Roman" w:cs="Times New Roman"/>
          <w:sz w:val="24"/>
          <w:szCs w:val="24"/>
        </w:rPr>
        <w:t>)</w:t>
      </w:r>
      <w:r w:rsidR="002D14A3">
        <w:rPr>
          <w:rFonts w:ascii="Times New Roman" w:hAnsi="Times New Roman" w:cs="Times New Roman"/>
          <w:sz w:val="24"/>
          <w:szCs w:val="24"/>
        </w:rPr>
        <w:t xml:space="preserve"> and data</w:t>
      </w:r>
      <w:r w:rsidR="00865E96">
        <w:rPr>
          <w:rFonts w:ascii="Times New Roman" w:hAnsi="Times New Roman" w:cs="Times New Roman"/>
          <w:sz w:val="24"/>
          <w:szCs w:val="24"/>
        </w:rPr>
        <w:t xml:space="preserve"> </w:t>
      </w:r>
      <w:r w:rsidR="002D14A3">
        <w:rPr>
          <w:rFonts w:ascii="Times New Roman" w:hAnsi="Times New Roman" w:cs="Times New Roman"/>
          <w:sz w:val="24"/>
          <w:szCs w:val="24"/>
        </w:rPr>
        <w:t>driven</w:t>
      </w:r>
      <w:r w:rsidR="003A67F0">
        <w:rPr>
          <w:rFonts w:ascii="Times New Roman" w:hAnsi="Times New Roman" w:cs="Times New Roman"/>
          <w:sz w:val="24"/>
          <w:szCs w:val="24"/>
        </w:rPr>
        <w:t xml:space="preserve"> </w:t>
      </w:r>
      <w:r w:rsidR="00865E96">
        <w:rPr>
          <w:rFonts w:ascii="Times New Roman" w:hAnsi="Times New Roman" w:cs="Times New Roman"/>
          <w:sz w:val="24"/>
          <w:szCs w:val="24"/>
        </w:rPr>
        <w:t xml:space="preserve">services, </w:t>
      </w:r>
      <w:r w:rsidR="003A67F0">
        <w:rPr>
          <w:rFonts w:ascii="Times New Roman" w:hAnsi="Times New Roman" w:cs="Times New Roman"/>
          <w:sz w:val="24"/>
          <w:szCs w:val="24"/>
        </w:rPr>
        <w:t>applications</w:t>
      </w:r>
      <w:r w:rsidR="00865E96">
        <w:rPr>
          <w:rFonts w:ascii="Times New Roman" w:hAnsi="Times New Roman" w:cs="Times New Roman"/>
          <w:sz w:val="24"/>
          <w:szCs w:val="24"/>
        </w:rPr>
        <w:t xml:space="preserve">, </w:t>
      </w:r>
      <w:r w:rsidR="0082590C">
        <w:rPr>
          <w:rFonts w:ascii="Times New Roman" w:hAnsi="Times New Roman" w:cs="Times New Roman"/>
          <w:sz w:val="24"/>
          <w:szCs w:val="24"/>
        </w:rPr>
        <w:t>and its implications for the institutional structure of the EU law</w:t>
      </w:r>
      <w:r w:rsidR="0057387C" w:rsidRPr="00774EDB">
        <w:rPr>
          <w:rFonts w:ascii="Times New Roman" w:hAnsi="Times New Roman" w:cs="Times New Roman"/>
          <w:sz w:val="24"/>
          <w:szCs w:val="24"/>
        </w:rPr>
        <w:t xml:space="preserve">. </w:t>
      </w:r>
    </w:p>
    <w:p w14:paraId="6155828A" w14:textId="64C3EEE2" w:rsidR="009577B0" w:rsidRDefault="009577B0">
      <w:pPr>
        <w:rPr>
          <w:rFonts w:ascii="Times New Roman" w:eastAsiaTheme="majorEastAsia" w:hAnsi="Times New Roman" w:cs="Times New Roman"/>
          <w:color w:val="2E74B5" w:themeColor="accent1" w:themeShade="BF"/>
          <w:sz w:val="24"/>
          <w:szCs w:val="24"/>
        </w:rPr>
      </w:pPr>
      <w:r>
        <w:rPr>
          <w:rFonts w:ascii="Times New Roman" w:hAnsi="Times New Roman" w:cs="Times New Roman"/>
          <w:sz w:val="24"/>
          <w:szCs w:val="24"/>
        </w:rPr>
        <w:lastRenderedPageBreak/>
        <w:br w:type="page"/>
      </w:r>
    </w:p>
    <w:p w14:paraId="287DDAED" w14:textId="77777777" w:rsidR="00B40CC9" w:rsidRPr="00774EDB" w:rsidRDefault="0046357D" w:rsidP="00A70042">
      <w:pPr>
        <w:pStyle w:val="Heading1"/>
        <w:spacing w:before="360"/>
        <w:jc w:val="both"/>
        <w:rPr>
          <w:rFonts w:ascii="Times New Roman" w:hAnsi="Times New Roman" w:cs="Times New Roman"/>
          <w:b/>
          <w:color w:val="auto"/>
          <w:sz w:val="24"/>
          <w:szCs w:val="24"/>
        </w:rPr>
      </w:pPr>
      <w:bookmarkStart w:id="104" w:name="_Toc17611344"/>
      <w:bookmarkStart w:id="105" w:name="_Toc53576024"/>
      <w:r w:rsidRPr="00774EDB">
        <w:rPr>
          <w:rFonts w:ascii="Times New Roman" w:hAnsi="Times New Roman" w:cs="Times New Roman"/>
          <w:b/>
          <w:color w:val="auto"/>
          <w:sz w:val="24"/>
          <w:szCs w:val="24"/>
        </w:rPr>
        <w:lastRenderedPageBreak/>
        <w:t xml:space="preserve">2. </w:t>
      </w:r>
      <w:r w:rsidR="00B40CC9" w:rsidRPr="00774EDB">
        <w:rPr>
          <w:rFonts w:ascii="Times New Roman" w:hAnsi="Times New Roman" w:cs="Times New Roman"/>
          <w:b/>
          <w:color w:val="auto"/>
          <w:sz w:val="24"/>
          <w:szCs w:val="24"/>
        </w:rPr>
        <w:t xml:space="preserve">Interoperability in </w:t>
      </w:r>
      <w:r w:rsidR="00AF5D1A" w:rsidRPr="00774EDB">
        <w:rPr>
          <w:rFonts w:ascii="Times New Roman" w:hAnsi="Times New Roman" w:cs="Times New Roman"/>
          <w:b/>
          <w:color w:val="auto"/>
          <w:sz w:val="24"/>
          <w:szCs w:val="24"/>
        </w:rPr>
        <w:t xml:space="preserve">the </w:t>
      </w:r>
      <w:r w:rsidR="00247877" w:rsidRPr="00774EDB">
        <w:rPr>
          <w:rFonts w:ascii="Times New Roman" w:hAnsi="Times New Roman" w:cs="Times New Roman"/>
          <w:b/>
          <w:color w:val="auto"/>
          <w:sz w:val="24"/>
          <w:szCs w:val="24"/>
        </w:rPr>
        <w:t xml:space="preserve">field of </w:t>
      </w:r>
      <w:r w:rsidR="00B40CC9" w:rsidRPr="00774EDB">
        <w:rPr>
          <w:rFonts w:ascii="Times New Roman" w:hAnsi="Times New Roman" w:cs="Times New Roman"/>
          <w:b/>
          <w:color w:val="auto"/>
          <w:sz w:val="24"/>
          <w:szCs w:val="24"/>
        </w:rPr>
        <w:t>ICTs</w:t>
      </w:r>
      <w:bookmarkEnd w:id="104"/>
      <w:bookmarkEnd w:id="105"/>
    </w:p>
    <w:p w14:paraId="0397E445" w14:textId="77777777" w:rsidR="00B40CC9" w:rsidRPr="00774EDB" w:rsidRDefault="00B40CC9" w:rsidP="00A70042">
      <w:pPr>
        <w:pStyle w:val="Heading2"/>
        <w:spacing w:before="360"/>
        <w:jc w:val="both"/>
        <w:rPr>
          <w:rFonts w:ascii="Times New Roman" w:hAnsi="Times New Roman" w:cs="Times New Roman"/>
          <w:b/>
          <w:color w:val="auto"/>
          <w:sz w:val="24"/>
          <w:szCs w:val="24"/>
        </w:rPr>
      </w:pPr>
      <w:bookmarkStart w:id="106" w:name="_Toc17611345"/>
      <w:bookmarkStart w:id="107" w:name="_Toc53576025"/>
      <w:r w:rsidRPr="00774EDB">
        <w:rPr>
          <w:rFonts w:ascii="Times New Roman" w:hAnsi="Times New Roman" w:cs="Times New Roman"/>
          <w:b/>
          <w:color w:val="auto"/>
          <w:sz w:val="24"/>
          <w:szCs w:val="24"/>
        </w:rPr>
        <w:t>2.1. Conceptual framework of interoperability</w:t>
      </w:r>
      <w:bookmarkEnd w:id="106"/>
      <w:bookmarkEnd w:id="107"/>
    </w:p>
    <w:p w14:paraId="6F6A0DFA"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Interoperability is a topic directly related to ICTs and their governance. As ICTs expand at an </w:t>
      </w:r>
      <w:r w:rsidR="00C91709" w:rsidRPr="00774EDB">
        <w:rPr>
          <w:rFonts w:ascii="Times New Roman" w:hAnsi="Times New Roman" w:cs="Times New Roman"/>
          <w:sz w:val="24"/>
          <w:szCs w:val="24"/>
        </w:rPr>
        <w:t>ever-growing</w:t>
      </w:r>
      <w:r w:rsidRPr="00774EDB">
        <w:rPr>
          <w:rFonts w:ascii="Times New Roman" w:hAnsi="Times New Roman" w:cs="Times New Roman"/>
          <w:sz w:val="24"/>
          <w:szCs w:val="24"/>
        </w:rPr>
        <w:t xml:space="preserve"> pace, interoperability has also an expanding and sometimes complicated nature. Below, interoperability is first examined as a core ICT concept, and then investigated from technical, economic and legal perspectives. In this regard, basic information about the related concepts, including network effects, standardisation and ICT networks and services, are given, along with the examination of the architectural thrusts of the internet and internet (IP) based convergence.</w:t>
      </w:r>
    </w:p>
    <w:p w14:paraId="6FFEC98C" w14:textId="77777777" w:rsidR="00B93D63" w:rsidRPr="00774EDB" w:rsidRDefault="00B93D63" w:rsidP="00A70042">
      <w:pPr>
        <w:pStyle w:val="Heading3"/>
        <w:numPr>
          <w:ilvl w:val="2"/>
          <w:numId w:val="5"/>
        </w:numPr>
        <w:spacing w:before="360"/>
        <w:ind w:left="709"/>
        <w:jc w:val="both"/>
        <w:rPr>
          <w:rFonts w:ascii="Times New Roman" w:hAnsi="Times New Roman" w:cs="Times New Roman"/>
          <w:b/>
          <w:color w:val="auto"/>
        </w:rPr>
      </w:pPr>
      <w:bookmarkStart w:id="108" w:name="_Toc17611346"/>
      <w:bookmarkStart w:id="109" w:name="_Toc17611563"/>
      <w:bookmarkStart w:id="110" w:name="_Toc17611775"/>
      <w:bookmarkStart w:id="111" w:name="_Toc17611989"/>
      <w:bookmarkStart w:id="112" w:name="_Toc17612202"/>
      <w:bookmarkStart w:id="113" w:name="_Toc11400618"/>
      <w:bookmarkStart w:id="114" w:name="_Toc17611347"/>
      <w:bookmarkStart w:id="115" w:name="_Toc53576026"/>
      <w:bookmarkEnd w:id="108"/>
      <w:bookmarkEnd w:id="109"/>
      <w:bookmarkEnd w:id="110"/>
      <w:bookmarkEnd w:id="111"/>
      <w:bookmarkEnd w:id="112"/>
      <w:r w:rsidRPr="00774EDB">
        <w:rPr>
          <w:rFonts w:ascii="Times New Roman" w:hAnsi="Times New Roman" w:cs="Times New Roman"/>
          <w:b/>
          <w:color w:val="auto"/>
        </w:rPr>
        <w:t>Definition of interoperability</w:t>
      </w:r>
      <w:bookmarkEnd w:id="113"/>
      <w:bookmarkEnd w:id="114"/>
      <w:bookmarkEnd w:id="115"/>
    </w:p>
    <w:p w14:paraId="02ACD10B"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ICTs depict a world of digitised and connected devices, systems and networks, which interact with each other towards the same goal of ensuring a communication and/or data exchange. This is ensured through using the same language adopted by the parties </w:t>
      </w:r>
      <w:r w:rsidR="00C91709" w:rsidRPr="00774EDB">
        <w:rPr>
          <w:rFonts w:ascii="Times New Roman" w:hAnsi="Times New Roman" w:cs="Times New Roman"/>
          <w:sz w:val="24"/>
          <w:szCs w:val="24"/>
        </w:rPr>
        <w:t xml:space="preserve">or </w:t>
      </w:r>
      <w:r w:rsidRPr="00774EDB">
        <w:rPr>
          <w:rFonts w:ascii="Times New Roman" w:hAnsi="Times New Roman" w:cs="Times New Roman"/>
          <w:sz w:val="24"/>
          <w:szCs w:val="24"/>
        </w:rPr>
        <w:t>end points. This language, taking distinct forms of bilateral cooperation and recognition, results in the information being sent and received by the parties and understood and transformed into different implementations, including voice, video and data streams. In many cases, this is realised by means of standards being arrived at after long-lasting technical processes and wider scale adoption. For instance, the world wide web (WWW) hosts myriad web resources e.g. text documents, images, on top of the internet. Both the internet and the WWW represent distinct global networks running over standardised protocols e.g. TCP/IP for the former and HTTP for the latter. In both cases, the exchange of data through the protocols is referred to and echoed in the “interoperability” between the end points.</w:t>
      </w:r>
    </w:p>
    <w:p w14:paraId="2ECD8A0A"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Interoperability is defined as “[t]he ability to transfer and render useful data and other information across systems, applications or components”.</w:t>
      </w:r>
      <w:r w:rsidRPr="00774EDB">
        <w:rPr>
          <w:rStyle w:val="FootnoteAnchor"/>
          <w:rFonts w:ascii="Times New Roman" w:hAnsi="Times New Roman" w:cs="Times New Roman"/>
          <w:sz w:val="24"/>
          <w:szCs w:val="24"/>
        </w:rPr>
        <w:footnoteReference w:id="43"/>
      </w:r>
      <w:r w:rsidRPr="00774EDB">
        <w:rPr>
          <w:rFonts w:ascii="Times New Roman" w:hAnsi="Times New Roman" w:cs="Times New Roman"/>
          <w:sz w:val="24"/>
          <w:szCs w:val="24"/>
        </w:rPr>
        <w:t xml:space="preserve"> Interoperability is also defined as “[t]he ability for two different and independent software applications to exchange information without loss of data, semantics or metadata”.</w:t>
      </w:r>
      <w:r w:rsidRPr="00774EDB">
        <w:rPr>
          <w:rStyle w:val="FootnoteReference"/>
          <w:rFonts w:ascii="Times New Roman" w:hAnsi="Times New Roman" w:cs="Times New Roman"/>
          <w:sz w:val="24"/>
          <w:szCs w:val="24"/>
        </w:rPr>
        <w:footnoteReference w:id="44"/>
      </w:r>
      <w:r w:rsidRPr="00774EDB">
        <w:rPr>
          <w:rFonts w:ascii="Times New Roman" w:hAnsi="Times New Roman" w:cs="Times New Roman"/>
          <w:sz w:val="24"/>
          <w:szCs w:val="24"/>
        </w:rPr>
        <w:t xml:space="preserve"> Other definitions</w:t>
      </w:r>
      <w:r w:rsidRPr="00774EDB">
        <w:rPr>
          <w:rStyle w:val="FootnoteReference"/>
          <w:rFonts w:ascii="Times New Roman" w:hAnsi="Times New Roman" w:cs="Times New Roman"/>
          <w:sz w:val="24"/>
          <w:szCs w:val="24"/>
        </w:rPr>
        <w:footnoteReference w:id="45"/>
      </w:r>
      <w:r w:rsidRPr="00774EDB">
        <w:rPr>
          <w:rFonts w:ascii="Times New Roman" w:hAnsi="Times New Roman" w:cs="Times New Roman"/>
          <w:sz w:val="24"/>
          <w:szCs w:val="24"/>
        </w:rPr>
        <w:t xml:space="preserve"> denote a similar meaning and scope, which is also reflected in the Software Directive (2009/24/EC) reading as follows:</w:t>
      </w:r>
    </w:p>
    <w:p w14:paraId="02563F16" w14:textId="7EC03569" w:rsidR="00B93D63" w:rsidRPr="00774EDB" w:rsidRDefault="00B93D63" w:rsidP="00A70042">
      <w:pPr>
        <w:spacing w:before="360" w:line="456" w:lineRule="auto"/>
        <w:ind w:left="709" w:right="709"/>
        <w:jc w:val="both"/>
        <w:rPr>
          <w:rFonts w:ascii="Times New Roman" w:hAnsi="Times New Roman" w:cs="Times New Roman"/>
          <w:i/>
          <w:sz w:val="24"/>
          <w:szCs w:val="24"/>
        </w:rPr>
      </w:pPr>
      <w:r w:rsidRPr="00774EDB">
        <w:rPr>
          <w:rFonts w:ascii="Times New Roman" w:hAnsi="Times New Roman" w:cs="Times New Roman"/>
          <w:sz w:val="24"/>
          <w:szCs w:val="24"/>
        </w:rPr>
        <w:t xml:space="preserve">The function of a computer program is to communicate and work together with other components of a computer system and with users and, for this purpose, a logical and, where appropriate, physical interconnection and interaction is required to permit all elements of software and hardware to work with other software and hardware and with users in all the ways in which they are intended to function. The parts of the program which provide for such interconnection and interaction between elements of software and hardware are generally known as ‘interfaces’. This functional interconnection and interaction is generally known as ‘interoperability’; such interoperability can be defined as </w:t>
      </w:r>
      <w:r w:rsidRPr="00774EDB">
        <w:rPr>
          <w:rFonts w:ascii="Times New Roman" w:hAnsi="Times New Roman" w:cs="Times New Roman"/>
          <w:i/>
          <w:sz w:val="24"/>
          <w:szCs w:val="24"/>
        </w:rPr>
        <w:t>the ability to exchange information and mutually to use the information which has been exchanged</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46"/>
      </w:r>
    </w:p>
    <w:p w14:paraId="50D5405B"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Interoperability does not require that two systems be identical in design or implementation, only that they can exchange information and use the information they exchange.</w:t>
      </w:r>
      <w:r w:rsidRPr="00774EDB">
        <w:rPr>
          <w:rStyle w:val="FootnoteReference"/>
          <w:rFonts w:ascii="Times New Roman" w:hAnsi="Times New Roman" w:cs="Times New Roman"/>
          <w:sz w:val="24"/>
          <w:szCs w:val="24"/>
        </w:rPr>
        <w:footnoteReference w:id="47"/>
      </w:r>
      <w:r w:rsidRPr="00774EDB">
        <w:rPr>
          <w:rFonts w:ascii="Times New Roman" w:hAnsi="Times New Roman" w:cs="Times New Roman"/>
          <w:sz w:val="24"/>
          <w:szCs w:val="24"/>
        </w:rPr>
        <w:t xml:space="preserve"> As a result, interoperability allows programmers to develop their software using the formerly accepted format and with no need for decryption or rewriting a similar code. Overall, interoperability, either relating to global IP-based platforms or to the local networks e.g. data centres, would be said to have the same functionality: interaction between software, often together with hardware, components of non-homogenous systems to share and re-use information for a mutually defined objective.</w:t>
      </w:r>
      <w:r w:rsidRPr="00774EDB">
        <w:rPr>
          <w:rStyle w:val="FootnoteAnchor"/>
          <w:rFonts w:ascii="Times New Roman" w:hAnsi="Times New Roman" w:cs="Times New Roman"/>
          <w:sz w:val="24"/>
          <w:szCs w:val="24"/>
        </w:rPr>
        <w:footnoteReference w:id="48"/>
      </w:r>
      <w:r w:rsidRPr="00774EDB">
        <w:rPr>
          <w:rFonts w:ascii="Times New Roman" w:hAnsi="Times New Roman" w:cs="Times New Roman"/>
          <w:sz w:val="24"/>
          <w:szCs w:val="24"/>
        </w:rPr>
        <w:t xml:space="preserve"> As this intera</w:t>
      </w:r>
      <w:r w:rsidR="00764F78" w:rsidRPr="00774EDB">
        <w:rPr>
          <w:rFonts w:ascii="Times New Roman" w:hAnsi="Times New Roman" w:cs="Times New Roman"/>
          <w:sz w:val="24"/>
          <w:szCs w:val="24"/>
        </w:rPr>
        <w:t>c</w:t>
      </w:r>
      <w:r w:rsidRPr="00774EDB">
        <w:rPr>
          <w:rFonts w:ascii="Times New Roman" w:hAnsi="Times New Roman" w:cs="Times New Roman"/>
          <w:sz w:val="24"/>
          <w:szCs w:val="24"/>
        </w:rPr>
        <w:t>tion takes place within and across the ICTs, ‘ICT interoperability’ could be acknowledged as the same as ‘interoperability’. Nevertheless, in the title and many parts of this study, the former is opted for rather than the latter, so as to emphasize the link between ‘ICT’ and ‘interoperability’.</w:t>
      </w:r>
      <w:r w:rsidRPr="00774EDB">
        <w:rPr>
          <w:rStyle w:val="FootnoteReference"/>
          <w:rFonts w:ascii="Times New Roman" w:hAnsi="Times New Roman" w:cs="Times New Roman"/>
          <w:sz w:val="24"/>
          <w:szCs w:val="24"/>
        </w:rPr>
        <w:footnoteReference w:id="49"/>
      </w:r>
      <w:r w:rsidRPr="00774EDB">
        <w:rPr>
          <w:rFonts w:ascii="Times New Roman" w:hAnsi="Times New Roman" w:cs="Times New Roman"/>
          <w:sz w:val="24"/>
          <w:szCs w:val="24"/>
        </w:rPr>
        <w:t xml:space="preserve">  </w:t>
      </w:r>
    </w:p>
    <w:p w14:paraId="0C5B18E8"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Interoperability might vary from context to context,</w:t>
      </w:r>
      <w:r w:rsidRPr="00774EDB">
        <w:rPr>
          <w:rStyle w:val="FootnoteReference"/>
          <w:rFonts w:ascii="Times New Roman" w:hAnsi="Times New Roman" w:cs="Times New Roman"/>
          <w:sz w:val="24"/>
          <w:szCs w:val="24"/>
        </w:rPr>
        <w:footnoteReference w:id="50"/>
      </w:r>
      <w:r w:rsidRPr="00774EDB">
        <w:rPr>
          <w:rFonts w:ascii="Times New Roman" w:hAnsi="Times New Roman" w:cs="Times New Roman"/>
          <w:sz w:val="24"/>
          <w:szCs w:val="24"/>
        </w:rPr>
        <w:t xml:space="preserve"> although the same principles apply in relevant cases. Word processing programs could be considered as an example to comprehend interoperability and the consequences of its absence. It might well be possible to save a document created using one word processing software package in </w:t>
      </w:r>
      <w:r w:rsidRPr="00774EDB">
        <w:rPr>
          <w:rFonts w:ascii="Times New Roman" w:hAnsi="Times New Roman" w:cs="Times New Roman"/>
          <w:sz w:val="24"/>
          <w:szCs w:val="24"/>
        </w:rPr>
        <w:lastRenderedPageBreak/>
        <w:t>another file format and to use this file with different software, but one might lose some or all of the text formatting in the case that the word processing programs are not interoperable.</w:t>
      </w:r>
      <w:r w:rsidRPr="00774EDB">
        <w:rPr>
          <w:rStyle w:val="FootnoteReference"/>
          <w:rFonts w:ascii="Times New Roman" w:hAnsi="Times New Roman" w:cs="Times New Roman"/>
          <w:sz w:val="24"/>
          <w:szCs w:val="24"/>
        </w:rPr>
        <w:footnoteReference w:id="51"/>
      </w:r>
      <w:r w:rsidRPr="00774EDB">
        <w:rPr>
          <w:rFonts w:ascii="Times New Roman" w:hAnsi="Times New Roman" w:cs="Times New Roman"/>
          <w:sz w:val="24"/>
          <w:szCs w:val="24"/>
        </w:rPr>
        <w:t xml:space="preserve"> The same logic and principles apply to the online music industry,</w:t>
      </w:r>
      <w:r w:rsidRPr="00774EDB">
        <w:rPr>
          <w:rStyle w:val="FootnoteReference"/>
          <w:rFonts w:ascii="Times New Roman" w:hAnsi="Times New Roman" w:cs="Times New Roman"/>
          <w:sz w:val="24"/>
          <w:szCs w:val="24"/>
        </w:rPr>
        <w:footnoteReference w:id="52"/>
      </w:r>
      <w:r w:rsidRPr="00774EDB">
        <w:rPr>
          <w:rFonts w:ascii="Times New Roman" w:hAnsi="Times New Roman" w:cs="Times New Roman"/>
          <w:sz w:val="24"/>
          <w:szCs w:val="24"/>
        </w:rPr>
        <w:t xml:space="preserve"> which has so far been fraught with a variety of encryption methods such as digital rights management (DRM)</w:t>
      </w:r>
      <w:r w:rsidRPr="00774EDB">
        <w:rPr>
          <w:rStyle w:val="FootnoteAnchor"/>
          <w:rFonts w:ascii="Times New Roman" w:hAnsi="Times New Roman" w:cs="Times New Roman"/>
          <w:sz w:val="24"/>
          <w:szCs w:val="24"/>
        </w:rPr>
        <w:footnoteReference w:id="53"/>
      </w:r>
      <w:r w:rsidRPr="00774EDB">
        <w:rPr>
          <w:rFonts w:ascii="Times New Roman" w:hAnsi="Times New Roman" w:cs="Times New Roman"/>
          <w:sz w:val="24"/>
          <w:szCs w:val="24"/>
        </w:rPr>
        <w:t xml:space="preserve"> techniques. Aiming at protecting the native users from unauthorised access, DRM tools might go beyond this, creating a barrier for interoperab</w:t>
      </w:r>
      <w:r w:rsidR="007D0C51" w:rsidRPr="00774EDB">
        <w:rPr>
          <w:rFonts w:ascii="Times New Roman" w:hAnsi="Times New Roman" w:cs="Times New Roman"/>
          <w:sz w:val="24"/>
          <w:szCs w:val="24"/>
        </w:rPr>
        <w:t>ility</w:t>
      </w:r>
      <w:r w:rsidRPr="00774EDB">
        <w:rPr>
          <w:rFonts w:ascii="Times New Roman" w:hAnsi="Times New Roman" w:cs="Times New Roman"/>
          <w:sz w:val="24"/>
          <w:szCs w:val="24"/>
        </w:rPr>
        <w:t xml:space="preserve"> and the development of digital music content. All these examples show that interoperability between the competing platforms e.g. music distribution channels and software e.g. word processing programmes etc. is not granted at all, but needs to be achieved via the collaboration between the parties.</w:t>
      </w:r>
    </w:p>
    <w:p w14:paraId="65F9387F" w14:textId="16861A1B" w:rsidR="00B93D63" w:rsidRPr="00A70042" w:rsidRDefault="00B93D63"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Achievement of interoperability would stimulate new entries to the relevant market, reducing the up-front costs for investment and switching costs. This means more competition in the relevant markets. The current evolution and state of the mass computer market illustrates interoperability’s pivotal role in ensuring market competition between all of the actors involved.</w:t>
      </w:r>
      <w:r w:rsidRPr="00A70042">
        <w:rPr>
          <w:rStyle w:val="FootnoteReference"/>
          <w:rFonts w:ascii="Times New Roman" w:hAnsi="Times New Roman" w:cs="Times New Roman"/>
          <w:spacing w:val="-2"/>
          <w:sz w:val="24"/>
          <w:szCs w:val="24"/>
        </w:rPr>
        <w:footnoteReference w:id="54"/>
      </w:r>
      <w:r w:rsidRPr="00A70042">
        <w:rPr>
          <w:rFonts w:ascii="Times New Roman" w:hAnsi="Times New Roman" w:cs="Times New Roman"/>
          <w:spacing w:val="-2"/>
          <w:sz w:val="24"/>
          <w:szCs w:val="24"/>
        </w:rPr>
        <w:t xml:space="preserve"> Going through a long-lasting journey, the computer industry emanated from the monolithic systems e.g. mainframe computers of earlier decades and reaches to today’s modular systems consisting of heterogeneous components e.g. memories, monitors and hard drivers, created by different manufacturers. In the 1970s, once a company purchased a computer system, the company was essentially “locked in” to that system, as the system was not compatible </w:t>
      </w:r>
      <w:r w:rsidRPr="00A70042">
        <w:rPr>
          <w:rFonts w:ascii="Times New Roman" w:hAnsi="Times New Roman" w:cs="Times New Roman"/>
          <w:spacing w:val="-2"/>
          <w:sz w:val="24"/>
          <w:szCs w:val="24"/>
        </w:rPr>
        <w:lastRenderedPageBreak/>
        <w:t>with the products manufactured by other companies and the conversion costs were high.</w:t>
      </w:r>
      <w:r w:rsidRPr="00A70042">
        <w:rPr>
          <w:rStyle w:val="FootnoteReference"/>
          <w:rFonts w:ascii="Times New Roman" w:hAnsi="Times New Roman" w:cs="Times New Roman"/>
          <w:spacing w:val="-2"/>
          <w:sz w:val="24"/>
          <w:szCs w:val="24"/>
        </w:rPr>
        <w:footnoteReference w:id="55"/>
      </w:r>
      <w:r w:rsidRPr="00A70042">
        <w:rPr>
          <w:rFonts w:ascii="Times New Roman" w:hAnsi="Times New Roman" w:cs="Times New Roman"/>
          <w:spacing w:val="-2"/>
          <w:sz w:val="24"/>
          <w:szCs w:val="24"/>
        </w:rPr>
        <w:t xml:space="preserve"> Although </w:t>
      </w:r>
      <w:r w:rsidR="0028684E" w:rsidRPr="00A70042">
        <w:rPr>
          <w:rFonts w:ascii="Times New Roman" w:hAnsi="Times New Roman" w:cs="Times New Roman"/>
          <w:spacing w:val="-2"/>
          <w:sz w:val="24"/>
          <w:szCs w:val="24"/>
        </w:rPr>
        <w:t>‘</w:t>
      </w:r>
      <w:r w:rsidRPr="00A70042">
        <w:rPr>
          <w:rFonts w:ascii="Times New Roman" w:hAnsi="Times New Roman" w:cs="Times New Roman"/>
          <w:spacing w:val="-2"/>
          <w:sz w:val="24"/>
          <w:szCs w:val="24"/>
        </w:rPr>
        <w:t>lock-in</w:t>
      </w:r>
      <w:r w:rsidR="0028684E" w:rsidRPr="00A70042">
        <w:rPr>
          <w:rFonts w:ascii="Times New Roman" w:hAnsi="Times New Roman" w:cs="Times New Roman"/>
          <w:spacing w:val="-2"/>
          <w:sz w:val="24"/>
          <w:szCs w:val="24"/>
        </w:rPr>
        <w:t>’</w:t>
      </w:r>
      <w:r w:rsidRPr="00A70042">
        <w:rPr>
          <w:rFonts w:ascii="Times New Roman" w:hAnsi="Times New Roman" w:cs="Times New Roman"/>
          <w:spacing w:val="-2"/>
          <w:sz w:val="24"/>
          <w:szCs w:val="24"/>
        </w:rPr>
        <w:t xml:space="preserve"> was extremely profitable for dominant vendors, such as IBM, its competitors and users suffered from high prices, indifferent service, limited choice and slow innovation.</w:t>
      </w:r>
      <w:r w:rsidRPr="00A70042">
        <w:rPr>
          <w:rStyle w:val="FootnoteReference"/>
          <w:rFonts w:ascii="Times New Roman" w:hAnsi="Times New Roman" w:cs="Times New Roman"/>
          <w:spacing w:val="-2"/>
          <w:sz w:val="24"/>
          <w:szCs w:val="24"/>
        </w:rPr>
        <w:footnoteReference w:id="56"/>
      </w:r>
      <w:r w:rsidRPr="00A70042">
        <w:rPr>
          <w:rFonts w:ascii="Times New Roman" w:hAnsi="Times New Roman" w:cs="Times New Roman"/>
          <w:spacing w:val="-2"/>
          <w:sz w:val="24"/>
          <w:szCs w:val="24"/>
        </w:rPr>
        <w:t xml:space="preserve"> Under various tensions related to such experiences and with huge increases in software development and an accompanying demand, the IT industry was driven by dramatic changes toward more interoperable solutions.</w:t>
      </w:r>
    </w:p>
    <w:p w14:paraId="0B3CFA73" w14:textId="1F54AC41"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this point of view, interoperability serves as a key driver for the development of the ICT industry, going beyond what is understood from its basic definition. It is noteworthy that know-how aggregation and specialisation in wide-ranging ICT areas are being transformed into useful and innovative products through interoperability. Today, interoperable hardware and software products manufactured by different vendors are configured to speak to each other, resulting in far-reaching implications from a self-feeding loop of innovation. Given these consequences, interoperability is widely seen as the life blood of the ICT industry,</w:t>
      </w:r>
      <w:r w:rsidRPr="00774EDB">
        <w:rPr>
          <w:rStyle w:val="FootnoteReference"/>
          <w:rFonts w:ascii="Times New Roman" w:hAnsi="Times New Roman" w:cs="Times New Roman"/>
          <w:sz w:val="24"/>
          <w:szCs w:val="24"/>
        </w:rPr>
        <w:footnoteReference w:id="57"/>
      </w:r>
      <w:r w:rsidRPr="00774EDB">
        <w:rPr>
          <w:rFonts w:ascii="Times New Roman" w:hAnsi="Times New Roman" w:cs="Times New Roman"/>
          <w:sz w:val="24"/>
          <w:szCs w:val="24"/>
        </w:rPr>
        <w:t xml:space="preserve"> as well as considered to promote socially desirable goals, such as fostering competition and innovation, enhancing consumer satisfaction and promoting economic growth.</w:t>
      </w:r>
      <w:r w:rsidRPr="00774EDB">
        <w:rPr>
          <w:rStyle w:val="FootnoteReference"/>
          <w:rFonts w:ascii="Times New Roman" w:hAnsi="Times New Roman" w:cs="Times New Roman"/>
          <w:sz w:val="24"/>
          <w:szCs w:val="24"/>
        </w:rPr>
        <w:footnoteReference w:id="58"/>
      </w:r>
      <w:r w:rsidR="006F550A">
        <w:rPr>
          <w:rFonts w:ascii="Times New Roman" w:hAnsi="Times New Roman" w:cs="Times New Roman"/>
          <w:sz w:val="24"/>
          <w:szCs w:val="24"/>
        </w:rPr>
        <w:t xml:space="preserve"> </w:t>
      </w:r>
      <w:bookmarkStart w:id="117" w:name="_Hlk52750943"/>
      <w:r w:rsidR="00E20E42">
        <w:rPr>
          <w:rFonts w:ascii="Times New Roman" w:hAnsi="Times New Roman"/>
          <w:sz w:val="24"/>
          <w:szCs w:val="24"/>
        </w:rPr>
        <w:t>From a broader perspective</w:t>
      </w:r>
      <w:r w:rsidR="006F550A">
        <w:rPr>
          <w:rFonts w:ascii="Times New Roman" w:hAnsi="Times New Roman"/>
          <w:sz w:val="24"/>
          <w:szCs w:val="24"/>
        </w:rPr>
        <w:t xml:space="preserve">, adverse consequences </w:t>
      </w:r>
      <w:r w:rsidR="00E20E42">
        <w:rPr>
          <w:rFonts w:ascii="Times New Roman" w:hAnsi="Times New Roman"/>
          <w:sz w:val="24"/>
          <w:szCs w:val="24"/>
        </w:rPr>
        <w:t>in the absence of interoperability towards</w:t>
      </w:r>
      <w:r w:rsidR="006F550A">
        <w:rPr>
          <w:rFonts w:ascii="Times New Roman" w:hAnsi="Times New Roman"/>
          <w:sz w:val="24"/>
          <w:szCs w:val="24"/>
        </w:rPr>
        <w:t xml:space="preserve"> information flows</w:t>
      </w:r>
      <w:r w:rsidR="00E20E42">
        <w:rPr>
          <w:rFonts w:ascii="Times New Roman" w:hAnsi="Times New Roman"/>
          <w:sz w:val="24"/>
          <w:szCs w:val="24"/>
        </w:rPr>
        <w:t xml:space="preserve"> and ultimately</w:t>
      </w:r>
      <w:r w:rsidR="006F550A">
        <w:rPr>
          <w:rFonts w:ascii="Times New Roman" w:hAnsi="Times New Roman"/>
          <w:sz w:val="24"/>
          <w:szCs w:val="24"/>
        </w:rPr>
        <w:t xml:space="preserve"> cultural production and participatory democracy need to be added as follow-on challenges.</w:t>
      </w:r>
      <w:bookmarkEnd w:id="117"/>
      <w:r w:rsidR="006F550A">
        <w:rPr>
          <w:rStyle w:val="FootnoteReference"/>
          <w:rFonts w:ascii="Times New Roman" w:hAnsi="Times New Roman"/>
          <w:sz w:val="24"/>
          <w:szCs w:val="24"/>
        </w:rPr>
        <w:footnoteReference w:id="59"/>
      </w:r>
    </w:p>
    <w:p w14:paraId="432D946F" w14:textId="77777777" w:rsidR="00B93D63" w:rsidRPr="00774EDB" w:rsidRDefault="00B93D63" w:rsidP="00A70042">
      <w:pPr>
        <w:pStyle w:val="Heading3"/>
        <w:numPr>
          <w:ilvl w:val="2"/>
          <w:numId w:val="5"/>
        </w:numPr>
        <w:spacing w:before="360"/>
        <w:ind w:left="0" w:firstLine="0"/>
        <w:jc w:val="both"/>
        <w:rPr>
          <w:rFonts w:ascii="Times New Roman" w:hAnsi="Times New Roman" w:cs="Times New Roman"/>
          <w:b/>
          <w:color w:val="auto"/>
        </w:rPr>
      </w:pPr>
      <w:bookmarkStart w:id="118" w:name="_Toc17611348"/>
      <w:bookmarkStart w:id="119" w:name="_Toc17611565"/>
      <w:bookmarkStart w:id="120" w:name="_Toc17611777"/>
      <w:bookmarkStart w:id="121" w:name="_Toc17611991"/>
      <w:bookmarkStart w:id="122" w:name="_Toc17612204"/>
      <w:bookmarkStart w:id="123" w:name="_Toc11400619"/>
      <w:bookmarkStart w:id="124" w:name="_Toc17611349"/>
      <w:bookmarkStart w:id="125" w:name="_Toc53576027"/>
      <w:bookmarkEnd w:id="118"/>
      <w:bookmarkEnd w:id="119"/>
      <w:bookmarkEnd w:id="120"/>
      <w:bookmarkEnd w:id="121"/>
      <w:bookmarkEnd w:id="122"/>
      <w:r w:rsidRPr="00774EDB">
        <w:rPr>
          <w:rFonts w:ascii="Times New Roman" w:hAnsi="Times New Roman" w:cs="Times New Roman"/>
          <w:b/>
          <w:color w:val="auto"/>
        </w:rPr>
        <w:lastRenderedPageBreak/>
        <w:t>Underlying elements of interoperability</w:t>
      </w:r>
      <w:bookmarkEnd w:id="123"/>
      <w:bookmarkEnd w:id="124"/>
      <w:bookmarkEnd w:id="125"/>
    </w:p>
    <w:p w14:paraId="7A57DC2A" w14:textId="3B185FED" w:rsidR="00755114"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Interoperability builds on common, or mutually acknowledged, protocols, interfaces</w:t>
      </w:r>
      <w:r w:rsidR="00E721E1" w:rsidRPr="00774EDB">
        <w:rPr>
          <w:rFonts w:ascii="Times New Roman" w:hAnsi="Times New Roman" w:cs="Times New Roman"/>
          <w:sz w:val="24"/>
          <w:szCs w:val="24"/>
        </w:rPr>
        <w:t xml:space="preserve"> and standards</w:t>
      </w:r>
      <w:r w:rsidRPr="00774EDB">
        <w:rPr>
          <w:rFonts w:ascii="Times New Roman" w:hAnsi="Times New Roman" w:cs="Times New Roman"/>
          <w:sz w:val="24"/>
          <w:szCs w:val="24"/>
        </w:rPr>
        <w:t xml:space="preserve">, being used across from telecommunications networks to the everyday used IoT devices e.g. smart TVs and thermostats. </w:t>
      </w:r>
      <w:r w:rsidR="00863904" w:rsidRPr="00774EDB">
        <w:rPr>
          <w:rFonts w:ascii="Times New Roman" w:hAnsi="Times New Roman" w:cs="Times New Roman"/>
          <w:sz w:val="24"/>
          <w:szCs w:val="24"/>
        </w:rPr>
        <w:t>ICT systems’ ability to read each other’s data formats and structures (syntactical interoperability) and understand them (semantic interoperability) as well as being connected to each other technically</w:t>
      </w:r>
      <w:r w:rsidR="00755114" w:rsidRPr="00774EDB">
        <w:rPr>
          <w:rFonts w:ascii="Times New Roman" w:hAnsi="Times New Roman" w:cs="Times New Roman"/>
          <w:sz w:val="24"/>
          <w:szCs w:val="24"/>
        </w:rPr>
        <w:t xml:space="preserve"> defines their interoperability. In order to secure interoperability, as often achieved via standards, the data formats and structures which underlie the functionalities of an ICT system must be available to other ICT system(s)</w:t>
      </w:r>
      <w:r w:rsidR="00E721E1" w:rsidRPr="00774EDB">
        <w:rPr>
          <w:rFonts w:ascii="Times New Roman" w:hAnsi="Times New Roman" w:cs="Times New Roman"/>
          <w:sz w:val="24"/>
          <w:szCs w:val="24"/>
        </w:rPr>
        <w:t>,</w:t>
      </w:r>
      <w:r w:rsidR="00755114" w:rsidRPr="00774EDB">
        <w:rPr>
          <w:rFonts w:ascii="Times New Roman" w:hAnsi="Times New Roman" w:cs="Times New Roman"/>
          <w:sz w:val="24"/>
          <w:szCs w:val="24"/>
        </w:rPr>
        <w:t xml:space="preserve"> </w:t>
      </w:r>
      <w:r w:rsidR="00E721E1" w:rsidRPr="00774EDB">
        <w:rPr>
          <w:rFonts w:ascii="Times New Roman" w:hAnsi="Times New Roman" w:cs="Times New Roman"/>
          <w:sz w:val="24"/>
          <w:szCs w:val="24"/>
        </w:rPr>
        <w:t xml:space="preserve">and, </w:t>
      </w:r>
      <w:r w:rsidR="00755114" w:rsidRPr="00774EDB">
        <w:rPr>
          <w:rFonts w:ascii="Times New Roman" w:hAnsi="Times New Roman" w:cs="Times New Roman"/>
          <w:sz w:val="24"/>
          <w:szCs w:val="24"/>
        </w:rPr>
        <w:t xml:space="preserve">they need to </w:t>
      </w:r>
      <w:r w:rsidR="00E721E1" w:rsidRPr="00774EDB">
        <w:rPr>
          <w:rFonts w:ascii="Times New Roman" w:hAnsi="Times New Roman" w:cs="Times New Roman"/>
          <w:sz w:val="24"/>
          <w:szCs w:val="24"/>
        </w:rPr>
        <w:t>understand each other to fulfil a common task</w:t>
      </w:r>
      <w:r w:rsidR="00755114" w:rsidRPr="00774EDB">
        <w:rPr>
          <w:rFonts w:ascii="Times New Roman" w:hAnsi="Times New Roman" w:cs="Times New Roman"/>
          <w:sz w:val="24"/>
          <w:szCs w:val="24"/>
        </w:rPr>
        <w:t>.</w:t>
      </w:r>
    </w:p>
    <w:p w14:paraId="5121F03D" w14:textId="5735C8A4" w:rsidR="00A40168"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Interoperability can occur when the maker of one ICT system develops ‘interfaces’ that enable the exchange of </w:t>
      </w:r>
      <w:r w:rsidR="00A40168" w:rsidRPr="00774EDB">
        <w:rPr>
          <w:rFonts w:ascii="Times New Roman" w:hAnsi="Times New Roman" w:cs="Times New Roman"/>
          <w:sz w:val="24"/>
          <w:szCs w:val="24"/>
        </w:rPr>
        <w:t>data</w:t>
      </w:r>
      <w:r w:rsidRPr="00774EDB">
        <w:rPr>
          <w:rFonts w:ascii="Times New Roman" w:hAnsi="Times New Roman" w:cs="Times New Roman"/>
          <w:sz w:val="24"/>
          <w:szCs w:val="24"/>
        </w:rPr>
        <w:t xml:space="preserve"> between the entity it is developing and the entities with which its entity will interact.</w:t>
      </w:r>
      <w:r w:rsidRPr="00774EDB">
        <w:rPr>
          <w:rStyle w:val="FootnoteReference"/>
          <w:rFonts w:ascii="Times New Roman" w:hAnsi="Times New Roman" w:cs="Times New Roman"/>
          <w:sz w:val="24"/>
          <w:szCs w:val="24"/>
        </w:rPr>
        <w:footnoteReference w:id="60"/>
      </w:r>
      <w:r w:rsidRPr="00774EDB">
        <w:rPr>
          <w:rFonts w:ascii="Times New Roman" w:hAnsi="Times New Roman" w:cs="Times New Roman"/>
          <w:sz w:val="24"/>
          <w:szCs w:val="24"/>
        </w:rPr>
        <w:t xml:space="preserve"> The interfaces used to ensure interoperability among ICT systems are called “application programming interfaces” (APIs), which represent a software package running over pre-defined protocols.</w:t>
      </w:r>
      <w:r w:rsidRPr="00774EDB">
        <w:rPr>
          <w:rStyle w:val="FootnoteAnchor"/>
          <w:rFonts w:ascii="Times New Roman" w:hAnsi="Times New Roman" w:cs="Times New Roman"/>
          <w:sz w:val="24"/>
          <w:szCs w:val="24"/>
        </w:rPr>
        <w:footnoteReference w:id="61"/>
      </w:r>
      <w:r w:rsidRPr="00774EDB">
        <w:rPr>
          <w:rFonts w:ascii="Times New Roman" w:hAnsi="Times New Roman" w:cs="Times New Roman"/>
          <w:sz w:val="24"/>
          <w:szCs w:val="24"/>
        </w:rPr>
        <w:t xml:space="preserve"> While there are some other types of interfaces</w:t>
      </w:r>
      <w:r w:rsidR="00BB374F" w:rsidRPr="00774EDB">
        <w:rPr>
          <w:rFonts w:ascii="Times New Roman" w:hAnsi="Times New Roman" w:cs="Times New Roman"/>
          <w:sz w:val="24"/>
          <w:szCs w:val="24"/>
        </w:rPr>
        <w:t xml:space="preserve"> e.g. user interfaces</w:t>
      </w:r>
      <w:r w:rsidRPr="00774EDB">
        <w:rPr>
          <w:rFonts w:ascii="Times New Roman" w:hAnsi="Times New Roman" w:cs="Times New Roman"/>
          <w:sz w:val="24"/>
          <w:szCs w:val="24"/>
        </w:rPr>
        <w:t>,</w:t>
      </w:r>
      <w:r w:rsidRPr="00774EDB">
        <w:rPr>
          <w:rStyle w:val="FootnoteAnchor"/>
          <w:rFonts w:ascii="Times New Roman" w:hAnsi="Times New Roman" w:cs="Times New Roman"/>
          <w:sz w:val="24"/>
          <w:szCs w:val="24"/>
        </w:rPr>
        <w:footnoteReference w:id="62"/>
      </w:r>
      <w:r w:rsidRPr="00774EDB">
        <w:rPr>
          <w:rFonts w:ascii="Times New Roman" w:hAnsi="Times New Roman" w:cs="Times New Roman"/>
          <w:sz w:val="24"/>
          <w:szCs w:val="24"/>
        </w:rPr>
        <w:t xml:space="preserve"> interoperability is achieved through “APIs”, which reveal wide-ranging examples of usage in a very extensive area e.g. from computer software to next generation networks (NGNs). For instance, the APIs of the popular image-editing program Adobe Photoshop enable third parties to </w:t>
      </w:r>
      <w:r w:rsidRPr="00774EDB">
        <w:rPr>
          <w:rFonts w:ascii="Times New Roman" w:hAnsi="Times New Roman" w:cs="Times New Roman"/>
          <w:sz w:val="24"/>
          <w:szCs w:val="24"/>
        </w:rPr>
        <w:lastRenderedPageBreak/>
        <w:t>create image effect filters that can be used within Photoshop, and the open source web browser Mozilla Firefox enables others to create plug-ins through its APIs.</w:t>
      </w:r>
      <w:r w:rsidRPr="00774EDB">
        <w:rPr>
          <w:rStyle w:val="FootnoteReference"/>
          <w:rFonts w:ascii="Times New Roman" w:hAnsi="Times New Roman" w:cs="Times New Roman"/>
          <w:sz w:val="24"/>
          <w:szCs w:val="24"/>
        </w:rPr>
        <w:footnoteReference w:id="63"/>
      </w:r>
    </w:p>
    <w:p w14:paraId="770E1141" w14:textId="3FB46D64" w:rsidR="00A40168"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APIs thus function as gateways of the software, or computer, programs. Yet APIs may not be “open” to third parties, such as the widely used archive file format called RAR which is built upon closed interfaces. On the other hand, accessing APIs is not imperative for the third parties to achieve interoperability, so long as underlying protocols and the data formats are disclosed with this purpose.</w:t>
      </w:r>
      <w:r w:rsidR="00A40168" w:rsidRPr="00774EDB">
        <w:rPr>
          <w:rStyle w:val="FootnoteReference"/>
          <w:rFonts w:ascii="Times New Roman" w:hAnsi="Times New Roman" w:cs="Times New Roman"/>
          <w:sz w:val="24"/>
          <w:szCs w:val="24"/>
        </w:rPr>
        <w:footnoteReference w:id="64"/>
      </w:r>
    </w:p>
    <w:p w14:paraId="4F278895" w14:textId="7D261DE1" w:rsidR="00B93D63" w:rsidRPr="00774EDB" w:rsidRDefault="00A40168"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w:t>
      </w:r>
      <w:r w:rsidR="00B93D63" w:rsidRPr="00774EDB">
        <w:rPr>
          <w:rFonts w:ascii="Times New Roman" w:hAnsi="Times New Roman" w:cs="Times New Roman"/>
          <w:sz w:val="24"/>
          <w:szCs w:val="24"/>
        </w:rPr>
        <w:t>nstead of opening APIs, using standardised or mutually agreed protocols is often an effective means to secure interoperability. A protocol defines the format and the order of messages exchanged between two or more communicating entities, as well as the actions taken on the transmission and/or receipt of a message or other event.</w:t>
      </w:r>
      <w:r w:rsidR="00B93D63" w:rsidRPr="00774EDB">
        <w:rPr>
          <w:rStyle w:val="FootnoteReference"/>
          <w:rFonts w:ascii="Times New Roman" w:hAnsi="Times New Roman" w:cs="Times New Roman"/>
          <w:sz w:val="24"/>
          <w:szCs w:val="24"/>
        </w:rPr>
        <w:footnoteReference w:id="65"/>
      </w:r>
      <w:r w:rsidR="00B93D63" w:rsidRPr="00774EDB">
        <w:rPr>
          <w:rFonts w:ascii="Times New Roman" w:hAnsi="Times New Roman" w:cs="Times New Roman"/>
          <w:sz w:val="24"/>
          <w:szCs w:val="24"/>
        </w:rPr>
        <w:t xml:space="preserve"> Adoption of </w:t>
      </w:r>
      <w:r w:rsidR="00E721E1" w:rsidRPr="00774EDB">
        <w:rPr>
          <w:rFonts w:ascii="Times New Roman" w:hAnsi="Times New Roman" w:cs="Times New Roman"/>
          <w:sz w:val="24"/>
          <w:szCs w:val="24"/>
        </w:rPr>
        <w:t>common</w:t>
      </w:r>
      <w:r w:rsidR="00B93D63" w:rsidRPr="00774EDB">
        <w:rPr>
          <w:rFonts w:ascii="Times New Roman" w:hAnsi="Times New Roman" w:cs="Times New Roman"/>
          <w:sz w:val="24"/>
          <w:szCs w:val="24"/>
        </w:rPr>
        <w:t xml:space="preserve"> protocols would enable interoperability being ensured among the parties with no further effort concerning conversion, decryption, etc. Alternatively, through a common data format, it is possible to achieve interoperability in the sense that even though applications may be written in different languages, they would have the same data structure and could be understood on the part of the developers.</w:t>
      </w:r>
      <w:r w:rsidR="00B93D63" w:rsidRPr="00774EDB">
        <w:rPr>
          <w:rStyle w:val="FootnoteReference"/>
          <w:rFonts w:ascii="Times New Roman" w:hAnsi="Times New Roman" w:cs="Times New Roman"/>
          <w:sz w:val="24"/>
          <w:szCs w:val="24"/>
        </w:rPr>
        <w:footnoteReference w:id="66"/>
      </w:r>
    </w:p>
    <w:p w14:paraId="7D8EF776"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Alternative ways could be used to achieve interoperability in order to enable that the machine-readable “object code” of the underlying software are decoded. Notably, programmers can generally design the internal structure of programs</w:t>
      </w:r>
      <w:r w:rsidR="00110E80"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to implement interfaces and encode those designs in human readable “source code” in many different </w:t>
      </w:r>
      <w:r w:rsidRPr="00774EDB">
        <w:rPr>
          <w:rFonts w:ascii="Times New Roman" w:hAnsi="Times New Roman" w:cs="Times New Roman"/>
          <w:sz w:val="24"/>
          <w:szCs w:val="24"/>
        </w:rPr>
        <w:lastRenderedPageBreak/>
        <w:t>ways.</w:t>
      </w:r>
      <w:r w:rsidRPr="00774EDB">
        <w:rPr>
          <w:rStyle w:val="FootnoteReference"/>
          <w:rFonts w:ascii="Times New Roman" w:hAnsi="Times New Roman" w:cs="Times New Roman"/>
          <w:sz w:val="24"/>
          <w:szCs w:val="24"/>
        </w:rPr>
        <w:footnoteReference w:id="67"/>
      </w:r>
      <w:r w:rsidRPr="00774EDB">
        <w:rPr>
          <w:rFonts w:ascii="Times New Roman" w:hAnsi="Times New Roman" w:cs="Times New Roman"/>
          <w:sz w:val="24"/>
          <w:szCs w:val="24"/>
        </w:rPr>
        <w:t xml:space="preserve"> To reach out to the source codes, access seekers would attempt to reverse engineer the usually disclosed object codes that </w:t>
      </w:r>
      <w:r w:rsidR="00562D82" w:rsidRPr="00774EDB">
        <w:rPr>
          <w:rFonts w:ascii="Times New Roman" w:hAnsi="Times New Roman" w:cs="Times New Roman"/>
          <w:sz w:val="24"/>
          <w:szCs w:val="24"/>
        </w:rPr>
        <w:t>conceal</w:t>
      </w:r>
      <w:r w:rsidRPr="00774EDB">
        <w:rPr>
          <w:rFonts w:ascii="Times New Roman" w:hAnsi="Times New Roman" w:cs="Times New Roman"/>
          <w:sz w:val="24"/>
          <w:szCs w:val="24"/>
        </w:rPr>
        <w:t xml:space="preserve"> the internal design of the underlying software. This, however, is a very costly and time-consuming method to achieve interoperability, as detailed below.</w:t>
      </w:r>
    </w:p>
    <w:p w14:paraId="6B65C1E8" w14:textId="77777777" w:rsidR="00B93D63" w:rsidRPr="00774EDB" w:rsidRDefault="00B93D63" w:rsidP="00A70042">
      <w:pPr>
        <w:pStyle w:val="Heading3"/>
        <w:numPr>
          <w:ilvl w:val="2"/>
          <w:numId w:val="5"/>
        </w:numPr>
        <w:spacing w:before="360"/>
        <w:ind w:left="0" w:firstLine="0"/>
        <w:jc w:val="both"/>
        <w:rPr>
          <w:rFonts w:ascii="Times New Roman" w:hAnsi="Times New Roman" w:cs="Times New Roman"/>
          <w:b/>
          <w:color w:val="auto"/>
        </w:rPr>
      </w:pPr>
      <w:bookmarkStart w:id="126" w:name="_Toc17611350"/>
      <w:bookmarkStart w:id="127" w:name="_Toc17611567"/>
      <w:bookmarkStart w:id="128" w:name="_Toc17611779"/>
      <w:bookmarkStart w:id="129" w:name="_Toc17611993"/>
      <w:bookmarkStart w:id="130" w:name="_Toc17612206"/>
      <w:bookmarkStart w:id="131" w:name="_Toc11400620"/>
      <w:bookmarkStart w:id="132" w:name="_Toc17611351"/>
      <w:bookmarkStart w:id="133" w:name="_Toc53576028"/>
      <w:bookmarkEnd w:id="126"/>
      <w:bookmarkEnd w:id="127"/>
      <w:bookmarkEnd w:id="128"/>
      <w:bookmarkEnd w:id="129"/>
      <w:bookmarkEnd w:id="130"/>
      <w:r w:rsidRPr="00774EDB">
        <w:rPr>
          <w:rFonts w:ascii="Times New Roman" w:hAnsi="Times New Roman" w:cs="Times New Roman"/>
          <w:b/>
          <w:color w:val="auto"/>
        </w:rPr>
        <w:t>Open and proprietary systems</w:t>
      </w:r>
      <w:bookmarkEnd w:id="131"/>
      <w:bookmarkEnd w:id="132"/>
      <w:bookmarkEnd w:id="133"/>
    </w:p>
    <w:p w14:paraId="7F8C567C" w14:textId="77777777" w:rsidR="00B93D63" w:rsidRPr="00A70042" w:rsidRDefault="00B93D63"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ICT interoperability stretches along a spectrum, along which different business strategies are developed. At one end of this spectrum exists entirely closed systems that reveal no APIs, whereas the other end of the spectrum is represented by the systems that expose all details of their internal design, such as in case of open source software (OSS).</w:t>
      </w:r>
      <w:r w:rsidRPr="00A70042">
        <w:rPr>
          <w:rStyle w:val="FootnoteReference"/>
          <w:rFonts w:ascii="Times New Roman" w:hAnsi="Times New Roman" w:cs="Times New Roman"/>
          <w:spacing w:val="-2"/>
          <w:sz w:val="24"/>
          <w:szCs w:val="24"/>
        </w:rPr>
        <w:footnoteReference w:id="68"/>
      </w:r>
      <w:r w:rsidRPr="00A70042">
        <w:rPr>
          <w:rFonts w:ascii="Times New Roman" w:hAnsi="Times New Roman" w:cs="Times New Roman"/>
          <w:spacing w:val="-2"/>
          <w:sz w:val="24"/>
          <w:szCs w:val="24"/>
        </w:rPr>
        <w:t xml:space="preserve"> While Apple’s iTunes platform, which features digital music and video content that is exclusively open to iPod, iPad and iPhone customers represents the former, Google’s Android-based platforms e.g. Google Chrome, Google Play and Google Maps are open to everyone, either an Android user or not, and exemplifies the latter. </w:t>
      </w:r>
    </w:p>
    <w:p w14:paraId="11F61D95"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this point of view, codes that underlie the software programs could be either ‘open’ or ‘closed’, depending on what policy a software developer adopts as to accessibility (openness) of the source codes to third parties. In the case that the underlying source codes are protected with no controlling software or application, this is depicted by OSS, including open APIs. Control over the interfaces is realised mostly through IPRs, consisting of copyrights, patents and trade</w:t>
      </w:r>
      <w:r w:rsidR="00110E80" w:rsidRPr="00774EDB">
        <w:rPr>
          <w:rFonts w:ascii="Times New Roman" w:hAnsi="Times New Roman" w:cs="Times New Roman"/>
          <w:sz w:val="24"/>
          <w:szCs w:val="24"/>
        </w:rPr>
        <w:t xml:space="preserve"> secret</w:t>
      </w:r>
      <w:r w:rsidRPr="00774EDB">
        <w:rPr>
          <w:rFonts w:ascii="Times New Roman" w:hAnsi="Times New Roman" w:cs="Times New Roman"/>
          <w:sz w:val="24"/>
          <w:szCs w:val="24"/>
        </w:rPr>
        <w:t>s, with the view to encapsulate the kernels, the internal design of the software and to close it off against third party access. This situation is referred to as “proprietary” software, or business models vis-à-vis the “non-proprietary” ones. While these two distinctions</w:t>
      </w:r>
      <w:r w:rsidR="00FA24F9" w:rsidRPr="00774EDB">
        <w:rPr>
          <w:rFonts w:ascii="Times New Roman" w:hAnsi="Times New Roman" w:cs="Times New Roman"/>
          <w:sz w:val="24"/>
          <w:szCs w:val="24"/>
        </w:rPr>
        <w:t>,</w:t>
      </w:r>
      <w:r w:rsidRPr="00774EDB">
        <w:rPr>
          <w:rFonts w:ascii="Times New Roman" w:hAnsi="Times New Roman" w:cs="Times New Roman"/>
          <w:sz w:val="24"/>
          <w:szCs w:val="24"/>
        </w:rPr>
        <w:t xml:space="preserve"> </w:t>
      </w:r>
      <w:r w:rsidR="00FA24F9" w:rsidRPr="00774EDB">
        <w:rPr>
          <w:rFonts w:ascii="Times New Roman" w:hAnsi="Times New Roman" w:cs="Times New Roman"/>
          <w:sz w:val="24"/>
          <w:szCs w:val="24"/>
        </w:rPr>
        <w:t>‘</w:t>
      </w:r>
      <w:r w:rsidRPr="00774EDB">
        <w:rPr>
          <w:rFonts w:ascii="Times New Roman" w:hAnsi="Times New Roman" w:cs="Times New Roman"/>
          <w:sz w:val="24"/>
          <w:szCs w:val="24"/>
        </w:rPr>
        <w:t xml:space="preserve">open – </w:t>
      </w:r>
      <w:r w:rsidRPr="00774EDB">
        <w:rPr>
          <w:rFonts w:ascii="Times New Roman" w:hAnsi="Times New Roman" w:cs="Times New Roman"/>
          <w:sz w:val="24"/>
          <w:szCs w:val="24"/>
        </w:rPr>
        <w:lastRenderedPageBreak/>
        <w:t>closed</w:t>
      </w:r>
      <w:r w:rsidR="00FA24F9" w:rsidRPr="00774EDB">
        <w:rPr>
          <w:rFonts w:ascii="Times New Roman" w:hAnsi="Times New Roman" w:cs="Times New Roman"/>
          <w:sz w:val="24"/>
          <w:szCs w:val="24"/>
        </w:rPr>
        <w:t>’</w:t>
      </w:r>
      <w:r w:rsidRPr="00774EDB">
        <w:rPr>
          <w:rFonts w:ascii="Times New Roman" w:hAnsi="Times New Roman" w:cs="Times New Roman"/>
          <w:sz w:val="24"/>
          <w:szCs w:val="24"/>
        </w:rPr>
        <w:t xml:space="preserve"> and </w:t>
      </w:r>
      <w:r w:rsidR="00FA24F9" w:rsidRPr="00774EDB">
        <w:rPr>
          <w:rFonts w:ascii="Times New Roman" w:hAnsi="Times New Roman" w:cs="Times New Roman"/>
          <w:sz w:val="24"/>
          <w:szCs w:val="24"/>
        </w:rPr>
        <w:t>‘</w:t>
      </w:r>
      <w:r w:rsidRPr="00774EDB">
        <w:rPr>
          <w:rFonts w:ascii="Times New Roman" w:hAnsi="Times New Roman" w:cs="Times New Roman"/>
          <w:sz w:val="24"/>
          <w:szCs w:val="24"/>
        </w:rPr>
        <w:t>proprietary – non-proprietary</w:t>
      </w:r>
      <w:r w:rsidR="00FA24F9" w:rsidRPr="00774EDB">
        <w:rPr>
          <w:rFonts w:ascii="Times New Roman" w:hAnsi="Times New Roman" w:cs="Times New Roman"/>
          <w:sz w:val="24"/>
          <w:szCs w:val="24"/>
        </w:rPr>
        <w:t>’,</w:t>
      </w:r>
      <w:r w:rsidRPr="00774EDB">
        <w:rPr>
          <w:rFonts w:ascii="Times New Roman" w:hAnsi="Times New Roman" w:cs="Times New Roman"/>
          <w:sz w:val="24"/>
          <w:szCs w:val="24"/>
        </w:rPr>
        <w:t xml:space="preserve"> are not fully overlapping, in m</w:t>
      </w:r>
      <w:r w:rsidR="00CC5B62" w:rsidRPr="00774EDB">
        <w:rPr>
          <w:rFonts w:ascii="Times New Roman" w:hAnsi="Times New Roman" w:cs="Times New Roman"/>
          <w:sz w:val="24"/>
          <w:szCs w:val="24"/>
        </w:rPr>
        <w:t>any</w:t>
      </w:r>
      <w:r w:rsidRPr="00774EDB">
        <w:rPr>
          <w:rFonts w:ascii="Times New Roman" w:hAnsi="Times New Roman" w:cs="Times New Roman"/>
          <w:sz w:val="24"/>
          <w:szCs w:val="24"/>
        </w:rPr>
        <w:t xml:space="preserve"> cases the OSS represent</w:t>
      </w:r>
      <w:r w:rsidR="005D51C9" w:rsidRPr="00774EDB">
        <w:rPr>
          <w:rFonts w:ascii="Times New Roman" w:hAnsi="Times New Roman" w:cs="Times New Roman"/>
          <w:sz w:val="24"/>
          <w:szCs w:val="24"/>
        </w:rPr>
        <w:t>s</w:t>
      </w:r>
      <w:r w:rsidRPr="00774EDB">
        <w:rPr>
          <w:rFonts w:ascii="Times New Roman" w:hAnsi="Times New Roman" w:cs="Times New Roman"/>
          <w:sz w:val="24"/>
          <w:szCs w:val="24"/>
        </w:rPr>
        <w:t xml:space="preserve"> ‘non-proprietary’ software, just like the ‘proprietary’ software is </w:t>
      </w:r>
      <w:r w:rsidR="00CC5B62" w:rsidRPr="00774EDB">
        <w:rPr>
          <w:rFonts w:ascii="Times New Roman" w:hAnsi="Times New Roman" w:cs="Times New Roman"/>
          <w:sz w:val="24"/>
          <w:szCs w:val="24"/>
        </w:rPr>
        <w:t xml:space="preserve">often </w:t>
      </w:r>
      <w:r w:rsidRPr="00774EDB">
        <w:rPr>
          <w:rFonts w:ascii="Times New Roman" w:hAnsi="Times New Roman" w:cs="Times New Roman"/>
          <w:sz w:val="24"/>
          <w:szCs w:val="24"/>
        </w:rPr>
        <w:t>manifested in the closed systems</w:t>
      </w:r>
      <w:r w:rsidR="00FA24F9" w:rsidRPr="00774EDB">
        <w:rPr>
          <w:rFonts w:ascii="Times New Roman" w:hAnsi="Times New Roman" w:cs="Times New Roman"/>
          <w:sz w:val="24"/>
          <w:szCs w:val="24"/>
        </w:rPr>
        <w:t>.</w:t>
      </w:r>
      <w:r w:rsidR="00C6697B" w:rsidRPr="00774EDB">
        <w:rPr>
          <w:rStyle w:val="FootnoteReference"/>
          <w:rFonts w:ascii="Times New Roman" w:hAnsi="Times New Roman" w:cs="Times New Roman"/>
          <w:sz w:val="24"/>
          <w:szCs w:val="24"/>
        </w:rPr>
        <w:footnoteReference w:id="69"/>
      </w:r>
      <w:r w:rsidR="00C6697B"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Notwithstanding, neither ‘non-proprietary’ nor ‘open’ software products/systems are necessarily free of charge for third-party access seekers e.g. licensees. </w:t>
      </w:r>
    </w:p>
    <w:p w14:paraId="1A7EFCA1" w14:textId="45507B79"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mentioned above, IPRs are the basic and most effective means to protect the software against third-party usage. In addition to the IPR protection, sometimes a TPM is put in place by the IPR owner to restrict third party accesses.</w:t>
      </w:r>
      <w:r w:rsidRPr="00774EDB">
        <w:rPr>
          <w:rStyle w:val="FootnoteReference"/>
          <w:rFonts w:ascii="Times New Roman" w:hAnsi="Times New Roman" w:cs="Times New Roman"/>
          <w:sz w:val="24"/>
          <w:szCs w:val="24"/>
        </w:rPr>
        <w:footnoteReference w:id="70"/>
      </w:r>
      <w:r w:rsidRPr="00774EDB">
        <w:rPr>
          <w:rFonts w:ascii="Times New Roman" w:hAnsi="Times New Roman" w:cs="Times New Roman"/>
          <w:sz w:val="24"/>
          <w:szCs w:val="24"/>
        </w:rPr>
        <w:t xml:space="preserve"> TPMs, whose primary objective is to protect digital copyrighted materials, could be exemplified by DRMs. For example, copy protected CDs typically have DRM-based proprietary systems to ensure that the discs can be played only on record label specific software players. The use of TPMs/DRMs serves to ‘lock’ users into a particular software, and results in users’ devices being restricted to certain platforms e.g. such as the iTunes store being limited to iPod/iPhone/iPad users. This may bring about limited functionality of e.g. handset devices via their original design, leaving users much less able to use their devices as they may wish.</w:t>
      </w:r>
      <w:r w:rsidRPr="00774EDB">
        <w:rPr>
          <w:rStyle w:val="FootnoteReference"/>
          <w:rFonts w:ascii="Times New Roman" w:hAnsi="Times New Roman" w:cs="Times New Roman"/>
          <w:sz w:val="24"/>
          <w:szCs w:val="24"/>
        </w:rPr>
        <w:footnoteReference w:id="71"/>
      </w:r>
      <w:r w:rsidRPr="00774EDB">
        <w:rPr>
          <w:rFonts w:ascii="Times New Roman" w:hAnsi="Times New Roman" w:cs="Times New Roman"/>
          <w:sz w:val="24"/>
          <w:szCs w:val="24"/>
        </w:rPr>
        <w:t xml:space="preserve"> In order to jailbreak these devices, however, and to load on an alternative OS and/or access to an alternative app store, certain TPMs need to be circumvented.</w:t>
      </w:r>
      <w:r w:rsidRPr="00774EDB">
        <w:rPr>
          <w:rStyle w:val="FootnoteReference"/>
          <w:rFonts w:ascii="Times New Roman" w:hAnsi="Times New Roman" w:cs="Times New Roman"/>
          <w:sz w:val="24"/>
          <w:szCs w:val="24"/>
        </w:rPr>
        <w:footnoteReference w:id="72"/>
      </w:r>
      <w:r w:rsidRPr="00774EDB">
        <w:rPr>
          <w:rFonts w:ascii="Times New Roman" w:hAnsi="Times New Roman" w:cs="Times New Roman"/>
          <w:sz w:val="24"/>
          <w:szCs w:val="24"/>
        </w:rPr>
        <w:t xml:space="preserve"> In most cases, bypassing a TPM/DRM is legally considered as an </w:t>
      </w:r>
      <w:r w:rsidRPr="00774EDB">
        <w:rPr>
          <w:rFonts w:ascii="Times New Roman" w:hAnsi="Times New Roman" w:cs="Times New Roman"/>
          <w:sz w:val="24"/>
          <w:szCs w:val="24"/>
        </w:rPr>
        <w:lastRenderedPageBreak/>
        <w:t>individual offence in addition to any IPR infringement that could be potentially claimed.</w:t>
      </w:r>
      <w:r w:rsidRPr="00774EDB">
        <w:rPr>
          <w:rStyle w:val="FootnoteReference"/>
          <w:rFonts w:ascii="Times New Roman" w:hAnsi="Times New Roman" w:cs="Times New Roman"/>
          <w:sz w:val="24"/>
          <w:szCs w:val="24"/>
        </w:rPr>
        <w:footnoteReference w:id="73"/>
      </w:r>
      <w:r w:rsidRPr="00774EDB">
        <w:rPr>
          <w:rFonts w:ascii="Times New Roman" w:hAnsi="Times New Roman" w:cs="Times New Roman"/>
          <w:sz w:val="24"/>
          <w:szCs w:val="24"/>
        </w:rPr>
        <w:t xml:space="preserve"> </w:t>
      </w:r>
    </w:p>
    <w:p w14:paraId="03A9959E"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OSS movement, which favours open production processes, marks a contrast with proprietary business models, resulting in an inescapable correlation between ‘interoperability’ and ‘openness’. The OSS developers’ policy is based on distribution of the software in source codes, aiming at an environment whereby reverse engineering is obviated and further applications and services are built on the original software easily. Moreover, open source developers employ license agreements that not only permit the creation of derivative works e.g. via Berkeley Software Distribution (BSD) licences, but also typically require the licensee to distribute the modified programs to the public only in source code e.g. via General Public License (GPL).</w:t>
      </w:r>
      <w:r w:rsidRPr="00774EDB">
        <w:rPr>
          <w:rStyle w:val="FootnoteReference"/>
          <w:rFonts w:ascii="Times New Roman" w:hAnsi="Times New Roman" w:cs="Times New Roman"/>
          <w:sz w:val="24"/>
          <w:szCs w:val="24"/>
        </w:rPr>
        <w:footnoteReference w:id="74"/>
      </w:r>
    </w:p>
    <w:p w14:paraId="1C5359F9" w14:textId="7DC48734"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Open interfaces are brought to the life via open source movements and open standardisation.</w:t>
      </w:r>
      <w:r w:rsidRPr="00774EDB">
        <w:rPr>
          <w:rStyle w:val="FootnoteAnchor"/>
          <w:rFonts w:ascii="Times New Roman" w:hAnsi="Times New Roman" w:cs="Times New Roman"/>
          <w:sz w:val="24"/>
          <w:szCs w:val="24"/>
        </w:rPr>
        <w:footnoteReference w:id="75"/>
      </w:r>
      <w:r w:rsidRPr="00774EDB">
        <w:rPr>
          <w:rFonts w:ascii="Times New Roman" w:hAnsi="Times New Roman" w:cs="Times New Roman"/>
          <w:sz w:val="24"/>
          <w:szCs w:val="24"/>
        </w:rPr>
        <w:t xml:space="preserve"> Standards developed primarily by the ICT industry through open processes such as USB interconnections, Ethernet, </w:t>
      </w:r>
      <w:r w:rsidR="00EC5A2D" w:rsidRPr="00774EDB">
        <w:rPr>
          <w:rFonts w:ascii="Times New Roman" w:hAnsi="Times New Roman" w:cs="Times New Roman"/>
          <w:sz w:val="24"/>
          <w:szCs w:val="24"/>
        </w:rPr>
        <w:t xml:space="preserve">XML </w:t>
      </w:r>
      <w:r w:rsidRPr="00774EDB">
        <w:rPr>
          <w:rFonts w:ascii="Times New Roman" w:hAnsi="Times New Roman" w:cs="Times New Roman"/>
          <w:sz w:val="24"/>
          <w:szCs w:val="24"/>
        </w:rPr>
        <w:t>and Wireless LAN technolog</w:t>
      </w:r>
      <w:r w:rsidR="00F24ACE" w:rsidRPr="00774EDB">
        <w:rPr>
          <w:rFonts w:ascii="Times New Roman" w:hAnsi="Times New Roman" w:cs="Times New Roman"/>
          <w:sz w:val="24"/>
          <w:szCs w:val="24"/>
        </w:rPr>
        <w:t>ies</w:t>
      </w:r>
      <w:r w:rsidRPr="00774EDB">
        <w:rPr>
          <w:rFonts w:ascii="Times New Roman" w:hAnsi="Times New Roman" w:cs="Times New Roman"/>
          <w:sz w:val="24"/>
          <w:szCs w:val="24"/>
        </w:rPr>
        <w:t xml:space="preserve">, </w:t>
      </w:r>
      <w:r w:rsidR="00EC5A2D" w:rsidRPr="00774EDB">
        <w:rPr>
          <w:rFonts w:ascii="Times New Roman" w:hAnsi="Times New Roman" w:cs="Times New Roman"/>
          <w:sz w:val="24"/>
          <w:szCs w:val="24"/>
        </w:rPr>
        <w:t>are designed to have</w:t>
      </w:r>
      <w:r w:rsidRPr="00774EDB">
        <w:rPr>
          <w:rFonts w:ascii="Times New Roman" w:hAnsi="Times New Roman" w:cs="Times New Roman"/>
          <w:sz w:val="24"/>
          <w:szCs w:val="24"/>
        </w:rPr>
        <w:t xml:space="preserve"> open interfaces.</w:t>
      </w:r>
      <w:r w:rsidRPr="00774EDB">
        <w:rPr>
          <w:rStyle w:val="FootnoteReference"/>
          <w:rFonts w:ascii="Times New Roman" w:hAnsi="Times New Roman" w:cs="Times New Roman"/>
          <w:sz w:val="24"/>
          <w:szCs w:val="24"/>
        </w:rPr>
        <w:footnoteReference w:id="76"/>
      </w:r>
      <w:r w:rsidRPr="00774EDB">
        <w:rPr>
          <w:rFonts w:ascii="Times New Roman" w:hAnsi="Times New Roman" w:cs="Times New Roman"/>
          <w:sz w:val="24"/>
          <w:szCs w:val="24"/>
        </w:rPr>
        <w:t xml:space="preserve"> Most successful open interfaces are developed out of neo-traditional standard setting organisations (SSOs) that </w:t>
      </w:r>
      <w:r w:rsidRPr="00774EDB">
        <w:rPr>
          <w:rFonts w:ascii="Times New Roman" w:hAnsi="Times New Roman" w:cs="Times New Roman"/>
          <w:sz w:val="24"/>
          <w:szCs w:val="24"/>
        </w:rPr>
        <w:lastRenderedPageBreak/>
        <w:t>distance themselves from bureaucratic procedures. With such processes ending up in open software and interfaces, IPRs are pooled into a more dynamic process to enable interoperability and follow-on innovation.</w:t>
      </w:r>
      <w:r w:rsidR="001308F1" w:rsidRPr="00774EDB">
        <w:rPr>
          <w:rFonts w:ascii="Times New Roman" w:hAnsi="Times New Roman" w:cs="Times New Roman"/>
          <w:sz w:val="24"/>
          <w:szCs w:val="24"/>
        </w:rPr>
        <w:t xml:space="preserve"> While a </w:t>
      </w:r>
      <w:r w:rsidR="007C1558" w:rsidRPr="00774EDB">
        <w:rPr>
          <w:rFonts w:ascii="Times New Roman" w:hAnsi="Times New Roman" w:cs="Times New Roman"/>
          <w:sz w:val="24"/>
          <w:szCs w:val="24"/>
        </w:rPr>
        <w:t xml:space="preserve">positive </w:t>
      </w:r>
      <w:r w:rsidR="001308F1" w:rsidRPr="00774EDB">
        <w:rPr>
          <w:rFonts w:ascii="Times New Roman" w:hAnsi="Times New Roman" w:cs="Times New Roman"/>
          <w:sz w:val="24"/>
          <w:szCs w:val="24"/>
        </w:rPr>
        <w:t>correlation between the interoperability and follow-on innovation is remarkable based on the standards, counter arguments could be raised should the standards be determined in a very deterministic and restrictive manner</w:t>
      </w:r>
      <w:r w:rsidR="007C1558" w:rsidRPr="00774EDB">
        <w:rPr>
          <w:rFonts w:ascii="Times New Roman" w:hAnsi="Times New Roman" w:cs="Times New Roman"/>
          <w:sz w:val="24"/>
          <w:szCs w:val="24"/>
        </w:rPr>
        <w:t>.</w:t>
      </w:r>
      <w:r w:rsidR="001308F1" w:rsidRPr="00774EDB">
        <w:rPr>
          <w:rFonts w:ascii="Times New Roman" w:hAnsi="Times New Roman" w:cs="Times New Roman"/>
          <w:sz w:val="24"/>
          <w:szCs w:val="24"/>
        </w:rPr>
        <w:t xml:space="preserve"> </w:t>
      </w:r>
      <w:r w:rsidR="007C1558" w:rsidRPr="00774EDB">
        <w:rPr>
          <w:rFonts w:ascii="Times New Roman" w:hAnsi="Times New Roman" w:cs="Times New Roman"/>
          <w:sz w:val="24"/>
          <w:szCs w:val="24"/>
        </w:rPr>
        <w:t>Likewise, closed and proprietary systems</w:t>
      </w:r>
      <w:r w:rsidR="00785D4C" w:rsidRPr="00774EDB">
        <w:rPr>
          <w:rFonts w:ascii="Times New Roman" w:hAnsi="Times New Roman" w:cs="Times New Roman"/>
          <w:sz w:val="24"/>
          <w:szCs w:val="24"/>
        </w:rPr>
        <w:t>, albeit with limited interoperability,</w:t>
      </w:r>
      <w:r w:rsidR="007C1558" w:rsidRPr="00774EDB">
        <w:rPr>
          <w:rFonts w:ascii="Times New Roman" w:hAnsi="Times New Roman" w:cs="Times New Roman"/>
          <w:sz w:val="24"/>
          <w:szCs w:val="24"/>
        </w:rPr>
        <w:t xml:space="preserve"> could stimulate innovation </w:t>
      </w:r>
      <w:r w:rsidR="00D92D9B" w:rsidRPr="00774EDB">
        <w:rPr>
          <w:rFonts w:ascii="Times New Roman" w:hAnsi="Times New Roman" w:cs="Times New Roman"/>
          <w:sz w:val="24"/>
          <w:szCs w:val="24"/>
        </w:rPr>
        <w:t>alongside</w:t>
      </w:r>
      <w:r w:rsidR="007C1558" w:rsidRPr="00774EDB">
        <w:rPr>
          <w:rFonts w:ascii="Times New Roman" w:hAnsi="Times New Roman" w:cs="Times New Roman"/>
          <w:sz w:val="24"/>
          <w:szCs w:val="24"/>
        </w:rPr>
        <w:t xml:space="preserve"> the </w:t>
      </w:r>
      <w:r w:rsidR="00452DF1" w:rsidRPr="00774EDB">
        <w:rPr>
          <w:rFonts w:ascii="Times New Roman" w:hAnsi="Times New Roman" w:cs="Times New Roman"/>
          <w:sz w:val="24"/>
          <w:szCs w:val="24"/>
        </w:rPr>
        <w:t>OSS based</w:t>
      </w:r>
      <w:r w:rsidR="007C1558" w:rsidRPr="00774EDB">
        <w:rPr>
          <w:rFonts w:ascii="Times New Roman" w:hAnsi="Times New Roman" w:cs="Times New Roman"/>
          <w:sz w:val="24"/>
          <w:szCs w:val="24"/>
        </w:rPr>
        <w:t xml:space="preserve"> standards and/or protocols.</w:t>
      </w:r>
      <w:r w:rsidR="00C4742C" w:rsidRPr="00774EDB">
        <w:rPr>
          <w:rStyle w:val="FootnoteReference"/>
          <w:rFonts w:ascii="Times New Roman" w:hAnsi="Times New Roman" w:cs="Times New Roman"/>
          <w:sz w:val="24"/>
          <w:szCs w:val="24"/>
        </w:rPr>
        <w:footnoteReference w:id="77"/>
      </w:r>
      <w:r w:rsidR="007C1558" w:rsidRPr="00774EDB">
        <w:rPr>
          <w:rFonts w:ascii="Times New Roman" w:hAnsi="Times New Roman" w:cs="Times New Roman"/>
          <w:sz w:val="24"/>
          <w:szCs w:val="24"/>
        </w:rPr>
        <w:t xml:space="preserve">   </w:t>
      </w:r>
      <w:r w:rsidR="001308F1" w:rsidRPr="00774EDB">
        <w:rPr>
          <w:rFonts w:ascii="Times New Roman" w:hAnsi="Times New Roman" w:cs="Times New Roman"/>
          <w:sz w:val="24"/>
          <w:szCs w:val="24"/>
        </w:rPr>
        <w:t xml:space="preserve">  </w:t>
      </w:r>
    </w:p>
    <w:p w14:paraId="159A7E82" w14:textId="77777777" w:rsidR="00B93D63" w:rsidRPr="00774EDB" w:rsidRDefault="00B93D63" w:rsidP="00A70042">
      <w:pPr>
        <w:pStyle w:val="Heading3"/>
        <w:numPr>
          <w:ilvl w:val="2"/>
          <w:numId w:val="5"/>
        </w:numPr>
        <w:spacing w:before="360"/>
        <w:ind w:left="0" w:firstLine="0"/>
        <w:jc w:val="both"/>
        <w:rPr>
          <w:rFonts w:ascii="Times New Roman" w:hAnsi="Times New Roman" w:cs="Times New Roman"/>
          <w:b/>
          <w:color w:val="auto"/>
        </w:rPr>
      </w:pPr>
      <w:bookmarkStart w:id="134" w:name="_Toc17611352"/>
      <w:bookmarkStart w:id="135" w:name="_Toc17611569"/>
      <w:bookmarkStart w:id="136" w:name="_Toc17611781"/>
      <w:bookmarkStart w:id="137" w:name="_Toc17611995"/>
      <w:bookmarkStart w:id="138" w:name="_Toc17612208"/>
      <w:bookmarkStart w:id="139" w:name="_Toc11400621"/>
      <w:bookmarkStart w:id="140" w:name="_Toc17611353"/>
      <w:bookmarkStart w:id="141" w:name="_Toc53576029"/>
      <w:bookmarkEnd w:id="134"/>
      <w:bookmarkEnd w:id="135"/>
      <w:bookmarkEnd w:id="136"/>
      <w:bookmarkEnd w:id="137"/>
      <w:bookmarkEnd w:id="138"/>
      <w:r w:rsidRPr="00774EDB">
        <w:rPr>
          <w:rFonts w:ascii="Times New Roman" w:hAnsi="Times New Roman" w:cs="Times New Roman"/>
          <w:b/>
          <w:color w:val="auto"/>
        </w:rPr>
        <w:t>Standardisation</w:t>
      </w:r>
      <w:bookmarkEnd w:id="139"/>
      <w:bookmarkEnd w:id="140"/>
      <w:bookmarkEnd w:id="141"/>
    </w:p>
    <w:p w14:paraId="45D3F9FB"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ICT interoperability is intrinsically coupled with the standardisation. It is common for the companies that generate revenue from consulting and integration of services to promote standards as an important way of accomplishing interoperability, to create standards’ initiatives that target a competitor’s existing product in an effort to commoditize it and then to lobby governments to mandate that newly developed standard.</w:t>
      </w:r>
      <w:r w:rsidRPr="00774EDB">
        <w:rPr>
          <w:rStyle w:val="FootnoteReference"/>
          <w:rFonts w:ascii="Times New Roman" w:hAnsi="Times New Roman" w:cs="Times New Roman"/>
          <w:sz w:val="24"/>
          <w:szCs w:val="24"/>
        </w:rPr>
        <w:footnoteReference w:id="78"/>
      </w:r>
      <w:r w:rsidRPr="00774EDB">
        <w:rPr>
          <w:rFonts w:ascii="Times New Roman" w:hAnsi="Times New Roman" w:cs="Times New Roman"/>
          <w:sz w:val="24"/>
          <w:szCs w:val="24"/>
        </w:rPr>
        <w:t xml:space="preserve"> Although a standard could be mentioned theoretically, even in the case that two firms agree on a format or protocol; standardisation is a multi-party, cooperative and continuous or dynamic) process in its ideal manifestation.</w:t>
      </w:r>
    </w:p>
    <w:p w14:paraId="1610B42B"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this point of view, standardisation ideally takes place when the stakeholders are involved in a learning, sharing and production process, whereby every participant’s IPRs are disclosed under fair, reasonable and non-discriminatory (FRAND) terms in order to create a technology or product that enables interoperability.</w:t>
      </w:r>
      <w:r w:rsidRPr="00774EDB">
        <w:rPr>
          <w:rStyle w:val="FootnoteReference"/>
          <w:rFonts w:ascii="Times New Roman" w:hAnsi="Times New Roman" w:cs="Times New Roman"/>
          <w:sz w:val="24"/>
          <w:szCs w:val="24"/>
        </w:rPr>
        <w:footnoteReference w:id="79"/>
      </w:r>
      <w:r w:rsidRPr="00774EDB">
        <w:rPr>
          <w:rFonts w:ascii="Times New Roman" w:hAnsi="Times New Roman" w:cs="Times New Roman"/>
          <w:sz w:val="24"/>
          <w:szCs w:val="24"/>
        </w:rPr>
        <w:t xml:space="preserve"> By standardising </w:t>
      </w:r>
      <w:r w:rsidRPr="00774EDB">
        <w:rPr>
          <w:rFonts w:ascii="Times New Roman" w:hAnsi="Times New Roman" w:cs="Times New Roman"/>
          <w:sz w:val="24"/>
          <w:szCs w:val="24"/>
        </w:rPr>
        <w:lastRenderedPageBreak/>
        <w:t>competitors’ products and creating multiple standards, whose IPRs are often licensed on royalty-free terms and which are implemented in OSS, new value is provided to the customer.</w:t>
      </w:r>
      <w:r w:rsidRPr="00774EDB">
        <w:rPr>
          <w:rStyle w:val="FootnoteReference"/>
          <w:rFonts w:ascii="Times New Roman" w:hAnsi="Times New Roman" w:cs="Times New Roman"/>
          <w:sz w:val="24"/>
          <w:szCs w:val="24"/>
        </w:rPr>
        <w:footnoteReference w:id="80"/>
      </w:r>
      <w:r w:rsidRPr="00774EDB">
        <w:rPr>
          <w:rFonts w:ascii="Times New Roman" w:hAnsi="Times New Roman" w:cs="Times New Roman"/>
          <w:sz w:val="24"/>
          <w:szCs w:val="24"/>
        </w:rPr>
        <w:t xml:space="preserve"> </w:t>
      </w:r>
    </w:p>
    <w:p w14:paraId="40612944"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ICT standards, succeeding technologies and platforms grow upon basic sets of standards, which are created either through the SSOs or led by the market forces, which denote </w:t>
      </w:r>
      <w:r w:rsidRPr="00774EDB">
        <w:rPr>
          <w:rFonts w:ascii="Times New Roman" w:hAnsi="Times New Roman" w:cs="Times New Roman"/>
          <w:i/>
          <w:sz w:val="24"/>
          <w:szCs w:val="24"/>
        </w:rPr>
        <w:t>de jure</w:t>
      </w:r>
      <w:r w:rsidRPr="00774EDB">
        <w:rPr>
          <w:rFonts w:ascii="Times New Roman" w:hAnsi="Times New Roman" w:cs="Times New Roman"/>
          <w:sz w:val="24"/>
          <w:szCs w:val="24"/>
        </w:rPr>
        <w:t xml:space="preserve"> and </w:t>
      </w:r>
      <w:r w:rsidRPr="00774EDB">
        <w:rPr>
          <w:rFonts w:ascii="Times New Roman" w:hAnsi="Times New Roman" w:cs="Times New Roman"/>
          <w:i/>
          <w:sz w:val="24"/>
          <w:szCs w:val="24"/>
        </w:rPr>
        <w:t>de facto</w:t>
      </w:r>
      <w:r w:rsidRPr="00774EDB">
        <w:rPr>
          <w:rFonts w:ascii="Times New Roman" w:hAnsi="Times New Roman" w:cs="Times New Roman"/>
          <w:sz w:val="24"/>
          <w:szCs w:val="24"/>
        </w:rPr>
        <w:t xml:space="preserve"> standards respectively. Usually de facto standards are conferred in a situation of natural monopoly, arising out of the market conditions that are initially competitive amongst different technologies, with agreement among producers on the standard technology arriving without a formal process.</w:t>
      </w:r>
      <w:r w:rsidRPr="00774EDB">
        <w:rPr>
          <w:rStyle w:val="FootnoteReference"/>
          <w:rFonts w:ascii="Times New Roman" w:hAnsi="Times New Roman" w:cs="Times New Roman"/>
          <w:sz w:val="24"/>
          <w:szCs w:val="24"/>
        </w:rPr>
        <w:footnoteReference w:id="81"/>
      </w:r>
      <w:r w:rsidRPr="00774EDB">
        <w:rPr>
          <w:rFonts w:ascii="Times New Roman" w:hAnsi="Times New Roman" w:cs="Times New Roman"/>
          <w:sz w:val="24"/>
          <w:szCs w:val="24"/>
        </w:rPr>
        <w:t xml:space="preserve"> In the case of </w:t>
      </w:r>
      <w:r w:rsidRPr="00774EDB">
        <w:rPr>
          <w:rFonts w:ascii="Times New Roman" w:hAnsi="Times New Roman" w:cs="Times New Roman"/>
          <w:i/>
          <w:sz w:val="24"/>
          <w:szCs w:val="24"/>
        </w:rPr>
        <w:t>de jure</w:t>
      </w:r>
      <w:r w:rsidRPr="00774EDB">
        <w:rPr>
          <w:rFonts w:ascii="Times New Roman" w:hAnsi="Times New Roman" w:cs="Times New Roman"/>
          <w:sz w:val="24"/>
          <w:szCs w:val="24"/>
        </w:rPr>
        <w:t xml:space="preserve"> standards, a natural monopoly on technology is agreed upon by a body that may be an association and which is perhaps, but not necessarily, with a public interest mandate, of some combination of technology users and suppliers.</w:t>
      </w:r>
      <w:r w:rsidRPr="00774EDB">
        <w:rPr>
          <w:rStyle w:val="FootnoteAnchor"/>
          <w:rFonts w:ascii="Times New Roman" w:hAnsi="Times New Roman" w:cs="Times New Roman"/>
          <w:sz w:val="24"/>
          <w:szCs w:val="24"/>
        </w:rPr>
        <w:footnoteReference w:id="82"/>
      </w:r>
      <w:r w:rsidRPr="00774EDB">
        <w:rPr>
          <w:rFonts w:ascii="Times New Roman" w:hAnsi="Times New Roman" w:cs="Times New Roman"/>
          <w:sz w:val="24"/>
          <w:szCs w:val="24"/>
        </w:rPr>
        <w:t xml:space="preserve"> While </w:t>
      </w:r>
      <w:r w:rsidRPr="00774EDB">
        <w:rPr>
          <w:rFonts w:ascii="Times New Roman" w:hAnsi="Times New Roman" w:cs="Times New Roman"/>
          <w:i/>
          <w:sz w:val="24"/>
          <w:szCs w:val="24"/>
        </w:rPr>
        <w:t>de jure</w:t>
      </w:r>
      <w:r w:rsidRPr="00774EDB">
        <w:rPr>
          <w:rFonts w:ascii="Times New Roman" w:hAnsi="Times New Roman" w:cs="Times New Roman"/>
          <w:sz w:val="24"/>
          <w:szCs w:val="24"/>
        </w:rPr>
        <w:t xml:space="preserve"> standards are truly represented by telecom standards such as ISDN, GSM, LTE; Windows OS, JavaScript, the QWERTY keyboard and HTTP illustrate </w:t>
      </w:r>
      <w:r w:rsidRPr="00774EDB">
        <w:rPr>
          <w:rFonts w:ascii="Times New Roman" w:hAnsi="Times New Roman" w:cs="Times New Roman"/>
          <w:i/>
          <w:sz w:val="24"/>
          <w:szCs w:val="24"/>
        </w:rPr>
        <w:t>de facto</w:t>
      </w:r>
      <w:r w:rsidRPr="00774EDB">
        <w:rPr>
          <w:rFonts w:ascii="Times New Roman" w:hAnsi="Times New Roman" w:cs="Times New Roman"/>
          <w:sz w:val="24"/>
          <w:szCs w:val="24"/>
        </w:rPr>
        <w:t xml:space="preserve"> standards. Mass customer demands and the accompanying spillover effects over the complementary products make the dynamic ICT industries more prone than other industries to de facto standards.</w:t>
      </w:r>
    </w:p>
    <w:p w14:paraId="3CBE36D7"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Another categorisation could be done according to whether standards are “open” or “proprietary”. A </w:t>
      </w:r>
      <w:r w:rsidRPr="00774EDB">
        <w:rPr>
          <w:rFonts w:ascii="Times New Roman" w:hAnsi="Times New Roman" w:cs="Times New Roman"/>
          <w:i/>
          <w:sz w:val="24"/>
          <w:szCs w:val="24"/>
        </w:rPr>
        <w:t>proprietary</w:t>
      </w:r>
      <w:r w:rsidRPr="00774EDB">
        <w:rPr>
          <w:rFonts w:ascii="Times New Roman" w:hAnsi="Times New Roman" w:cs="Times New Roman"/>
          <w:sz w:val="24"/>
          <w:szCs w:val="24"/>
        </w:rPr>
        <w:t xml:space="preserve"> standard exists when the functionality of a technology is controlled by a single entity, or by a private, small group of cooperating entities, and </w:t>
      </w:r>
      <w:r w:rsidRPr="00774EDB">
        <w:rPr>
          <w:rFonts w:ascii="Times New Roman" w:hAnsi="Times New Roman" w:cs="Times New Roman"/>
          <w:sz w:val="24"/>
          <w:szCs w:val="24"/>
        </w:rPr>
        <w:lastRenderedPageBreak/>
        <w:t>the rights to the specific technology are available only to the rights holder(s). Proprietary does not necessarily mean “closed”; it mostly indicates that a quicker and an internalised process is used to develop the standard.</w:t>
      </w:r>
      <w:r w:rsidRPr="00774EDB">
        <w:rPr>
          <w:rStyle w:val="FootnoteReference"/>
          <w:rFonts w:ascii="Times New Roman" w:hAnsi="Times New Roman" w:cs="Times New Roman"/>
          <w:sz w:val="24"/>
          <w:szCs w:val="24"/>
        </w:rPr>
        <w:footnoteReference w:id="83"/>
      </w:r>
      <w:r w:rsidRPr="00774EDB">
        <w:rPr>
          <w:rFonts w:ascii="Times New Roman" w:hAnsi="Times New Roman" w:cs="Times New Roman"/>
          <w:sz w:val="24"/>
          <w:szCs w:val="24"/>
        </w:rPr>
        <w:t xml:space="preserve"> We see that these types of technologies, like Windows OS, become a de facto standard as they are widely used after being created. Notwithstanding, de facto or proprietary standards, for the popular and mass demand stemming from the developer/user side, could undergo an openness process before the industry SSOs.</w:t>
      </w:r>
      <w:r w:rsidRPr="00774EDB">
        <w:rPr>
          <w:rStyle w:val="FootnoteAnchor"/>
          <w:rFonts w:ascii="Times New Roman" w:hAnsi="Times New Roman" w:cs="Times New Roman"/>
          <w:sz w:val="24"/>
          <w:szCs w:val="24"/>
        </w:rPr>
        <w:footnoteReference w:id="84"/>
      </w:r>
      <w:r w:rsidRPr="00774EDB">
        <w:rPr>
          <w:rFonts w:ascii="Times New Roman" w:hAnsi="Times New Roman" w:cs="Times New Roman"/>
          <w:sz w:val="24"/>
          <w:szCs w:val="24"/>
        </w:rPr>
        <w:t xml:space="preserve">   </w:t>
      </w:r>
    </w:p>
    <w:p w14:paraId="149D24F8"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On the other hand, open standards from the beginning develop in an environment where no underlying technology dominates the adoption process, such as in the creation of the Extensible Markup Language (XML), a specification developed by the WWW Consortium. Open standards emerge when the situation of natural monopoly on the technology is accompanied by full competition in the market for products and services based on the technology, with no </w:t>
      </w:r>
      <w:r w:rsidRPr="00774EDB">
        <w:rPr>
          <w:rFonts w:ascii="Times New Roman" w:hAnsi="Times New Roman" w:cs="Times New Roman"/>
          <w:i/>
          <w:iCs/>
          <w:sz w:val="24"/>
          <w:szCs w:val="24"/>
        </w:rPr>
        <w:t>a priori</w:t>
      </w:r>
      <w:r w:rsidRPr="00774EDB">
        <w:rPr>
          <w:rFonts w:ascii="Times New Roman" w:hAnsi="Times New Roman" w:cs="Times New Roman"/>
          <w:sz w:val="24"/>
          <w:szCs w:val="24"/>
        </w:rPr>
        <w:t xml:space="preserve"> advantage based on the ownership of the rights</w:t>
      </w:r>
      <w:r w:rsidRPr="00774EDB">
        <w:rPr>
          <w:rFonts w:ascii="Times New Roman" w:hAnsi="Times New Roman" w:cs="Times New Roman"/>
          <w:i/>
          <w:sz w:val="24"/>
          <w:szCs w:val="24"/>
        </w:rPr>
        <w:t xml:space="preserve"> </w:t>
      </w:r>
      <w:r w:rsidRPr="00774EDB">
        <w:rPr>
          <w:rFonts w:ascii="Times New Roman" w:hAnsi="Times New Roman" w:cs="Times New Roman"/>
          <w:sz w:val="24"/>
          <w:szCs w:val="24"/>
        </w:rPr>
        <w:t>for the rights holder</w:t>
      </w:r>
      <w:r w:rsidRPr="00774EDB">
        <w:rPr>
          <w:rFonts w:ascii="Times New Roman" w:hAnsi="Times New Roman" w:cs="Times New Roman"/>
          <w:i/>
          <w:sz w:val="24"/>
          <w:szCs w:val="24"/>
        </w:rPr>
        <w:t>.</w:t>
      </w:r>
      <w:r w:rsidRPr="00774EDB">
        <w:rPr>
          <w:rStyle w:val="FootnoteReference"/>
          <w:rFonts w:ascii="Times New Roman" w:hAnsi="Times New Roman" w:cs="Times New Roman"/>
          <w:sz w:val="24"/>
          <w:szCs w:val="24"/>
        </w:rPr>
        <w:footnoteReference w:id="85"/>
      </w:r>
      <w:r w:rsidRPr="00774EDB">
        <w:rPr>
          <w:rFonts w:ascii="Times New Roman" w:hAnsi="Times New Roman" w:cs="Times New Roman"/>
          <w:i/>
          <w:sz w:val="24"/>
          <w:szCs w:val="24"/>
        </w:rPr>
        <w:t xml:space="preserve"> </w:t>
      </w:r>
      <w:r w:rsidRPr="00774EDB">
        <w:rPr>
          <w:rFonts w:ascii="Times New Roman" w:hAnsi="Times New Roman" w:cs="Times New Roman"/>
          <w:sz w:val="24"/>
          <w:szCs w:val="24"/>
        </w:rPr>
        <w:t>This occurs when access to the technology is available to all potential economic actors on equal terms, providing no advantages for the rights holders.</w:t>
      </w:r>
      <w:r w:rsidRPr="00774EDB">
        <w:rPr>
          <w:rStyle w:val="FootnoteReference"/>
          <w:rFonts w:ascii="Times New Roman" w:hAnsi="Times New Roman" w:cs="Times New Roman"/>
          <w:sz w:val="24"/>
          <w:szCs w:val="24"/>
        </w:rPr>
        <w:footnoteReference w:id="86"/>
      </w:r>
      <w:r w:rsidRPr="00774EDB">
        <w:rPr>
          <w:rFonts w:ascii="Times New Roman" w:hAnsi="Times New Roman" w:cs="Times New Roman"/>
          <w:sz w:val="24"/>
          <w:szCs w:val="24"/>
        </w:rPr>
        <w:t xml:space="preserve"> For these reasons, open standards give users certain flexibility, agility and diversity to develop derivative products.</w:t>
      </w:r>
    </w:p>
    <w:p w14:paraId="71E68100" w14:textId="2E25B11F"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There are many definitions of “open standards” made by different entities. Among them, the definition of the European Interoperability Framework (EIF), adopted by the European Commission</w:t>
      </w:r>
      <w:r w:rsidR="00DA2B0C" w:rsidRPr="00774EDB">
        <w:rPr>
          <w:rFonts w:ascii="Times New Roman" w:hAnsi="Times New Roman" w:cs="Times New Roman"/>
          <w:sz w:val="24"/>
          <w:szCs w:val="24"/>
        </w:rPr>
        <w:t xml:space="preserve"> (Commission)</w:t>
      </w:r>
      <w:r w:rsidRPr="00774EDB">
        <w:rPr>
          <w:rFonts w:ascii="Times New Roman" w:hAnsi="Times New Roman" w:cs="Times New Roman"/>
          <w:sz w:val="24"/>
          <w:szCs w:val="24"/>
        </w:rPr>
        <w:t>, could be given as a prominent example which enlists the following criteria for a standard to be considered as “open”:</w:t>
      </w:r>
      <w:r w:rsidRPr="00774EDB">
        <w:rPr>
          <w:rStyle w:val="FootnoteAnchor"/>
          <w:rFonts w:ascii="Times New Roman" w:hAnsi="Times New Roman" w:cs="Times New Roman"/>
          <w:sz w:val="24"/>
          <w:szCs w:val="24"/>
        </w:rPr>
        <w:footnoteReference w:id="87"/>
      </w:r>
    </w:p>
    <w:p w14:paraId="32EFDF9A" w14:textId="77777777" w:rsidR="00B93D63" w:rsidRPr="00774EDB" w:rsidRDefault="00B93D63" w:rsidP="00A70042">
      <w:pPr>
        <w:pStyle w:val="ListParagraph"/>
        <w:numPr>
          <w:ilvl w:val="0"/>
          <w:numId w:val="1"/>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The standard is adopted and will be maintained by a not-for-profit organisation, and its ongoing development occurs on the basis of an open decision-making procedure available to all interested parties, in a consensus or majority decision etc.</w:t>
      </w:r>
    </w:p>
    <w:p w14:paraId="3761E180" w14:textId="77777777" w:rsidR="00B93D63" w:rsidRPr="00774EDB" w:rsidRDefault="00B93D63" w:rsidP="00A70042">
      <w:pPr>
        <w:pStyle w:val="ListParagraph"/>
        <w:numPr>
          <w:ilvl w:val="0"/>
          <w:numId w:val="1"/>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The standard has been published and the standard specification document is available either freely or at a nominal charge. It must be permissible to all to copy, distribute and use it for no fee, or at a nominal fee.</w:t>
      </w:r>
    </w:p>
    <w:p w14:paraId="4114BB13" w14:textId="77777777" w:rsidR="00B93D63" w:rsidRPr="00774EDB" w:rsidRDefault="00B93D63" w:rsidP="00A70042">
      <w:pPr>
        <w:pStyle w:val="ListParagraph"/>
        <w:numPr>
          <w:ilvl w:val="0"/>
          <w:numId w:val="1"/>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 xml:space="preserve">The intellectual property - i.e. patents possibly present - of (parts of) the standard is made irrevocably available on a royalty free basis. </w:t>
      </w:r>
    </w:p>
    <w:p w14:paraId="53599DFE" w14:textId="1737F5EB"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Although open standards are defined and championed by many as being freely used and distributed, many SSOs</w:t>
      </w:r>
      <w:r w:rsidR="00B33789" w:rsidRPr="00774EDB">
        <w:rPr>
          <w:rFonts w:ascii="Times New Roman" w:hAnsi="Times New Roman" w:cs="Times New Roman"/>
          <w:sz w:val="24"/>
          <w:szCs w:val="24"/>
        </w:rPr>
        <w:t xml:space="preserve"> that develop ‘open’ standards,</w:t>
      </w:r>
      <w:r w:rsidRPr="00774EDB">
        <w:rPr>
          <w:rFonts w:ascii="Times New Roman" w:hAnsi="Times New Roman" w:cs="Times New Roman"/>
          <w:sz w:val="24"/>
          <w:szCs w:val="24"/>
        </w:rPr>
        <w:t xml:space="preserve"> including the ETSI, IEEF, IETF, ISO/IEC, ITU, OMA, ANSI and ECMA, do not mandate IPR-free standards or royalty-free IPR licensing.</w:t>
      </w:r>
      <w:r w:rsidR="00261DAF" w:rsidRPr="00774EDB">
        <w:rPr>
          <w:rStyle w:val="FootnoteReference"/>
          <w:rFonts w:ascii="Times New Roman" w:hAnsi="Times New Roman" w:cs="Times New Roman"/>
          <w:sz w:val="24"/>
          <w:szCs w:val="24"/>
        </w:rPr>
        <w:footnoteReference w:id="88"/>
      </w:r>
      <w:r w:rsidRPr="00774EDB">
        <w:rPr>
          <w:rFonts w:ascii="Times New Roman" w:hAnsi="Times New Roman" w:cs="Times New Roman"/>
          <w:sz w:val="24"/>
          <w:szCs w:val="24"/>
        </w:rPr>
        <w:t xml:space="preserve"> Many industry-wide open standards are being implemented through FRAND licensing. This might be deemed to create a balance in order to establish and drive market competition between IPR owners and implementers. It is argued that, by mandating royalty-free licensing and unfettered sublicensing and by prohibiting other reasonable licensing terms, royalty-free </w:t>
      </w:r>
      <w:r w:rsidRPr="00774EDB">
        <w:rPr>
          <w:rFonts w:ascii="Times New Roman" w:hAnsi="Times New Roman" w:cs="Times New Roman"/>
          <w:sz w:val="24"/>
          <w:szCs w:val="24"/>
        </w:rPr>
        <w:lastRenderedPageBreak/>
        <w:t>standardisation would likely deter IPR holders from participating in and contributing to the standards development process.</w:t>
      </w:r>
      <w:r w:rsidRPr="00774EDB">
        <w:rPr>
          <w:rFonts w:ascii="Times New Roman" w:hAnsi="Times New Roman" w:cs="Times New Roman"/>
          <w:sz w:val="24"/>
          <w:szCs w:val="24"/>
          <w:vertAlign w:val="superscript"/>
        </w:rPr>
        <w:footnoteReference w:id="89"/>
      </w:r>
      <w:r w:rsidRPr="00774EDB">
        <w:rPr>
          <w:rFonts w:ascii="Times New Roman" w:hAnsi="Times New Roman" w:cs="Times New Roman"/>
          <w:sz w:val="24"/>
          <w:szCs w:val="24"/>
        </w:rPr>
        <w:t xml:space="preserve">       </w:t>
      </w:r>
    </w:p>
    <w:p w14:paraId="4C9F2285" w14:textId="5824F623" w:rsidR="00B93D63" w:rsidRPr="00774EDB" w:rsidRDefault="00996B2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this vantage point of view</w:t>
      </w:r>
      <w:r w:rsidR="00B93D63" w:rsidRPr="00774EDB">
        <w:rPr>
          <w:rFonts w:ascii="Times New Roman" w:hAnsi="Times New Roman" w:cs="Times New Roman"/>
          <w:sz w:val="24"/>
          <w:szCs w:val="24"/>
        </w:rPr>
        <w:t>, it is note-worthy that the standardisation process is not entirely immune from anti-competitive concerns. In fact, there sometimes arises risk of collusion e.g. companies using the SSO to facilitate price fixing, as well as risk of exclusion e.g. companies using the SSO to freeze out a competitor, whilst adopting a standard.</w:t>
      </w:r>
      <w:r w:rsidR="00B93D63" w:rsidRPr="00774EDB">
        <w:rPr>
          <w:rStyle w:val="FootnoteReference"/>
          <w:rFonts w:ascii="Times New Roman" w:hAnsi="Times New Roman" w:cs="Times New Roman"/>
          <w:sz w:val="24"/>
          <w:szCs w:val="24"/>
        </w:rPr>
        <w:footnoteReference w:id="90"/>
      </w:r>
      <w:r w:rsidR="00B93D63" w:rsidRPr="00774EDB">
        <w:rPr>
          <w:rFonts w:ascii="Times New Roman" w:hAnsi="Times New Roman" w:cs="Times New Roman"/>
          <w:sz w:val="24"/>
          <w:szCs w:val="24"/>
        </w:rPr>
        <w:t xml:space="preserve"> In order to eliminate such risks, the SSOs </w:t>
      </w:r>
      <w:r w:rsidR="00651B7B" w:rsidRPr="00774EDB">
        <w:rPr>
          <w:rFonts w:ascii="Times New Roman" w:hAnsi="Times New Roman" w:cs="Times New Roman"/>
          <w:sz w:val="24"/>
          <w:szCs w:val="24"/>
        </w:rPr>
        <w:t xml:space="preserve">often </w:t>
      </w:r>
      <w:r w:rsidR="00B93D63" w:rsidRPr="00774EDB">
        <w:rPr>
          <w:rFonts w:ascii="Times New Roman" w:hAnsi="Times New Roman" w:cs="Times New Roman"/>
          <w:sz w:val="24"/>
          <w:szCs w:val="24"/>
        </w:rPr>
        <w:t xml:space="preserve">apply a number of safeguards </w:t>
      </w:r>
      <w:r w:rsidR="00C87847" w:rsidRPr="00774EDB">
        <w:rPr>
          <w:rFonts w:ascii="Times New Roman" w:hAnsi="Times New Roman" w:cs="Times New Roman"/>
          <w:sz w:val="24"/>
          <w:szCs w:val="24"/>
        </w:rPr>
        <w:t>including</w:t>
      </w:r>
      <w:r w:rsidR="00B93D63" w:rsidRPr="00774EDB">
        <w:rPr>
          <w:rFonts w:ascii="Times New Roman" w:hAnsi="Times New Roman" w:cs="Times New Roman"/>
          <w:sz w:val="24"/>
          <w:szCs w:val="24"/>
        </w:rPr>
        <w:t xml:space="preserve"> mandat</w:t>
      </w:r>
      <w:r w:rsidR="00C87847" w:rsidRPr="00774EDB">
        <w:rPr>
          <w:rFonts w:ascii="Times New Roman" w:hAnsi="Times New Roman" w:cs="Times New Roman"/>
          <w:sz w:val="24"/>
          <w:szCs w:val="24"/>
        </w:rPr>
        <w:t>ing</w:t>
      </w:r>
      <w:r w:rsidR="00B93D63" w:rsidRPr="00774EDB">
        <w:rPr>
          <w:rFonts w:ascii="Times New Roman" w:hAnsi="Times New Roman" w:cs="Times New Roman"/>
          <w:sz w:val="24"/>
          <w:szCs w:val="24"/>
        </w:rPr>
        <w:t xml:space="preserve"> the participants in the standardisation process to disclose their IPRs, which are essential to the standard setting</w:t>
      </w:r>
      <w:r w:rsidR="00C87847" w:rsidRPr="00774EDB">
        <w:rPr>
          <w:rFonts w:ascii="Times New Roman" w:hAnsi="Times New Roman" w:cs="Times New Roman"/>
          <w:sz w:val="24"/>
          <w:szCs w:val="24"/>
        </w:rPr>
        <w:t>,</w:t>
      </w:r>
      <w:r w:rsidR="00B93D63" w:rsidRPr="00774EDB">
        <w:rPr>
          <w:rFonts w:ascii="Times New Roman" w:hAnsi="Times New Roman" w:cs="Times New Roman"/>
          <w:sz w:val="24"/>
          <w:szCs w:val="24"/>
        </w:rPr>
        <w:t xml:space="preserve"> and to commit to license such essential IPRs under FRAND terms. However, </w:t>
      </w:r>
      <w:r w:rsidR="00C87847" w:rsidRPr="00774EDB">
        <w:rPr>
          <w:rFonts w:ascii="Times New Roman" w:hAnsi="Times New Roman" w:cs="Times New Roman"/>
          <w:sz w:val="24"/>
          <w:szCs w:val="24"/>
        </w:rPr>
        <w:t xml:space="preserve">this does not </w:t>
      </w:r>
      <w:r w:rsidR="00651B7B" w:rsidRPr="00774EDB">
        <w:rPr>
          <w:rFonts w:ascii="Times New Roman" w:hAnsi="Times New Roman" w:cs="Times New Roman"/>
          <w:sz w:val="24"/>
          <w:szCs w:val="24"/>
        </w:rPr>
        <w:t xml:space="preserve">necessarily </w:t>
      </w:r>
      <w:r w:rsidR="00C87847" w:rsidRPr="00774EDB">
        <w:rPr>
          <w:rFonts w:ascii="Times New Roman" w:hAnsi="Times New Roman" w:cs="Times New Roman"/>
          <w:sz w:val="24"/>
          <w:szCs w:val="24"/>
        </w:rPr>
        <w:t xml:space="preserve">reflect </w:t>
      </w:r>
      <w:r w:rsidR="00651B7B" w:rsidRPr="00774EDB">
        <w:rPr>
          <w:rFonts w:ascii="Times New Roman" w:hAnsi="Times New Roman" w:cs="Times New Roman"/>
          <w:sz w:val="24"/>
          <w:szCs w:val="24"/>
        </w:rPr>
        <w:t>the situation for all</w:t>
      </w:r>
      <w:r w:rsidR="00C87847" w:rsidRPr="00774EDB">
        <w:rPr>
          <w:rFonts w:ascii="Times New Roman" w:hAnsi="Times New Roman" w:cs="Times New Roman"/>
          <w:sz w:val="24"/>
          <w:szCs w:val="24"/>
        </w:rPr>
        <w:t xml:space="preserve"> the SSOs</w:t>
      </w:r>
      <w:r w:rsidR="00651B7B" w:rsidRPr="00774EDB">
        <w:rPr>
          <w:rFonts w:ascii="Times New Roman" w:hAnsi="Times New Roman" w:cs="Times New Roman"/>
          <w:sz w:val="24"/>
          <w:szCs w:val="24"/>
        </w:rPr>
        <w:t xml:space="preserve">. Moreover, </w:t>
      </w:r>
      <w:r w:rsidR="00B93D63" w:rsidRPr="00774EDB">
        <w:rPr>
          <w:rFonts w:ascii="Times New Roman" w:hAnsi="Times New Roman" w:cs="Times New Roman"/>
          <w:sz w:val="24"/>
          <w:szCs w:val="24"/>
        </w:rPr>
        <w:t>the SSOs do not impose an obligation on IPR owners to conduct a search for, or guarantee the disclosure of all IPRs they own that may be essential to a given standard.</w:t>
      </w:r>
      <w:r w:rsidR="00B93D63" w:rsidRPr="00774EDB">
        <w:rPr>
          <w:rStyle w:val="FootnoteReference"/>
          <w:rFonts w:ascii="Times New Roman" w:hAnsi="Times New Roman" w:cs="Times New Roman"/>
          <w:sz w:val="24"/>
          <w:szCs w:val="24"/>
        </w:rPr>
        <w:footnoteReference w:id="91"/>
      </w:r>
      <w:r w:rsidR="00B93D63" w:rsidRPr="00774EDB">
        <w:rPr>
          <w:rFonts w:ascii="Times New Roman" w:hAnsi="Times New Roman" w:cs="Times New Roman"/>
          <w:sz w:val="24"/>
          <w:szCs w:val="24"/>
        </w:rPr>
        <w:t xml:space="preserve"> </w:t>
      </w:r>
      <w:r w:rsidR="00651B7B" w:rsidRPr="00774EDB">
        <w:rPr>
          <w:rFonts w:ascii="Times New Roman" w:hAnsi="Times New Roman" w:cs="Times New Roman"/>
          <w:sz w:val="24"/>
          <w:szCs w:val="24"/>
        </w:rPr>
        <w:t xml:space="preserve">Last but not least, while the EU competition rules, Article 101 </w:t>
      </w:r>
      <w:r w:rsidR="00D42555" w:rsidRPr="00774EDB">
        <w:rPr>
          <w:rFonts w:ascii="Times New Roman" w:hAnsi="Times New Roman" w:cs="Times New Roman"/>
          <w:sz w:val="24"/>
          <w:szCs w:val="24"/>
        </w:rPr>
        <w:t xml:space="preserve">and 102 </w:t>
      </w:r>
      <w:r w:rsidR="009C58DA" w:rsidRPr="00774EDB">
        <w:rPr>
          <w:rFonts w:ascii="Times New Roman" w:hAnsi="Times New Roman" w:cs="Times New Roman"/>
          <w:sz w:val="24"/>
          <w:szCs w:val="24"/>
        </w:rPr>
        <w:t xml:space="preserve">of the </w:t>
      </w:r>
      <w:r w:rsidR="00651B7B" w:rsidRPr="00774EDB">
        <w:rPr>
          <w:rFonts w:ascii="Times New Roman" w:hAnsi="Times New Roman" w:cs="Times New Roman"/>
          <w:sz w:val="24"/>
          <w:szCs w:val="24"/>
        </w:rPr>
        <w:t>TFEU, have a</w:t>
      </w:r>
      <w:r w:rsidR="00D42555" w:rsidRPr="00774EDB">
        <w:rPr>
          <w:rFonts w:ascii="Times New Roman" w:hAnsi="Times New Roman" w:cs="Times New Roman"/>
          <w:sz w:val="24"/>
          <w:szCs w:val="24"/>
        </w:rPr>
        <w:t xml:space="preserve"> </w:t>
      </w:r>
      <w:r w:rsidR="00651B7B" w:rsidRPr="00774EDB">
        <w:rPr>
          <w:rFonts w:ascii="Times New Roman" w:hAnsi="Times New Roman" w:cs="Times New Roman"/>
          <w:sz w:val="24"/>
          <w:szCs w:val="24"/>
        </w:rPr>
        <w:t>mitigative</w:t>
      </w:r>
      <w:r w:rsidR="006B3EDB" w:rsidRPr="00774EDB">
        <w:rPr>
          <w:rFonts w:ascii="Times New Roman" w:hAnsi="Times New Roman" w:cs="Times New Roman"/>
          <w:sz w:val="24"/>
          <w:szCs w:val="24"/>
        </w:rPr>
        <w:t xml:space="preserve"> </w:t>
      </w:r>
      <w:r w:rsidR="00651B7B" w:rsidRPr="00774EDB">
        <w:rPr>
          <w:rFonts w:ascii="Times New Roman" w:hAnsi="Times New Roman" w:cs="Times New Roman"/>
          <w:sz w:val="24"/>
          <w:szCs w:val="24"/>
        </w:rPr>
        <w:t xml:space="preserve">effect, </w:t>
      </w:r>
      <w:r w:rsidR="006B3EDB" w:rsidRPr="00774EDB">
        <w:rPr>
          <w:rFonts w:ascii="Times New Roman" w:hAnsi="Times New Roman" w:cs="Times New Roman"/>
          <w:sz w:val="24"/>
          <w:szCs w:val="24"/>
        </w:rPr>
        <w:t>it would be far-fetched to assume anti-competitive risks being dissipated at all in SSO processes</w:t>
      </w:r>
      <w:r w:rsidR="00B93D63" w:rsidRPr="00774EDB">
        <w:rPr>
          <w:rFonts w:ascii="Times New Roman" w:hAnsi="Times New Roman" w:cs="Times New Roman"/>
          <w:sz w:val="24"/>
          <w:szCs w:val="24"/>
        </w:rPr>
        <w:t>.</w:t>
      </w:r>
      <w:r w:rsidR="00B93D63" w:rsidRPr="00774EDB">
        <w:rPr>
          <w:rStyle w:val="FootnoteAnchor"/>
          <w:rFonts w:ascii="Times New Roman" w:hAnsi="Times New Roman" w:cs="Times New Roman"/>
          <w:sz w:val="24"/>
          <w:szCs w:val="24"/>
        </w:rPr>
        <w:footnoteReference w:id="92"/>
      </w:r>
      <w:r w:rsidR="00B93D63" w:rsidRPr="00774EDB">
        <w:rPr>
          <w:rFonts w:ascii="Times New Roman" w:hAnsi="Times New Roman" w:cs="Times New Roman"/>
          <w:sz w:val="24"/>
          <w:szCs w:val="24"/>
          <w:lang w:eastAsia="en-GB"/>
        </w:rPr>
        <w:t xml:space="preserve"> </w:t>
      </w:r>
    </w:p>
    <w:p w14:paraId="57EABC5D" w14:textId="77777777" w:rsidR="00B93D63" w:rsidRPr="00774EDB" w:rsidRDefault="00B93D63" w:rsidP="00A70042">
      <w:pPr>
        <w:pStyle w:val="Heading3"/>
        <w:numPr>
          <w:ilvl w:val="2"/>
          <w:numId w:val="5"/>
        </w:numPr>
        <w:spacing w:before="360"/>
        <w:ind w:left="0" w:firstLine="0"/>
        <w:jc w:val="both"/>
        <w:rPr>
          <w:rFonts w:ascii="Times New Roman" w:hAnsi="Times New Roman" w:cs="Times New Roman"/>
          <w:b/>
          <w:color w:val="auto"/>
        </w:rPr>
      </w:pPr>
      <w:bookmarkStart w:id="143" w:name="_Toc17611354"/>
      <w:bookmarkStart w:id="144" w:name="_Toc17611571"/>
      <w:bookmarkStart w:id="145" w:name="_Toc17611783"/>
      <w:bookmarkStart w:id="146" w:name="_Toc17611997"/>
      <w:bookmarkStart w:id="147" w:name="_Toc17612210"/>
      <w:bookmarkStart w:id="148" w:name="_Toc11400622"/>
      <w:bookmarkStart w:id="149" w:name="_Toc17611355"/>
      <w:bookmarkStart w:id="150" w:name="_Toc53576030"/>
      <w:bookmarkEnd w:id="143"/>
      <w:bookmarkEnd w:id="144"/>
      <w:bookmarkEnd w:id="145"/>
      <w:bookmarkEnd w:id="146"/>
      <w:bookmarkEnd w:id="147"/>
      <w:r w:rsidRPr="00774EDB">
        <w:rPr>
          <w:rFonts w:ascii="Times New Roman" w:hAnsi="Times New Roman" w:cs="Times New Roman"/>
          <w:b/>
          <w:color w:val="auto"/>
        </w:rPr>
        <w:lastRenderedPageBreak/>
        <w:t>Network effects</w:t>
      </w:r>
      <w:bookmarkEnd w:id="148"/>
      <w:bookmarkEnd w:id="149"/>
      <w:bookmarkEnd w:id="150"/>
    </w:p>
    <w:p w14:paraId="08A6AC15" w14:textId="2B5A9E06"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could be derived from the framework above, both standards and IPRs are important tools for innovation and competition, and their intrinsic values vary for each market. They can serve for a market being built up or expanded, with substitutable products surrounding the created standard. While their purposes and functionalities differ from each other,</w:t>
      </w:r>
      <w:r w:rsidRPr="00774EDB">
        <w:rPr>
          <w:rStyle w:val="FootnoteAnchor"/>
          <w:rFonts w:ascii="Times New Roman" w:hAnsi="Times New Roman" w:cs="Times New Roman"/>
          <w:sz w:val="24"/>
          <w:szCs w:val="24"/>
        </w:rPr>
        <w:footnoteReference w:id="93"/>
      </w:r>
      <w:r w:rsidRPr="00774EDB">
        <w:rPr>
          <w:rFonts w:ascii="Times New Roman" w:hAnsi="Times New Roman" w:cs="Times New Roman"/>
          <w:sz w:val="24"/>
          <w:szCs w:val="24"/>
        </w:rPr>
        <w:t xml:space="preserve"> both are covered by the term “network effects”. ICT platforms reveal network effects, which entail directly or indirectly enhanced benefits for the prevailing and prospective users on the same network platform.</w:t>
      </w:r>
      <w:r w:rsidRPr="00774EDB">
        <w:rPr>
          <w:rStyle w:val="FootnoteAnchor"/>
          <w:rFonts w:ascii="Times New Roman" w:hAnsi="Times New Roman" w:cs="Times New Roman"/>
          <w:sz w:val="24"/>
          <w:szCs w:val="24"/>
        </w:rPr>
        <w:footnoteReference w:id="94"/>
      </w:r>
      <w:r w:rsidRPr="00774EDB">
        <w:rPr>
          <w:rFonts w:ascii="Times New Roman" w:hAnsi="Times New Roman" w:cs="Times New Roman"/>
          <w:sz w:val="24"/>
          <w:szCs w:val="24"/>
        </w:rPr>
        <w:t xml:space="preserve"> In the case of telecommunications services e.g. voice telephony, adding new customers to a network increases the surplus of other subscribers who are able to call and be called by the new customers and therefore affects customers’ demands.</w:t>
      </w:r>
      <w:r w:rsidRPr="00774EDB">
        <w:rPr>
          <w:rStyle w:val="FootnoteReference"/>
          <w:rFonts w:ascii="Times New Roman" w:hAnsi="Times New Roman" w:cs="Times New Roman"/>
          <w:sz w:val="24"/>
          <w:szCs w:val="24"/>
        </w:rPr>
        <w:footnoteReference w:id="95"/>
      </w:r>
      <w:r w:rsidRPr="00774EDB">
        <w:rPr>
          <w:rFonts w:ascii="Times New Roman" w:hAnsi="Times New Roman" w:cs="Times New Roman"/>
          <w:sz w:val="24"/>
          <w:szCs w:val="24"/>
        </w:rPr>
        <w:t xml:space="preserve"> When IT or software markets e.g. social networking sites are considered, similar findings could be reached. For example, Facebook now has more subscribers by far than any other social networking site and is valuable to its users precisely because so many of their friends and acquaintances are on it.</w:t>
      </w:r>
      <w:r w:rsidRPr="00774EDB">
        <w:rPr>
          <w:rStyle w:val="FootnoteReference"/>
          <w:rFonts w:ascii="Times New Roman" w:hAnsi="Times New Roman" w:cs="Times New Roman"/>
          <w:sz w:val="24"/>
          <w:szCs w:val="24"/>
        </w:rPr>
        <w:footnoteReference w:id="96"/>
      </w:r>
    </w:p>
    <w:p w14:paraId="74CAEB06"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network effects described above are represented by direct network effects, when consumer utility directly depends on the market size, independently of charging method. There also exist indirect network effects, which are generated indirectly </w:t>
      </w:r>
      <w:r w:rsidRPr="00774EDB">
        <w:rPr>
          <w:rFonts w:ascii="Times New Roman" w:hAnsi="Times New Roman" w:cs="Times New Roman"/>
          <w:sz w:val="24"/>
          <w:szCs w:val="24"/>
        </w:rPr>
        <w:lastRenderedPageBreak/>
        <w:t>through market mechanisms such as economies of scale, scope and density. In industries that display strong initial direct network effects, a critical mass of users is needed for users to receive sufficient value from the use of products, such as the telephone, fax machine or social networking services.</w:t>
      </w:r>
      <w:r w:rsidRPr="00774EDB">
        <w:rPr>
          <w:rStyle w:val="FootnoteReference"/>
          <w:rFonts w:ascii="Times New Roman" w:hAnsi="Times New Roman" w:cs="Times New Roman"/>
          <w:sz w:val="24"/>
          <w:szCs w:val="24"/>
        </w:rPr>
        <w:footnoteReference w:id="97"/>
      </w:r>
      <w:r w:rsidRPr="00774EDB">
        <w:rPr>
          <w:rFonts w:ascii="Times New Roman" w:hAnsi="Times New Roman" w:cs="Times New Roman"/>
          <w:sz w:val="24"/>
          <w:szCs w:val="24"/>
        </w:rPr>
        <w:t xml:space="preserve"> In industries that display strong indirect network effects, a critical mass of complementary products e.g. hardware and software are needed for users to receive sufficient value from the use of computers, video games, or video or music players.</w:t>
      </w:r>
      <w:r w:rsidRPr="00774EDB">
        <w:rPr>
          <w:rStyle w:val="FootnoteReference"/>
          <w:rFonts w:ascii="Times New Roman" w:hAnsi="Times New Roman" w:cs="Times New Roman"/>
          <w:sz w:val="24"/>
          <w:szCs w:val="24"/>
        </w:rPr>
        <w:footnoteReference w:id="98"/>
      </w:r>
    </w:p>
    <w:p w14:paraId="53B97967" w14:textId="4E6D147C"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 remarkable level of interdependence among the ICT players is a </w:t>
      </w:r>
      <w:r w:rsidR="00DC3378" w:rsidRPr="00774EDB">
        <w:rPr>
          <w:rFonts w:ascii="Times New Roman" w:hAnsi="Times New Roman" w:cs="Times New Roman"/>
          <w:sz w:val="24"/>
          <w:szCs w:val="24"/>
        </w:rPr>
        <w:t>result</w:t>
      </w:r>
      <w:r w:rsidRPr="00774EDB">
        <w:rPr>
          <w:rFonts w:ascii="Times New Roman" w:hAnsi="Times New Roman" w:cs="Times New Roman"/>
          <w:sz w:val="24"/>
          <w:szCs w:val="24"/>
        </w:rPr>
        <w:t xml:space="preserve"> of the industry-level network effects, as depicted in the ‘interconnection agreements’</w:t>
      </w:r>
      <w:r w:rsidRPr="00774EDB">
        <w:rPr>
          <w:rStyle w:val="FootnoteAnchor"/>
          <w:rFonts w:ascii="Times New Roman" w:hAnsi="Times New Roman" w:cs="Times New Roman"/>
          <w:sz w:val="24"/>
          <w:szCs w:val="24"/>
        </w:rPr>
        <w:footnoteReference w:id="99"/>
      </w:r>
      <w:r w:rsidRPr="00774EDB">
        <w:rPr>
          <w:rFonts w:ascii="Times New Roman" w:hAnsi="Times New Roman" w:cs="Times New Roman"/>
          <w:sz w:val="24"/>
          <w:szCs w:val="24"/>
        </w:rPr>
        <w:t xml:space="preserve"> signed between the telecom operators. Central to interconnection agreements is the fact that interconnecting networks yield positive network externalities in which the value of the network to each customer increases as the number of customers increases.</w:t>
      </w:r>
      <w:r w:rsidRPr="00774EDB">
        <w:rPr>
          <w:rStyle w:val="FootnoteReference"/>
          <w:rFonts w:ascii="Times New Roman" w:hAnsi="Times New Roman" w:cs="Times New Roman"/>
          <w:sz w:val="24"/>
          <w:szCs w:val="24"/>
        </w:rPr>
        <w:footnoteReference w:id="100"/>
      </w:r>
      <w:r w:rsidRPr="00774EDB">
        <w:rPr>
          <w:rFonts w:ascii="Times New Roman" w:hAnsi="Times New Roman" w:cs="Times New Roman"/>
          <w:sz w:val="24"/>
          <w:szCs w:val="24"/>
        </w:rPr>
        <w:t xml:space="preserve"> Therefore, the total value of a customer joining the network depends on not only the private benefits but also the external benefits of being able to send and receive call(s) from any other parties within the network.</w:t>
      </w:r>
      <w:r w:rsidRPr="00774EDB">
        <w:rPr>
          <w:rStyle w:val="FootnoteReference"/>
          <w:rFonts w:ascii="Times New Roman" w:hAnsi="Times New Roman" w:cs="Times New Roman"/>
          <w:sz w:val="24"/>
          <w:szCs w:val="24"/>
        </w:rPr>
        <w:footnoteReference w:id="101"/>
      </w:r>
      <w:r w:rsidRPr="00774EDB">
        <w:rPr>
          <w:rFonts w:ascii="Times New Roman" w:hAnsi="Times New Roman" w:cs="Times New Roman"/>
          <w:sz w:val="24"/>
          <w:szCs w:val="24"/>
        </w:rPr>
        <w:t xml:space="preserve"> An operator lacking an interconnection with other operators would be able to just serve its </w:t>
      </w:r>
      <w:r w:rsidR="000E5655">
        <w:rPr>
          <w:rFonts w:ascii="Times New Roman" w:hAnsi="Times New Roman" w:cs="Times New Roman"/>
          <w:sz w:val="24"/>
          <w:szCs w:val="24"/>
        </w:rPr>
        <w:t xml:space="preserve">own </w:t>
      </w:r>
      <w:r w:rsidRPr="00774EDB">
        <w:rPr>
          <w:rFonts w:ascii="Times New Roman" w:hAnsi="Times New Roman" w:cs="Times New Roman"/>
          <w:sz w:val="24"/>
          <w:szCs w:val="24"/>
        </w:rPr>
        <w:t xml:space="preserve">subscribers </w:t>
      </w:r>
      <w:r w:rsidRPr="00774EDB">
        <w:rPr>
          <w:rFonts w:ascii="Times New Roman" w:hAnsi="Times New Roman" w:cs="Times New Roman"/>
          <w:sz w:val="24"/>
          <w:szCs w:val="24"/>
        </w:rPr>
        <w:lastRenderedPageBreak/>
        <w:t xml:space="preserve">and lose consumers who would </w:t>
      </w:r>
      <w:r w:rsidR="000E5655">
        <w:rPr>
          <w:rFonts w:ascii="Times New Roman" w:hAnsi="Times New Roman" w:cs="Times New Roman"/>
          <w:sz w:val="24"/>
          <w:szCs w:val="24"/>
        </w:rPr>
        <w:t>opt</w:t>
      </w:r>
      <w:r w:rsidRPr="00774EDB">
        <w:rPr>
          <w:rFonts w:ascii="Times New Roman" w:hAnsi="Times New Roman" w:cs="Times New Roman"/>
          <w:sz w:val="24"/>
          <w:szCs w:val="24"/>
        </w:rPr>
        <w:t xml:space="preserve"> larger networks which are interconnected with others and thus benefit from network effects, via outgoing and incoming traffic. Hence, interconnection between telecommunications networks serves to externalise network effects</w:t>
      </w:r>
      <w:r w:rsidRPr="00774EDB" w:rsidDel="004853AD">
        <w:rPr>
          <w:rFonts w:ascii="Times New Roman" w:hAnsi="Times New Roman" w:cs="Times New Roman"/>
          <w:sz w:val="24"/>
          <w:szCs w:val="24"/>
        </w:rPr>
        <w:t xml:space="preserve"> </w:t>
      </w:r>
      <w:r w:rsidR="004F4966" w:rsidRPr="00774EDB">
        <w:rPr>
          <w:rFonts w:ascii="Times New Roman" w:hAnsi="Times New Roman" w:cs="Times New Roman"/>
          <w:sz w:val="24"/>
          <w:szCs w:val="24"/>
        </w:rPr>
        <w:t xml:space="preserve">from </w:t>
      </w:r>
      <w:r w:rsidRPr="00774EDB">
        <w:rPr>
          <w:rFonts w:ascii="Times New Roman" w:hAnsi="Times New Roman" w:cs="Times New Roman"/>
          <w:sz w:val="24"/>
          <w:szCs w:val="24"/>
        </w:rPr>
        <w:t xml:space="preserve">the </w:t>
      </w:r>
      <w:r w:rsidR="004F4966" w:rsidRPr="00774EDB">
        <w:rPr>
          <w:rFonts w:ascii="Times New Roman" w:hAnsi="Times New Roman" w:cs="Times New Roman"/>
          <w:sz w:val="24"/>
          <w:szCs w:val="24"/>
        </w:rPr>
        <w:t xml:space="preserve">operator-level to the </w:t>
      </w:r>
      <w:r w:rsidRPr="00774EDB">
        <w:rPr>
          <w:rFonts w:ascii="Times New Roman" w:hAnsi="Times New Roman" w:cs="Times New Roman"/>
          <w:sz w:val="24"/>
          <w:szCs w:val="24"/>
        </w:rPr>
        <w:t xml:space="preserve">industry-level, </w:t>
      </w:r>
      <w:r w:rsidR="004F4966" w:rsidRPr="00774EDB">
        <w:rPr>
          <w:rFonts w:ascii="Times New Roman" w:hAnsi="Times New Roman" w:cs="Times New Roman"/>
          <w:sz w:val="24"/>
          <w:szCs w:val="24"/>
        </w:rPr>
        <w:t>along with the corelated</w:t>
      </w:r>
      <w:r w:rsidRPr="00774EDB">
        <w:rPr>
          <w:rFonts w:ascii="Times New Roman" w:hAnsi="Times New Roman" w:cs="Times New Roman"/>
          <w:sz w:val="24"/>
          <w:szCs w:val="24"/>
        </w:rPr>
        <w:t xml:space="preserve"> consumer surplus.  </w:t>
      </w:r>
    </w:p>
    <w:p w14:paraId="1CABF32C" w14:textId="7D7D3050"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a result</w:t>
      </w:r>
      <w:r w:rsidR="000E5655">
        <w:rPr>
          <w:rFonts w:ascii="Times New Roman" w:hAnsi="Times New Roman" w:cs="Times New Roman"/>
          <w:sz w:val="24"/>
          <w:szCs w:val="24"/>
        </w:rPr>
        <w:t xml:space="preserve"> of (extended) network effects</w:t>
      </w:r>
      <w:r w:rsidRPr="00774EDB">
        <w:rPr>
          <w:rFonts w:ascii="Times New Roman" w:hAnsi="Times New Roman" w:cs="Times New Roman"/>
          <w:sz w:val="24"/>
          <w:szCs w:val="24"/>
        </w:rPr>
        <w:t xml:space="preserve">, a self-perpetuating innovation could be </w:t>
      </w:r>
      <w:r w:rsidR="00E715AF">
        <w:rPr>
          <w:rFonts w:ascii="Times New Roman" w:hAnsi="Times New Roman" w:cs="Times New Roman"/>
          <w:sz w:val="24"/>
          <w:szCs w:val="24"/>
        </w:rPr>
        <w:t>mentioned</w:t>
      </w:r>
      <w:r w:rsidR="00E715AF" w:rsidRPr="00774EDB">
        <w:rPr>
          <w:rFonts w:ascii="Times New Roman" w:hAnsi="Times New Roman" w:cs="Times New Roman"/>
          <w:sz w:val="24"/>
          <w:szCs w:val="24"/>
        </w:rPr>
        <w:t xml:space="preserve"> </w:t>
      </w:r>
      <w:r w:rsidR="00E715AF">
        <w:rPr>
          <w:rFonts w:ascii="Times New Roman" w:hAnsi="Times New Roman" w:cs="Times New Roman"/>
          <w:sz w:val="24"/>
          <w:szCs w:val="24"/>
        </w:rPr>
        <w:t>on the part of the</w:t>
      </w:r>
      <w:r w:rsidR="00E715AF" w:rsidRPr="00774EDB">
        <w:rPr>
          <w:rFonts w:ascii="Times New Roman" w:hAnsi="Times New Roman" w:cs="Times New Roman"/>
          <w:sz w:val="24"/>
          <w:szCs w:val="24"/>
        </w:rPr>
        <w:t xml:space="preserve"> </w:t>
      </w:r>
      <w:r w:rsidR="00E715AF">
        <w:rPr>
          <w:rFonts w:ascii="Times New Roman" w:hAnsi="Times New Roman" w:cs="Times New Roman"/>
          <w:sz w:val="24"/>
          <w:szCs w:val="24"/>
        </w:rPr>
        <w:t xml:space="preserve">dominant </w:t>
      </w:r>
      <w:r w:rsidR="000E5655">
        <w:rPr>
          <w:rFonts w:ascii="Times New Roman" w:hAnsi="Times New Roman" w:cs="Times New Roman"/>
          <w:sz w:val="24"/>
          <w:szCs w:val="24"/>
        </w:rPr>
        <w:t>platform</w:t>
      </w:r>
      <w:r w:rsidR="00E715AF">
        <w:rPr>
          <w:rFonts w:ascii="Times New Roman" w:hAnsi="Times New Roman" w:cs="Times New Roman"/>
          <w:sz w:val="24"/>
          <w:szCs w:val="24"/>
        </w:rPr>
        <w:t xml:space="preserve"> or network owner</w:t>
      </w:r>
      <w:r w:rsidR="000E5655">
        <w:rPr>
          <w:rFonts w:ascii="Times New Roman" w:hAnsi="Times New Roman" w:cs="Times New Roman"/>
          <w:sz w:val="24"/>
          <w:szCs w:val="24"/>
        </w:rPr>
        <w:t xml:space="preserve"> </w:t>
      </w:r>
      <w:r w:rsidR="00E715AF">
        <w:rPr>
          <w:rFonts w:ascii="Times New Roman" w:hAnsi="Times New Roman" w:cs="Times New Roman"/>
          <w:sz w:val="24"/>
          <w:szCs w:val="24"/>
        </w:rPr>
        <w:t>as this would</w:t>
      </w:r>
      <w:r w:rsidRPr="00774EDB">
        <w:rPr>
          <w:rFonts w:ascii="Times New Roman" w:hAnsi="Times New Roman" w:cs="Times New Roman"/>
          <w:sz w:val="24"/>
          <w:szCs w:val="24"/>
        </w:rPr>
        <w:t xml:space="preserve"> influenc</w:t>
      </w:r>
      <w:r w:rsidR="00E715AF">
        <w:rPr>
          <w:rFonts w:ascii="Times New Roman" w:hAnsi="Times New Roman" w:cs="Times New Roman"/>
          <w:sz w:val="24"/>
          <w:szCs w:val="24"/>
        </w:rPr>
        <w:t>e</w:t>
      </w:r>
      <w:r w:rsidRPr="00774EDB">
        <w:rPr>
          <w:rFonts w:ascii="Times New Roman" w:hAnsi="Times New Roman" w:cs="Times New Roman"/>
          <w:sz w:val="24"/>
          <w:szCs w:val="24"/>
        </w:rPr>
        <w:t xml:space="preserve"> both preferences and </w:t>
      </w:r>
      <w:r w:rsidR="00E715AF" w:rsidRPr="00774EDB">
        <w:rPr>
          <w:rFonts w:ascii="Times New Roman" w:hAnsi="Times New Roman" w:cs="Times New Roman"/>
          <w:sz w:val="24"/>
          <w:szCs w:val="24"/>
        </w:rPr>
        <w:t xml:space="preserve">predictions </w:t>
      </w:r>
      <w:r w:rsidR="00E715AF">
        <w:rPr>
          <w:rFonts w:ascii="Times New Roman" w:hAnsi="Times New Roman" w:cs="Times New Roman"/>
          <w:sz w:val="24"/>
          <w:szCs w:val="24"/>
        </w:rPr>
        <w:t xml:space="preserve">of the related parties e.g. </w:t>
      </w:r>
      <w:r w:rsidR="00E715AF" w:rsidRPr="00774EDB">
        <w:rPr>
          <w:rFonts w:ascii="Times New Roman" w:hAnsi="Times New Roman" w:cs="Times New Roman"/>
          <w:sz w:val="24"/>
          <w:szCs w:val="24"/>
        </w:rPr>
        <w:t>end-users</w:t>
      </w:r>
      <w:r w:rsidR="00E715AF">
        <w:rPr>
          <w:rFonts w:ascii="Times New Roman" w:hAnsi="Times New Roman" w:cs="Times New Roman"/>
          <w:sz w:val="24"/>
          <w:szCs w:val="24"/>
        </w:rPr>
        <w:t xml:space="preserve">, </w:t>
      </w:r>
      <w:r w:rsidRPr="00774EDB">
        <w:rPr>
          <w:rFonts w:ascii="Times New Roman" w:hAnsi="Times New Roman" w:cs="Times New Roman"/>
          <w:sz w:val="24"/>
          <w:szCs w:val="24"/>
        </w:rPr>
        <w:t xml:space="preserve">software designers. This self-reinforcing process is echoed with </w:t>
      </w:r>
      <w:r w:rsidRPr="00774EDB">
        <w:rPr>
          <w:rFonts w:ascii="Times New Roman" w:hAnsi="Times New Roman" w:cs="Times New Roman"/>
          <w:i/>
          <w:sz w:val="24"/>
          <w:szCs w:val="24"/>
        </w:rPr>
        <w:t>market tipping</w:t>
      </w:r>
      <w:r w:rsidRPr="00774EDB">
        <w:rPr>
          <w:rFonts w:ascii="Times New Roman" w:hAnsi="Times New Roman" w:cs="Times New Roman"/>
          <w:sz w:val="24"/>
          <w:szCs w:val="24"/>
        </w:rPr>
        <w:t xml:space="preserve"> as well </w:t>
      </w:r>
      <w:r w:rsidR="00E715AF">
        <w:rPr>
          <w:rFonts w:ascii="Times New Roman" w:hAnsi="Times New Roman" w:cs="Times New Roman"/>
          <w:sz w:val="24"/>
          <w:szCs w:val="24"/>
        </w:rPr>
        <w:t xml:space="preserve">as </w:t>
      </w:r>
      <w:r w:rsidRPr="00774EDB">
        <w:rPr>
          <w:rFonts w:ascii="Times New Roman" w:hAnsi="Times New Roman" w:cs="Times New Roman"/>
          <w:sz w:val="24"/>
          <w:szCs w:val="24"/>
        </w:rPr>
        <w:t xml:space="preserve">representing the technological </w:t>
      </w:r>
      <w:r w:rsidRPr="00774EDB">
        <w:rPr>
          <w:rFonts w:ascii="Times New Roman" w:hAnsi="Times New Roman" w:cs="Times New Roman"/>
          <w:i/>
          <w:sz w:val="24"/>
          <w:szCs w:val="24"/>
        </w:rPr>
        <w:t>lock-in</w:t>
      </w:r>
      <w:r w:rsidRPr="00774EDB">
        <w:rPr>
          <w:rFonts w:ascii="Times New Roman" w:hAnsi="Times New Roman" w:cs="Times New Roman"/>
          <w:sz w:val="24"/>
          <w:szCs w:val="24"/>
        </w:rPr>
        <w:t>. Eventually, one network or platform amongst a number of competitors could win the race for the vast majority of consumers, even though the winning product may not be superior to its rivals.</w:t>
      </w:r>
      <w:r w:rsidRPr="00774EDB">
        <w:rPr>
          <w:rStyle w:val="FootnoteReference"/>
          <w:rFonts w:ascii="Times New Roman" w:hAnsi="Times New Roman" w:cs="Times New Roman"/>
          <w:sz w:val="24"/>
          <w:szCs w:val="24"/>
        </w:rPr>
        <w:footnoteReference w:id="102"/>
      </w:r>
      <w:r w:rsidRPr="00774EDB">
        <w:rPr>
          <w:rFonts w:ascii="Times New Roman" w:hAnsi="Times New Roman" w:cs="Times New Roman"/>
          <w:sz w:val="24"/>
          <w:szCs w:val="24"/>
        </w:rPr>
        <w:t xml:space="preserve"> In such a situation, as new and innovative technologies might not be optimally disseminated, there is a risk of welfare losses because of the selection of the inferior technology by the users.</w:t>
      </w:r>
      <w:r w:rsidRPr="00774EDB">
        <w:rPr>
          <w:rStyle w:val="FootnoteAnchor"/>
          <w:rFonts w:ascii="Times New Roman" w:hAnsi="Times New Roman" w:cs="Times New Roman"/>
          <w:sz w:val="24"/>
          <w:szCs w:val="24"/>
        </w:rPr>
        <w:footnoteReference w:id="103"/>
      </w:r>
    </w:p>
    <w:p w14:paraId="0019CC0E" w14:textId="603172E5" w:rsidR="003035DA" w:rsidRDefault="00B93D63"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Dissemination of a network product might depend on various causes that are</w:t>
      </w:r>
      <w:r w:rsidR="00950A17">
        <w:rPr>
          <w:rFonts w:ascii="Times New Roman" w:hAnsi="Times New Roman" w:cs="Times New Roman"/>
          <w:spacing w:val="2"/>
          <w:sz w:val="24"/>
          <w:szCs w:val="24"/>
        </w:rPr>
        <w:t xml:space="preserve"> conducive to </w:t>
      </w:r>
      <w:r w:rsidRPr="00A70042">
        <w:rPr>
          <w:rFonts w:ascii="Times New Roman" w:hAnsi="Times New Roman" w:cs="Times New Roman"/>
          <w:spacing w:val="2"/>
          <w:sz w:val="24"/>
          <w:szCs w:val="24"/>
        </w:rPr>
        <w:t xml:space="preserve">the process of open innovation </w:t>
      </w:r>
      <w:r w:rsidR="00950A17">
        <w:rPr>
          <w:rFonts w:ascii="Times New Roman" w:hAnsi="Times New Roman" w:cs="Times New Roman"/>
          <w:spacing w:val="2"/>
          <w:sz w:val="24"/>
          <w:szCs w:val="24"/>
        </w:rPr>
        <w:t>and its constitutive elements</w:t>
      </w:r>
      <w:r w:rsidRPr="00A70042">
        <w:rPr>
          <w:rFonts w:ascii="Times New Roman" w:hAnsi="Times New Roman" w:cs="Times New Roman"/>
          <w:spacing w:val="2"/>
          <w:sz w:val="24"/>
          <w:szCs w:val="24"/>
        </w:rPr>
        <w:t xml:space="preserve">. </w:t>
      </w:r>
      <w:r w:rsidR="00950A17">
        <w:rPr>
          <w:rFonts w:ascii="Times New Roman" w:hAnsi="Times New Roman" w:cs="Times New Roman"/>
          <w:spacing w:val="2"/>
          <w:sz w:val="24"/>
          <w:szCs w:val="24"/>
        </w:rPr>
        <w:t>S</w:t>
      </w:r>
      <w:r w:rsidRPr="00A70042">
        <w:rPr>
          <w:rFonts w:ascii="Times New Roman" w:hAnsi="Times New Roman" w:cs="Times New Roman"/>
          <w:spacing w:val="2"/>
          <w:sz w:val="24"/>
          <w:szCs w:val="24"/>
        </w:rPr>
        <w:t xml:space="preserve">uccessful </w:t>
      </w:r>
      <w:r w:rsidRPr="00A70042">
        <w:rPr>
          <w:rFonts w:ascii="Times New Roman" w:hAnsi="Times New Roman" w:cs="Times New Roman"/>
          <w:spacing w:val="2"/>
          <w:sz w:val="24"/>
          <w:szCs w:val="24"/>
        </w:rPr>
        <w:lastRenderedPageBreak/>
        <w:t xml:space="preserve">development and take-up processes might first benefit from a level of interoperability, which </w:t>
      </w:r>
      <w:r w:rsidR="0064764E" w:rsidRPr="00A70042">
        <w:rPr>
          <w:rFonts w:ascii="Times New Roman" w:hAnsi="Times New Roman" w:cs="Times New Roman"/>
          <w:spacing w:val="2"/>
          <w:sz w:val="24"/>
          <w:szCs w:val="24"/>
        </w:rPr>
        <w:t xml:space="preserve">steers the </w:t>
      </w:r>
      <w:r w:rsidR="00CF7BC8" w:rsidRPr="00A70042">
        <w:rPr>
          <w:rFonts w:ascii="Times New Roman" w:hAnsi="Times New Roman" w:cs="Times New Roman"/>
          <w:spacing w:val="2"/>
          <w:sz w:val="24"/>
          <w:szCs w:val="24"/>
        </w:rPr>
        <w:t>us</w:t>
      </w:r>
      <w:r w:rsidR="0064764E" w:rsidRPr="00A70042">
        <w:rPr>
          <w:rFonts w:ascii="Times New Roman" w:hAnsi="Times New Roman" w:cs="Times New Roman"/>
          <w:spacing w:val="2"/>
          <w:sz w:val="24"/>
          <w:szCs w:val="24"/>
        </w:rPr>
        <w:t xml:space="preserve">ers into </w:t>
      </w:r>
      <w:r w:rsidRPr="00A70042">
        <w:rPr>
          <w:rFonts w:ascii="Times New Roman" w:hAnsi="Times New Roman" w:cs="Times New Roman"/>
          <w:spacing w:val="2"/>
          <w:sz w:val="24"/>
          <w:szCs w:val="24"/>
        </w:rPr>
        <w:t>a proprietary ecosystem based on the network effects.</w:t>
      </w:r>
      <w:r w:rsidRPr="00A70042">
        <w:rPr>
          <w:rStyle w:val="FootnoteAnchor"/>
          <w:rFonts w:ascii="Times New Roman" w:hAnsi="Times New Roman" w:cs="Times New Roman"/>
          <w:spacing w:val="2"/>
          <w:sz w:val="24"/>
          <w:szCs w:val="24"/>
        </w:rPr>
        <w:footnoteReference w:id="104"/>
      </w:r>
      <w:r w:rsidR="00950A17">
        <w:rPr>
          <w:rFonts w:ascii="Times New Roman" w:hAnsi="Times New Roman" w:cs="Times New Roman"/>
          <w:spacing w:val="2"/>
          <w:sz w:val="24"/>
          <w:szCs w:val="24"/>
        </w:rPr>
        <w:t xml:space="preserve"> </w:t>
      </w:r>
      <w:r w:rsidR="00861466">
        <w:rPr>
          <w:rFonts w:ascii="Times New Roman" w:hAnsi="Times New Roman" w:cs="Times New Roman"/>
          <w:spacing w:val="2"/>
          <w:sz w:val="24"/>
          <w:szCs w:val="24"/>
        </w:rPr>
        <w:t>On the other hand, the emergent network effects could find a way to carve industry-level standards and products in time.</w:t>
      </w:r>
      <w:r w:rsidR="00861466">
        <w:rPr>
          <w:rStyle w:val="FootnoteReference"/>
          <w:rFonts w:ascii="Times New Roman" w:hAnsi="Times New Roman" w:cs="Times New Roman"/>
          <w:spacing w:val="2"/>
          <w:sz w:val="24"/>
          <w:szCs w:val="24"/>
        </w:rPr>
        <w:footnoteReference w:id="105"/>
      </w:r>
    </w:p>
    <w:p w14:paraId="0AA8DDD3" w14:textId="14FC948D" w:rsidR="00B93D63" w:rsidRPr="00A70042" w:rsidRDefault="00861466" w:rsidP="00A70042">
      <w:pPr>
        <w:spacing w:before="36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From </w:t>
      </w:r>
      <w:r w:rsidR="003035DA">
        <w:rPr>
          <w:rFonts w:ascii="Times New Roman" w:hAnsi="Times New Roman" w:cs="Times New Roman"/>
          <w:spacing w:val="2"/>
          <w:sz w:val="24"/>
          <w:szCs w:val="24"/>
        </w:rPr>
        <w:t>a broader</w:t>
      </w:r>
      <w:r>
        <w:rPr>
          <w:rFonts w:ascii="Times New Roman" w:hAnsi="Times New Roman" w:cs="Times New Roman"/>
          <w:spacing w:val="2"/>
          <w:sz w:val="24"/>
          <w:szCs w:val="24"/>
        </w:rPr>
        <w:t xml:space="preserve"> point of view</w:t>
      </w:r>
      <w:r w:rsidR="00950A17">
        <w:rPr>
          <w:rFonts w:ascii="Times New Roman" w:hAnsi="Times New Roman" w:cs="Times New Roman"/>
          <w:spacing w:val="2"/>
          <w:sz w:val="24"/>
          <w:szCs w:val="24"/>
        </w:rPr>
        <w:t xml:space="preserve">, open innovation and open standards would drive </w:t>
      </w:r>
      <w:r w:rsidR="003035DA">
        <w:rPr>
          <w:rFonts w:ascii="Times New Roman" w:hAnsi="Times New Roman" w:cs="Times New Roman"/>
          <w:spacing w:val="2"/>
          <w:sz w:val="24"/>
          <w:szCs w:val="24"/>
        </w:rPr>
        <w:t>stakeholders</w:t>
      </w:r>
      <w:r w:rsidR="00950A17">
        <w:rPr>
          <w:rFonts w:ascii="Times New Roman" w:hAnsi="Times New Roman" w:cs="Times New Roman"/>
          <w:spacing w:val="2"/>
          <w:sz w:val="24"/>
          <w:szCs w:val="24"/>
        </w:rPr>
        <w:t xml:space="preserve"> towards a comparable result of achievement of network effects</w:t>
      </w:r>
      <w:r w:rsidR="003035DA">
        <w:rPr>
          <w:rFonts w:ascii="Times New Roman" w:hAnsi="Times New Roman" w:cs="Times New Roman"/>
          <w:spacing w:val="2"/>
          <w:sz w:val="24"/>
          <w:szCs w:val="24"/>
        </w:rPr>
        <w:t xml:space="preserve">, such as in a great many </w:t>
      </w:r>
      <w:r w:rsidR="003035DA" w:rsidRPr="00A70042">
        <w:rPr>
          <w:rFonts w:ascii="Times New Roman" w:hAnsi="Times New Roman" w:cs="Times New Roman"/>
          <w:spacing w:val="-2"/>
          <w:sz w:val="24"/>
          <w:szCs w:val="24"/>
        </w:rPr>
        <w:t xml:space="preserve">OSS and open business models </w:t>
      </w:r>
      <w:r w:rsidR="003035DA">
        <w:rPr>
          <w:rFonts w:ascii="Times New Roman" w:hAnsi="Times New Roman" w:cs="Times New Roman"/>
          <w:spacing w:val="-2"/>
          <w:sz w:val="24"/>
          <w:szCs w:val="24"/>
        </w:rPr>
        <w:t>i.</w:t>
      </w:r>
      <w:r w:rsidR="003035DA" w:rsidRPr="00A70042">
        <w:rPr>
          <w:rFonts w:ascii="Times New Roman" w:hAnsi="Times New Roman" w:cs="Times New Roman"/>
          <w:spacing w:val="-2"/>
          <w:sz w:val="24"/>
          <w:szCs w:val="24"/>
        </w:rPr>
        <w:t>e. based on Google’s Android OS</w:t>
      </w:r>
      <w:r w:rsidR="003035DA">
        <w:rPr>
          <w:rFonts w:ascii="Times New Roman" w:hAnsi="Times New Roman" w:cs="Times New Roman"/>
          <w:spacing w:val="-2"/>
          <w:sz w:val="24"/>
          <w:szCs w:val="24"/>
        </w:rPr>
        <w:t>.</w:t>
      </w:r>
      <w:r w:rsidR="00950A17">
        <w:rPr>
          <w:rFonts w:ascii="Times New Roman" w:hAnsi="Times New Roman" w:cs="Times New Roman"/>
          <w:spacing w:val="2"/>
          <w:sz w:val="24"/>
          <w:szCs w:val="24"/>
        </w:rPr>
        <w:t xml:space="preserve"> </w:t>
      </w:r>
      <w:r w:rsidR="00B93D63" w:rsidRPr="00A70042">
        <w:rPr>
          <w:rFonts w:ascii="Times New Roman" w:hAnsi="Times New Roman" w:cs="Times New Roman"/>
          <w:spacing w:val="-2"/>
          <w:sz w:val="24"/>
          <w:szCs w:val="24"/>
        </w:rPr>
        <w:t>Linux could be given as an example for an OSS that creates network effects extending to secondary markets. In fact, any organisation or individual can use Linux (demand-side) and offer Linux-compatible software application (supply-side). Any party can bundle the Linux OS, subject to the rules of the open source community that maintains the OS kernel.</w:t>
      </w:r>
      <w:r w:rsidR="00B93D63" w:rsidRPr="00A70042">
        <w:rPr>
          <w:rStyle w:val="FootnoteReference"/>
          <w:rFonts w:ascii="Times New Roman" w:hAnsi="Times New Roman" w:cs="Times New Roman"/>
          <w:spacing w:val="-2"/>
          <w:sz w:val="24"/>
          <w:szCs w:val="24"/>
        </w:rPr>
        <w:footnoteReference w:id="106"/>
      </w:r>
      <w:r w:rsidR="00B93D63" w:rsidRPr="00A70042">
        <w:rPr>
          <w:rFonts w:ascii="Times New Roman" w:hAnsi="Times New Roman" w:cs="Times New Roman"/>
          <w:spacing w:val="-2"/>
          <w:sz w:val="24"/>
          <w:szCs w:val="24"/>
        </w:rPr>
        <w:t xml:space="preserve"> </w:t>
      </w:r>
      <w:r w:rsidR="00566E14" w:rsidRPr="00A70042">
        <w:rPr>
          <w:rFonts w:ascii="Times New Roman" w:hAnsi="Times New Roman" w:cs="Times New Roman"/>
          <w:spacing w:val="-2"/>
          <w:sz w:val="24"/>
          <w:szCs w:val="24"/>
        </w:rPr>
        <w:t>P</w:t>
      </w:r>
      <w:r w:rsidR="00B93D63" w:rsidRPr="00A70042">
        <w:rPr>
          <w:rFonts w:ascii="Times New Roman" w:hAnsi="Times New Roman" w:cs="Times New Roman"/>
          <w:spacing w:val="-2"/>
          <w:sz w:val="24"/>
          <w:szCs w:val="24"/>
        </w:rPr>
        <w:t>romot</w:t>
      </w:r>
      <w:r w:rsidR="00566E14" w:rsidRPr="00A70042">
        <w:rPr>
          <w:rFonts w:ascii="Times New Roman" w:hAnsi="Times New Roman" w:cs="Times New Roman"/>
          <w:spacing w:val="-2"/>
          <w:sz w:val="24"/>
          <w:szCs w:val="24"/>
        </w:rPr>
        <w:t>ing</w:t>
      </w:r>
      <w:r w:rsidR="00B93D63" w:rsidRPr="00A70042">
        <w:rPr>
          <w:rFonts w:ascii="Times New Roman" w:hAnsi="Times New Roman" w:cs="Times New Roman"/>
          <w:spacing w:val="-2"/>
          <w:sz w:val="24"/>
          <w:szCs w:val="24"/>
        </w:rPr>
        <w:t xml:space="preserve"> Linux and other </w:t>
      </w:r>
      <w:r w:rsidR="00D917C0" w:rsidRPr="00A70042">
        <w:rPr>
          <w:rFonts w:ascii="Times New Roman" w:hAnsi="Times New Roman" w:cs="Times New Roman"/>
          <w:spacing w:val="-2"/>
          <w:sz w:val="24"/>
          <w:szCs w:val="24"/>
        </w:rPr>
        <w:t>OSS</w:t>
      </w:r>
      <w:r w:rsidR="00B93D63" w:rsidRPr="00A70042">
        <w:rPr>
          <w:rFonts w:ascii="Times New Roman" w:hAnsi="Times New Roman" w:cs="Times New Roman"/>
          <w:spacing w:val="-2"/>
          <w:sz w:val="24"/>
          <w:szCs w:val="24"/>
        </w:rPr>
        <w:t xml:space="preserve">, </w:t>
      </w:r>
      <w:r w:rsidR="00566E14" w:rsidRPr="00A70042">
        <w:rPr>
          <w:rFonts w:ascii="Times New Roman" w:hAnsi="Times New Roman" w:cs="Times New Roman"/>
          <w:spacing w:val="-2"/>
          <w:sz w:val="24"/>
          <w:szCs w:val="24"/>
        </w:rPr>
        <w:t xml:space="preserve">IBM </w:t>
      </w:r>
      <w:r w:rsidR="00D917C0" w:rsidRPr="00A70042">
        <w:rPr>
          <w:rFonts w:ascii="Times New Roman" w:hAnsi="Times New Roman" w:cs="Times New Roman"/>
          <w:spacing w:val="-2"/>
          <w:sz w:val="24"/>
          <w:szCs w:val="24"/>
        </w:rPr>
        <w:t>mostly pursues</w:t>
      </w:r>
      <w:r w:rsidR="00B93D63" w:rsidRPr="00A70042">
        <w:rPr>
          <w:rFonts w:ascii="Times New Roman" w:hAnsi="Times New Roman" w:cs="Times New Roman"/>
          <w:spacing w:val="-2"/>
          <w:sz w:val="24"/>
          <w:szCs w:val="24"/>
        </w:rPr>
        <w:t xml:space="preserve"> a p</w:t>
      </w:r>
      <w:r w:rsidR="00566E14" w:rsidRPr="00A70042">
        <w:rPr>
          <w:rFonts w:ascii="Times New Roman" w:hAnsi="Times New Roman" w:cs="Times New Roman"/>
          <w:spacing w:val="-2"/>
          <w:sz w:val="24"/>
          <w:szCs w:val="24"/>
        </w:rPr>
        <w:t>olicy</w:t>
      </w:r>
      <w:r w:rsidR="00B93D63" w:rsidRPr="00A70042">
        <w:rPr>
          <w:rFonts w:ascii="Times New Roman" w:hAnsi="Times New Roman" w:cs="Times New Roman"/>
          <w:spacing w:val="-2"/>
          <w:sz w:val="24"/>
          <w:szCs w:val="24"/>
        </w:rPr>
        <w:t xml:space="preserve"> of industry-level network effects, e.g. by transferring the IPRs regarding its Eclipse software development tools, to an independent foundation based on the open source community.</w:t>
      </w:r>
      <w:r w:rsidR="00B93D63" w:rsidRPr="00A70042">
        <w:rPr>
          <w:rStyle w:val="FootnoteReference"/>
          <w:rFonts w:ascii="Times New Roman" w:hAnsi="Times New Roman" w:cs="Times New Roman"/>
          <w:spacing w:val="-2"/>
          <w:sz w:val="24"/>
          <w:szCs w:val="24"/>
        </w:rPr>
        <w:footnoteReference w:id="107"/>
      </w:r>
      <w:r w:rsidR="00B93D63" w:rsidRPr="00A70042">
        <w:rPr>
          <w:rFonts w:ascii="Times New Roman" w:hAnsi="Times New Roman" w:cs="Times New Roman"/>
          <w:spacing w:val="-2"/>
          <w:sz w:val="24"/>
          <w:szCs w:val="24"/>
        </w:rPr>
        <w:t xml:space="preserve">   </w:t>
      </w:r>
    </w:p>
    <w:p w14:paraId="7DC513BF" w14:textId="77777777" w:rsidR="00B93D63" w:rsidRPr="00774EDB" w:rsidRDefault="00B93D63" w:rsidP="00A70042">
      <w:pPr>
        <w:pStyle w:val="Heading2"/>
        <w:numPr>
          <w:ilvl w:val="1"/>
          <w:numId w:val="5"/>
        </w:numPr>
        <w:tabs>
          <w:tab w:val="left" w:pos="567"/>
        </w:tabs>
        <w:spacing w:before="360"/>
        <w:ind w:left="0" w:firstLine="0"/>
        <w:jc w:val="both"/>
        <w:rPr>
          <w:rFonts w:ascii="Times New Roman" w:hAnsi="Times New Roman" w:cs="Times New Roman"/>
          <w:b/>
          <w:color w:val="auto"/>
          <w:sz w:val="24"/>
          <w:szCs w:val="24"/>
        </w:rPr>
      </w:pPr>
      <w:bookmarkStart w:id="151" w:name="_Toc17611356"/>
      <w:bookmarkStart w:id="152" w:name="_Toc17611573"/>
      <w:bookmarkStart w:id="153" w:name="_Toc17611785"/>
      <w:bookmarkStart w:id="154" w:name="_Toc17611999"/>
      <w:bookmarkStart w:id="155" w:name="_Toc17612212"/>
      <w:bookmarkStart w:id="156" w:name="_Toc11400623"/>
      <w:bookmarkStart w:id="157" w:name="_Toc17611357"/>
      <w:bookmarkStart w:id="158" w:name="_Toc53576031"/>
      <w:bookmarkEnd w:id="151"/>
      <w:bookmarkEnd w:id="152"/>
      <w:bookmarkEnd w:id="153"/>
      <w:bookmarkEnd w:id="154"/>
      <w:bookmarkEnd w:id="155"/>
      <w:r w:rsidRPr="00774EDB">
        <w:rPr>
          <w:rFonts w:ascii="Times New Roman" w:hAnsi="Times New Roman" w:cs="Times New Roman"/>
          <w:b/>
          <w:color w:val="auto"/>
          <w:sz w:val="24"/>
          <w:szCs w:val="24"/>
        </w:rPr>
        <w:lastRenderedPageBreak/>
        <w:t>Main characteristics and evolution of ICT networks</w:t>
      </w:r>
      <w:bookmarkEnd w:id="156"/>
      <w:bookmarkEnd w:id="157"/>
      <w:bookmarkEnd w:id="158"/>
      <w:r w:rsidRPr="00774EDB">
        <w:rPr>
          <w:rFonts w:ascii="Times New Roman" w:hAnsi="Times New Roman" w:cs="Times New Roman"/>
          <w:b/>
          <w:color w:val="auto"/>
          <w:sz w:val="24"/>
          <w:szCs w:val="24"/>
        </w:rPr>
        <w:t xml:space="preserve"> </w:t>
      </w:r>
    </w:p>
    <w:p w14:paraId="146DEBB5" w14:textId="77777777" w:rsidR="00705090" w:rsidRPr="00774EDB" w:rsidRDefault="00705090" w:rsidP="00A70042">
      <w:pPr>
        <w:pStyle w:val="Heading3"/>
        <w:numPr>
          <w:ilvl w:val="2"/>
          <w:numId w:val="5"/>
        </w:numPr>
        <w:spacing w:before="360"/>
        <w:ind w:left="0" w:firstLine="0"/>
        <w:jc w:val="both"/>
        <w:rPr>
          <w:rFonts w:ascii="Times New Roman" w:hAnsi="Times New Roman" w:cs="Times New Roman"/>
          <w:b/>
          <w:color w:val="auto"/>
        </w:rPr>
      </w:pPr>
      <w:bookmarkStart w:id="159" w:name="_Toc17611358"/>
      <w:bookmarkStart w:id="160" w:name="_Toc17611575"/>
      <w:bookmarkStart w:id="161" w:name="_Toc17611787"/>
      <w:bookmarkStart w:id="162" w:name="_Toc17612001"/>
      <w:bookmarkStart w:id="163" w:name="_Toc17612214"/>
      <w:bookmarkStart w:id="164" w:name="_Toc11400626"/>
      <w:bookmarkStart w:id="165" w:name="_Toc17611359"/>
      <w:bookmarkStart w:id="166" w:name="_Toc53576032"/>
      <w:bookmarkStart w:id="167" w:name="_Toc11400625"/>
      <w:bookmarkEnd w:id="159"/>
      <w:bookmarkEnd w:id="160"/>
      <w:bookmarkEnd w:id="161"/>
      <w:bookmarkEnd w:id="162"/>
      <w:bookmarkEnd w:id="163"/>
      <w:r w:rsidRPr="00774EDB">
        <w:rPr>
          <w:rFonts w:ascii="Times New Roman" w:hAnsi="Times New Roman" w:cs="Times New Roman"/>
          <w:b/>
          <w:color w:val="auto"/>
        </w:rPr>
        <w:t>Architectural underpinnings of the internet: Layered IP Stack</w:t>
      </w:r>
      <w:bookmarkEnd w:id="164"/>
      <w:bookmarkEnd w:id="165"/>
      <w:bookmarkEnd w:id="166"/>
    </w:p>
    <w:p w14:paraId="6BA84531" w14:textId="5AD16475" w:rsidR="00705090" w:rsidRPr="00774EDB" w:rsidRDefault="00B71B6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w:t>
      </w:r>
      <w:r w:rsidR="00705090" w:rsidRPr="00774EDB">
        <w:rPr>
          <w:rFonts w:ascii="Times New Roman" w:hAnsi="Times New Roman" w:cs="Times New Roman"/>
          <w:sz w:val="24"/>
          <w:szCs w:val="24"/>
        </w:rPr>
        <w:t>rchitectural and functional underpinnings of the internet have a crucial role for the operation of ICT networks and services. Basically, the internet aims to provide universal communication services to applications running on the hosts attached to distinct but interconnected networks.</w:t>
      </w:r>
      <w:r w:rsidR="00705090" w:rsidRPr="00774EDB">
        <w:rPr>
          <w:rStyle w:val="FootnoteReference"/>
          <w:rFonts w:ascii="Times New Roman" w:hAnsi="Times New Roman" w:cs="Times New Roman"/>
          <w:sz w:val="24"/>
          <w:szCs w:val="24"/>
        </w:rPr>
        <w:footnoteReference w:id="108"/>
      </w:r>
      <w:r w:rsidR="00705090" w:rsidRPr="00774EDB">
        <w:rPr>
          <w:rFonts w:ascii="Times New Roman" w:hAnsi="Times New Roman" w:cs="Times New Roman"/>
          <w:sz w:val="24"/>
          <w:szCs w:val="24"/>
        </w:rPr>
        <w:t xml:space="preserve"> Having said that, the internet’s architectural design reveals a unique set of principles e.g. packet-switching,</w:t>
      </w:r>
      <w:r w:rsidR="00705090" w:rsidRPr="00774EDB">
        <w:rPr>
          <w:rStyle w:val="FootnoteAnchor"/>
          <w:rFonts w:ascii="Times New Roman" w:hAnsi="Times New Roman" w:cs="Times New Roman"/>
          <w:sz w:val="24"/>
          <w:szCs w:val="24"/>
        </w:rPr>
        <w:footnoteReference w:id="109"/>
      </w:r>
      <w:r w:rsidR="00705090" w:rsidRPr="00774EDB">
        <w:rPr>
          <w:rFonts w:ascii="Times New Roman" w:hAnsi="Times New Roman" w:cs="Times New Roman"/>
          <w:sz w:val="24"/>
          <w:szCs w:val="24"/>
        </w:rPr>
        <w:t xml:space="preserve"> by which global IP connectivity is ensured and consisting of the governing protocols across the technological (software) layers. The lack of a hierarchy behind the internet, coupled with a layer-based and modular structure, ensures permission-less and limitless innovations induced by the layered IP stack.</w:t>
      </w:r>
    </w:p>
    <w:p w14:paraId="32B886BC" w14:textId="77777777" w:rsidR="00705090" w:rsidRPr="00A70042" w:rsidRDefault="00705090"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The internet is standardised by the Internet Engineering Task Force (IETF).</w:t>
      </w:r>
      <w:r w:rsidRPr="00A70042">
        <w:rPr>
          <w:rStyle w:val="FootnoteAnchor"/>
          <w:rFonts w:ascii="Times New Roman" w:hAnsi="Times New Roman" w:cs="Times New Roman"/>
          <w:spacing w:val="-2"/>
          <w:sz w:val="24"/>
          <w:szCs w:val="24"/>
        </w:rPr>
        <w:footnoteReference w:id="110"/>
      </w:r>
      <w:r w:rsidRPr="00A70042">
        <w:rPr>
          <w:rFonts w:ascii="Times New Roman" w:hAnsi="Times New Roman" w:cs="Times New Roman"/>
          <w:spacing w:val="-2"/>
          <w:sz w:val="24"/>
          <w:szCs w:val="24"/>
        </w:rPr>
        <w:t xml:space="preserve"> The internet, based on the standardised TCP/IP stack, or simply saying IP stack, relies on a unique ‘protocol layering’. “TCP/IP”, started in the early 1970s to serve as the main </w:t>
      </w:r>
      <w:r w:rsidRPr="00A70042">
        <w:rPr>
          <w:rFonts w:ascii="Times New Roman" w:hAnsi="Times New Roman" w:cs="Times New Roman"/>
          <w:i/>
          <w:spacing w:val="-2"/>
          <w:sz w:val="24"/>
          <w:szCs w:val="24"/>
        </w:rPr>
        <w:t>protocol stack (suite)</w:t>
      </w:r>
      <w:r w:rsidRPr="00A70042">
        <w:rPr>
          <w:rFonts w:ascii="Times New Roman" w:hAnsi="Times New Roman" w:cs="Times New Roman"/>
          <w:spacing w:val="-2"/>
          <w:sz w:val="24"/>
          <w:szCs w:val="24"/>
        </w:rPr>
        <w:t xml:space="preserve"> used in the global internet and it was afterwards in 1978 that it split into two main protocols, the Transmission Control Protocol (TCP) and the Internet </w:t>
      </w:r>
      <w:r w:rsidRPr="00A70042">
        <w:rPr>
          <w:rFonts w:ascii="Times New Roman" w:hAnsi="Times New Roman" w:cs="Times New Roman"/>
          <w:spacing w:val="-2"/>
          <w:sz w:val="24"/>
          <w:szCs w:val="24"/>
        </w:rPr>
        <w:lastRenderedPageBreak/>
        <w:t>Protocol (IP). The “TCP” part of the TCP/IP stack governs the assembly and reassembly of the data at each end, including checking for errors such as missing data, whereas the “IP” part is responsible for routing data from one node to another.</w:t>
      </w:r>
      <w:r w:rsidRPr="00A70042">
        <w:rPr>
          <w:rStyle w:val="FootnoteReference"/>
          <w:rFonts w:ascii="Times New Roman" w:hAnsi="Times New Roman" w:cs="Times New Roman"/>
          <w:spacing w:val="-2"/>
          <w:sz w:val="24"/>
          <w:szCs w:val="24"/>
        </w:rPr>
        <w:footnoteReference w:id="111"/>
      </w:r>
      <w:r w:rsidRPr="00A70042">
        <w:rPr>
          <w:rFonts w:ascii="Times New Roman" w:hAnsi="Times New Roman" w:cs="Times New Roman"/>
          <w:spacing w:val="-2"/>
          <w:sz w:val="24"/>
          <w:szCs w:val="24"/>
        </w:rPr>
        <w:t xml:space="preserve"> These elements of the internet enable a computer in one corner of the world to find a different computer in another corner of the world and exchange information that can be understood by the applications software loaded onto the computers at each end of the transmission.</w:t>
      </w:r>
      <w:r w:rsidRPr="00A70042">
        <w:rPr>
          <w:rStyle w:val="FootnoteAnchor"/>
          <w:rFonts w:ascii="Times New Roman" w:hAnsi="Times New Roman" w:cs="Times New Roman"/>
          <w:spacing w:val="-2"/>
          <w:sz w:val="24"/>
          <w:szCs w:val="24"/>
        </w:rPr>
        <w:footnoteReference w:id="112"/>
      </w:r>
    </w:p>
    <w:p w14:paraId="6A024ABC" w14:textId="103983B3" w:rsidR="00F84B6A" w:rsidRDefault="0070509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To provide universal communication services across distinct, interconnected networks, the internet’s architecture partitions network functionality into certain layers, with one or more protocols implementing the functionality assigned to each layer.</w:t>
      </w:r>
      <w:r w:rsidRPr="00774EDB">
        <w:rPr>
          <w:rStyle w:val="FootnoteReference"/>
          <w:rFonts w:ascii="Times New Roman" w:hAnsi="Times New Roman" w:cs="Times New Roman"/>
          <w:sz w:val="24"/>
          <w:szCs w:val="24"/>
        </w:rPr>
        <w:footnoteReference w:id="113"/>
      </w:r>
      <w:r w:rsidRPr="00774EDB">
        <w:rPr>
          <w:rFonts w:ascii="Times New Roman" w:hAnsi="Times New Roman" w:cs="Times New Roman"/>
          <w:sz w:val="24"/>
          <w:szCs w:val="24"/>
        </w:rPr>
        <w:t xml:space="preserve"> </w:t>
      </w:r>
      <w:r w:rsidR="00D55382">
        <w:rPr>
          <w:rFonts w:ascii="Times New Roman" w:hAnsi="Times New Roman" w:cs="Times New Roman"/>
          <w:sz w:val="24"/>
          <w:szCs w:val="24"/>
        </w:rPr>
        <w:t xml:space="preserve">This, being </w:t>
      </w:r>
      <w:r w:rsidR="00F84B6A">
        <w:rPr>
          <w:rFonts w:ascii="Times New Roman" w:hAnsi="Times New Roman" w:cs="Times New Roman"/>
          <w:sz w:val="24"/>
          <w:szCs w:val="24"/>
        </w:rPr>
        <w:t>expressed by</w:t>
      </w:r>
      <w:r w:rsidR="00D55382">
        <w:rPr>
          <w:rFonts w:ascii="Times New Roman" w:hAnsi="Times New Roman" w:cs="Times New Roman"/>
          <w:sz w:val="24"/>
          <w:szCs w:val="24"/>
        </w:rPr>
        <w:t xml:space="preserve"> the </w:t>
      </w:r>
      <w:r w:rsidR="00F84B6A">
        <w:rPr>
          <w:rFonts w:ascii="Times New Roman" w:hAnsi="Times New Roman" w:cs="Times New Roman"/>
          <w:sz w:val="24"/>
          <w:szCs w:val="24"/>
        </w:rPr>
        <w:t xml:space="preserve">term </w:t>
      </w:r>
      <w:r w:rsidR="00D55382">
        <w:rPr>
          <w:rFonts w:ascii="Times New Roman" w:hAnsi="Times New Roman" w:cs="Times New Roman"/>
          <w:sz w:val="24"/>
          <w:szCs w:val="24"/>
        </w:rPr>
        <w:t>‘protocol layering’, underlines the logic and principles governing the internet. TCP/IP</w:t>
      </w:r>
      <w:r w:rsidR="00F84B6A">
        <w:rPr>
          <w:rFonts w:ascii="Times New Roman" w:hAnsi="Times New Roman" w:cs="Times New Roman"/>
          <w:sz w:val="24"/>
          <w:szCs w:val="24"/>
        </w:rPr>
        <w:t>,</w:t>
      </w:r>
      <w:r w:rsidR="00D55382">
        <w:rPr>
          <w:rFonts w:ascii="Times New Roman" w:hAnsi="Times New Roman" w:cs="Times New Roman"/>
          <w:sz w:val="24"/>
          <w:szCs w:val="24"/>
        </w:rPr>
        <w:t xml:space="preserve"> represent</w:t>
      </w:r>
      <w:r w:rsidR="00F84B6A">
        <w:rPr>
          <w:rFonts w:ascii="Times New Roman" w:hAnsi="Times New Roman" w:cs="Times New Roman"/>
          <w:sz w:val="24"/>
          <w:szCs w:val="24"/>
        </w:rPr>
        <w:t>ing</w:t>
      </w:r>
      <w:r w:rsidR="00D55382">
        <w:rPr>
          <w:rFonts w:ascii="Times New Roman" w:hAnsi="Times New Roman" w:cs="Times New Roman"/>
          <w:sz w:val="24"/>
          <w:szCs w:val="24"/>
        </w:rPr>
        <w:t xml:space="preserve"> the most </w:t>
      </w:r>
      <w:r w:rsidR="00F84B6A">
        <w:rPr>
          <w:rFonts w:ascii="Times New Roman" w:hAnsi="Times New Roman" w:cs="Times New Roman"/>
          <w:sz w:val="24"/>
          <w:szCs w:val="24"/>
        </w:rPr>
        <w:t xml:space="preserve">acknowledged </w:t>
      </w:r>
      <w:r w:rsidR="00D55382">
        <w:rPr>
          <w:rFonts w:ascii="Times New Roman" w:hAnsi="Times New Roman" w:cs="Times New Roman"/>
          <w:sz w:val="24"/>
          <w:szCs w:val="24"/>
        </w:rPr>
        <w:t>protocol suite</w:t>
      </w:r>
      <w:r w:rsidR="00F84B6A">
        <w:rPr>
          <w:rFonts w:ascii="Times New Roman" w:hAnsi="Times New Roman" w:cs="Times New Roman"/>
          <w:sz w:val="24"/>
          <w:szCs w:val="24"/>
        </w:rPr>
        <w:t xml:space="preserve">, is based on </w:t>
      </w:r>
      <w:r w:rsidRPr="00774EDB">
        <w:rPr>
          <w:rFonts w:ascii="Times New Roman" w:hAnsi="Times New Roman" w:cs="Times New Roman"/>
          <w:sz w:val="24"/>
          <w:szCs w:val="24"/>
        </w:rPr>
        <w:t>a four-layer stack (suite) adopted by the IETF.</w:t>
      </w:r>
      <w:r w:rsidR="00F84B6A">
        <w:rPr>
          <w:rFonts w:ascii="Times New Roman" w:hAnsi="Times New Roman" w:cs="Times New Roman"/>
          <w:sz w:val="24"/>
          <w:szCs w:val="24"/>
        </w:rPr>
        <w:t xml:space="preserve"> Not only this but also other protocol suites have been developed through the scientific collaboration and standardisation efforts so far.</w:t>
      </w:r>
    </w:p>
    <w:p w14:paraId="39E09C31" w14:textId="43CCFC74" w:rsidR="00F84B6A" w:rsidRDefault="00F84B6A" w:rsidP="00A70042">
      <w:pPr>
        <w:spacing w:before="360"/>
        <w:jc w:val="both"/>
        <w:rPr>
          <w:rFonts w:ascii="Times New Roman" w:hAnsi="Times New Roman" w:cs="Times New Roman"/>
          <w:sz w:val="24"/>
          <w:szCs w:val="24"/>
        </w:rPr>
      </w:pPr>
      <w:r w:rsidRPr="00F84B6A">
        <w:rPr>
          <w:rFonts w:ascii="Times New Roman" w:hAnsi="Times New Roman" w:cs="Times New Roman"/>
          <w:sz w:val="24"/>
          <w:szCs w:val="24"/>
        </w:rPr>
        <w:t xml:space="preserve">In this study, TCP/IP is referred to as the main protocol stack (suite) </w:t>
      </w:r>
      <w:r w:rsidR="00C14DF3">
        <w:rPr>
          <w:rFonts w:ascii="Times New Roman" w:hAnsi="Times New Roman" w:cs="Times New Roman"/>
          <w:sz w:val="24"/>
          <w:szCs w:val="24"/>
        </w:rPr>
        <w:t xml:space="preserve">as it </w:t>
      </w:r>
      <w:r w:rsidR="00092DFE">
        <w:rPr>
          <w:rFonts w:ascii="Times New Roman" w:hAnsi="Times New Roman" w:cs="Times New Roman"/>
          <w:sz w:val="24"/>
          <w:szCs w:val="24"/>
        </w:rPr>
        <w:t xml:space="preserve">is far more used for transmitting data packets through </w:t>
      </w:r>
      <w:r w:rsidRPr="00F84B6A">
        <w:rPr>
          <w:rFonts w:ascii="Times New Roman" w:hAnsi="Times New Roman" w:cs="Times New Roman"/>
          <w:sz w:val="24"/>
          <w:szCs w:val="24"/>
        </w:rPr>
        <w:t>the internet</w:t>
      </w:r>
      <w:r w:rsidR="00092DFE">
        <w:rPr>
          <w:rFonts w:ascii="Times New Roman" w:hAnsi="Times New Roman" w:cs="Times New Roman"/>
          <w:sz w:val="24"/>
          <w:szCs w:val="24"/>
        </w:rPr>
        <w:t>, when compared to other protocols</w:t>
      </w:r>
      <w:r w:rsidRPr="00F84B6A">
        <w:rPr>
          <w:rFonts w:ascii="Times New Roman" w:hAnsi="Times New Roman" w:cs="Times New Roman"/>
          <w:sz w:val="24"/>
          <w:szCs w:val="24"/>
        </w:rPr>
        <w:t>.</w:t>
      </w:r>
      <w:r>
        <w:rPr>
          <w:rStyle w:val="FootnoteReference"/>
          <w:rFonts w:ascii="Times New Roman" w:hAnsi="Times New Roman" w:cs="Times New Roman"/>
          <w:sz w:val="24"/>
          <w:szCs w:val="24"/>
        </w:rPr>
        <w:footnoteReference w:id="114"/>
      </w:r>
      <w:r w:rsidRPr="00F84B6A">
        <w:rPr>
          <w:rFonts w:ascii="Times New Roman" w:hAnsi="Times New Roman" w:cs="Times New Roman"/>
          <w:sz w:val="24"/>
          <w:szCs w:val="24"/>
        </w:rPr>
        <w:t xml:space="preserve"> </w:t>
      </w:r>
      <w:r w:rsidR="00C14DF3">
        <w:rPr>
          <w:rFonts w:ascii="Times New Roman" w:hAnsi="Times New Roman" w:cs="Times New Roman"/>
          <w:sz w:val="24"/>
          <w:szCs w:val="24"/>
        </w:rPr>
        <w:t xml:space="preserve">For various reasons, e.g. global network effects, the challenges from proprietary protocols, TCP/IP works and is now the de facto standard for open </w:t>
      </w:r>
      <w:r w:rsidR="00C14DF3">
        <w:rPr>
          <w:rFonts w:ascii="Times New Roman" w:hAnsi="Times New Roman" w:cs="Times New Roman"/>
          <w:sz w:val="24"/>
          <w:szCs w:val="24"/>
        </w:rPr>
        <w:lastRenderedPageBreak/>
        <w:t>systems.</w:t>
      </w:r>
      <w:r w:rsidR="00C14DF3">
        <w:rPr>
          <w:rStyle w:val="FootnoteReference"/>
          <w:rFonts w:ascii="Times New Roman" w:hAnsi="Times New Roman" w:cs="Times New Roman"/>
          <w:sz w:val="24"/>
          <w:szCs w:val="24"/>
        </w:rPr>
        <w:footnoteReference w:id="115"/>
      </w:r>
      <w:r w:rsidR="00C14DF3">
        <w:rPr>
          <w:rFonts w:ascii="Times New Roman" w:hAnsi="Times New Roman" w:cs="Times New Roman"/>
          <w:sz w:val="24"/>
          <w:szCs w:val="24"/>
        </w:rPr>
        <w:t xml:space="preserve"> </w:t>
      </w:r>
      <w:r w:rsidRPr="00F84B6A">
        <w:rPr>
          <w:rFonts w:ascii="Times New Roman" w:hAnsi="Times New Roman" w:cs="Times New Roman"/>
          <w:sz w:val="24"/>
          <w:szCs w:val="24"/>
        </w:rPr>
        <w:t xml:space="preserve">Although the Open Systems Interconnection (OSI) Model </w:t>
      </w:r>
      <w:r w:rsidR="008A5417">
        <w:rPr>
          <w:rFonts w:ascii="Times New Roman" w:hAnsi="Times New Roman" w:cs="Times New Roman"/>
          <w:sz w:val="24"/>
          <w:szCs w:val="24"/>
        </w:rPr>
        <w:t>was</w:t>
      </w:r>
      <w:r w:rsidR="004A195D">
        <w:rPr>
          <w:rFonts w:ascii="Times New Roman" w:hAnsi="Times New Roman" w:cs="Times New Roman"/>
          <w:sz w:val="24"/>
          <w:szCs w:val="24"/>
        </w:rPr>
        <w:t xml:space="preserve"> </w:t>
      </w:r>
      <w:r w:rsidR="008A5417">
        <w:rPr>
          <w:rFonts w:ascii="Times New Roman" w:hAnsi="Times New Roman" w:cs="Times New Roman"/>
          <w:sz w:val="24"/>
          <w:szCs w:val="24"/>
        </w:rPr>
        <w:t xml:space="preserve">in use at the same </w:t>
      </w:r>
      <w:r w:rsidR="00105AE3">
        <w:rPr>
          <w:rFonts w:ascii="Times New Roman" w:hAnsi="Times New Roman" w:cs="Times New Roman"/>
          <w:sz w:val="24"/>
          <w:szCs w:val="24"/>
        </w:rPr>
        <w:t xml:space="preserve">time </w:t>
      </w:r>
      <w:r w:rsidR="008A5417">
        <w:rPr>
          <w:rFonts w:ascii="Times New Roman" w:hAnsi="Times New Roman" w:cs="Times New Roman"/>
          <w:sz w:val="24"/>
          <w:szCs w:val="24"/>
        </w:rPr>
        <w:t>after being develop</w:t>
      </w:r>
      <w:r w:rsidRPr="00F84B6A">
        <w:rPr>
          <w:rFonts w:ascii="Times New Roman" w:hAnsi="Times New Roman" w:cs="Times New Roman"/>
          <w:sz w:val="24"/>
          <w:szCs w:val="24"/>
        </w:rPr>
        <w:t>ed by the International Organization for Standardization (ISO), TCP/IP became more widespread, enabling multi-vendor interoperability.</w:t>
      </w:r>
      <w:r w:rsidR="002B62F0" w:rsidRPr="00774EDB">
        <w:rPr>
          <w:rStyle w:val="FootnoteAnchor"/>
          <w:rFonts w:ascii="Times New Roman" w:hAnsi="Times New Roman" w:cs="Times New Roman"/>
          <w:sz w:val="24"/>
          <w:szCs w:val="24"/>
        </w:rPr>
        <w:footnoteReference w:id="116"/>
      </w:r>
      <w:r w:rsidRPr="00F84B6A">
        <w:rPr>
          <w:rFonts w:ascii="Times New Roman" w:hAnsi="Times New Roman" w:cs="Times New Roman"/>
          <w:sz w:val="24"/>
          <w:szCs w:val="24"/>
        </w:rPr>
        <w:t xml:space="preserve"> The OSI Reference Model consist</w:t>
      </w:r>
      <w:r w:rsidR="00105AE3">
        <w:rPr>
          <w:rFonts w:ascii="Times New Roman" w:hAnsi="Times New Roman" w:cs="Times New Roman"/>
          <w:sz w:val="24"/>
          <w:szCs w:val="24"/>
        </w:rPr>
        <w:t>s</w:t>
      </w:r>
      <w:r w:rsidRPr="00F84B6A">
        <w:rPr>
          <w:rFonts w:ascii="Times New Roman" w:hAnsi="Times New Roman" w:cs="Times New Roman"/>
          <w:sz w:val="24"/>
          <w:szCs w:val="24"/>
        </w:rPr>
        <w:t xml:space="preserve"> of seven specific layers to describe networked systems, including three upper layers (application, presentation, session) corresponding to the application layer </w:t>
      </w:r>
      <w:r w:rsidR="00105AE3">
        <w:rPr>
          <w:rFonts w:ascii="Times New Roman" w:hAnsi="Times New Roman" w:cs="Times New Roman"/>
          <w:sz w:val="24"/>
          <w:szCs w:val="24"/>
        </w:rPr>
        <w:t>of</w:t>
      </w:r>
      <w:r w:rsidRPr="00F84B6A">
        <w:rPr>
          <w:rFonts w:ascii="Times New Roman" w:hAnsi="Times New Roman" w:cs="Times New Roman"/>
          <w:sz w:val="24"/>
          <w:szCs w:val="24"/>
        </w:rPr>
        <w:t xml:space="preserve"> the IETF’s TCI/IP suite.</w:t>
      </w:r>
      <w:r w:rsidR="00092DFE">
        <w:rPr>
          <w:rFonts w:ascii="Times New Roman" w:hAnsi="Times New Roman" w:cs="Times New Roman"/>
          <w:sz w:val="24"/>
          <w:szCs w:val="24"/>
        </w:rPr>
        <w:t xml:space="preserve"> </w:t>
      </w:r>
      <w:r w:rsidR="00092DFE" w:rsidRPr="00092DFE">
        <w:rPr>
          <w:rFonts w:ascii="Times New Roman" w:hAnsi="Times New Roman" w:cs="Times New Roman"/>
          <w:sz w:val="24"/>
          <w:szCs w:val="24"/>
        </w:rPr>
        <w:t>Seemingly, for the lack of software supporting the model, OSI has not achieved a widespread adoption unlike with its first rival</w:t>
      </w:r>
      <w:r w:rsidR="00092DFE">
        <w:rPr>
          <w:rFonts w:ascii="Times New Roman" w:hAnsi="Times New Roman" w:cs="Times New Roman"/>
          <w:sz w:val="24"/>
          <w:szCs w:val="24"/>
        </w:rPr>
        <w:t>,</w:t>
      </w:r>
      <w:r w:rsidR="00092DFE" w:rsidRPr="00092DFE">
        <w:rPr>
          <w:rFonts w:ascii="Times New Roman" w:hAnsi="Times New Roman" w:cs="Times New Roman"/>
          <w:sz w:val="24"/>
          <w:szCs w:val="24"/>
        </w:rPr>
        <w:t xml:space="preserve"> TCI/IP.</w:t>
      </w:r>
      <w:r w:rsidR="00A527DD">
        <w:rPr>
          <w:rStyle w:val="FootnoteReference"/>
          <w:rFonts w:ascii="Times New Roman" w:hAnsi="Times New Roman" w:cs="Times New Roman"/>
          <w:sz w:val="24"/>
          <w:szCs w:val="24"/>
        </w:rPr>
        <w:footnoteReference w:id="117"/>
      </w:r>
      <w:r w:rsidR="00B47715">
        <w:rPr>
          <w:rFonts w:ascii="Times New Roman" w:hAnsi="Times New Roman" w:cs="Times New Roman"/>
          <w:sz w:val="24"/>
          <w:szCs w:val="24"/>
        </w:rPr>
        <w:t xml:space="preserve"> </w:t>
      </w:r>
      <w:r w:rsidR="00092DFE">
        <w:rPr>
          <w:rFonts w:ascii="Times New Roman" w:hAnsi="Times New Roman" w:cs="Times New Roman"/>
          <w:sz w:val="24"/>
          <w:szCs w:val="24"/>
        </w:rPr>
        <w:t>T</w:t>
      </w:r>
      <w:r w:rsidR="00B47715">
        <w:rPr>
          <w:rFonts w:ascii="Times New Roman" w:hAnsi="Times New Roman" w:cs="Times New Roman"/>
          <w:sz w:val="24"/>
          <w:szCs w:val="24"/>
        </w:rPr>
        <w:t xml:space="preserve">here are key principles </w:t>
      </w:r>
      <w:r w:rsidR="002B62F0">
        <w:rPr>
          <w:rFonts w:ascii="Times New Roman" w:hAnsi="Times New Roman" w:cs="Times New Roman"/>
          <w:sz w:val="24"/>
          <w:szCs w:val="24"/>
        </w:rPr>
        <w:t xml:space="preserve">for </w:t>
      </w:r>
      <w:r w:rsidR="00092DFE">
        <w:rPr>
          <w:rFonts w:ascii="Times New Roman" w:hAnsi="Times New Roman" w:cs="Times New Roman"/>
          <w:sz w:val="24"/>
          <w:szCs w:val="24"/>
        </w:rPr>
        <w:t xml:space="preserve">TCP/IP </w:t>
      </w:r>
      <w:r w:rsidR="002B62F0">
        <w:rPr>
          <w:rFonts w:ascii="Times New Roman" w:hAnsi="Times New Roman" w:cs="Times New Roman"/>
          <w:sz w:val="24"/>
          <w:szCs w:val="24"/>
        </w:rPr>
        <w:t xml:space="preserve">layering </w:t>
      </w:r>
      <w:r w:rsidR="00B47715">
        <w:rPr>
          <w:rFonts w:ascii="Times New Roman" w:hAnsi="Times New Roman" w:cs="Times New Roman"/>
          <w:sz w:val="24"/>
          <w:szCs w:val="24"/>
        </w:rPr>
        <w:t>that are also crucial to understand the ICT interoperability, as reflected below.</w:t>
      </w:r>
    </w:p>
    <w:p w14:paraId="6C15B5DB" w14:textId="232CD399" w:rsidR="00705090" w:rsidRPr="00774EDB" w:rsidRDefault="0070509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To implement the </w:t>
      </w:r>
      <w:r w:rsidR="00E509B0" w:rsidRPr="00774EDB">
        <w:rPr>
          <w:rFonts w:ascii="Times New Roman" w:hAnsi="Times New Roman" w:cs="Times New Roman"/>
          <w:sz w:val="24"/>
          <w:szCs w:val="24"/>
        </w:rPr>
        <w:t xml:space="preserve">partitioned </w:t>
      </w:r>
      <w:r w:rsidRPr="00774EDB">
        <w:rPr>
          <w:rFonts w:ascii="Times New Roman" w:hAnsi="Times New Roman" w:cs="Times New Roman"/>
          <w:sz w:val="24"/>
          <w:szCs w:val="24"/>
        </w:rPr>
        <w:t>services</w:t>
      </w:r>
      <w:r w:rsidR="00E509B0">
        <w:rPr>
          <w:rFonts w:ascii="Times New Roman" w:hAnsi="Times New Roman" w:cs="Times New Roman"/>
          <w:sz w:val="24"/>
          <w:szCs w:val="24"/>
        </w:rPr>
        <w:t xml:space="preserve"> </w:t>
      </w:r>
      <w:r w:rsidR="00E509B0" w:rsidRPr="00774EDB">
        <w:rPr>
          <w:rFonts w:ascii="Times New Roman" w:hAnsi="Times New Roman" w:cs="Times New Roman"/>
          <w:sz w:val="24"/>
          <w:szCs w:val="24"/>
        </w:rPr>
        <w:t>or roles of the internet</w:t>
      </w:r>
      <w:r w:rsidRPr="00774EDB">
        <w:rPr>
          <w:rFonts w:ascii="Times New Roman" w:hAnsi="Times New Roman" w:cs="Times New Roman"/>
          <w:sz w:val="24"/>
          <w:szCs w:val="24"/>
        </w:rPr>
        <w:t xml:space="preserve">, each layer uses the services provided by the layer below. As widely acknowledged, the lowest layer is called the </w:t>
      </w:r>
      <w:r w:rsidRPr="00774EDB">
        <w:rPr>
          <w:rFonts w:ascii="Times New Roman" w:hAnsi="Times New Roman" w:cs="Times New Roman"/>
          <w:i/>
          <w:sz w:val="24"/>
          <w:szCs w:val="24"/>
        </w:rPr>
        <w:t>physical layer</w:t>
      </w:r>
      <w:r w:rsidRPr="00774EDB">
        <w:rPr>
          <w:rFonts w:ascii="Times New Roman" w:hAnsi="Times New Roman" w:cs="Times New Roman"/>
          <w:sz w:val="24"/>
          <w:szCs w:val="24"/>
        </w:rPr>
        <w:t>, denoting the bottom layer,</w:t>
      </w:r>
      <w:r w:rsidRPr="00774EDB">
        <w:rPr>
          <w:rStyle w:val="FootnoteReference"/>
          <w:rFonts w:ascii="Times New Roman" w:hAnsi="Times New Roman" w:cs="Times New Roman"/>
          <w:sz w:val="24"/>
          <w:szCs w:val="24"/>
        </w:rPr>
        <w:footnoteReference w:id="118"/>
      </w:r>
      <w:r w:rsidRPr="00774EDB">
        <w:rPr>
          <w:rFonts w:ascii="Times New Roman" w:hAnsi="Times New Roman" w:cs="Times New Roman"/>
          <w:sz w:val="24"/>
          <w:szCs w:val="24"/>
        </w:rPr>
        <w:t xml:space="preserve"> although it is not covered by the original TCP/IP stack. The TCP/IP stack contains the sequentially structured four layers: </w:t>
      </w:r>
      <w:r w:rsidRPr="00774EDB">
        <w:rPr>
          <w:rFonts w:ascii="Times New Roman" w:hAnsi="Times New Roman" w:cs="Times New Roman"/>
          <w:i/>
          <w:sz w:val="24"/>
          <w:szCs w:val="24"/>
        </w:rPr>
        <w:t xml:space="preserve">data link layer, network (Internet) layer, transport layer </w:t>
      </w:r>
      <w:r w:rsidRPr="00774EDB">
        <w:rPr>
          <w:rFonts w:ascii="Times New Roman" w:hAnsi="Times New Roman" w:cs="Times New Roman"/>
          <w:sz w:val="24"/>
          <w:szCs w:val="24"/>
        </w:rPr>
        <w:t>and</w:t>
      </w:r>
      <w:r w:rsidRPr="00774EDB">
        <w:rPr>
          <w:rFonts w:ascii="Times New Roman" w:hAnsi="Times New Roman" w:cs="Times New Roman"/>
          <w:i/>
          <w:sz w:val="24"/>
          <w:szCs w:val="24"/>
        </w:rPr>
        <w:t xml:space="preserve"> the application </w:t>
      </w:r>
      <w:r w:rsidRPr="00774EDB">
        <w:rPr>
          <w:rFonts w:ascii="Times New Roman" w:hAnsi="Times New Roman" w:cs="Times New Roman"/>
          <w:i/>
          <w:sz w:val="24"/>
          <w:szCs w:val="24"/>
        </w:rPr>
        <w:lastRenderedPageBreak/>
        <w:t>layer.</w:t>
      </w:r>
      <w:r w:rsidR="00C50D98" w:rsidRPr="00774EDB">
        <w:rPr>
          <w:rStyle w:val="FootnoteReference"/>
          <w:rFonts w:ascii="Times New Roman" w:hAnsi="Times New Roman" w:cs="Times New Roman"/>
          <w:sz w:val="24"/>
          <w:szCs w:val="24"/>
        </w:rPr>
        <w:footnoteReference w:id="119"/>
      </w:r>
      <w:r w:rsidRPr="00774EDB">
        <w:rPr>
          <w:rFonts w:ascii="Times New Roman" w:hAnsi="Times New Roman" w:cs="Times New Roman"/>
          <w:i/>
          <w:sz w:val="24"/>
          <w:szCs w:val="24"/>
        </w:rPr>
        <w:t xml:space="preserve"> </w:t>
      </w:r>
      <w:r w:rsidRPr="00774EDB">
        <w:rPr>
          <w:rFonts w:ascii="Times New Roman" w:hAnsi="Times New Roman" w:cs="Times New Roman"/>
          <w:sz w:val="24"/>
          <w:szCs w:val="24"/>
        </w:rPr>
        <w:t xml:space="preserve">Coupled with the physical layer, the five-layer internet architecture resembles an hourglass run by the protocols across the layers. The Internet Protocols covering IPv4 </w:t>
      </w:r>
      <w:r w:rsidR="00665053">
        <w:rPr>
          <w:rFonts w:ascii="Times New Roman" w:hAnsi="Times New Roman" w:cs="Times New Roman"/>
          <w:sz w:val="24"/>
          <w:szCs w:val="24"/>
        </w:rPr>
        <w:t>and</w:t>
      </w:r>
      <w:r w:rsidR="00665053"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IPv6, or Internet Protocol (IP), simply saying, enables the network to run an arbitrary variety of transmission technologies, which is facilitated by a thin, simple layer in the middle of the protocol stack, like the thin waist in an hourglass, and as illustrated in Figure </w:t>
      </w:r>
      <w:r w:rsidR="00BA27B2">
        <w:rPr>
          <w:rFonts w:ascii="Times New Roman" w:hAnsi="Times New Roman" w:cs="Times New Roman"/>
          <w:sz w:val="24"/>
          <w:szCs w:val="24"/>
        </w:rPr>
        <w:t>2</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120"/>
      </w:r>
      <w:r w:rsidR="00E509B0">
        <w:rPr>
          <w:rFonts w:ascii="Times New Roman" w:hAnsi="Times New Roman" w:cs="Times New Roman"/>
          <w:sz w:val="24"/>
          <w:szCs w:val="24"/>
        </w:rPr>
        <w:t xml:space="preserve"> </w:t>
      </w:r>
    </w:p>
    <w:p w14:paraId="500C2CD1" w14:textId="741BA391" w:rsidR="00705090" w:rsidRPr="00774EDB" w:rsidRDefault="00884DC6" w:rsidP="00A70042">
      <w:pPr>
        <w:spacing w:before="360"/>
        <w:jc w:val="center"/>
        <w:rPr>
          <w:rFonts w:ascii="Times New Roman" w:hAnsi="Times New Roman" w:cs="Times New Roman"/>
          <w:sz w:val="24"/>
          <w:szCs w:val="24"/>
        </w:rPr>
      </w:pPr>
      <w:r w:rsidRPr="00820EF9">
        <w:rPr>
          <w:rFonts w:ascii="Times New Roman" w:hAnsi="Times New Roman" w:cs="Times New Roman"/>
          <w:noProof/>
          <w:sz w:val="24"/>
          <w:szCs w:val="24"/>
          <w:lang w:eastAsia="en-GB"/>
        </w:rPr>
        <mc:AlternateContent>
          <mc:Choice Requires="wps">
            <w:drawing>
              <wp:anchor distT="0" distB="0" distL="114300" distR="114300" simplePos="0" relativeHeight="251747328" behindDoc="0" locked="0" layoutInCell="1" allowOverlap="1" wp14:anchorId="59ABA099" wp14:editId="391E8E96">
                <wp:simplePos x="0" y="0"/>
                <wp:positionH relativeFrom="column">
                  <wp:posOffset>2221230</wp:posOffset>
                </wp:positionH>
                <wp:positionV relativeFrom="paragraph">
                  <wp:posOffset>863254</wp:posOffset>
                </wp:positionV>
                <wp:extent cx="802640" cy="222250"/>
                <wp:effectExtent l="0" t="0" r="0" b="6350"/>
                <wp:wrapNone/>
                <wp:docPr id="3" name="Text Box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2640" cy="222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9DC4DFF" w14:textId="77777777" w:rsidR="005C0DC6" w:rsidRPr="00C74831" w:rsidRDefault="005C0DC6" w:rsidP="00705090">
                            <w:pPr>
                              <w:jc w:val="center"/>
                              <w:rPr>
                                <w:rFonts w:ascii="Times New Roman" w:hAnsi="Times New Roman" w:cs="Times New Roman"/>
                                <w:sz w:val="18"/>
                                <w:szCs w:val="18"/>
                              </w:rPr>
                            </w:pPr>
                            <w:r w:rsidRPr="00C74831">
                              <w:rPr>
                                <w:rFonts w:ascii="Times New Roman" w:hAnsi="Times New Roman" w:cs="Times New Roman"/>
                                <w:sz w:val="18"/>
                                <w:szCs w:val="18"/>
                              </w:rPr>
                              <w:t>Transport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9ABA099" id="_x0000_t202" coordsize="21600,21600" o:spt="202" path="m,l,21600r21600,l21600,xe">
                <v:stroke joinstyle="miter"/>
                <v:path gradientshapeok="t" o:connecttype="rect"/>
              </v:shapetype>
              <v:shape id="Text Box 3" o:spid="_x0000_s1026" type="#_x0000_t202" alt="&quot;&quot;" style="position:absolute;left:0;text-align:left;margin-left:174.9pt;margin-top:67.95pt;width:63.2pt;height:17.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" filled="f" stroked="f" strokeweight=".5pt">
                <v:textbox>
                  <w:txbxContent>
                    <w:p w14:paraId="29DC4DFF" w14:textId="77777777" w:rsidR="005C0DC6" w:rsidRPr="00C74831" w:rsidRDefault="005C0DC6" w:rsidP="00705090">
                      <w:pPr>
                        <w:jc w:val="center"/>
                        <w:rPr>
                          <w:rFonts w:ascii="Times New Roman" w:hAnsi="Times New Roman" w:cs="Times New Roman"/>
                          <w:sz w:val="18"/>
                          <w:szCs w:val="18"/>
                        </w:rPr>
                      </w:pPr>
                      <w:r w:rsidRPr="00C74831">
                        <w:rPr>
                          <w:rFonts w:ascii="Times New Roman" w:hAnsi="Times New Roman" w:cs="Times New Roman"/>
                          <w:sz w:val="18"/>
                          <w:szCs w:val="18"/>
                        </w:rPr>
                        <w:t>Transport</w:t>
                      </w:r>
                    </w:p>
                  </w:txbxContent>
                </v:textbox>
              </v:shape>
            </w:pict>
          </mc:Fallback>
        </mc:AlternateContent>
      </w:r>
      <w:r w:rsidR="00C74831" w:rsidRPr="00820EF9">
        <w:rPr>
          <w:rFonts w:ascii="Times New Roman" w:hAnsi="Times New Roman" w:cs="Times New Roman"/>
          <w:noProof/>
          <w:sz w:val="24"/>
          <w:szCs w:val="24"/>
          <w:lang w:eastAsia="en-GB"/>
        </w:rPr>
        <mc:AlternateContent>
          <mc:Choice Requires="wps">
            <w:drawing>
              <wp:anchor distT="0" distB="0" distL="114300" distR="114300" simplePos="0" relativeHeight="251745280" behindDoc="0" locked="0" layoutInCell="1" allowOverlap="1" wp14:anchorId="7DF6D0D1" wp14:editId="35F625C5">
                <wp:simplePos x="0" y="0"/>
                <wp:positionH relativeFrom="column">
                  <wp:posOffset>2239274</wp:posOffset>
                </wp:positionH>
                <wp:positionV relativeFrom="paragraph">
                  <wp:posOffset>185420</wp:posOffset>
                </wp:positionV>
                <wp:extent cx="802640" cy="229235"/>
                <wp:effectExtent l="0" t="0" r="0" b="0"/>
                <wp:wrapNone/>
                <wp:docPr id="2"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2640" cy="2292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0BD4AF0" w14:textId="77777777" w:rsidR="005C0DC6" w:rsidRPr="00C74831" w:rsidRDefault="005C0DC6" w:rsidP="00705090">
                            <w:pPr>
                              <w:jc w:val="center"/>
                              <w:rPr>
                                <w:rFonts w:ascii="Times New Roman" w:hAnsi="Times New Roman" w:cs="Times New Roman"/>
                                <w:sz w:val="30"/>
                                <w:szCs w:val="30"/>
                              </w:rPr>
                            </w:pPr>
                            <w:r w:rsidRPr="00C74831">
                              <w:rPr>
                                <w:rFonts w:ascii="Times New Roman" w:hAnsi="Times New Roman" w:cs="Times New Roman"/>
                                <w:sz w:val="18"/>
                                <w:szCs w:val="18"/>
                              </w:rPr>
                              <w:t>Applications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DF6D0D1" id="Text Box 2" o:spid="_x0000_s1027" type="#_x0000_t202" alt="&quot;&quot;" style="position:absolute;left:0;text-align:left;margin-left:176.3pt;margin-top:14.6pt;width:63.2pt;height:18.0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" fillcolor="white [3201]" stroked="f" strokeweight=".5pt">
                <v:textbox>
                  <w:txbxContent>
                    <w:p w14:paraId="60BD4AF0" w14:textId="77777777" w:rsidR="005C0DC6" w:rsidRPr="00C74831" w:rsidRDefault="005C0DC6" w:rsidP="00705090">
                      <w:pPr>
                        <w:jc w:val="center"/>
                        <w:rPr>
                          <w:rFonts w:ascii="Times New Roman" w:hAnsi="Times New Roman" w:cs="Times New Roman"/>
                          <w:sz w:val="30"/>
                          <w:szCs w:val="30"/>
                        </w:rPr>
                      </w:pPr>
                      <w:r w:rsidRPr="00C74831">
                        <w:rPr>
                          <w:rFonts w:ascii="Times New Roman" w:hAnsi="Times New Roman" w:cs="Times New Roman"/>
                          <w:sz w:val="18"/>
                          <w:szCs w:val="18"/>
                        </w:rPr>
                        <w:t>Applications</w:t>
                      </w:r>
                    </w:p>
                  </w:txbxContent>
                </v:textbox>
              </v:shape>
            </w:pict>
          </mc:Fallback>
        </mc:AlternateContent>
      </w:r>
      <w:r w:rsidR="00C74831" w:rsidRPr="00A70042">
        <w:rPr>
          <w:rFonts w:ascii="Times New Roman" w:hAnsi="Times New Roman" w:cs="Times New Roman"/>
          <w:noProof/>
          <w:sz w:val="24"/>
          <w:szCs w:val="24"/>
          <w:lang w:eastAsia="en-GB"/>
        </w:rPr>
        <mc:AlternateContent>
          <mc:Choice Requires="wps">
            <w:drawing>
              <wp:anchor distT="0" distB="0" distL="114300" distR="114300" simplePos="0" relativeHeight="251748352" behindDoc="0" locked="0" layoutInCell="1" allowOverlap="1" wp14:anchorId="62F42AD4" wp14:editId="3F13C8D7">
                <wp:simplePos x="0" y="0"/>
                <wp:positionH relativeFrom="column">
                  <wp:posOffset>2315845</wp:posOffset>
                </wp:positionH>
                <wp:positionV relativeFrom="paragraph">
                  <wp:posOffset>1192530</wp:posOffset>
                </wp:positionV>
                <wp:extent cx="620395" cy="238125"/>
                <wp:effectExtent l="0" t="0" r="0" b="0"/>
                <wp:wrapNone/>
                <wp:docPr id="4" name="Text Box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041FC86" w14:textId="77777777" w:rsidR="005C0DC6" w:rsidRPr="00C74831" w:rsidRDefault="005C0DC6" w:rsidP="00705090">
                            <w:pPr>
                              <w:jc w:val="center"/>
                              <w:rPr>
                                <w:rFonts w:ascii="Times New Roman" w:hAnsi="Times New Roman" w:cs="Times New Roman"/>
                                <w:sz w:val="18"/>
                                <w:szCs w:val="18"/>
                              </w:rPr>
                            </w:pPr>
                            <w:r w:rsidRPr="00C74831">
                              <w:rPr>
                                <w:rFonts w:ascii="Times New Roman" w:hAnsi="Times New Roman" w:cs="Times New Roman"/>
                                <w:sz w:val="18"/>
                                <w:szCs w:val="18"/>
                              </w:rPr>
                              <w:t>Network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2F42AD4" id="Text Box 4" o:spid="_x0000_s1028" type="#_x0000_t202" alt="&quot;&quot;" style="position:absolute;left:0;text-align:left;margin-left:182.35pt;margin-top:93.9pt;width:48.85pt;height:18.7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" filled="f" stroked="f" strokeweight=".5pt">
                <v:textbox>
                  <w:txbxContent>
                    <w:p w14:paraId="1041FC86" w14:textId="77777777" w:rsidR="005C0DC6" w:rsidRPr="00C74831" w:rsidRDefault="005C0DC6" w:rsidP="00705090">
                      <w:pPr>
                        <w:jc w:val="center"/>
                        <w:rPr>
                          <w:rFonts w:ascii="Times New Roman" w:hAnsi="Times New Roman" w:cs="Times New Roman"/>
                          <w:sz w:val="18"/>
                          <w:szCs w:val="18"/>
                        </w:rPr>
                      </w:pPr>
                      <w:r w:rsidRPr="00C74831">
                        <w:rPr>
                          <w:rFonts w:ascii="Times New Roman" w:hAnsi="Times New Roman" w:cs="Times New Roman"/>
                          <w:sz w:val="18"/>
                          <w:szCs w:val="18"/>
                        </w:rPr>
                        <w:t>Network</w:t>
                      </w:r>
                    </w:p>
                  </w:txbxContent>
                </v:textbox>
              </v:shape>
            </w:pict>
          </mc:Fallback>
        </mc:AlternateContent>
      </w:r>
      <w:r w:rsidR="00C74831" w:rsidRPr="00A70042">
        <w:rPr>
          <w:rFonts w:ascii="Times New Roman" w:hAnsi="Times New Roman" w:cs="Times New Roman"/>
          <w:noProof/>
          <w:sz w:val="24"/>
          <w:szCs w:val="24"/>
          <w:lang w:eastAsia="en-GB"/>
        </w:rPr>
        <mc:AlternateContent>
          <mc:Choice Requires="wps">
            <w:drawing>
              <wp:anchor distT="0" distB="0" distL="114300" distR="114300" simplePos="0" relativeHeight="251750400" behindDoc="0" locked="0" layoutInCell="1" allowOverlap="1" wp14:anchorId="669CE9D7" wp14:editId="750CA483">
                <wp:simplePos x="0" y="0"/>
                <wp:positionH relativeFrom="column">
                  <wp:posOffset>1684020</wp:posOffset>
                </wp:positionH>
                <wp:positionV relativeFrom="paragraph">
                  <wp:posOffset>2346325</wp:posOffset>
                </wp:positionV>
                <wp:extent cx="1908810" cy="469265"/>
                <wp:effectExtent l="0" t="0" r="0" b="6985"/>
                <wp:wrapNone/>
                <wp:docPr id="6" name="Text Box 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08810" cy="469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0D48BBA" w14:textId="77777777" w:rsidR="005C0DC6" w:rsidRPr="00C74831" w:rsidRDefault="005C0DC6" w:rsidP="00705090">
                            <w:pPr>
                              <w:jc w:val="center"/>
                              <w:rPr>
                                <w:rFonts w:ascii="Times New Roman" w:hAnsi="Times New Roman" w:cs="Times New Roman"/>
                                <w:sz w:val="18"/>
                                <w:szCs w:val="18"/>
                              </w:rPr>
                            </w:pPr>
                            <w:r w:rsidRPr="00C74831">
                              <w:rPr>
                                <w:rFonts w:ascii="Times New Roman" w:hAnsi="Times New Roman" w:cs="Times New Roman"/>
                                <w:sz w:val="18"/>
                                <w:szCs w:val="18"/>
                              </w:rPr>
                              <w:t>Physical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69CE9D7" id="Text Box 6" o:spid="_x0000_s1029" type="#_x0000_t202" alt="&quot;&quot;" style="position:absolute;left:0;text-align:left;margin-left:132.6pt;margin-top:184.75pt;width:150.3pt;height:36.9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" filled="f" stroked="f" strokeweight=".5pt">
                <v:textbox>
                  <w:txbxContent>
                    <w:p w14:paraId="20D48BBA" w14:textId="77777777" w:rsidR="005C0DC6" w:rsidRPr="00C74831" w:rsidRDefault="005C0DC6" w:rsidP="00705090">
                      <w:pPr>
                        <w:jc w:val="center"/>
                        <w:rPr>
                          <w:rFonts w:ascii="Times New Roman" w:hAnsi="Times New Roman" w:cs="Times New Roman"/>
                          <w:sz w:val="18"/>
                          <w:szCs w:val="18"/>
                        </w:rPr>
                      </w:pPr>
                      <w:r w:rsidRPr="00C74831">
                        <w:rPr>
                          <w:rFonts w:ascii="Times New Roman" w:hAnsi="Times New Roman" w:cs="Times New Roman"/>
                          <w:sz w:val="18"/>
                          <w:szCs w:val="18"/>
                        </w:rPr>
                        <w:t>Physical</w:t>
                      </w:r>
                    </w:p>
                  </w:txbxContent>
                </v:textbox>
              </v:shape>
            </w:pict>
          </mc:Fallback>
        </mc:AlternateContent>
      </w:r>
      <w:r w:rsidR="00C74831" w:rsidRPr="00A70042">
        <w:rPr>
          <w:rFonts w:ascii="Times New Roman" w:hAnsi="Times New Roman" w:cs="Times New Roman"/>
          <w:noProof/>
          <w:sz w:val="24"/>
          <w:szCs w:val="24"/>
          <w:lang w:eastAsia="en-GB"/>
        </w:rPr>
        <mc:AlternateContent>
          <mc:Choice Requires="wps">
            <w:drawing>
              <wp:anchor distT="0" distB="0" distL="114300" distR="114300" simplePos="0" relativeHeight="251749376" behindDoc="0" locked="0" layoutInCell="1" allowOverlap="1" wp14:anchorId="70C054DC" wp14:editId="01102F94">
                <wp:simplePos x="0" y="0"/>
                <wp:positionH relativeFrom="column">
                  <wp:posOffset>1638935</wp:posOffset>
                </wp:positionH>
                <wp:positionV relativeFrom="paragraph">
                  <wp:posOffset>1633855</wp:posOffset>
                </wp:positionV>
                <wp:extent cx="2028190" cy="261620"/>
                <wp:effectExtent l="0" t="0" r="0" b="5080"/>
                <wp:wrapNone/>
                <wp:docPr id="5" name="Text Box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28190" cy="2616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72C305D" w14:textId="77777777" w:rsidR="005C0DC6" w:rsidRPr="00C74831" w:rsidRDefault="005C0DC6" w:rsidP="00705090">
                            <w:pPr>
                              <w:jc w:val="center"/>
                              <w:rPr>
                                <w:rFonts w:ascii="Times New Roman" w:hAnsi="Times New Roman" w:cs="Times New Roman"/>
                                <w:sz w:val="18"/>
                                <w:szCs w:val="18"/>
                              </w:rPr>
                            </w:pPr>
                            <w:r w:rsidRPr="00C74831">
                              <w:rPr>
                                <w:rFonts w:ascii="Times New Roman" w:hAnsi="Times New Roman" w:cs="Times New Roman"/>
                                <w:sz w:val="18"/>
                                <w:szCs w:val="18"/>
                              </w:rPr>
                              <w:t>Data Link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0C054DC" id="Text Box 5" o:spid="_x0000_s1030" type="#_x0000_t202" alt="&quot;&quot;" style="position:absolute;left:0;text-align:left;margin-left:129.05pt;margin-top:128.65pt;width:159.7pt;height:20.6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" filled="f" stroked="f" strokeweight=".5pt">
                <v:textbox>
                  <w:txbxContent>
                    <w:p w14:paraId="672C305D" w14:textId="77777777" w:rsidR="005C0DC6" w:rsidRPr="00C74831" w:rsidRDefault="005C0DC6" w:rsidP="00705090">
                      <w:pPr>
                        <w:jc w:val="center"/>
                        <w:rPr>
                          <w:rFonts w:ascii="Times New Roman" w:hAnsi="Times New Roman" w:cs="Times New Roman"/>
                          <w:sz w:val="18"/>
                          <w:szCs w:val="18"/>
                        </w:rPr>
                      </w:pPr>
                      <w:r w:rsidRPr="00C74831">
                        <w:rPr>
                          <w:rFonts w:ascii="Times New Roman" w:hAnsi="Times New Roman" w:cs="Times New Roman"/>
                          <w:sz w:val="18"/>
                          <w:szCs w:val="18"/>
                        </w:rPr>
                        <w:t>Data Link</w:t>
                      </w:r>
                    </w:p>
                  </w:txbxContent>
                </v:textbox>
              </v:shape>
            </w:pict>
          </mc:Fallback>
        </mc:AlternateContent>
      </w:r>
      <w:r w:rsidR="00C74831" w:rsidRPr="00A70042">
        <w:rPr>
          <w:rFonts w:ascii="Times New Roman" w:hAnsi="Times New Roman" w:cs="Times New Roman"/>
          <w:noProof/>
          <w:sz w:val="24"/>
          <w:szCs w:val="24"/>
          <w:lang w:eastAsia="en-GB"/>
        </w:rPr>
        <mc:AlternateContent>
          <mc:Choice Requires="wps">
            <w:drawing>
              <wp:anchor distT="0" distB="0" distL="114300" distR="114300" simplePos="0" relativeHeight="251754496" behindDoc="0" locked="0" layoutInCell="1" allowOverlap="1" wp14:anchorId="69146F1C" wp14:editId="64FDE926">
                <wp:simplePos x="0" y="0"/>
                <wp:positionH relativeFrom="column">
                  <wp:posOffset>431800</wp:posOffset>
                </wp:positionH>
                <wp:positionV relativeFrom="paragraph">
                  <wp:posOffset>2059569</wp:posOffset>
                </wp:positionV>
                <wp:extent cx="1108710" cy="667385"/>
                <wp:effectExtent l="0" t="0" r="0" b="0"/>
                <wp:wrapNone/>
                <wp:docPr id="15" name="Text Box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08710" cy="6673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8628B1" w14:textId="77777777" w:rsidR="005C0DC6" w:rsidRDefault="005C0DC6" w:rsidP="00705090">
                            <w:pPr>
                              <w:spacing w:line="240" w:lineRule="auto"/>
                              <w:rPr>
                                <w:rFonts w:ascii="Times New Roman" w:hAnsi="Times New Roman" w:cs="Times New Roman"/>
                                <w:sz w:val="20"/>
                                <w:szCs w:val="20"/>
                              </w:rPr>
                            </w:pPr>
                            <w:r>
                              <w:rPr>
                                <w:rFonts w:ascii="Times New Roman" w:hAnsi="Times New Roman" w:cs="Times New Roman"/>
                                <w:sz w:val="20"/>
                                <w:szCs w:val="20"/>
                              </w:rPr>
                              <w:t xml:space="preserve">           Fiber</w:t>
                            </w:r>
                          </w:p>
                          <w:p w14:paraId="5CD3F88C" w14:textId="77777777" w:rsidR="005C0DC6" w:rsidRPr="00C74831" w:rsidRDefault="005C0DC6" w:rsidP="00705090">
                            <w:pPr>
                              <w:spacing w:line="240" w:lineRule="auto"/>
                              <w:rPr>
                                <w:rFonts w:ascii="Times New Roman" w:hAnsi="Times New Roman" w:cs="Times New Roman"/>
                                <w:sz w:val="20"/>
                                <w:szCs w:val="20"/>
                              </w:rPr>
                            </w:pPr>
                            <w:r w:rsidRPr="00C74831">
                              <w:rPr>
                                <w:rFonts w:ascii="Times New Roman" w:hAnsi="Times New Roman" w:cs="Times New Roman"/>
                                <w:sz w:val="20"/>
                                <w:szCs w:val="20"/>
                              </w:rPr>
                              <w:t xml:space="preserve">   Telephone lines</w:t>
                            </w:r>
                          </w:p>
                          <w:p w14:paraId="4AF3026D" w14:textId="77777777" w:rsidR="005C0DC6" w:rsidRDefault="005C0DC6" w:rsidP="00705090">
                            <w:pPr>
                              <w:spacing w:line="240" w:lineRule="auto"/>
                              <w:rPr>
                                <w:rFonts w:ascii="Times New Roman" w:hAnsi="Times New Roman" w:cs="Times New Roman"/>
                                <w:sz w:val="20"/>
                                <w:szCs w:val="20"/>
                              </w:rPr>
                            </w:pPr>
                            <w:r>
                              <w:rPr>
                                <w:rFonts w:ascii="Times New Roman" w:hAnsi="Times New Roman" w:cs="Times New Roman"/>
                                <w:sz w:val="20"/>
                                <w:szCs w:val="20"/>
                              </w:rPr>
                              <w:t xml:space="preserve">    Coaxial cable</w:t>
                            </w:r>
                          </w:p>
                          <w:p w14:paraId="67B0FB31" w14:textId="77777777" w:rsidR="005C0DC6" w:rsidRDefault="005C0DC6" w:rsidP="00705090">
                            <w:pPr>
                              <w:spacing w:line="240" w:lineRule="auto"/>
                              <w:jc w:val="center"/>
                              <w:rPr>
                                <w:rFonts w:ascii="Times New Roman" w:hAnsi="Times New Roman" w:cs="Times New Roman"/>
                                <w:sz w:val="28"/>
                                <w:szCs w:val="28"/>
                              </w:rPr>
                            </w:pPr>
                            <w:r>
                              <w:rPr>
                                <w:rFonts w:ascii="Times New Roman" w:hAnsi="Times New Roman" w:cs="Times New Roman"/>
                                <w:sz w:val="20"/>
                                <w:szCs w:val="20"/>
                              </w:rPr>
                              <w:t>Spectrum</w:t>
                            </w:r>
                          </w:p>
                          <w:p w14:paraId="0BA180B6" w14:textId="77777777" w:rsidR="005C0DC6" w:rsidRDefault="005C0DC6" w:rsidP="00705090">
                            <w:pPr>
                              <w:rPr>
                                <w:rFonts w:ascii="Times New Roman" w:hAnsi="Times New Roman" w:cs="Times New Roman"/>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9146F1C" id="Text Box 15" o:spid="_x0000_s1031" type="#_x0000_t202" alt="&quot;&quot;" style="position:absolute;left:0;text-align:left;margin-left:34pt;margin-top:162.15pt;width:87.3pt;height:52.5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" filled="f" stroked="f" strokeweight=".5pt">
                <v:textbox>
                  <w:txbxContent>
                    <w:p w14:paraId="538628B1" w14:textId="77777777" w:rsidR="005C0DC6" w:rsidRDefault="005C0DC6" w:rsidP="00705090">
                      <w:pPr>
                        <w:spacing w:line="240" w:lineRule="auto"/>
                        <w:rPr>
                          <w:rFonts w:ascii="Times New Roman" w:hAnsi="Times New Roman" w:cs="Times New Roman"/>
                          <w:sz w:val="20"/>
                          <w:szCs w:val="20"/>
                        </w:rPr>
                      </w:pPr>
                      <w:r>
                        <w:rPr>
                          <w:rFonts w:ascii="Times New Roman" w:hAnsi="Times New Roman" w:cs="Times New Roman"/>
                          <w:sz w:val="20"/>
                          <w:szCs w:val="20"/>
                        </w:rPr>
                        <w:t xml:space="preserve">           Fiber</w:t>
                      </w:r>
                    </w:p>
                    <w:p w14:paraId="5CD3F88C" w14:textId="77777777" w:rsidR="005C0DC6" w:rsidRPr="00C74831" w:rsidRDefault="005C0DC6" w:rsidP="00705090">
                      <w:pPr>
                        <w:spacing w:line="240" w:lineRule="auto"/>
                        <w:rPr>
                          <w:rFonts w:ascii="Times New Roman" w:hAnsi="Times New Roman" w:cs="Times New Roman"/>
                          <w:sz w:val="20"/>
                          <w:szCs w:val="20"/>
                        </w:rPr>
                      </w:pPr>
                      <w:r w:rsidRPr="00C74831">
                        <w:rPr>
                          <w:rFonts w:ascii="Times New Roman" w:hAnsi="Times New Roman" w:cs="Times New Roman"/>
                          <w:sz w:val="20"/>
                          <w:szCs w:val="20"/>
                        </w:rPr>
                        <w:t xml:space="preserve">   Telephone lines</w:t>
                      </w:r>
                    </w:p>
                    <w:p w14:paraId="4AF3026D" w14:textId="77777777" w:rsidR="005C0DC6" w:rsidRDefault="005C0DC6" w:rsidP="00705090">
                      <w:pPr>
                        <w:spacing w:line="240" w:lineRule="auto"/>
                        <w:rPr>
                          <w:rFonts w:ascii="Times New Roman" w:hAnsi="Times New Roman" w:cs="Times New Roman"/>
                          <w:sz w:val="20"/>
                          <w:szCs w:val="20"/>
                        </w:rPr>
                      </w:pPr>
                      <w:r>
                        <w:rPr>
                          <w:rFonts w:ascii="Times New Roman" w:hAnsi="Times New Roman" w:cs="Times New Roman"/>
                          <w:sz w:val="20"/>
                          <w:szCs w:val="20"/>
                        </w:rPr>
                        <w:t xml:space="preserve">    Coaxial cable</w:t>
                      </w:r>
                    </w:p>
                    <w:p w14:paraId="67B0FB31" w14:textId="77777777" w:rsidR="005C0DC6" w:rsidRDefault="005C0DC6" w:rsidP="00705090">
                      <w:pPr>
                        <w:spacing w:line="240" w:lineRule="auto"/>
                        <w:jc w:val="center"/>
                        <w:rPr>
                          <w:rFonts w:ascii="Times New Roman" w:hAnsi="Times New Roman" w:cs="Times New Roman"/>
                          <w:sz w:val="28"/>
                          <w:szCs w:val="28"/>
                        </w:rPr>
                      </w:pPr>
                      <w:r>
                        <w:rPr>
                          <w:rFonts w:ascii="Times New Roman" w:hAnsi="Times New Roman" w:cs="Times New Roman"/>
                          <w:sz w:val="20"/>
                          <w:szCs w:val="20"/>
                        </w:rPr>
                        <w:t>Spectrum</w:t>
                      </w:r>
                    </w:p>
                    <w:p w14:paraId="0BA180B6" w14:textId="77777777" w:rsidR="005C0DC6" w:rsidRDefault="005C0DC6" w:rsidP="00705090">
                      <w:pPr>
                        <w:rPr>
                          <w:rFonts w:ascii="Times New Roman" w:hAnsi="Times New Roman" w:cs="Times New Roman"/>
                          <w:sz w:val="28"/>
                          <w:szCs w:val="28"/>
                        </w:rPr>
                      </w:pPr>
                    </w:p>
                  </w:txbxContent>
                </v:textbox>
              </v:shape>
            </w:pict>
          </mc:Fallback>
        </mc:AlternateContent>
      </w:r>
      <w:r w:rsidR="00C74831" w:rsidRPr="00A70042">
        <w:rPr>
          <w:rFonts w:ascii="Times New Roman" w:hAnsi="Times New Roman" w:cs="Times New Roman"/>
          <w:noProof/>
          <w:sz w:val="24"/>
          <w:szCs w:val="24"/>
          <w:lang w:eastAsia="en-GB"/>
        </w:rPr>
        <mc:AlternateContent>
          <mc:Choice Requires="wps">
            <w:drawing>
              <wp:anchor distT="0" distB="0" distL="114300" distR="114300" simplePos="0" relativeHeight="251753472" behindDoc="0" locked="0" layoutInCell="1" allowOverlap="1" wp14:anchorId="6406F997" wp14:editId="7BE65355">
                <wp:simplePos x="0" y="0"/>
                <wp:positionH relativeFrom="column">
                  <wp:posOffset>412318</wp:posOffset>
                </wp:positionH>
                <wp:positionV relativeFrom="paragraph">
                  <wp:posOffset>1494155</wp:posOffset>
                </wp:positionV>
                <wp:extent cx="1198880" cy="591820"/>
                <wp:effectExtent l="0" t="0" r="0" b="0"/>
                <wp:wrapNone/>
                <wp:docPr id="11" name="Text Box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8880" cy="5918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7F78AD8" w14:textId="77777777" w:rsidR="005C0DC6" w:rsidRDefault="005C0DC6" w:rsidP="00705090">
                            <w:pPr>
                              <w:spacing w:line="240" w:lineRule="auto"/>
                              <w:jc w:val="center"/>
                              <w:rPr>
                                <w:rFonts w:ascii="Times New Roman" w:hAnsi="Times New Roman" w:cs="Times New Roman"/>
                                <w:sz w:val="20"/>
                                <w:szCs w:val="20"/>
                              </w:rPr>
                            </w:pPr>
                            <w:r>
                              <w:rPr>
                                <w:rFonts w:ascii="Times New Roman" w:hAnsi="Times New Roman" w:cs="Times New Roman"/>
                                <w:sz w:val="20"/>
                                <w:szCs w:val="20"/>
                              </w:rPr>
                              <w:t>Ethernet</w:t>
                            </w:r>
                          </w:p>
                          <w:p w14:paraId="7E965595" w14:textId="77777777" w:rsidR="005C0DC6" w:rsidRDefault="005C0DC6" w:rsidP="00705090">
                            <w:pPr>
                              <w:spacing w:line="240" w:lineRule="auto"/>
                              <w:jc w:val="center"/>
                              <w:rPr>
                                <w:rFonts w:ascii="Times New Roman" w:hAnsi="Times New Roman" w:cs="Times New Roman"/>
                                <w:sz w:val="20"/>
                                <w:szCs w:val="20"/>
                              </w:rPr>
                            </w:pPr>
                            <w:r>
                              <w:rPr>
                                <w:rFonts w:ascii="Times New Roman" w:hAnsi="Times New Roman" w:cs="Times New Roman"/>
                                <w:sz w:val="20"/>
                                <w:szCs w:val="20"/>
                              </w:rPr>
                              <w:t>DOCSIS</w:t>
                            </w:r>
                          </w:p>
                          <w:p w14:paraId="685E4284" w14:textId="77777777" w:rsidR="005C0DC6" w:rsidRDefault="005C0DC6" w:rsidP="00705090">
                            <w:pPr>
                              <w:spacing w:line="240" w:lineRule="auto"/>
                              <w:jc w:val="center"/>
                              <w:rPr>
                                <w:rFonts w:ascii="Times New Roman" w:hAnsi="Times New Roman" w:cs="Times New Roman"/>
                                <w:sz w:val="20"/>
                                <w:szCs w:val="20"/>
                              </w:rPr>
                            </w:pPr>
                            <w:r>
                              <w:rPr>
                                <w:rFonts w:ascii="Times New Roman" w:hAnsi="Times New Roman" w:cs="Times New Roman"/>
                                <w:sz w:val="20"/>
                                <w:szCs w:val="20"/>
                              </w:rPr>
                              <w:t>802.11</w:t>
                            </w:r>
                          </w:p>
                          <w:p w14:paraId="032AB8DE" w14:textId="77777777" w:rsidR="005C0DC6" w:rsidRDefault="005C0DC6" w:rsidP="00705090">
                            <w:pPr>
                              <w:rPr>
                                <w:rFonts w:ascii="Times New Roman" w:hAnsi="Times New Roman" w:cs="Times New Roman"/>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406F997" id="Text Box 11" o:spid="_x0000_s1032" type="#_x0000_t202" alt="&quot;&quot;" style="position:absolute;left:0;text-align:left;margin-left:32.45pt;margin-top:117.65pt;width:94.4pt;height:46.6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" filled="f" stroked="f" strokeweight=".5pt">
                <v:textbox>
                  <w:txbxContent>
                    <w:p w14:paraId="47F78AD8" w14:textId="77777777" w:rsidR="005C0DC6" w:rsidRDefault="005C0DC6" w:rsidP="00705090">
                      <w:pPr>
                        <w:spacing w:line="240" w:lineRule="auto"/>
                        <w:jc w:val="center"/>
                        <w:rPr>
                          <w:rFonts w:ascii="Times New Roman" w:hAnsi="Times New Roman" w:cs="Times New Roman"/>
                          <w:sz w:val="20"/>
                          <w:szCs w:val="20"/>
                        </w:rPr>
                      </w:pPr>
                      <w:r>
                        <w:rPr>
                          <w:rFonts w:ascii="Times New Roman" w:hAnsi="Times New Roman" w:cs="Times New Roman"/>
                          <w:sz w:val="20"/>
                          <w:szCs w:val="20"/>
                        </w:rPr>
                        <w:t>Ethernet</w:t>
                      </w:r>
                    </w:p>
                    <w:p w14:paraId="7E965595" w14:textId="77777777" w:rsidR="005C0DC6" w:rsidRDefault="005C0DC6" w:rsidP="00705090">
                      <w:pPr>
                        <w:spacing w:line="240" w:lineRule="auto"/>
                        <w:jc w:val="center"/>
                        <w:rPr>
                          <w:rFonts w:ascii="Times New Roman" w:hAnsi="Times New Roman" w:cs="Times New Roman"/>
                          <w:sz w:val="20"/>
                          <w:szCs w:val="20"/>
                        </w:rPr>
                      </w:pPr>
                      <w:r>
                        <w:rPr>
                          <w:rFonts w:ascii="Times New Roman" w:hAnsi="Times New Roman" w:cs="Times New Roman"/>
                          <w:sz w:val="20"/>
                          <w:szCs w:val="20"/>
                        </w:rPr>
                        <w:t>DOCSIS</w:t>
                      </w:r>
                    </w:p>
                    <w:p w14:paraId="685E4284" w14:textId="77777777" w:rsidR="005C0DC6" w:rsidRDefault="005C0DC6" w:rsidP="00705090">
                      <w:pPr>
                        <w:spacing w:line="240" w:lineRule="auto"/>
                        <w:jc w:val="center"/>
                        <w:rPr>
                          <w:rFonts w:ascii="Times New Roman" w:hAnsi="Times New Roman" w:cs="Times New Roman"/>
                          <w:sz w:val="20"/>
                          <w:szCs w:val="20"/>
                        </w:rPr>
                      </w:pPr>
                      <w:r>
                        <w:rPr>
                          <w:rFonts w:ascii="Times New Roman" w:hAnsi="Times New Roman" w:cs="Times New Roman"/>
                          <w:sz w:val="20"/>
                          <w:szCs w:val="20"/>
                        </w:rPr>
                        <w:t>802.11</w:t>
                      </w:r>
                    </w:p>
                    <w:p w14:paraId="032AB8DE" w14:textId="77777777" w:rsidR="005C0DC6" w:rsidRDefault="005C0DC6" w:rsidP="00705090">
                      <w:pPr>
                        <w:rPr>
                          <w:rFonts w:ascii="Times New Roman" w:hAnsi="Times New Roman" w:cs="Times New Roman"/>
                          <w:sz w:val="28"/>
                          <w:szCs w:val="28"/>
                        </w:rPr>
                      </w:pPr>
                    </w:p>
                  </w:txbxContent>
                </v:textbox>
              </v:shape>
            </w:pict>
          </mc:Fallback>
        </mc:AlternateContent>
      </w:r>
      <w:r w:rsidR="00C74831" w:rsidRPr="00A70042">
        <w:rPr>
          <w:rFonts w:ascii="Times New Roman" w:hAnsi="Times New Roman" w:cs="Times New Roman"/>
          <w:noProof/>
          <w:sz w:val="24"/>
          <w:szCs w:val="24"/>
          <w:lang w:eastAsia="en-GB"/>
        </w:rPr>
        <mc:AlternateContent>
          <mc:Choice Requires="wps">
            <w:drawing>
              <wp:anchor distT="0" distB="0" distL="114300" distR="114300" simplePos="0" relativeHeight="251752448" behindDoc="0" locked="0" layoutInCell="1" allowOverlap="1" wp14:anchorId="3521470C" wp14:editId="4E17EB33">
                <wp:simplePos x="0" y="0"/>
                <wp:positionH relativeFrom="column">
                  <wp:posOffset>504441</wp:posOffset>
                </wp:positionH>
                <wp:positionV relativeFrom="paragraph">
                  <wp:posOffset>1215390</wp:posOffset>
                </wp:positionV>
                <wp:extent cx="1068705" cy="278765"/>
                <wp:effectExtent l="0" t="0" r="0" b="6985"/>
                <wp:wrapNone/>
                <wp:docPr id="10" name="Text Box 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68705" cy="2787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D7B3BD8" w14:textId="77777777" w:rsidR="005C0DC6" w:rsidRDefault="005C0DC6" w:rsidP="00705090">
                            <w:pPr>
                              <w:spacing w:line="240" w:lineRule="auto"/>
                              <w:rPr>
                                <w:rFonts w:ascii="Times New Roman" w:hAnsi="Times New Roman" w:cs="Times New Roman"/>
                                <w:sz w:val="20"/>
                                <w:szCs w:val="20"/>
                              </w:rPr>
                            </w:pPr>
                            <w:r>
                              <w:rPr>
                                <w:rFonts w:ascii="Times New Roman" w:hAnsi="Times New Roman" w:cs="Times New Roman"/>
                                <w:sz w:val="20"/>
                                <w:szCs w:val="20"/>
                              </w:rPr>
                              <w:t>Internet Protocol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521470C" id="Text Box 10" o:spid="_x0000_s1033" type="#_x0000_t202" alt="&quot;&quot;" style="position:absolute;left:0;text-align:left;margin-left:39.7pt;margin-top:95.7pt;width:84.15pt;height:21.9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" filled="f" stroked="f" strokeweight=".5pt">
                <v:textbox>
                  <w:txbxContent>
                    <w:p w14:paraId="1D7B3BD8" w14:textId="77777777" w:rsidR="005C0DC6" w:rsidRDefault="005C0DC6" w:rsidP="00705090">
                      <w:pPr>
                        <w:spacing w:line="240" w:lineRule="auto"/>
                        <w:rPr>
                          <w:rFonts w:ascii="Times New Roman" w:hAnsi="Times New Roman" w:cs="Times New Roman"/>
                          <w:sz w:val="20"/>
                          <w:szCs w:val="20"/>
                        </w:rPr>
                      </w:pPr>
                      <w:r>
                        <w:rPr>
                          <w:rFonts w:ascii="Times New Roman" w:hAnsi="Times New Roman" w:cs="Times New Roman"/>
                          <w:sz w:val="20"/>
                          <w:szCs w:val="20"/>
                        </w:rPr>
                        <w:t>Internet Protocol</w:t>
                      </w:r>
                    </w:p>
                  </w:txbxContent>
                </v:textbox>
              </v:shape>
            </w:pict>
          </mc:Fallback>
        </mc:AlternateContent>
      </w:r>
      <w:r w:rsidR="00C74831" w:rsidRPr="00A70042">
        <w:rPr>
          <w:rFonts w:ascii="Times New Roman" w:hAnsi="Times New Roman" w:cs="Times New Roman"/>
          <w:noProof/>
          <w:sz w:val="24"/>
          <w:szCs w:val="24"/>
          <w:lang w:eastAsia="en-GB"/>
        </w:rPr>
        <mc:AlternateContent>
          <mc:Choice Requires="wps">
            <w:drawing>
              <wp:anchor distT="0" distB="0" distL="114300" distR="114300" simplePos="0" relativeHeight="251751424" behindDoc="0" locked="0" layoutInCell="1" allowOverlap="1" wp14:anchorId="6C355B66" wp14:editId="06A6DF2B">
                <wp:simplePos x="0" y="0"/>
                <wp:positionH relativeFrom="column">
                  <wp:posOffset>485140</wp:posOffset>
                </wp:positionH>
                <wp:positionV relativeFrom="paragraph">
                  <wp:posOffset>882650</wp:posOffset>
                </wp:positionV>
                <wp:extent cx="1009650" cy="296545"/>
                <wp:effectExtent l="0" t="0" r="0" b="0"/>
                <wp:wrapNone/>
                <wp:docPr id="7" name="Text Box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09650" cy="2965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66A46AD" w14:textId="77777777" w:rsidR="005C0DC6" w:rsidRDefault="005C0DC6">
                            <w:pPr>
                              <w:jc w:val="center"/>
                              <w:rPr>
                                <w:rFonts w:ascii="Times New Roman" w:hAnsi="Times New Roman" w:cs="Times New Roman"/>
                                <w:sz w:val="20"/>
                                <w:szCs w:val="20"/>
                              </w:rPr>
                            </w:pPr>
                            <w:r>
                              <w:rPr>
                                <w:rFonts w:ascii="Times New Roman" w:hAnsi="Times New Roman" w:cs="Times New Roman"/>
                                <w:sz w:val="20"/>
                                <w:szCs w:val="20"/>
                              </w:rPr>
                              <w:t>TCP, UDP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C355B66" id="Text Box 7" o:spid="_x0000_s1034" type="#_x0000_t202" alt="&quot;&quot;" style="position:absolute;left:0;text-align:left;margin-left:38.2pt;margin-top:69.5pt;width:79.5pt;height:23.3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" filled="f" stroked="f" strokeweight=".5pt">
                <v:textbox>
                  <w:txbxContent>
                    <w:p w14:paraId="366A46AD" w14:textId="77777777" w:rsidR="005C0DC6" w:rsidRDefault="005C0DC6">
                      <w:pPr>
                        <w:jc w:val="center"/>
                        <w:rPr>
                          <w:rFonts w:ascii="Times New Roman" w:hAnsi="Times New Roman" w:cs="Times New Roman"/>
                          <w:sz w:val="20"/>
                          <w:szCs w:val="20"/>
                        </w:rPr>
                      </w:pPr>
                      <w:r>
                        <w:rPr>
                          <w:rFonts w:ascii="Times New Roman" w:hAnsi="Times New Roman" w:cs="Times New Roman"/>
                          <w:sz w:val="20"/>
                          <w:szCs w:val="20"/>
                        </w:rPr>
                        <w:t>TCP, UDP</w:t>
                      </w:r>
                    </w:p>
                  </w:txbxContent>
                </v:textbox>
              </v:shape>
            </w:pict>
          </mc:Fallback>
        </mc:AlternateContent>
      </w:r>
      <w:r w:rsidR="00C74831" w:rsidRPr="00A70042">
        <w:rPr>
          <w:rFonts w:ascii="Times New Roman" w:hAnsi="Times New Roman" w:cs="Times New Roman"/>
          <w:noProof/>
          <w:sz w:val="24"/>
          <w:szCs w:val="24"/>
          <w:lang w:eastAsia="en-GB"/>
        </w:rPr>
        <mc:AlternateContent>
          <mc:Choice Requires="wps">
            <w:drawing>
              <wp:anchor distT="0" distB="0" distL="114300" distR="114300" simplePos="0" relativeHeight="251746304" behindDoc="0" locked="0" layoutInCell="1" allowOverlap="1" wp14:anchorId="5CCD4C40" wp14:editId="4ACC2DB7">
                <wp:simplePos x="0" y="0"/>
                <wp:positionH relativeFrom="column">
                  <wp:posOffset>378328</wp:posOffset>
                </wp:positionH>
                <wp:positionV relativeFrom="paragraph">
                  <wp:posOffset>97155</wp:posOffset>
                </wp:positionV>
                <wp:extent cx="1229360" cy="603885"/>
                <wp:effectExtent l="0" t="0" r="0" b="5715"/>
                <wp:wrapNone/>
                <wp:docPr id="9" name="Text Box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29360" cy="6038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E50FE5" w14:textId="77777777" w:rsidR="005C0DC6" w:rsidRDefault="005C0DC6" w:rsidP="00A70042">
                            <w:pPr>
                              <w:spacing w:line="240" w:lineRule="auto"/>
                              <w:jc w:val="center"/>
                              <w:rPr>
                                <w:rFonts w:ascii="Times New Roman" w:hAnsi="Times New Roman" w:cs="Times New Roman"/>
                                <w:sz w:val="20"/>
                                <w:szCs w:val="20"/>
                              </w:rPr>
                            </w:pPr>
                            <w:r>
                              <w:rPr>
                                <w:rFonts w:ascii="Times New Roman" w:hAnsi="Times New Roman" w:cs="Times New Roman"/>
                                <w:sz w:val="20"/>
                                <w:szCs w:val="20"/>
                              </w:rPr>
                              <w:t>Email (SMTP)</w:t>
                            </w:r>
                          </w:p>
                          <w:p w14:paraId="7E9FA811" w14:textId="77777777" w:rsidR="005C0DC6" w:rsidRDefault="005C0DC6" w:rsidP="00A70042">
                            <w:pPr>
                              <w:spacing w:line="240" w:lineRule="auto"/>
                              <w:jc w:val="center"/>
                              <w:rPr>
                                <w:rFonts w:ascii="Times New Roman" w:hAnsi="Times New Roman" w:cs="Times New Roman"/>
                                <w:sz w:val="20"/>
                                <w:szCs w:val="20"/>
                              </w:rPr>
                            </w:pPr>
                            <w:r>
                              <w:rPr>
                                <w:rFonts w:ascii="Times New Roman" w:hAnsi="Times New Roman" w:cs="Times New Roman"/>
                                <w:sz w:val="20"/>
                                <w:szCs w:val="20"/>
                              </w:rPr>
                              <w:t>Web (HTTP)</w:t>
                            </w:r>
                          </w:p>
                          <w:p w14:paraId="4DFF993F" w14:textId="77777777" w:rsidR="005C0DC6" w:rsidRDefault="005C0DC6" w:rsidP="00A70042">
                            <w:pPr>
                              <w:spacing w:line="240" w:lineRule="auto"/>
                              <w:jc w:val="center"/>
                              <w:rPr>
                                <w:rFonts w:ascii="Times New Roman" w:hAnsi="Times New Roman" w:cs="Times New Roman"/>
                                <w:sz w:val="20"/>
                                <w:szCs w:val="20"/>
                              </w:rPr>
                            </w:pPr>
                            <w:r>
                              <w:rPr>
                                <w:rFonts w:ascii="Times New Roman" w:hAnsi="Times New Roman" w:cs="Times New Roman"/>
                                <w:sz w:val="20"/>
                                <w:szCs w:val="20"/>
                              </w:rPr>
                              <w:t>File transfer (FTP)</w:t>
                            </w:r>
                          </w:p>
                          <w:p w14:paraId="61A6F681" w14:textId="77777777" w:rsidR="005C0DC6" w:rsidRDefault="005C0DC6" w:rsidP="00A70042">
                            <w:pPr>
                              <w:jc w:val="center"/>
                              <w:rPr>
                                <w:rFonts w:ascii="Times New Roman" w:hAnsi="Times New Roman" w:cs="Times New Roman"/>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CCD4C40" id="Text Box 9" o:spid="_x0000_s1035" type="#_x0000_t202" alt="&quot;&quot;" style="position:absolute;left:0;text-align:left;margin-left:29.8pt;margin-top:7.65pt;width:96.8pt;height:47.5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" filled="f" stroked="f" strokeweight=".5pt">
                <v:textbox>
                  <w:txbxContent>
                    <w:p w14:paraId="50E50FE5" w14:textId="77777777" w:rsidR="005C0DC6" w:rsidRDefault="005C0DC6" w:rsidP="00A70042">
                      <w:pPr>
                        <w:spacing w:line="240" w:lineRule="auto"/>
                        <w:jc w:val="center"/>
                        <w:rPr>
                          <w:rFonts w:ascii="Times New Roman" w:hAnsi="Times New Roman" w:cs="Times New Roman"/>
                          <w:sz w:val="20"/>
                          <w:szCs w:val="20"/>
                        </w:rPr>
                      </w:pPr>
                      <w:r>
                        <w:rPr>
                          <w:rFonts w:ascii="Times New Roman" w:hAnsi="Times New Roman" w:cs="Times New Roman"/>
                          <w:sz w:val="20"/>
                          <w:szCs w:val="20"/>
                        </w:rPr>
                        <w:t>Email (SMTP)</w:t>
                      </w:r>
                    </w:p>
                    <w:p w14:paraId="7E9FA811" w14:textId="77777777" w:rsidR="005C0DC6" w:rsidRDefault="005C0DC6" w:rsidP="00A70042">
                      <w:pPr>
                        <w:spacing w:line="240" w:lineRule="auto"/>
                        <w:jc w:val="center"/>
                        <w:rPr>
                          <w:rFonts w:ascii="Times New Roman" w:hAnsi="Times New Roman" w:cs="Times New Roman"/>
                          <w:sz w:val="20"/>
                          <w:szCs w:val="20"/>
                        </w:rPr>
                      </w:pPr>
                      <w:r>
                        <w:rPr>
                          <w:rFonts w:ascii="Times New Roman" w:hAnsi="Times New Roman" w:cs="Times New Roman"/>
                          <w:sz w:val="20"/>
                          <w:szCs w:val="20"/>
                        </w:rPr>
                        <w:t>Web (HTTP)</w:t>
                      </w:r>
                    </w:p>
                    <w:p w14:paraId="4DFF993F" w14:textId="77777777" w:rsidR="005C0DC6" w:rsidRDefault="005C0DC6" w:rsidP="00A70042">
                      <w:pPr>
                        <w:spacing w:line="240" w:lineRule="auto"/>
                        <w:jc w:val="center"/>
                        <w:rPr>
                          <w:rFonts w:ascii="Times New Roman" w:hAnsi="Times New Roman" w:cs="Times New Roman"/>
                          <w:sz w:val="20"/>
                          <w:szCs w:val="20"/>
                        </w:rPr>
                      </w:pPr>
                      <w:r>
                        <w:rPr>
                          <w:rFonts w:ascii="Times New Roman" w:hAnsi="Times New Roman" w:cs="Times New Roman"/>
                          <w:sz w:val="20"/>
                          <w:szCs w:val="20"/>
                        </w:rPr>
                        <w:t>File transfer (FTP)</w:t>
                      </w:r>
                    </w:p>
                    <w:p w14:paraId="61A6F681" w14:textId="77777777" w:rsidR="005C0DC6" w:rsidRDefault="005C0DC6" w:rsidP="00A70042">
                      <w:pPr>
                        <w:jc w:val="center"/>
                        <w:rPr>
                          <w:rFonts w:ascii="Times New Roman" w:hAnsi="Times New Roman" w:cs="Times New Roman"/>
                          <w:sz w:val="28"/>
                          <w:szCs w:val="28"/>
                        </w:rPr>
                      </w:pPr>
                    </w:p>
                  </w:txbxContent>
                </v:textbox>
              </v:shape>
            </w:pict>
          </mc:Fallback>
        </mc:AlternateContent>
      </w:r>
      <w:r w:rsidR="00705090" w:rsidRPr="00820EF9">
        <w:rPr>
          <w:rFonts w:ascii="Times New Roman" w:hAnsi="Times New Roman" w:cs="Times New Roman"/>
          <w:noProof/>
          <w:sz w:val="24"/>
          <w:szCs w:val="24"/>
          <w:lang w:eastAsia="en-GB"/>
        </w:rPr>
        <w:drawing>
          <wp:inline distT="0" distB="0" distL="0" distR="0" wp14:anchorId="44F406F2" wp14:editId="60BB50FF">
            <wp:extent cx="1781175" cy="2703195"/>
            <wp:effectExtent l="0" t="0" r="9525" b="1905"/>
            <wp:docPr id="1" name="Picture 1" descr="Başlıksı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5" descr="Başlıksız-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81175" cy="2703195"/>
                    </a:xfrm>
                    <a:prstGeom prst="rect">
                      <a:avLst/>
                    </a:prstGeom>
                    <a:noFill/>
                    <a:ln>
                      <a:noFill/>
                    </a:ln>
                  </pic:spPr>
                </pic:pic>
              </a:graphicData>
            </a:graphic>
          </wp:inline>
        </w:drawing>
      </w:r>
    </w:p>
    <w:p w14:paraId="1C61EC40" w14:textId="635ED9F9" w:rsidR="009577B0" w:rsidRPr="00A24C33" w:rsidRDefault="009577B0" w:rsidP="00A70042">
      <w:pPr>
        <w:jc w:val="both"/>
        <w:outlineLvl w:val="7"/>
        <w:rPr>
          <w:rFonts w:ascii="Times New Roman" w:hAnsi="Times New Roman" w:cs="Times New Roman"/>
          <w:bCs/>
          <w:sz w:val="24"/>
          <w:szCs w:val="24"/>
        </w:rPr>
      </w:pPr>
      <w:bookmarkStart w:id="169" w:name="_Toc17612465"/>
      <w:r w:rsidRPr="00A70042">
        <w:rPr>
          <w:rFonts w:ascii="Times New Roman" w:hAnsi="Times New Roman" w:cs="Times New Roman"/>
          <w:b/>
          <w:sz w:val="24"/>
          <w:szCs w:val="24"/>
        </w:rPr>
        <w:t>Figure 2:</w:t>
      </w:r>
      <w:r w:rsidRPr="00A24C33">
        <w:rPr>
          <w:rFonts w:ascii="Times New Roman" w:hAnsi="Times New Roman" w:cs="Times New Roman"/>
          <w:bCs/>
          <w:sz w:val="24"/>
          <w:szCs w:val="24"/>
        </w:rPr>
        <w:t xml:space="preserve"> The Hourglass Model of the Internet Protocol Stack</w:t>
      </w:r>
      <w:bookmarkEnd w:id="169"/>
    </w:p>
    <w:p w14:paraId="7E2037A5" w14:textId="09BE4956" w:rsidR="00705090" w:rsidRPr="00A70042" w:rsidRDefault="00705090" w:rsidP="00A70042">
      <w:pPr>
        <w:jc w:val="both"/>
        <w:rPr>
          <w:rFonts w:ascii="Times New Roman" w:hAnsi="Times New Roman" w:cs="Times New Roman"/>
          <w:sz w:val="20"/>
          <w:szCs w:val="20"/>
        </w:rPr>
      </w:pPr>
      <w:r w:rsidRPr="00A70042">
        <w:rPr>
          <w:rFonts w:ascii="Times New Roman" w:hAnsi="Times New Roman" w:cs="Times New Roman"/>
          <w:sz w:val="20"/>
          <w:szCs w:val="20"/>
        </w:rPr>
        <w:t>(Source: Yoo (n 10</w:t>
      </w:r>
      <w:r w:rsidR="002B42F7">
        <w:rPr>
          <w:rFonts w:ascii="Times New Roman" w:hAnsi="Times New Roman" w:cs="Times New Roman"/>
          <w:sz w:val="20"/>
          <w:szCs w:val="20"/>
        </w:rPr>
        <w:t>9</w:t>
      </w:r>
      <w:r w:rsidRPr="00A70042">
        <w:rPr>
          <w:rFonts w:ascii="Times New Roman" w:hAnsi="Times New Roman" w:cs="Times New Roman"/>
          <w:sz w:val="20"/>
          <w:szCs w:val="20"/>
        </w:rPr>
        <w:t>) 1751)</w:t>
      </w:r>
    </w:p>
    <w:p w14:paraId="3503C075" w14:textId="77777777" w:rsidR="00705090" w:rsidRPr="00774EDB" w:rsidRDefault="0070509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Layers, while defining the value chains through which products and services are ultimately delivered to end-users,</w:t>
      </w:r>
      <w:r w:rsidRPr="00774EDB">
        <w:rPr>
          <w:rStyle w:val="FootnoteReference"/>
          <w:rFonts w:ascii="Times New Roman" w:hAnsi="Times New Roman" w:cs="Times New Roman"/>
          <w:sz w:val="24"/>
          <w:szCs w:val="24"/>
        </w:rPr>
        <w:footnoteReference w:id="121"/>
      </w:r>
      <w:r w:rsidRPr="00774EDB">
        <w:rPr>
          <w:rFonts w:ascii="Times New Roman" w:hAnsi="Times New Roman" w:cs="Times New Roman"/>
          <w:sz w:val="24"/>
          <w:szCs w:val="24"/>
        </w:rPr>
        <w:t xml:space="preserve"> also ensure interoperability between the end points by the virtue of governing protocols</w:t>
      </w:r>
      <w:r w:rsidR="00B55EC3" w:rsidRPr="00774EDB">
        <w:rPr>
          <w:rFonts w:ascii="Times New Roman" w:hAnsi="Times New Roman" w:cs="Times New Roman"/>
          <w:sz w:val="24"/>
          <w:szCs w:val="24"/>
        </w:rPr>
        <w:t xml:space="preserve"> </w:t>
      </w:r>
      <w:r w:rsidR="00B33789" w:rsidRPr="00774EDB">
        <w:rPr>
          <w:rFonts w:ascii="Times New Roman" w:hAnsi="Times New Roman" w:cs="Times New Roman"/>
          <w:sz w:val="24"/>
          <w:szCs w:val="24"/>
        </w:rPr>
        <w:t>and interfaces</w:t>
      </w:r>
      <w:r w:rsidRPr="00774EDB">
        <w:rPr>
          <w:rFonts w:ascii="Times New Roman" w:hAnsi="Times New Roman" w:cs="Times New Roman"/>
          <w:sz w:val="24"/>
          <w:szCs w:val="24"/>
        </w:rPr>
        <w:t xml:space="preserve">. Fundamentally, all of the layers are software code that manipulates bits of information to form a network </w:t>
      </w:r>
      <w:r w:rsidRPr="00774EDB">
        <w:rPr>
          <w:rFonts w:ascii="Times New Roman" w:hAnsi="Times New Roman" w:cs="Times New Roman"/>
          <w:sz w:val="24"/>
          <w:szCs w:val="24"/>
        </w:rPr>
        <w:lastRenderedPageBreak/>
        <w:t>communications system.</w:t>
      </w:r>
      <w:r w:rsidRPr="00774EDB">
        <w:rPr>
          <w:rStyle w:val="FootnoteReference"/>
          <w:rFonts w:ascii="Times New Roman" w:hAnsi="Times New Roman" w:cs="Times New Roman"/>
          <w:sz w:val="24"/>
          <w:szCs w:val="24"/>
        </w:rPr>
        <w:footnoteReference w:id="122"/>
      </w:r>
      <w:r w:rsidRPr="00774EDB">
        <w:rPr>
          <w:rFonts w:ascii="Times New Roman" w:hAnsi="Times New Roman" w:cs="Times New Roman"/>
          <w:sz w:val="24"/>
          <w:szCs w:val="24"/>
        </w:rPr>
        <w:t xml:space="preserve"> Even the physical layer, the most rigidly fixed, includes software and protocols that define how information travels across physical links.</w:t>
      </w:r>
      <w:r w:rsidRPr="00774EDB">
        <w:rPr>
          <w:rStyle w:val="FootnoteReference"/>
          <w:rFonts w:ascii="Times New Roman" w:hAnsi="Times New Roman" w:cs="Times New Roman"/>
          <w:sz w:val="24"/>
          <w:szCs w:val="24"/>
        </w:rPr>
        <w:footnoteReference w:id="123"/>
      </w:r>
    </w:p>
    <w:p w14:paraId="1DA34D29" w14:textId="7EDAF68C" w:rsidR="00705090" w:rsidRPr="00774EDB" w:rsidRDefault="0070509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While every layer, including the data link and physical layers, is represented by various protocol(s), the internet </w:t>
      </w:r>
      <w:r w:rsidR="001F7414" w:rsidRPr="00774EDB">
        <w:rPr>
          <w:rFonts w:ascii="Times New Roman" w:hAnsi="Times New Roman" w:cs="Times New Roman"/>
          <w:sz w:val="24"/>
          <w:szCs w:val="24"/>
        </w:rPr>
        <w:t xml:space="preserve">(network) </w:t>
      </w:r>
      <w:r w:rsidRPr="00774EDB">
        <w:rPr>
          <w:rFonts w:ascii="Times New Roman" w:hAnsi="Times New Roman" w:cs="Times New Roman"/>
          <w:sz w:val="24"/>
          <w:szCs w:val="24"/>
        </w:rPr>
        <w:t xml:space="preserve">layer is exclusively run by the IP. Physical and data link layers are managed at the core of the network, where the central routers hand over the traffic and transmit the bits within the IP cloud. However, the upper layers </w:t>
      </w:r>
      <w:r w:rsidR="001F7414" w:rsidRPr="00774EDB">
        <w:rPr>
          <w:rFonts w:ascii="Times New Roman" w:hAnsi="Times New Roman" w:cs="Times New Roman"/>
          <w:sz w:val="24"/>
          <w:szCs w:val="24"/>
        </w:rPr>
        <w:t>i.</w:t>
      </w:r>
      <w:r w:rsidRPr="00774EDB">
        <w:rPr>
          <w:rFonts w:ascii="Times New Roman" w:hAnsi="Times New Roman" w:cs="Times New Roman"/>
          <w:sz w:val="24"/>
          <w:szCs w:val="24"/>
        </w:rPr>
        <w:t>e. transport and application layers, are controlled totally at the hosts. Inter-connections and the flow of information amongst the layers are ensured via the interfaces</w:t>
      </w:r>
      <w:r w:rsidR="00E509B0">
        <w:rPr>
          <w:rFonts w:ascii="Times New Roman" w:hAnsi="Times New Roman" w:cs="Times New Roman"/>
          <w:sz w:val="24"/>
          <w:szCs w:val="24"/>
        </w:rPr>
        <w:t>, the so called protocols,</w:t>
      </w:r>
      <w:r w:rsidRPr="00774EDB">
        <w:rPr>
          <w:rFonts w:ascii="Times New Roman" w:hAnsi="Times New Roman" w:cs="Times New Roman"/>
          <w:sz w:val="24"/>
          <w:szCs w:val="24"/>
        </w:rPr>
        <w:t xml:space="preserve"> that serve the interdependence between layers, which do not have to coordinate with each other.</w:t>
      </w:r>
      <w:r w:rsidR="00E509B0">
        <w:rPr>
          <w:rFonts w:ascii="Times New Roman" w:hAnsi="Times New Roman" w:cs="Times New Roman"/>
          <w:sz w:val="24"/>
          <w:szCs w:val="24"/>
        </w:rPr>
        <w:t xml:space="preserve"> For interoperability to be achieved across the layers or simply saying for the internet connectivity, </w:t>
      </w:r>
      <w:r w:rsidR="00C8706A">
        <w:rPr>
          <w:rFonts w:ascii="Times New Roman" w:hAnsi="Times New Roman" w:cs="Times New Roman"/>
          <w:sz w:val="24"/>
          <w:szCs w:val="24"/>
        </w:rPr>
        <w:t xml:space="preserve">the protocols serve as the interfaces to </w:t>
      </w:r>
      <w:r w:rsidR="008463CC">
        <w:rPr>
          <w:rFonts w:ascii="Times New Roman" w:hAnsi="Times New Roman" w:cs="Times New Roman"/>
          <w:sz w:val="24"/>
          <w:szCs w:val="24"/>
        </w:rPr>
        <w:t>let</w:t>
      </w:r>
      <w:r w:rsidR="00C8706A">
        <w:rPr>
          <w:rFonts w:ascii="Times New Roman" w:hAnsi="Times New Roman" w:cs="Times New Roman"/>
          <w:sz w:val="24"/>
          <w:szCs w:val="24"/>
        </w:rPr>
        <w:t xml:space="preserve"> in and across the layers enabling the functionality of the whole system. They enable flows of information across the layers which would otherwise be inhabited and controlled by the potential gatekeepers.</w:t>
      </w:r>
      <w:r w:rsidR="00E509B0">
        <w:rPr>
          <w:rFonts w:ascii="Times New Roman" w:hAnsi="Times New Roman" w:cs="Times New Roman"/>
          <w:sz w:val="24"/>
          <w:szCs w:val="24"/>
        </w:rPr>
        <w:t>.</w:t>
      </w:r>
    </w:p>
    <w:p w14:paraId="04DA7DC6" w14:textId="77777777" w:rsidR="00B71B6F" w:rsidRPr="00774EDB" w:rsidRDefault="00B71B6F" w:rsidP="00A70042">
      <w:pPr>
        <w:pStyle w:val="Heading3"/>
        <w:numPr>
          <w:ilvl w:val="2"/>
          <w:numId w:val="5"/>
        </w:numPr>
        <w:spacing w:before="360"/>
        <w:ind w:left="0" w:firstLine="0"/>
        <w:jc w:val="both"/>
        <w:rPr>
          <w:rFonts w:ascii="Times New Roman" w:hAnsi="Times New Roman" w:cs="Times New Roman"/>
          <w:b/>
          <w:color w:val="auto"/>
        </w:rPr>
      </w:pPr>
      <w:bookmarkStart w:id="170" w:name="_Toc17611360"/>
      <w:bookmarkStart w:id="171" w:name="_Toc17611577"/>
      <w:bookmarkStart w:id="172" w:name="_Toc17611789"/>
      <w:bookmarkStart w:id="173" w:name="_Toc17612003"/>
      <w:bookmarkStart w:id="174" w:name="_Toc17612216"/>
      <w:bookmarkStart w:id="175" w:name="_Toc11400624"/>
      <w:bookmarkStart w:id="176" w:name="_Toc17611361"/>
      <w:bookmarkStart w:id="177" w:name="_Toc53576033"/>
      <w:bookmarkEnd w:id="170"/>
      <w:bookmarkEnd w:id="171"/>
      <w:bookmarkEnd w:id="172"/>
      <w:bookmarkEnd w:id="173"/>
      <w:bookmarkEnd w:id="174"/>
      <w:r w:rsidRPr="00774EDB">
        <w:rPr>
          <w:rFonts w:ascii="Times New Roman" w:hAnsi="Times New Roman" w:cs="Times New Roman"/>
          <w:b/>
          <w:color w:val="auto"/>
        </w:rPr>
        <w:t>Convergence</w:t>
      </w:r>
      <w:bookmarkEnd w:id="175"/>
      <w:bookmarkEnd w:id="176"/>
      <w:bookmarkEnd w:id="177"/>
    </w:p>
    <w:p w14:paraId="25394667" w14:textId="77777777" w:rsidR="00B71B6F" w:rsidRPr="00774EDB" w:rsidRDefault="00B71B6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During the legacy period of earlier decades, voice telephony services used to be, and are still partially being, offered over the circuit-switched analogue networks,</w:t>
      </w:r>
      <w:r w:rsidRPr="00774EDB">
        <w:rPr>
          <w:rStyle w:val="FootnoteAnchor"/>
          <w:rFonts w:ascii="Times New Roman" w:hAnsi="Times New Roman" w:cs="Times New Roman"/>
          <w:sz w:val="24"/>
          <w:szCs w:val="24"/>
        </w:rPr>
        <w:footnoteReference w:id="124"/>
      </w:r>
      <w:r w:rsidRPr="00774EDB">
        <w:rPr>
          <w:rFonts w:ascii="Times New Roman" w:hAnsi="Times New Roman" w:cs="Times New Roman"/>
          <w:sz w:val="24"/>
          <w:szCs w:val="24"/>
        </w:rPr>
        <w:t xml:space="preserve"> while the conventional way to provide internet access services was through cable networks. Around two decades ago, internet access commenced to be offered through PSTN-based dial-up mode, which is an overlay method on top of the telephone networks and </w:t>
      </w:r>
      <w:r w:rsidRPr="00774EDB">
        <w:rPr>
          <w:rFonts w:ascii="Times New Roman" w:hAnsi="Times New Roman" w:cs="Times New Roman"/>
          <w:sz w:val="24"/>
          <w:szCs w:val="24"/>
        </w:rPr>
        <w:lastRenderedPageBreak/>
        <w:t>based on circuit-switch technology. In the cable networks, the single purpose earlier was offering dedicated television, pay TV) services, in rivalry with the free-aerial TV services that were open to everyone. Cable networks were offering TV services to their customers, similar to the terrestrial and satellite networks that were dedicated to broadcasting radio and television signals. Likewise, voice telephony was the primary goal of the legacy PSTN networks that were running through a set of principles, such as Time Division Multiplexing (TDM), which allows the creation of channels within a transmission stream over the telephone lines.</w:t>
      </w:r>
    </w:p>
    <w:p w14:paraId="60CB53D3" w14:textId="77777777" w:rsidR="00B71B6F" w:rsidRPr="00774EDB" w:rsidRDefault="00B71B6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Vertical integration of the telecommunications industry over the course of the 20</w:t>
      </w:r>
      <w:r w:rsidRPr="00774EDB">
        <w:rPr>
          <w:rFonts w:ascii="Times New Roman" w:hAnsi="Times New Roman" w:cs="Times New Roman"/>
          <w:sz w:val="24"/>
          <w:szCs w:val="24"/>
          <w:vertAlign w:val="superscript"/>
        </w:rPr>
        <w:t>th</w:t>
      </w:r>
      <w:r w:rsidRPr="00774EDB">
        <w:rPr>
          <w:rFonts w:ascii="Times New Roman" w:hAnsi="Times New Roman" w:cs="Times New Roman"/>
          <w:sz w:val="24"/>
          <w:szCs w:val="24"/>
        </w:rPr>
        <w:t xml:space="preserve"> century was one of the thrusts behind this single-minded approach. In this structure, traffic was subject to a variety of different rules and pricing regimes because of the legacy business structures and technologies, such as TDM.</w:t>
      </w:r>
      <w:r w:rsidRPr="00774EDB">
        <w:rPr>
          <w:rStyle w:val="FootnoteReference"/>
          <w:rFonts w:ascii="Times New Roman" w:hAnsi="Times New Roman" w:cs="Times New Roman"/>
          <w:sz w:val="24"/>
          <w:szCs w:val="24"/>
        </w:rPr>
        <w:footnoteReference w:id="125"/>
      </w:r>
      <w:r w:rsidRPr="00774EDB">
        <w:rPr>
          <w:rFonts w:ascii="Times New Roman" w:hAnsi="Times New Roman" w:cs="Times New Roman"/>
          <w:sz w:val="24"/>
          <w:szCs w:val="24"/>
        </w:rPr>
        <w:t xml:space="preserve"> As a result, each phone company operated as a “silo” of its own, determining the suite of services it would offer to customers and managing the internal addressing and directory processes as integral to those offerings.</w:t>
      </w:r>
      <w:r w:rsidRPr="00774EDB">
        <w:rPr>
          <w:rStyle w:val="FootnoteReference"/>
          <w:rFonts w:ascii="Times New Roman" w:hAnsi="Times New Roman" w:cs="Times New Roman"/>
          <w:sz w:val="24"/>
          <w:szCs w:val="24"/>
        </w:rPr>
        <w:footnoteReference w:id="126"/>
      </w:r>
      <w:r w:rsidRPr="00774EDB">
        <w:rPr>
          <w:rFonts w:ascii="Times New Roman" w:hAnsi="Times New Roman" w:cs="Times New Roman"/>
          <w:sz w:val="24"/>
          <w:szCs w:val="24"/>
        </w:rPr>
        <w:t xml:space="preserve"> Hence, the model of telecommunications was point-to-point communications on a two-way switched network, with its own technology e.g. TDM based circuit-switch, its own firms, its own services and its own framework. This ‘silo’ model was reflected on in the 1996 US Telecommunications Act, whereby ‘telecommunication services’ are regulated under Title I Act, while Title II is dedicated to regulating the broadcast services, and Title III the cable services. As the decades passed, along with the increasing convergence of networks, services and terminals, this single-minded, application-specific, vertically integrated logic or convention has </w:t>
      </w:r>
      <w:r w:rsidRPr="00774EDB">
        <w:rPr>
          <w:rFonts w:ascii="Times New Roman" w:hAnsi="Times New Roman" w:cs="Times New Roman"/>
          <w:sz w:val="24"/>
          <w:szCs w:val="24"/>
        </w:rPr>
        <w:lastRenderedPageBreak/>
        <w:t>vanished, making the regulatory systems, like the US Telecommunications Act, outdated.</w:t>
      </w:r>
    </w:p>
    <w:p w14:paraId="1E3328BD" w14:textId="77777777" w:rsidR="00B71B6F" w:rsidRPr="00774EDB" w:rsidRDefault="00B71B6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For more than two decades, by means of digitalisation, cable networks are able to provide both voice telephony - globally known as Voice over Internet Protocol (VoIP) - and broadband internet, in addition to TV services. Similarly, it is possible to deliver all data, including TV services, along with voice telephony, over the legacy PSTN networks. Using the same physical medium as the telephone networks, the internet has gone through a radical innovation based on “convergence” through two facts: (i) digitisation and (ii) IP connectivity.</w:t>
      </w:r>
    </w:p>
    <w:p w14:paraId="6604FE8D" w14:textId="77777777" w:rsidR="00B71B6F" w:rsidRPr="00774EDB" w:rsidRDefault="00B71B6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this new era we see various kinds of content e.g. voice, data and video) being transmitted through the internet, within the form of </w:t>
      </w:r>
      <w:r w:rsidRPr="00774EDB">
        <w:rPr>
          <w:rFonts w:ascii="Times New Roman" w:hAnsi="Times New Roman" w:cs="Times New Roman"/>
          <w:i/>
          <w:sz w:val="24"/>
          <w:szCs w:val="24"/>
        </w:rPr>
        <w:t>bits</w:t>
      </w:r>
      <w:r w:rsidRPr="00774EDB">
        <w:rPr>
          <w:rFonts w:ascii="Times New Roman" w:hAnsi="Times New Roman" w:cs="Times New Roman"/>
          <w:sz w:val="24"/>
          <w:szCs w:val="24"/>
        </w:rPr>
        <w:t>, short for “binary digits”, corresponding to an abstract mathematical representation of the two states of the circuits, which are “on” and “off”, for describing anything from the sound of a voice, to a video clip, to a thousand-page document.</w:t>
      </w:r>
      <w:r w:rsidRPr="00774EDB">
        <w:rPr>
          <w:rStyle w:val="FootnoteReference"/>
          <w:rFonts w:ascii="Times New Roman" w:hAnsi="Times New Roman" w:cs="Times New Roman"/>
          <w:sz w:val="24"/>
          <w:szCs w:val="24"/>
        </w:rPr>
        <w:footnoteReference w:id="127"/>
      </w:r>
      <w:r w:rsidRPr="00774EDB">
        <w:rPr>
          <w:rFonts w:ascii="Times New Roman" w:hAnsi="Times New Roman" w:cs="Times New Roman"/>
          <w:sz w:val="24"/>
          <w:szCs w:val="24"/>
        </w:rPr>
        <w:t xml:space="preserve"> While this means digitisation, IP connectivity ensures the so-called binary digits go through the internet architecture, namely internet protocol (IP) suite or layered IP stack, as explained below.</w:t>
      </w:r>
      <w:r w:rsidRPr="00774EDB">
        <w:rPr>
          <w:rStyle w:val="FootnoteReference"/>
          <w:rFonts w:ascii="Times New Roman" w:hAnsi="Times New Roman" w:cs="Times New Roman"/>
          <w:sz w:val="24"/>
          <w:szCs w:val="24"/>
        </w:rPr>
        <w:footnoteReference w:id="128"/>
      </w:r>
      <w:r w:rsidRPr="00774EDB">
        <w:rPr>
          <w:rFonts w:ascii="Times New Roman" w:hAnsi="Times New Roman" w:cs="Times New Roman"/>
          <w:sz w:val="24"/>
          <w:szCs w:val="24"/>
        </w:rPr>
        <w:t xml:space="preserve"> Based on these thrusts, IP convergence not only enables the signal transmission in a compressed and speedy manner, but also builds up an interoperable ecosystem surrounded by the internet.</w:t>
      </w:r>
      <w:r w:rsidRPr="00774EDB">
        <w:rPr>
          <w:rStyle w:val="FootnoteAnchor"/>
          <w:rFonts w:ascii="Times New Roman" w:hAnsi="Times New Roman" w:cs="Times New Roman"/>
          <w:sz w:val="24"/>
          <w:szCs w:val="24"/>
        </w:rPr>
        <w:footnoteReference w:id="129"/>
      </w:r>
      <w:r w:rsidRPr="00774EDB">
        <w:rPr>
          <w:rFonts w:ascii="Times New Roman" w:hAnsi="Times New Roman" w:cs="Times New Roman"/>
          <w:sz w:val="24"/>
          <w:szCs w:val="24"/>
        </w:rPr>
        <w:t xml:space="preserve">  </w:t>
      </w:r>
    </w:p>
    <w:p w14:paraId="0B162E18" w14:textId="6614A069" w:rsidR="00895C7A" w:rsidRPr="00774EDB" w:rsidRDefault="00B71B6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The internet runs on top of the standardised protocols, mainly based on Internet Protocols (IP), which secure interoperability across the globe. As long as these protocols are adopted and implemented, all sorts of digital content can be transmitted over any kind of physical infrastructure, whether wired (cable, copper, fibre) or wireless (mobile, terrestrial, satellite). In this environment, cable can deliver voice and internet services as well as television service; wired telephony providers can deliver voice service and internet service; wireless telephony providers can also deliver internet service, streaming video and other services; and voice service, audio or video broadcasts, streaming video, audio downloads and more services can be delivered over the internet, provided by ISPs – over cable, DSL or mobile technologies or modems.</w:t>
      </w:r>
      <w:r w:rsidRPr="00774EDB">
        <w:rPr>
          <w:rStyle w:val="FootnoteReference"/>
          <w:rFonts w:ascii="Times New Roman" w:hAnsi="Times New Roman" w:cs="Times New Roman"/>
          <w:sz w:val="24"/>
          <w:szCs w:val="24"/>
        </w:rPr>
        <w:footnoteReference w:id="130"/>
      </w:r>
      <w:r w:rsidRPr="00774EDB">
        <w:rPr>
          <w:rFonts w:ascii="Times New Roman" w:hAnsi="Times New Roman" w:cs="Times New Roman"/>
          <w:sz w:val="24"/>
          <w:szCs w:val="24"/>
        </w:rPr>
        <w:t xml:space="preserve"> The convergence, as exemplified above, is truly realised by the virtue of IP which permits multi-level interactions between the networks, terminals and services, as manifested below (see Figures </w:t>
      </w:r>
      <w:r w:rsidR="00171C21">
        <w:rPr>
          <w:rFonts w:ascii="Times New Roman" w:hAnsi="Times New Roman" w:cs="Times New Roman"/>
          <w:sz w:val="24"/>
          <w:szCs w:val="24"/>
        </w:rPr>
        <w:t>3</w:t>
      </w:r>
      <w:r w:rsidR="00171C21"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and </w:t>
      </w:r>
      <w:r w:rsidR="00171C21">
        <w:rPr>
          <w:rFonts w:ascii="Times New Roman" w:hAnsi="Times New Roman" w:cs="Times New Roman"/>
          <w:sz w:val="24"/>
          <w:szCs w:val="24"/>
        </w:rPr>
        <w:t>4</w:t>
      </w:r>
      <w:r w:rsidRPr="00774EDB">
        <w:rPr>
          <w:rFonts w:ascii="Times New Roman" w:hAnsi="Times New Roman" w:cs="Times New Roman"/>
          <w:sz w:val="24"/>
          <w:szCs w:val="24"/>
        </w:rPr>
        <w:t>).</w:t>
      </w:r>
    </w:p>
    <w:p w14:paraId="1481893D" w14:textId="77777777" w:rsidR="00B71B6F" w:rsidRPr="00774EDB" w:rsidRDefault="00B71B6F" w:rsidP="00A70042">
      <w:pPr>
        <w:pStyle w:val="NormalWeb"/>
        <w:spacing w:before="360" w:beforeAutospacing="0" w:after="0" w:afterAutospacing="0" w:line="480" w:lineRule="auto"/>
        <w:jc w:val="both"/>
        <w:rPr>
          <w:b/>
        </w:rPr>
      </w:pPr>
      <w:r w:rsidRPr="00820EF9">
        <w:rPr>
          <w:lang w:eastAsia="en-GB"/>
        </w:rPr>
        <mc:AlternateContent>
          <mc:Choice Requires="wps">
            <w:drawing>
              <wp:anchor distT="0" distB="0" distL="114300" distR="114300" simplePos="0" relativeHeight="251756544" behindDoc="0" locked="0" layoutInCell="1" allowOverlap="1" wp14:anchorId="0D1F33BC" wp14:editId="1602AF0F">
                <wp:simplePos x="0" y="0"/>
                <wp:positionH relativeFrom="column">
                  <wp:posOffset>308610</wp:posOffset>
                </wp:positionH>
                <wp:positionV relativeFrom="paragraph">
                  <wp:posOffset>258445</wp:posOffset>
                </wp:positionV>
                <wp:extent cx="676910" cy="280670"/>
                <wp:effectExtent l="0" t="0" r="8890" b="5080"/>
                <wp:wrapNone/>
                <wp:docPr id="33" name="Text Box 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910" cy="2806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CCF952" w14:textId="77777777" w:rsidR="005C0DC6" w:rsidRDefault="005C0DC6" w:rsidP="00B71B6F">
                            <w:pPr>
                              <w:jc w:val="right"/>
                              <w:rPr>
                                <w:rFonts w:ascii="Times New Roman" w:hAnsi="Times New Roman" w:cs="Times New Roman"/>
                                <w:sz w:val="20"/>
                                <w:szCs w:val="20"/>
                              </w:rPr>
                            </w:pPr>
                            <w:r>
                              <w:rPr>
                                <w:rFonts w:ascii="Times New Roman" w:hAnsi="Times New Roman" w:cs="Times New Roman"/>
                                <w:sz w:val="20"/>
                                <w:szCs w:val="20"/>
                              </w:rPr>
                              <w:t>Service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1F33BC" id="Text Box 33" o:spid="_x0000_s1036" type="#_x0000_t202" alt="&quot;&quot;" style="position:absolute;left:0;text-align:left;margin-left:24.3pt;margin-top:20.35pt;width:53.3pt;height:22.1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" stroked="f">
                <v:textbox>
                  <w:txbxContent>
                    <w:p w14:paraId="01CCF952" w14:textId="77777777" w:rsidR="005C0DC6" w:rsidRDefault="005C0DC6" w:rsidP="00B71B6F">
                      <w:pPr>
                        <w:jc w:val="right"/>
                        <w:rPr>
                          <w:rFonts w:ascii="Times New Roman" w:hAnsi="Times New Roman" w:cs="Times New Roman"/>
                          <w:sz w:val="20"/>
                          <w:szCs w:val="20"/>
                        </w:rPr>
                      </w:pPr>
                      <w:r>
                        <w:rPr>
                          <w:rFonts w:ascii="Times New Roman" w:hAnsi="Times New Roman" w:cs="Times New Roman"/>
                          <w:sz w:val="20"/>
                          <w:szCs w:val="20"/>
                        </w:rPr>
                        <w:t>Service</w:t>
                      </w:r>
                    </w:p>
                  </w:txbxContent>
                </v:textbox>
              </v:shape>
            </w:pict>
          </mc:Fallback>
        </mc:AlternateContent>
      </w:r>
      <w:r w:rsidRPr="00A70042">
        <w:rPr>
          <w:lang w:eastAsia="en-GB"/>
        </w:rPr>
        <mc:AlternateContent>
          <mc:Choice Requires="wps">
            <w:drawing>
              <wp:anchor distT="0" distB="0" distL="114300" distR="114300" simplePos="0" relativeHeight="251757568" behindDoc="0" locked="0" layoutInCell="1" allowOverlap="1" wp14:anchorId="6FF56C90" wp14:editId="0002834F">
                <wp:simplePos x="0" y="0"/>
                <wp:positionH relativeFrom="column">
                  <wp:posOffset>184785</wp:posOffset>
                </wp:positionH>
                <wp:positionV relativeFrom="paragraph">
                  <wp:posOffset>1719580</wp:posOffset>
                </wp:positionV>
                <wp:extent cx="800735" cy="483235"/>
                <wp:effectExtent l="0" t="0" r="0" b="0"/>
                <wp:wrapNone/>
                <wp:docPr id="28" name="Text Box 2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735" cy="483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FE6F8A" w14:textId="77777777" w:rsidR="005C0DC6" w:rsidRDefault="005C0DC6" w:rsidP="00B71B6F">
                            <w:pPr>
                              <w:jc w:val="right"/>
                              <w:rPr>
                                <w:rFonts w:ascii="Times New Roman" w:hAnsi="Times New Roman" w:cs="Times New Roman"/>
                                <w:sz w:val="20"/>
                                <w:szCs w:val="20"/>
                                <w:lang w:val="tr-TR"/>
                              </w:rPr>
                            </w:pPr>
                            <w:r>
                              <w:rPr>
                                <w:rFonts w:ascii="Times New Roman" w:hAnsi="Times New Roman" w:cs="Times New Roman"/>
                                <w:sz w:val="20"/>
                                <w:szCs w:val="20"/>
                                <w:lang w:val="tr-TR"/>
                              </w:rPr>
                              <w:t>Terminal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F56C90" id="Text Box 28" o:spid="_x0000_s1037" type="#_x0000_t202" alt="&quot;&quot;" style="position:absolute;left:0;text-align:left;margin-left:14.55pt;margin-top:135.4pt;width:63.05pt;height:38.0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" stroked="f">
                <v:textbox>
                  <w:txbxContent>
                    <w:p w14:paraId="2FFE6F8A" w14:textId="77777777" w:rsidR="005C0DC6" w:rsidRDefault="005C0DC6" w:rsidP="00B71B6F">
                      <w:pPr>
                        <w:jc w:val="right"/>
                        <w:rPr>
                          <w:rFonts w:ascii="Times New Roman" w:hAnsi="Times New Roman" w:cs="Times New Roman"/>
                          <w:sz w:val="20"/>
                          <w:szCs w:val="20"/>
                          <w:lang w:val="tr-TR"/>
                        </w:rPr>
                      </w:pPr>
                      <w:r>
                        <w:rPr>
                          <w:rFonts w:ascii="Times New Roman" w:hAnsi="Times New Roman" w:cs="Times New Roman"/>
                          <w:sz w:val="20"/>
                          <w:szCs w:val="20"/>
                          <w:lang w:val="tr-TR"/>
                        </w:rPr>
                        <w:t>Terminal</w:t>
                      </w:r>
                    </w:p>
                  </w:txbxContent>
                </v:textbox>
              </v:shape>
            </w:pict>
          </mc:Fallback>
        </mc:AlternateContent>
      </w:r>
      <w:r w:rsidRPr="00A70042">
        <w:rPr>
          <w:lang w:eastAsia="en-GB"/>
        </w:rPr>
        <mc:AlternateContent>
          <mc:Choice Requires="wps">
            <w:drawing>
              <wp:anchor distT="0" distB="0" distL="114300" distR="114300" simplePos="0" relativeHeight="251758592" behindDoc="0" locked="0" layoutInCell="1" allowOverlap="1" wp14:anchorId="408729BF" wp14:editId="7B740B4B">
                <wp:simplePos x="0" y="0"/>
                <wp:positionH relativeFrom="column">
                  <wp:posOffset>2505075</wp:posOffset>
                </wp:positionH>
                <wp:positionV relativeFrom="paragraph">
                  <wp:posOffset>193040</wp:posOffset>
                </wp:positionV>
                <wp:extent cx="1033780" cy="1913255"/>
                <wp:effectExtent l="0" t="0" r="13970" b="10795"/>
                <wp:wrapNone/>
                <wp:docPr id="32" name="Text Box 3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3780" cy="1913255"/>
                        </a:xfrm>
                        <a:prstGeom prst="rect">
                          <a:avLst/>
                        </a:prstGeom>
                        <a:solidFill>
                          <a:schemeClr val="bg1">
                            <a:lumMod val="65000"/>
                            <a:lumOff val="0"/>
                          </a:schemeClr>
                        </a:solidFill>
                        <a:ln w="9525">
                          <a:solidFill>
                            <a:srgbClr val="000000"/>
                          </a:solidFill>
                          <a:miter lim="800000"/>
                          <a:headEnd/>
                          <a:tailEnd/>
                        </a:ln>
                      </wps:spPr>
                      <wps:txbx>
                        <w:txbxContent>
                          <w:p w14:paraId="4605EC71"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Data</w:t>
                            </w:r>
                          </w:p>
                          <w:p w14:paraId="6C4C8BEE" w14:textId="77777777" w:rsidR="005C0DC6" w:rsidRDefault="005C0DC6" w:rsidP="00B71B6F">
                            <w:pPr>
                              <w:spacing w:line="240" w:lineRule="auto"/>
                              <w:jc w:val="center"/>
                              <w:rPr>
                                <w:rFonts w:ascii="Times New Roman" w:hAnsi="Times New Roman" w:cs="Times New Roman"/>
                                <w:sz w:val="20"/>
                                <w:szCs w:val="20"/>
                              </w:rPr>
                            </w:pPr>
                          </w:p>
                          <w:p w14:paraId="4FA12458" w14:textId="77777777" w:rsidR="005C0DC6" w:rsidRDefault="005C0DC6" w:rsidP="00B71B6F">
                            <w:pPr>
                              <w:spacing w:line="240" w:lineRule="auto"/>
                              <w:jc w:val="center"/>
                              <w:rPr>
                                <w:rFonts w:ascii="Times New Roman" w:hAnsi="Times New Roman" w:cs="Times New Roman"/>
                                <w:sz w:val="20"/>
                                <w:szCs w:val="20"/>
                              </w:rPr>
                            </w:pPr>
                          </w:p>
                          <w:p w14:paraId="73FC199C" w14:textId="77777777" w:rsidR="005C0DC6" w:rsidRDefault="005C0DC6" w:rsidP="00B71B6F">
                            <w:pPr>
                              <w:spacing w:line="240" w:lineRule="auto"/>
                              <w:jc w:val="center"/>
                              <w:rPr>
                                <w:rFonts w:ascii="Times New Roman" w:hAnsi="Times New Roman" w:cs="Times New Roman"/>
                                <w:sz w:val="20"/>
                                <w:szCs w:val="20"/>
                              </w:rPr>
                            </w:pPr>
                          </w:p>
                          <w:p w14:paraId="296F671D" w14:textId="77777777" w:rsidR="005C0DC6" w:rsidRDefault="005C0DC6" w:rsidP="00B71B6F">
                            <w:pPr>
                              <w:spacing w:line="240" w:lineRule="auto"/>
                              <w:jc w:val="center"/>
                              <w:rPr>
                                <w:rFonts w:ascii="Times New Roman" w:hAnsi="Times New Roman" w:cs="Times New Roman"/>
                                <w:sz w:val="20"/>
                                <w:szCs w:val="20"/>
                              </w:rPr>
                            </w:pPr>
                          </w:p>
                          <w:p w14:paraId="31D39DAD"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Fixed</w:t>
                            </w:r>
                          </w:p>
                          <w:p w14:paraId="1E54BD08" w14:textId="77777777" w:rsidR="005C0DC6" w:rsidRDefault="005C0DC6" w:rsidP="00B71B6F">
                            <w:pPr>
                              <w:spacing w:line="240" w:lineRule="auto"/>
                              <w:jc w:val="center"/>
                              <w:rPr>
                                <w:rFonts w:ascii="Times New Roman" w:hAnsi="Times New Roman" w:cs="Times New Roman"/>
                                <w:sz w:val="20"/>
                                <w:szCs w:val="20"/>
                              </w:rPr>
                            </w:pPr>
                          </w:p>
                          <w:p w14:paraId="33E4A4D0" w14:textId="77777777" w:rsidR="005C0DC6" w:rsidRDefault="005C0DC6" w:rsidP="00B71B6F">
                            <w:pPr>
                              <w:spacing w:line="240" w:lineRule="auto"/>
                              <w:jc w:val="center"/>
                              <w:rPr>
                                <w:rFonts w:ascii="Times New Roman" w:hAnsi="Times New Roman" w:cs="Times New Roman"/>
                                <w:sz w:val="20"/>
                                <w:szCs w:val="20"/>
                              </w:rPr>
                            </w:pPr>
                          </w:p>
                          <w:p w14:paraId="65938F49" w14:textId="77777777" w:rsidR="005C0DC6" w:rsidRDefault="005C0DC6" w:rsidP="00B71B6F">
                            <w:pPr>
                              <w:spacing w:line="240" w:lineRule="auto"/>
                              <w:jc w:val="center"/>
                              <w:rPr>
                                <w:rFonts w:ascii="Times New Roman" w:hAnsi="Times New Roman" w:cs="Times New Roman"/>
                                <w:sz w:val="20"/>
                                <w:szCs w:val="20"/>
                              </w:rPr>
                            </w:pPr>
                          </w:p>
                          <w:p w14:paraId="68ECC78C" w14:textId="77777777" w:rsidR="005C0DC6" w:rsidRDefault="005C0DC6" w:rsidP="00B71B6F">
                            <w:pPr>
                              <w:spacing w:line="240" w:lineRule="auto"/>
                              <w:jc w:val="center"/>
                              <w:rPr>
                                <w:rFonts w:ascii="Times New Roman" w:hAnsi="Times New Roman" w:cs="Times New Roman"/>
                                <w:sz w:val="20"/>
                                <w:szCs w:val="20"/>
                              </w:rPr>
                            </w:pPr>
                          </w:p>
                          <w:p w14:paraId="5EB03281" w14:textId="77777777" w:rsidR="005C0DC6" w:rsidRDefault="005C0DC6" w:rsidP="00B71B6F">
                            <w:pPr>
                              <w:spacing w:line="240" w:lineRule="auto"/>
                              <w:jc w:val="center"/>
                              <w:rPr>
                                <w:rFonts w:ascii="Times New Roman" w:hAnsi="Times New Roman" w:cs="Times New Roman"/>
                                <w:sz w:val="20"/>
                                <w:szCs w:val="20"/>
                              </w:rPr>
                            </w:pPr>
                          </w:p>
                          <w:p w14:paraId="288E673D"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PC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8729BF" id="Text Box 32" o:spid="_x0000_s1038" type="#_x0000_t202" alt="&quot;&quot;" style="position:absolute;left:0;text-align:left;margin-left:197.25pt;margin-top:15.2pt;width:81.4pt;height:150.6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" fillcolor="#a5a5a5 [2092]">
                <v:textbox>
                  <w:txbxContent>
                    <w:p w14:paraId="4605EC71"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Data</w:t>
                      </w:r>
                    </w:p>
                    <w:p w14:paraId="6C4C8BEE" w14:textId="77777777" w:rsidR="005C0DC6" w:rsidRDefault="005C0DC6" w:rsidP="00B71B6F">
                      <w:pPr>
                        <w:spacing w:line="240" w:lineRule="auto"/>
                        <w:jc w:val="center"/>
                        <w:rPr>
                          <w:rFonts w:ascii="Times New Roman" w:hAnsi="Times New Roman" w:cs="Times New Roman"/>
                          <w:sz w:val="20"/>
                          <w:szCs w:val="20"/>
                        </w:rPr>
                      </w:pPr>
                    </w:p>
                    <w:p w14:paraId="4FA12458" w14:textId="77777777" w:rsidR="005C0DC6" w:rsidRDefault="005C0DC6" w:rsidP="00B71B6F">
                      <w:pPr>
                        <w:spacing w:line="240" w:lineRule="auto"/>
                        <w:jc w:val="center"/>
                        <w:rPr>
                          <w:rFonts w:ascii="Times New Roman" w:hAnsi="Times New Roman" w:cs="Times New Roman"/>
                          <w:sz w:val="20"/>
                          <w:szCs w:val="20"/>
                        </w:rPr>
                      </w:pPr>
                    </w:p>
                    <w:p w14:paraId="73FC199C" w14:textId="77777777" w:rsidR="005C0DC6" w:rsidRDefault="005C0DC6" w:rsidP="00B71B6F">
                      <w:pPr>
                        <w:spacing w:line="240" w:lineRule="auto"/>
                        <w:jc w:val="center"/>
                        <w:rPr>
                          <w:rFonts w:ascii="Times New Roman" w:hAnsi="Times New Roman" w:cs="Times New Roman"/>
                          <w:sz w:val="20"/>
                          <w:szCs w:val="20"/>
                        </w:rPr>
                      </w:pPr>
                    </w:p>
                    <w:p w14:paraId="296F671D" w14:textId="77777777" w:rsidR="005C0DC6" w:rsidRDefault="005C0DC6" w:rsidP="00B71B6F">
                      <w:pPr>
                        <w:spacing w:line="240" w:lineRule="auto"/>
                        <w:jc w:val="center"/>
                        <w:rPr>
                          <w:rFonts w:ascii="Times New Roman" w:hAnsi="Times New Roman" w:cs="Times New Roman"/>
                          <w:sz w:val="20"/>
                          <w:szCs w:val="20"/>
                        </w:rPr>
                      </w:pPr>
                    </w:p>
                    <w:p w14:paraId="31D39DAD"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Fixed</w:t>
                      </w:r>
                    </w:p>
                    <w:p w14:paraId="1E54BD08" w14:textId="77777777" w:rsidR="005C0DC6" w:rsidRDefault="005C0DC6" w:rsidP="00B71B6F">
                      <w:pPr>
                        <w:spacing w:line="240" w:lineRule="auto"/>
                        <w:jc w:val="center"/>
                        <w:rPr>
                          <w:rFonts w:ascii="Times New Roman" w:hAnsi="Times New Roman" w:cs="Times New Roman"/>
                          <w:sz w:val="20"/>
                          <w:szCs w:val="20"/>
                        </w:rPr>
                      </w:pPr>
                    </w:p>
                    <w:p w14:paraId="33E4A4D0" w14:textId="77777777" w:rsidR="005C0DC6" w:rsidRDefault="005C0DC6" w:rsidP="00B71B6F">
                      <w:pPr>
                        <w:spacing w:line="240" w:lineRule="auto"/>
                        <w:jc w:val="center"/>
                        <w:rPr>
                          <w:rFonts w:ascii="Times New Roman" w:hAnsi="Times New Roman" w:cs="Times New Roman"/>
                          <w:sz w:val="20"/>
                          <w:szCs w:val="20"/>
                        </w:rPr>
                      </w:pPr>
                    </w:p>
                    <w:p w14:paraId="65938F49" w14:textId="77777777" w:rsidR="005C0DC6" w:rsidRDefault="005C0DC6" w:rsidP="00B71B6F">
                      <w:pPr>
                        <w:spacing w:line="240" w:lineRule="auto"/>
                        <w:jc w:val="center"/>
                        <w:rPr>
                          <w:rFonts w:ascii="Times New Roman" w:hAnsi="Times New Roman" w:cs="Times New Roman"/>
                          <w:sz w:val="20"/>
                          <w:szCs w:val="20"/>
                        </w:rPr>
                      </w:pPr>
                    </w:p>
                    <w:p w14:paraId="68ECC78C" w14:textId="77777777" w:rsidR="005C0DC6" w:rsidRDefault="005C0DC6" w:rsidP="00B71B6F">
                      <w:pPr>
                        <w:spacing w:line="240" w:lineRule="auto"/>
                        <w:jc w:val="center"/>
                        <w:rPr>
                          <w:rFonts w:ascii="Times New Roman" w:hAnsi="Times New Roman" w:cs="Times New Roman"/>
                          <w:sz w:val="20"/>
                          <w:szCs w:val="20"/>
                        </w:rPr>
                      </w:pPr>
                    </w:p>
                    <w:p w14:paraId="5EB03281" w14:textId="77777777" w:rsidR="005C0DC6" w:rsidRDefault="005C0DC6" w:rsidP="00B71B6F">
                      <w:pPr>
                        <w:spacing w:line="240" w:lineRule="auto"/>
                        <w:jc w:val="center"/>
                        <w:rPr>
                          <w:rFonts w:ascii="Times New Roman" w:hAnsi="Times New Roman" w:cs="Times New Roman"/>
                          <w:sz w:val="20"/>
                          <w:szCs w:val="20"/>
                        </w:rPr>
                      </w:pPr>
                    </w:p>
                    <w:p w14:paraId="288E673D"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PC</w:t>
                      </w:r>
                    </w:p>
                  </w:txbxContent>
                </v:textbox>
              </v:shape>
            </w:pict>
          </mc:Fallback>
        </mc:AlternateContent>
      </w:r>
      <w:r w:rsidRPr="00A70042">
        <w:rPr>
          <w:lang w:eastAsia="en-GB"/>
        </w:rPr>
        <mc:AlternateContent>
          <mc:Choice Requires="wps">
            <w:drawing>
              <wp:anchor distT="0" distB="0" distL="114300" distR="114300" simplePos="0" relativeHeight="251759616" behindDoc="0" locked="0" layoutInCell="1" allowOverlap="1" wp14:anchorId="2A1958E9" wp14:editId="2DE232C9">
                <wp:simplePos x="0" y="0"/>
                <wp:positionH relativeFrom="column">
                  <wp:posOffset>3786505</wp:posOffset>
                </wp:positionH>
                <wp:positionV relativeFrom="paragraph">
                  <wp:posOffset>193040</wp:posOffset>
                </wp:positionV>
                <wp:extent cx="1089660" cy="1913255"/>
                <wp:effectExtent l="0" t="0" r="15240" b="10795"/>
                <wp:wrapNone/>
                <wp:docPr id="31" name="Text Box 3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9660" cy="1913255"/>
                        </a:xfrm>
                        <a:prstGeom prst="rect">
                          <a:avLst/>
                        </a:prstGeom>
                        <a:solidFill>
                          <a:schemeClr val="bg1">
                            <a:lumMod val="65000"/>
                            <a:lumOff val="0"/>
                          </a:schemeClr>
                        </a:solidFill>
                        <a:ln w="9525">
                          <a:solidFill>
                            <a:srgbClr val="000000"/>
                          </a:solidFill>
                          <a:miter lim="800000"/>
                          <a:headEnd/>
                          <a:tailEnd/>
                        </a:ln>
                      </wps:spPr>
                      <wps:txbx>
                        <w:txbxContent>
                          <w:p w14:paraId="08BD54FF"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Broadcasting</w:t>
                            </w:r>
                          </w:p>
                          <w:p w14:paraId="62725E87" w14:textId="77777777" w:rsidR="005C0DC6" w:rsidRDefault="005C0DC6" w:rsidP="00B71B6F">
                            <w:pPr>
                              <w:spacing w:line="240" w:lineRule="auto"/>
                              <w:jc w:val="center"/>
                              <w:rPr>
                                <w:rFonts w:ascii="Times New Roman" w:hAnsi="Times New Roman" w:cs="Times New Roman"/>
                                <w:sz w:val="20"/>
                                <w:szCs w:val="20"/>
                              </w:rPr>
                            </w:pPr>
                          </w:p>
                          <w:p w14:paraId="58A13B1B" w14:textId="77777777" w:rsidR="005C0DC6" w:rsidRDefault="005C0DC6" w:rsidP="00B71B6F">
                            <w:pPr>
                              <w:spacing w:line="240" w:lineRule="auto"/>
                              <w:jc w:val="center"/>
                              <w:rPr>
                                <w:rFonts w:ascii="Times New Roman" w:hAnsi="Times New Roman" w:cs="Times New Roman"/>
                                <w:sz w:val="20"/>
                                <w:szCs w:val="20"/>
                              </w:rPr>
                            </w:pPr>
                          </w:p>
                          <w:p w14:paraId="3C656163" w14:textId="77777777" w:rsidR="005C0DC6" w:rsidRDefault="005C0DC6" w:rsidP="00B71B6F">
                            <w:pPr>
                              <w:spacing w:line="240" w:lineRule="auto"/>
                              <w:jc w:val="center"/>
                              <w:rPr>
                                <w:rFonts w:ascii="Times New Roman" w:hAnsi="Times New Roman" w:cs="Times New Roman"/>
                                <w:sz w:val="20"/>
                                <w:szCs w:val="20"/>
                              </w:rPr>
                            </w:pPr>
                          </w:p>
                          <w:p w14:paraId="1855DFFE" w14:textId="77777777" w:rsidR="005C0DC6" w:rsidRDefault="005C0DC6" w:rsidP="00B71B6F">
                            <w:pPr>
                              <w:spacing w:line="240" w:lineRule="auto"/>
                              <w:jc w:val="center"/>
                              <w:rPr>
                                <w:rFonts w:ascii="Times New Roman" w:hAnsi="Times New Roman" w:cs="Times New Roman"/>
                                <w:sz w:val="20"/>
                                <w:szCs w:val="20"/>
                              </w:rPr>
                            </w:pPr>
                          </w:p>
                          <w:p w14:paraId="317EE2A0"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 xml:space="preserve">Cable </w:t>
                            </w:r>
                          </w:p>
                          <w:p w14:paraId="6BC8D54F"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 xml:space="preserve">Satellite </w:t>
                            </w:r>
                          </w:p>
                          <w:p w14:paraId="12AC38F4"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Telecoms</w:t>
                            </w:r>
                          </w:p>
                          <w:p w14:paraId="7411A8DA" w14:textId="77777777" w:rsidR="005C0DC6" w:rsidRDefault="005C0DC6" w:rsidP="00B71B6F">
                            <w:pPr>
                              <w:spacing w:line="240" w:lineRule="auto"/>
                              <w:jc w:val="center"/>
                              <w:rPr>
                                <w:rFonts w:ascii="Times New Roman" w:hAnsi="Times New Roman" w:cs="Times New Roman"/>
                                <w:sz w:val="20"/>
                                <w:szCs w:val="20"/>
                              </w:rPr>
                            </w:pPr>
                          </w:p>
                          <w:p w14:paraId="6487A695" w14:textId="77777777" w:rsidR="005C0DC6" w:rsidRDefault="005C0DC6" w:rsidP="00B71B6F">
                            <w:pPr>
                              <w:spacing w:line="240" w:lineRule="auto"/>
                              <w:jc w:val="center"/>
                              <w:rPr>
                                <w:rFonts w:ascii="Times New Roman" w:hAnsi="Times New Roman" w:cs="Times New Roman"/>
                                <w:sz w:val="20"/>
                                <w:szCs w:val="20"/>
                              </w:rPr>
                            </w:pPr>
                          </w:p>
                          <w:p w14:paraId="430E97D7" w14:textId="77777777" w:rsidR="005C0DC6" w:rsidRDefault="005C0DC6" w:rsidP="00B71B6F">
                            <w:pPr>
                              <w:spacing w:line="240" w:lineRule="auto"/>
                              <w:jc w:val="center"/>
                              <w:rPr>
                                <w:rFonts w:ascii="Times New Roman" w:hAnsi="Times New Roman" w:cs="Times New Roman"/>
                                <w:sz w:val="20"/>
                                <w:szCs w:val="20"/>
                              </w:rPr>
                            </w:pPr>
                          </w:p>
                          <w:p w14:paraId="21E3FAA9"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Television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1958E9" id="Text Box 31" o:spid="_x0000_s1039" type="#_x0000_t202" alt="&quot;&quot;" style="position:absolute;left:0;text-align:left;margin-left:298.15pt;margin-top:15.2pt;width:85.8pt;height:150.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" fillcolor="#a5a5a5 [2092]">
                <v:textbox>
                  <w:txbxContent>
                    <w:p w14:paraId="08BD54FF"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Broadcasting</w:t>
                      </w:r>
                    </w:p>
                    <w:p w14:paraId="62725E87" w14:textId="77777777" w:rsidR="005C0DC6" w:rsidRDefault="005C0DC6" w:rsidP="00B71B6F">
                      <w:pPr>
                        <w:spacing w:line="240" w:lineRule="auto"/>
                        <w:jc w:val="center"/>
                        <w:rPr>
                          <w:rFonts w:ascii="Times New Roman" w:hAnsi="Times New Roman" w:cs="Times New Roman"/>
                          <w:sz w:val="20"/>
                          <w:szCs w:val="20"/>
                        </w:rPr>
                      </w:pPr>
                    </w:p>
                    <w:p w14:paraId="58A13B1B" w14:textId="77777777" w:rsidR="005C0DC6" w:rsidRDefault="005C0DC6" w:rsidP="00B71B6F">
                      <w:pPr>
                        <w:spacing w:line="240" w:lineRule="auto"/>
                        <w:jc w:val="center"/>
                        <w:rPr>
                          <w:rFonts w:ascii="Times New Roman" w:hAnsi="Times New Roman" w:cs="Times New Roman"/>
                          <w:sz w:val="20"/>
                          <w:szCs w:val="20"/>
                        </w:rPr>
                      </w:pPr>
                    </w:p>
                    <w:p w14:paraId="3C656163" w14:textId="77777777" w:rsidR="005C0DC6" w:rsidRDefault="005C0DC6" w:rsidP="00B71B6F">
                      <w:pPr>
                        <w:spacing w:line="240" w:lineRule="auto"/>
                        <w:jc w:val="center"/>
                        <w:rPr>
                          <w:rFonts w:ascii="Times New Roman" w:hAnsi="Times New Roman" w:cs="Times New Roman"/>
                          <w:sz w:val="20"/>
                          <w:szCs w:val="20"/>
                        </w:rPr>
                      </w:pPr>
                    </w:p>
                    <w:p w14:paraId="1855DFFE" w14:textId="77777777" w:rsidR="005C0DC6" w:rsidRDefault="005C0DC6" w:rsidP="00B71B6F">
                      <w:pPr>
                        <w:spacing w:line="240" w:lineRule="auto"/>
                        <w:jc w:val="center"/>
                        <w:rPr>
                          <w:rFonts w:ascii="Times New Roman" w:hAnsi="Times New Roman" w:cs="Times New Roman"/>
                          <w:sz w:val="20"/>
                          <w:szCs w:val="20"/>
                        </w:rPr>
                      </w:pPr>
                    </w:p>
                    <w:p w14:paraId="317EE2A0"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 xml:space="preserve">Cable </w:t>
                      </w:r>
                    </w:p>
                    <w:p w14:paraId="6BC8D54F"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 xml:space="preserve">Satellite </w:t>
                      </w:r>
                    </w:p>
                    <w:p w14:paraId="12AC38F4"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Telecoms</w:t>
                      </w:r>
                    </w:p>
                    <w:p w14:paraId="7411A8DA" w14:textId="77777777" w:rsidR="005C0DC6" w:rsidRDefault="005C0DC6" w:rsidP="00B71B6F">
                      <w:pPr>
                        <w:spacing w:line="240" w:lineRule="auto"/>
                        <w:jc w:val="center"/>
                        <w:rPr>
                          <w:rFonts w:ascii="Times New Roman" w:hAnsi="Times New Roman" w:cs="Times New Roman"/>
                          <w:sz w:val="20"/>
                          <w:szCs w:val="20"/>
                        </w:rPr>
                      </w:pPr>
                    </w:p>
                    <w:p w14:paraId="6487A695" w14:textId="77777777" w:rsidR="005C0DC6" w:rsidRDefault="005C0DC6" w:rsidP="00B71B6F">
                      <w:pPr>
                        <w:spacing w:line="240" w:lineRule="auto"/>
                        <w:jc w:val="center"/>
                        <w:rPr>
                          <w:rFonts w:ascii="Times New Roman" w:hAnsi="Times New Roman" w:cs="Times New Roman"/>
                          <w:sz w:val="20"/>
                          <w:szCs w:val="20"/>
                        </w:rPr>
                      </w:pPr>
                    </w:p>
                    <w:p w14:paraId="430E97D7" w14:textId="77777777" w:rsidR="005C0DC6" w:rsidRDefault="005C0DC6" w:rsidP="00B71B6F">
                      <w:pPr>
                        <w:spacing w:line="240" w:lineRule="auto"/>
                        <w:jc w:val="center"/>
                        <w:rPr>
                          <w:rFonts w:ascii="Times New Roman" w:hAnsi="Times New Roman" w:cs="Times New Roman"/>
                          <w:sz w:val="20"/>
                          <w:szCs w:val="20"/>
                        </w:rPr>
                      </w:pPr>
                    </w:p>
                    <w:p w14:paraId="21E3FAA9"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Television</w:t>
                      </w:r>
                    </w:p>
                  </w:txbxContent>
                </v:textbox>
              </v:shape>
            </w:pict>
          </mc:Fallback>
        </mc:AlternateContent>
      </w:r>
      <w:r w:rsidRPr="00A70042">
        <w:rPr>
          <w:lang w:eastAsia="en-GB"/>
        </w:rPr>
        <mc:AlternateContent>
          <mc:Choice Requires="wps">
            <w:drawing>
              <wp:anchor distT="0" distB="0" distL="114300" distR="114300" simplePos="0" relativeHeight="251760640" behindDoc="0" locked="0" layoutInCell="1" allowOverlap="1" wp14:anchorId="7B143962" wp14:editId="59C31811">
                <wp:simplePos x="0" y="0"/>
                <wp:positionH relativeFrom="column">
                  <wp:posOffset>1229995</wp:posOffset>
                </wp:positionH>
                <wp:positionV relativeFrom="paragraph">
                  <wp:posOffset>193040</wp:posOffset>
                </wp:positionV>
                <wp:extent cx="1009650" cy="1913255"/>
                <wp:effectExtent l="0" t="0" r="19050" b="10795"/>
                <wp:wrapNone/>
                <wp:docPr id="30" name="Text Box 3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913255"/>
                        </a:xfrm>
                        <a:prstGeom prst="rect">
                          <a:avLst/>
                        </a:prstGeom>
                        <a:solidFill>
                          <a:schemeClr val="bg1">
                            <a:lumMod val="65000"/>
                            <a:lumOff val="0"/>
                          </a:schemeClr>
                        </a:solidFill>
                        <a:ln w="9525">
                          <a:solidFill>
                            <a:srgbClr val="000000"/>
                          </a:solidFill>
                          <a:miter lim="800000"/>
                          <a:headEnd/>
                          <a:tailEnd/>
                        </a:ln>
                      </wps:spPr>
                      <wps:txbx>
                        <w:txbxContent>
                          <w:p w14:paraId="0E9BF2E0"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Voice telephony</w:t>
                            </w:r>
                          </w:p>
                          <w:p w14:paraId="0FC14170" w14:textId="77777777" w:rsidR="005C0DC6" w:rsidRDefault="005C0DC6" w:rsidP="00B71B6F">
                            <w:pPr>
                              <w:spacing w:line="240" w:lineRule="auto"/>
                              <w:jc w:val="center"/>
                              <w:rPr>
                                <w:rFonts w:ascii="Times New Roman" w:hAnsi="Times New Roman" w:cs="Times New Roman"/>
                                <w:sz w:val="20"/>
                                <w:szCs w:val="20"/>
                              </w:rPr>
                            </w:pPr>
                          </w:p>
                          <w:p w14:paraId="03F812CC" w14:textId="77777777" w:rsidR="005C0DC6" w:rsidRDefault="005C0DC6" w:rsidP="00B71B6F">
                            <w:pPr>
                              <w:spacing w:line="240" w:lineRule="auto"/>
                              <w:jc w:val="center"/>
                              <w:rPr>
                                <w:rFonts w:ascii="Times New Roman" w:hAnsi="Times New Roman" w:cs="Times New Roman"/>
                                <w:sz w:val="20"/>
                                <w:szCs w:val="20"/>
                              </w:rPr>
                            </w:pPr>
                          </w:p>
                          <w:p w14:paraId="5EF5DCEC" w14:textId="77777777" w:rsidR="005C0DC6" w:rsidRDefault="005C0DC6" w:rsidP="00B71B6F">
                            <w:pPr>
                              <w:spacing w:line="240" w:lineRule="auto"/>
                              <w:jc w:val="center"/>
                              <w:rPr>
                                <w:rFonts w:ascii="Times New Roman" w:hAnsi="Times New Roman" w:cs="Times New Roman"/>
                                <w:sz w:val="20"/>
                                <w:szCs w:val="20"/>
                              </w:rPr>
                            </w:pPr>
                          </w:p>
                          <w:p w14:paraId="19292826"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Fixed</w:t>
                            </w:r>
                          </w:p>
                          <w:p w14:paraId="5AF5E82F"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Mobile</w:t>
                            </w:r>
                          </w:p>
                          <w:p w14:paraId="26D93DA0" w14:textId="77777777" w:rsidR="005C0DC6" w:rsidRDefault="005C0DC6" w:rsidP="00B71B6F">
                            <w:pPr>
                              <w:spacing w:line="240" w:lineRule="auto"/>
                              <w:jc w:val="center"/>
                              <w:rPr>
                                <w:rFonts w:ascii="Times New Roman" w:hAnsi="Times New Roman" w:cs="Times New Roman"/>
                                <w:sz w:val="20"/>
                                <w:szCs w:val="20"/>
                              </w:rPr>
                            </w:pPr>
                          </w:p>
                          <w:p w14:paraId="771DE1D6" w14:textId="77777777" w:rsidR="005C0DC6" w:rsidRDefault="005C0DC6" w:rsidP="00B71B6F">
                            <w:pPr>
                              <w:spacing w:line="240" w:lineRule="auto"/>
                              <w:jc w:val="center"/>
                              <w:rPr>
                                <w:rFonts w:ascii="Times New Roman" w:hAnsi="Times New Roman" w:cs="Times New Roman"/>
                                <w:sz w:val="20"/>
                                <w:szCs w:val="20"/>
                              </w:rPr>
                            </w:pPr>
                          </w:p>
                          <w:p w14:paraId="506DD038" w14:textId="77777777" w:rsidR="005C0DC6" w:rsidRDefault="005C0DC6" w:rsidP="00B71B6F">
                            <w:pPr>
                              <w:spacing w:line="240" w:lineRule="auto"/>
                              <w:jc w:val="center"/>
                              <w:rPr>
                                <w:rFonts w:ascii="Times New Roman" w:hAnsi="Times New Roman" w:cs="Times New Roman"/>
                                <w:sz w:val="20"/>
                                <w:szCs w:val="20"/>
                              </w:rPr>
                            </w:pPr>
                          </w:p>
                          <w:p w14:paraId="1FD9C964"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Telephone/</w:t>
                            </w:r>
                          </w:p>
                          <w:p w14:paraId="010FBB07"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Handset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143962" id="Text Box 30" o:spid="_x0000_s1040" type="#_x0000_t202" alt="&quot;&quot;" style="position:absolute;left:0;text-align:left;margin-left:96.85pt;margin-top:15.2pt;width:79.5pt;height:150.6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" fillcolor="#a5a5a5 [2092]">
                <v:textbox>
                  <w:txbxContent>
                    <w:p w14:paraId="0E9BF2E0"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Voice telephony</w:t>
                      </w:r>
                    </w:p>
                    <w:p w14:paraId="0FC14170" w14:textId="77777777" w:rsidR="005C0DC6" w:rsidRDefault="005C0DC6" w:rsidP="00B71B6F">
                      <w:pPr>
                        <w:spacing w:line="240" w:lineRule="auto"/>
                        <w:jc w:val="center"/>
                        <w:rPr>
                          <w:rFonts w:ascii="Times New Roman" w:hAnsi="Times New Roman" w:cs="Times New Roman"/>
                          <w:sz w:val="20"/>
                          <w:szCs w:val="20"/>
                        </w:rPr>
                      </w:pPr>
                    </w:p>
                    <w:p w14:paraId="03F812CC" w14:textId="77777777" w:rsidR="005C0DC6" w:rsidRDefault="005C0DC6" w:rsidP="00B71B6F">
                      <w:pPr>
                        <w:spacing w:line="240" w:lineRule="auto"/>
                        <w:jc w:val="center"/>
                        <w:rPr>
                          <w:rFonts w:ascii="Times New Roman" w:hAnsi="Times New Roman" w:cs="Times New Roman"/>
                          <w:sz w:val="20"/>
                          <w:szCs w:val="20"/>
                        </w:rPr>
                      </w:pPr>
                    </w:p>
                    <w:p w14:paraId="5EF5DCEC" w14:textId="77777777" w:rsidR="005C0DC6" w:rsidRDefault="005C0DC6" w:rsidP="00B71B6F">
                      <w:pPr>
                        <w:spacing w:line="240" w:lineRule="auto"/>
                        <w:jc w:val="center"/>
                        <w:rPr>
                          <w:rFonts w:ascii="Times New Roman" w:hAnsi="Times New Roman" w:cs="Times New Roman"/>
                          <w:sz w:val="20"/>
                          <w:szCs w:val="20"/>
                        </w:rPr>
                      </w:pPr>
                    </w:p>
                    <w:p w14:paraId="19292826"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Fixed</w:t>
                      </w:r>
                    </w:p>
                    <w:p w14:paraId="5AF5E82F"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Mobile</w:t>
                      </w:r>
                    </w:p>
                    <w:p w14:paraId="26D93DA0" w14:textId="77777777" w:rsidR="005C0DC6" w:rsidRDefault="005C0DC6" w:rsidP="00B71B6F">
                      <w:pPr>
                        <w:spacing w:line="240" w:lineRule="auto"/>
                        <w:jc w:val="center"/>
                        <w:rPr>
                          <w:rFonts w:ascii="Times New Roman" w:hAnsi="Times New Roman" w:cs="Times New Roman"/>
                          <w:sz w:val="20"/>
                          <w:szCs w:val="20"/>
                        </w:rPr>
                      </w:pPr>
                    </w:p>
                    <w:p w14:paraId="771DE1D6" w14:textId="77777777" w:rsidR="005C0DC6" w:rsidRDefault="005C0DC6" w:rsidP="00B71B6F">
                      <w:pPr>
                        <w:spacing w:line="240" w:lineRule="auto"/>
                        <w:jc w:val="center"/>
                        <w:rPr>
                          <w:rFonts w:ascii="Times New Roman" w:hAnsi="Times New Roman" w:cs="Times New Roman"/>
                          <w:sz w:val="20"/>
                          <w:szCs w:val="20"/>
                        </w:rPr>
                      </w:pPr>
                    </w:p>
                    <w:p w14:paraId="506DD038" w14:textId="77777777" w:rsidR="005C0DC6" w:rsidRDefault="005C0DC6" w:rsidP="00B71B6F">
                      <w:pPr>
                        <w:spacing w:line="240" w:lineRule="auto"/>
                        <w:jc w:val="center"/>
                        <w:rPr>
                          <w:rFonts w:ascii="Times New Roman" w:hAnsi="Times New Roman" w:cs="Times New Roman"/>
                          <w:sz w:val="20"/>
                          <w:szCs w:val="20"/>
                        </w:rPr>
                      </w:pPr>
                    </w:p>
                    <w:p w14:paraId="1FD9C964"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Telephone/</w:t>
                      </w:r>
                    </w:p>
                    <w:p w14:paraId="010FBB07" w14:textId="77777777" w:rsidR="005C0DC6" w:rsidRDefault="005C0DC6" w:rsidP="00B71B6F">
                      <w:pPr>
                        <w:spacing w:line="240" w:lineRule="auto"/>
                        <w:jc w:val="center"/>
                        <w:rPr>
                          <w:rFonts w:ascii="Times New Roman" w:hAnsi="Times New Roman" w:cs="Times New Roman"/>
                          <w:sz w:val="20"/>
                          <w:szCs w:val="20"/>
                        </w:rPr>
                      </w:pPr>
                      <w:r>
                        <w:rPr>
                          <w:rFonts w:ascii="Times New Roman" w:hAnsi="Times New Roman" w:cs="Times New Roman"/>
                          <w:sz w:val="20"/>
                          <w:szCs w:val="20"/>
                        </w:rPr>
                        <w:t>Handset</w:t>
                      </w:r>
                    </w:p>
                  </w:txbxContent>
                </v:textbox>
              </v:shape>
            </w:pict>
          </mc:Fallback>
        </mc:AlternateContent>
      </w:r>
      <w:r w:rsidRPr="00A70042">
        <w:rPr>
          <w:lang w:eastAsia="en-GB"/>
        </w:rPr>
        <mc:AlternateContent>
          <mc:Choice Requires="wps">
            <w:drawing>
              <wp:anchor distT="0" distB="0" distL="114300" distR="114300" simplePos="0" relativeHeight="251761664" behindDoc="0" locked="0" layoutInCell="1" allowOverlap="1" wp14:anchorId="28C81D8C" wp14:editId="2C7F3638">
                <wp:simplePos x="0" y="0"/>
                <wp:positionH relativeFrom="column">
                  <wp:posOffset>308610</wp:posOffset>
                </wp:positionH>
                <wp:positionV relativeFrom="paragraph">
                  <wp:posOffset>979805</wp:posOffset>
                </wp:positionV>
                <wp:extent cx="676910" cy="381635"/>
                <wp:effectExtent l="0" t="0" r="8890" b="0"/>
                <wp:wrapNone/>
                <wp:docPr id="29" name="Text Box 2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910" cy="3816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2BED8A" w14:textId="77777777" w:rsidR="005C0DC6" w:rsidRDefault="005C0DC6" w:rsidP="00B71B6F">
                            <w:pPr>
                              <w:jc w:val="right"/>
                              <w:rPr>
                                <w:rFonts w:ascii="Times New Roman" w:hAnsi="Times New Roman" w:cs="Times New Roman"/>
                                <w:sz w:val="20"/>
                                <w:szCs w:val="20"/>
                                <w:lang w:val="tr-TR"/>
                              </w:rPr>
                            </w:pPr>
                            <w:r>
                              <w:rPr>
                                <w:rFonts w:ascii="Times New Roman" w:hAnsi="Times New Roman" w:cs="Times New Roman"/>
                                <w:sz w:val="20"/>
                                <w:szCs w:val="20"/>
                                <w:lang w:val="tr-TR"/>
                              </w:rPr>
                              <w:t>Network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C81D8C" id="Text Box 29" o:spid="_x0000_s1041" type="#_x0000_t202" alt="&quot;&quot;" style="position:absolute;left:0;text-align:left;margin-left:24.3pt;margin-top:77.15pt;width:53.3pt;height:30.0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" stroked="f">
                <v:textbox>
                  <w:txbxContent>
                    <w:p w14:paraId="702BED8A" w14:textId="77777777" w:rsidR="005C0DC6" w:rsidRDefault="005C0DC6" w:rsidP="00B71B6F">
                      <w:pPr>
                        <w:jc w:val="right"/>
                        <w:rPr>
                          <w:rFonts w:ascii="Times New Roman" w:hAnsi="Times New Roman" w:cs="Times New Roman"/>
                          <w:sz w:val="20"/>
                          <w:szCs w:val="20"/>
                          <w:lang w:val="tr-TR"/>
                        </w:rPr>
                      </w:pPr>
                      <w:r>
                        <w:rPr>
                          <w:rFonts w:ascii="Times New Roman" w:hAnsi="Times New Roman" w:cs="Times New Roman"/>
                          <w:sz w:val="20"/>
                          <w:szCs w:val="20"/>
                          <w:lang w:val="tr-TR"/>
                        </w:rPr>
                        <w:t>Network</w:t>
                      </w:r>
                    </w:p>
                  </w:txbxContent>
                </v:textbox>
              </v:shape>
            </w:pict>
          </mc:Fallback>
        </mc:AlternateContent>
      </w:r>
    </w:p>
    <w:p w14:paraId="487AAF98" w14:textId="77777777" w:rsidR="00B71B6F" w:rsidRPr="00774EDB" w:rsidRDefault="00B71B6F" w:rsidP="00A70042">
      <w:pPr>
        <w:pStyle w:val="NormalWeb"/>
        <w:spacing w:before="360" w:beforeAutospacing="0" w:after="0" w:afterAutospacing="0" w:line="480" w:lineRule="auto"/>
        <w:jc w:val="both"/>
        <w:rPr>
          <w:b/>
        </w:rPr>
      </w:pPr>
    </w:p>
    <w:p w14:paraId="25AF2A2B" w14:textId="77777777" w:rsidR="00B71B6F" w:rsidRPr="00774EDB" w:rsidRDefault="00B71B6F" w:rsidP="00A70042">
      <w:pPr>
        <w:pStyle w:val="NormalWeb"/>
        <w:spacing w:before="360" w:beforeAutospacing="0" w:after="0" w:afterAutospacing="0" w:line="480" w:lineRule="auto"/>
        <w:jc w:val="both"/>
        <w:rPr>
          <w:b/>
        </w:rPr>
      </w:pPr>
    </w:p>
    <w:p w14:paraId="4BF18631" w14:textId="77777777" w:rsidR="00B71B6F" w:rsidRPr="00774EDB" w:rsidRDefault="00B71B6F" w:rsidP="00A70042">
      <w:pPr>
        <w:pStyle w:val="NormalWeb"/>
        <w:spacing w:before="360" w:beforeAutospacing="0" w:after="0" w:afterAutospacing="0" w:line="480" w:lineRule="auto"/>
        <w:jc w:val="both"/>
        <w:rPr>
          <w:b/>
        </w:rPr>
      </w:pPr>
    </w:p>
    <w:p w14:paraId="7788AAF4" w14:textId="735FD0B9" w:rsidR="009577B0" w:rsidRDefault="009577B0" w:rsidP="00A70042">
      <w:pPr>
        <w:pStyle w:val="BodyText2"/>
        <w:spacing w:before="360" w:line="480" w:lineRule="auto"/>
        <w:outlineLvl w:val="7"/>
        <w:rPr>
          <w:b w:val="0"/>
          <w:bCs w:val="0"/>
          <w:szCs w:val="24"/>
        </w:rPr>
      </w:pPr>
      <w:bookmarkStart w:id="178" w:name="_Toc17612466"/>
      <w:r w:rsidRPr="00A70042">
        <w:rPr>
          <w:szCs w:val="24"/>
        </w:rPr>
        <w:t>Figure 3:</w:t>
      </w:r>
      <w:r w:rsidRPr="00DC50DA">
        <w:rPr>
          <w:b w:val="0"/>
          <w:bCs w:val="0"/>
          <w:szCs w:val="24"/>
        </w:rPr>
        <w:t xml:space="preserve"> Before convergence</w:t>
      </w:r>
      <w:bookmarkEnd w:id="178"/>
    </w:p>
    <w:p w14:paraId="3DD7509A" w14:textId="77777777" w:rsidR="00105AE3" w:rsidRDefault="00105AE3" w:rsidP="00A70042">
      <w:pPr>
        <w:pStyle w:val="BodyText2"/>
        <w:spacing w:before="360" w:line="480" w:lineRule="auto"/>
        <w:outlineLvl w:val="7"/>
        <w:rPr>
          <w:b w:val="0"/>
          <w:bCs w:val="0"/>
          <w:szCs w:val="24"/>
        </w:rPr>
      </w:pPr>
    </w:p>
    <w:p w14:paraId="79CB16A4" w14:textId="77777777" w:rsidR="009577B0" w:rsidRPr="00DC50DA" w:rsidRDefault="009577B0" w:rsidP="009577B0">
      <w:pPr>
        <w:pStyle w:val="BodyText2"/>
        <w:spacing w:before="360" w:line="480" w:lineRule="auto"/>
        <w:rPr>
          <w:b w:val="0"/>
          <w:bCs w:val="0"/>
          <w:szCs w:val="24"/>
        </w:rPr>
      </w:pPr>
    </w:p>
    <w:p w14:paraId="3D533953" w14:textId="2CD68C57" w:rsidR="00B71B6F" w:rsidRPr="00774EDB" w:rsidRDefault="00B71B6F" w:rsidP="00A70042">
      <w:pPr>
        <w:pStyle w:val="BodyText2"/>
        <w:spacing w:before="360" w:line="480" w:lineRule="auto"/>
        <w:rPr>
          <w:szCs w:val="24"/>
        </w:rPr>
      </w:pPr>
      <w:r w:rsidRPr="00820EF9">
        <w:rPr>
          <w:noProof/>
          <w:szCs w:val="24"/>
          <w:lang w:eastAsia="en-GB"/>
        </w:rPr>
        <mc:AlternateContent>
          <mc:Choice Requires="wps">
            <w:drawing>
              <wp:anchor distT="0" distB="0" distL="114300" distR="114300" simplePos="0" relativeHeight="251762688" behindDoc="0" locked="0" layoutInCell="1" allowOverlap="1" wp14:anchorId="5E3E328E" wp14:editId="274FC75B">
                <wp:simplePos x="0" y="0"/>
                <wp:positionH relativeFrom="column">
                  <wp:posOffset>243205</wp:posOffset>
                </wp:positionH>
                <wp:positionV relativeFrom="paragraph">
                  <wp:posOffset>44450</wp:posOffset>
                </wp:positionV>
                <wp:extent cx="676910" cy="309880"/>
                <wp:effectExtent l="0" t="0" r="8890" b="0"/>
                <wp:wrapNone/>
                <wp:docPr id="27" name="Text Box 2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910" cy="309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836CB8" w14:textId="77777777" w:rsidR="005C0DC6" w:rsidRDefault="005C0DC6" w:rsidP="00B71B6F">
                            <w:pPr>
                              <w:jc w:val="right"/>
                              <w:rPr>
                                <w:rFonts w:ascii="Times New Roman" w:hAnsi="Times New Roman" w:cs="Times New Roman"/>
                                <w:sz w:val="20"/>
                                <w:szCs w:val="20"/>
                              </w:rPr>
                            </w:pPr>
                            <w:r>
                              <w:rPr>
                                <w:rFonts w:ascii="Times New Roman" w:hAnsi="Times New Roman" w:cs="Times New Roman"/>
                                <w:sz w:val="20"/>
                                <w:szCs w:val="20"/>
                              </w:rPr>
                              <w:t>Service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E328E" id="Text Box 27" o:spid="_x0000_s1042" type="#_x0000_t202" alt="&quot;&quot;" style="position:absolute;left:0;text-align:left;margin-left:19.15pt;margin-top:3.5pt;width:53.3pt;height:24.4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" stroked="f">
                <v:textbox>
                  <w:txbxContent>
                    <w:p w14:paraId="48836CB8" w14:textId="77777777" w:rsidR="005C0DC6" w:rsidRDefault="005C0DC6" w:rsidP="00B71B6F">
                      <w:pPr>
                        <w:jc w:val="right"/>
                        <w:rPr>
                          <w:rFonts w:ascii="Times New Roman" w:hAnsi="Times New Roman" w:cs="Times New Roman"/>
                          <w:sz w:val="20"/>
                          <w:szCs w:val="20"/>
                        </w:rPr>
                      </w:pPr>
                      <w:r>
                        <w:rPr>
                          <w:rFonts w:ascii="Times New Roman" w:hAnsi="Times New Roman" w:cs="Times New Roman"/>
                          <w:sz w:val="20"/>
                          <w:szCs w:val="20"/>
                        </w:rPr>
                        <w:t>Service</w:t>
                      </w:r>
                    </w:p>
                  </w:txbxContent>
                </v:textbox>
              </v:shape>
            </w:pict>
          </mc:Fallback>
        </mc:AlternateContent>
      </w:r>
      <w:r w:rsidRPr="00A70042">
        <w:rPr>
          <w:noProof/>
          <w:szCs w:val="24"/>
          <w:lang w:eastAsia="en-GB"/>
        </w:rPr>
        <mc:AlternateContent>
          <mc:Choice Requires="wps">
            <w:drawing>
              <wp:anchor distT="0" distB="0" distL="114300" distR="114300" simplePos="0" relativeHeight="251763712" behindDoc="0" locked="0" layoutInCell="1" allowOverlap="1" wp14:anchorId="42A09E4F" wp14:editId="3F7CC117">
                <wp:simplePos x="0" y="0"/>
                <wp:positionH relativeFrom="column">
                  <wp:posOffset>243205</wp:posOffset>
                </wp:positionH>
                <wp:positionV relativeFrom="paragraph">
                  <wp:posOffset>923925</wp:posOffset>
                </wp:positionV>
                <wp:extent cx="761365" cy="350520"/>
                <wp:effectExtent l="0" t="0" r="635" b="0"/>
                <wp:wrapNone/>
                <wp:docPr id="17" name="Text Box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1365" cy="350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9F4C36" w14:textId="77777777" w:rsidR="005C0DC6" w:rsidRDefault="005C0DC6" w:rsidP="00B71B6F">
                            <w:pPr>
                              <w:jc w:val="center"/>
                              <w:rPr>
                                <w:rFonts w:ascii="Times New Roman" w:hAnsi="Times New Roman" w:cs="Times New Roman"/>
                                <w:sz w:val="20"/>
                                <w:szCs w:val="20"/>
                                <w:lang w:val="tr-TR"/>
                              </w:rPr>
                            </w:pPr>
                            <w:r>
                              <w:rPr>
                                <w:rFonts w:ascii="Times New Roman" w:hAnsi="Times New Roman" w:cs="Times New Roman"/>
                                <w:sz w:val="20"/>
                                <w:szCs w:val="20"/>
                                <w:lang w:val="tr-TR"/>
                              </w:rPr>
                              <w:t>Network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A09E4F" id="Text Box 17" o:spid="_x0000_s1043" type="#_x0000_t202" alt="&quot;&quot;" style="position:absolute;left:0;text-align:left;margin-left:19.15pt;margin-top:72.75pt;width:59.95pt;height:27.6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" stroked="f">
                <v:textbox>
                  <w:txbxContent>
                    <w:p w14:paraId="009F4C36" w14:textId="77777777" w:rsidR="005C0DC6" w:rsidRDefault="005C0DC6" w:rsidP="00B71B6F">
                      <w:pPr>
                        <w:jc w:val="center"/>
                        <w:rPr>
                          <w:rFonts w:ascii="Times New Roman" w:hAnsi="Times New Roman" w:cs="Times New Roman"/>
                          <w:sz w:val="20"/>
                          <w:szCs w:val="20"/>
                          <w:lang w:val="tr-TR"/>
                        </w:rPr>
                      </w:pPr>
                      <w:r>
                        <w:rPr>
                          <w:rFonts w:ascii="Times New Roman" w:hAnsi="Times New Roman" w:cs="Times New Roman"/>
                          <w:sz w:val="20"/>
                          <w:szCs w:val="20"/>
                          <w:lang w:val="tr-TR"/>
                        </w:rPr>
                        <w:t>Network</w:t>
                      </w:r>
                    </w:p>
                  </w:txbxContent>
                </v:textbox>
              </v:shape>
            </w:pict>
          </mc:Fallback>
        </mc:AlternateContent>
      </w:r>
      <w:r w:rsidRPr="00A70042">
        <w:rPr>
          <w:noProof/>
          <w:szCs w:val="24"/>
          <w:lang w:eastAsia="en-GB"/>
        </w:rPr>
        <mc:AlternateContent>
          <mc:Choice Requires="wps">
            <w:drawing>
              <wp:anchor distT="0" distB="0" distL="114300" distR="114300" simplePos="0" relativeHeight="251764736" behindDoc="0" locked="0" layoutInCell="1" allowOverlap="1" wp14:anchorId="62CDAB62" wp14:editId="2419D7B9">
                <wp:simplePos x="0" y="0"/>
                <wp:positionH relativeFrom="column">
                  <wp:posOffset>1221740</wp:posOffset>
                </wp:positionH>
                <wp:positionV relativeFrom="paragraph">
                  <wp:posOffset>8255</wp:posOffset>
                </wp:positionV>
                <wp:extent cx="1009650" cy="1913255"/>
                <wp:effectExtent l="0" t="0" r="19050" b="10795"/>
                <wp:wrapNone/>
                <wp:docPr id="24" name="Text Box 2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1913255"/>
                        </a:xfrm>
                        <a:prstGeom prst="rect">
                          <a:avLst/>
                        </a:prstGeom>
                        <a:solidFill>
                          <a:schemeClr val="bg1">
                            <a:lumMod val="65000"/>
                            <a:lumOff val="0"/>
                          </a:schemeClr>
                        </a:solidFill>
                        <a:ln w="9525">
                          <a:solidFill>
                            <a:srgbClr val="000000"/>
                          </a:solidFill>
                          <a:miter lim="800000"/>
                          <a:headEnd/>
                          <a:tailEnd/>
                        </a:ln>
                      </wps:spPr>
                      <wps:txbx>
                        <w:txbxContent>
                          <w:p w14:paraId="5256A7C1" w14:textId="77777777" w:rsidR="005C0DC6" w:rsidRDefault="005C0DC6" w:rsidP="00B71B6F">
                            <w:pPr>
                              <w:spacing w:line="240" w:lineRule="auto"/>
                              <w:rPr>
                                <w:rFonts w:ascii="Times New Roman" w:hAnsi="Times New Roman" w:cs="Times New Roman"/>
                                <w:sz w:val="19"/>
                                <w:szCs w:val="19"/>
                              </w:rPr>
                            </w:pPr>
                            <w:r>
                              <w:rPr>
                                <w:rFonts w:ascii="Times New Roman" w:hAnsi="Times New Roman" w:cs="Times New Roman"/>
                                <w:sz w:val="19"/>
                                <w:szCs w:val="19"/>
                              </w:rPr>
                              <w:t>Voice telephony</w:t>
                            </w:r>
                          </w:p>
                          <w:p w14:paraId="616E85C8" w14:textId="77777777" w:rsidR="005C0DC6" w:rsidRDefault="005C0DC6" w:rsidP="00B71B6F">
                            <w:pPr>
                              <w:spacing w:line="240" w:lineRule="auto"/>
                              <w:jc w:val="center"/>
                              <w:rPr>
                                <w:rFonts w:ascii="Times New Roman" w:hAnsi="Times New Roman" w:cs="Times New Roman"/>
                                <w:sz w:val="20"/>
                                <w:szCs w:val="20"/>
                              </w:rPr>
                            </w:pPr>
                          </w:p>
                          <w:p w14:paraId="680F2E5C" w14:textId="77777777" w:rsidR="005C0DC6" w:rsidRDefault="005C0DC6" w:rsidP="00B71B6F">
                            <w:pPr>
                              <w:spacing w:line="240" w:lineRule="auto"/>
                              <w:jc w:val="center"/>
                              <w:rPr>
                                <w:rFonts w:ascii="Times New Roman" w:hAnsi="Times New Roman" w:cs="Times New Roman"/>
                                <w:sz w:val="20"/>
                                <w:szCs w:val="20"/>
                              </w:rPr>
                            </w:pPr>
                          </w:p>
                          <w:p w14:paraId="29725E0F" w14:textId="77777777" w:rsidR="005C0DC6" w:rsidRDefault="005C0DC6" w:rsidP="00B71B6F">
                            <w:pPr>
                              <w:spacing w:line="240" w:lineRule="auto"/>
                              <w:jc w:val="center"/>
                              <w:rPr>
                                <w:rFonts w:ascii="Times New Roman" w:hAnsi="Times New Roman" w:cs="Times New Roman"/>
                                <w:sz w:val="20"/>
                                <w:szCs w:val="20"/>
                              </w:rPr>
                            </w:pPr>
                          </w:p>
                          <w:p w14:paraId="238F28BD" w14:textId="77777777" w:rsidR="005C0DC6" w:rsidRDefault="005C0DC6" w:rsidP="00B71B6F">
                            <w:pPr>
                              <w:spacing w:line="240" w:lineRule="auto"/>
                              <w:jc w:val="center"/>
                              <w:rPr>
                                <w:rFonts w:ascii="Times New Roman" w:hAnsi="Times New Roman" w:cs="Times New Roman"/>
                                <w:sz w:val="20"/>
                                <w:szCs w:val="20"/>
                              </w:rPr>
                            </w:pPr>
                          </w:p>
                          <w:p w14:paraId="461A927B" w14:textId="77777777" w:rsidR="005C0DC6" w:rsidRDefault="005C0DC6" w:rsidP="00B71B6F">
                            <w:pPr>
                              <w:spacing w:line="240" w:lineRule="auto"/>
                              <w:jc w:val="center"/>
                              <w:rPr>
                                <w:rFonts w:ascii="Times New Roman" w:hAnsi="Times New Roman" w:cs="Times New Roman"/>
                                <w:sz w:val="20"/>
                                <w:szCs w:val="20"/>
                              </w:rPr>
                            </w:pPr>
                          </w:p>
                          <w:p w14:paraId="04725EE4" w14:textId="77777777" w:rsidR="005C0DC6" w:rsidRDefault="005C0DC6" w:rsidP="00B71B6F">
                            <w:pPr>
                              <w:spacing w:line="240" w:lineRule="auto"/>
                              <w:jc w:val="center"/>
                              <w:rPr>
                                <w:rFonts w:ascii="Times New Roman" w:hAnsi="Times New Roman" w:cs="Times New Roman"/>
                                <w:sz w:val="20"/>
                                <w:szCs w:val="20"/>
                              </w:rPr>
                            </w:pPr>
                          </w:p>
                          <w:p w14:paraId="32AEFB04" w14:textId="77777777" w:rsidR="005C0DC6" w:rsidRDefault="005C0DC6" w:rsidP="00B71B6F">
                            <w:pPr>
                              <w:spacing w:line="240" w:lineRule="auto"/>
                              <w:jc w:val="center"/>
                              <w:rPr>
                                <w:rFonts w:ascii="Times New Roman" w:hAnsi="Times New Roman" w:cs="Times New Roman"/>
                                <w:sz w:val="20"/>
                                <w:szCs w:val="20"/>
                              </w:rPr>
                            </w:pPr>
                          </w:p>
                          <w:p w14:paraId="7DE0860A" w14:textId="77777777" w:rsidR="005C0DC6" w:rsidRDefault="005C0DC6" w:rsidP="00B71B6F">
                            <w:pPr>
                              <w:spacing w:line="240" w:lineRule="auto"/>
                              <w:jc w:val="center"/>
                              <w:rPr>
                                <w:rFonts w:ascii="Times New Roman" w:hAnsi="Times New Roman" w:cs="Times New Roman"/>
                                <w:sz w:val="20"/>
                                <w:szCs w:val="20"/>
                              </w:rPr>
                            </w:pPr>
                          </w:p>
                          <w:p w14:paraId="298339AD" w14:textId="77777777" w:rsidR="005C0DC6" w:rsidRDefault="005C0DC6" w:rsidP="00B71B6F">
                            <w:pPr>
                              <w:spacing w:line="240" w:lineRule="auto"/>
                              <w:jc w:val="center"/>
                              <w:rPr>
                                <w:rFonts w:ascii="Times New Roman" w:hAnsi="Times New Roman" w:cs="Times New Roman"/>
                                <w:sz w:val="20"/>
                                <w:szCs w:val="20"/>
                              </w:rPr>
                            </w:pPr>
                          </w:p>
                          <w:p w14:paraId="2A48680F" w14:textId="77777777" w:rsidR="005C0DC6" w:rsidRDefault="005C0DC6" w:rsidP="00B71B6F">
                            <w:pPr>
                              <w:spacing w:before="120" w:line="240" w:lineRule="auto"/>
                              <w:rPr>
                                <w:rFonts w:ascii="Times New Roman" w:hAnsi="Times New Roman" w:cs="Times New Roman"/>
                                <w:sz w:val="19"/>
                                <w:szCs w:val="19"/>
                              </w:rPr>
                            </w:pPr>
                            <w:r>
                              <w:rPr>
                                <w:rFonts w:ascii="Times New Roman" w:hAnsi="Times New Roman" w:cs="Times New Roman"/>
                                <w:sz w:val="19"/>
                                <w:szCs w:val="19"/>
                              </w:rPr>
                              <w:t xml:space="preserve">   Telephone/</w:t>
                            </w:r>
                          </w:p>
                          <w:p w14:paraId="36CCC27E" w14:textId="77777777" w:rsidR="005C0DC6" w:rsidRDefault="005C0DC6" w:rsidP="00B71B6F">
                            <w:pPr>
                              <w:spacing w:line="240" w:lineRule="auto"/>
                              <w:rPr>
                                <w:rFonts w:ascii="Times New Roman" w:hAnsi="Times New Roman" w:cs="Times New Roman"/>
                                <w:sz w:val="19"/>
                                <w:szCs w:val="19"/>
                              </w:rPr>
                            </w:pPr>
                            <w:r>
                              <w:rPr>
                                <w:rFonts w:ascii="Times New Roman" w:hAnsi="Times New Roman" w:cs="Times New Roman"/>
                                <w:sz w:val="19"/>
                                <w:szCs w:val="19"/>
                              </w:rPr>
                              <w:t xml:space="preserve">   Handset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CDAB62" id="Text Box 24" o:spid="_x0000_s1044" type="#_x0000_t202" alt="&quot;&quot;" style="position:absolute;left:0;text-align:left;margin-left:96.2pt;margin-top:.65pt;width:79.5pt;height:150.6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" fillcolor="#a5a5a5 [2092]">
                <v:textbox>
                  <w:txbxContent>
                    <w:p w14:paraId="5256A7C1" w14:textId="77777777" w:rsidR="005C0DC6" w:rsidRDefault="005C0DC6" w:rsidP="00B71B6F">
                      <w:pPr>
                        <w:spacing w:line="240" w:lineRule="auto"/>
                        <w:rPr>
                          <w:rFonts w:ascii="Times New Roman" w:hAnsi="Times New Roman" w:cs="Times New Roman"/>
                          <w:sz w:val="19"/>
                          <w:szCs w:val="19"/>
                        </w:rPr>
                      </w:pPr>
                      <w:r>
                        <w:rPr>
                          <w:rFonts w:ascii="Times New Roman" w:hAnsi="Times New Roman" w:cs="Times New Roman"/>
                          <w:sz w:val="19"/>
                          <w:szCs w:val="19"/>
                        </w:rPr>
                        <w:t>Voice telephony</w:t>
                      </w:r>
                    </w:p>
                    <w:p w14:paraId="616E85C8" w14:textId="77777777" w:rsidR="005C0DC6" w:rsidRDefault="005C0DC6" w:rsidP="00B71B6F">
                      <w:pPr>
                        <w:spacing w:line="240" w:lineRule="auto"/>
                        <w:jc w:val="center"/>
                        <w:rPr>
                          <w:rFonts w:ascii="Times New Roman" w:hAnsi="Times New Roman" w:cs="Times New Roman"/>
                          <w:sz w:val="20"/>
                          <w:szCs w:val="20"/>
                        </w:rPr>
                      </w:pPr>
                    </w:p>
                    <w:p w14:paraId="680F2E5C" w14:textId="77777777" w:rsidR="005C0DC6" w:rsidRDefault="005C0DC6" w:rsidP="00B71B6F">
                      <w:pPr>
                        <w:spacing w:line="240" w:lineRule="auto"/>
                        <w:jc w:val="center"/>
                        <w:rPr>
                          <w:rFonts w:ascii="Times New Roman" w:hAnsi="Times New Roman" w:cs="Times New Roman"/>
                          <w:sz w:val="20"/>
                          <w:szCs w:val="20"/>
                        </w:rPr>
                      </w:pPr>
                    </w:p>
                    <w:p w14:paraId="29725E0F" w14:textId="77777777" w:rsidR="005C0DC6" w:rsidRDefault="005C0DC6" w:rsidP="00B71B6F">
                      <w:pPr>
                        <w:spacing w:line="240" w:lineRule="auto"/>
                        <w:jc w:val="center"/>
                        <w:rPr>
                          <w:rFonts w:ascii="Times New Roman" w:hAnsi="Times New Roman" w:cs="Times New Roman"/>
                          <w:sz w:val="20"/>
                          <w:szCs w:val="20"/>
                        </w:rPr>
                      </w:pPr>
                    </w:p>
                    <w:p w14:paraId="238F28BD" w14:textId="77777777" w:rsidR="005C0DC6" w:rsidRDefault="005C0DC6" w:rsidP="00B71B6F">
                      <w:pPr>
                        <w:spacing w:line="240" w:lineRule="auto"/>
                        <w:jc w:val="center"/>
                        <w:rPr>
                          <w:rFonts w:ascii="Times New Roman" w:hAnsi="Times New Roman" w:cs="Times New Roman"/>
                          <w:sz w:val="20"/>
                          <w:szCs w:val="20"/>
                        </w:rPr>
                      </w:pPr>
                    </w:p>
                    <w:p w14:paraId="461A927B" w14:textId="77777777" w:rsidR="005C0DC6" w:rsidRDefault="005C0DC6" w:rsidP="00B71B6F">
                      <w:pPr>
                        <w:spacing w:line="240" w:lineRule="auto"/>
                        <w:jc w:val="center"/>
                        <w:rPr>
                          <w:rFonts w:ascii="Times New Roman" w:hAnsi="Times New Roman" w:cs="Times New Roman"/>
                          <w:sz w:val="20"/>
                          <w:szCs w:val="20"/>
                        </w:rPr>
                      </w:pPr>
                    </w:p>
                    <w:p w14:paraId="04725EE4" w14:textId="77777777" w:rsidR="005C0DC6" w:rsidRDefault="005C0DC6" w:rsidP="00B71B6F">
                      <w:pPr>
                        <w:spacing w:line="240" w:lineRule="auto"/>
                        <w:jc w:val="center"/>
                        <w:rPr>
                          <w:rFonts w:ascii="Times New Roman" w:hAnsi="Times New Roman" w:cs="Times New Roman"/>
                          <w:sz w:val="20"/>
                          <w:szCs w:val="20"/>
                        </w:rPr>
                      </w:pPr>
                    </w:p>
                    <w:p w14:paraId="32AEFB04" w14:textId="77777777" w:rsidR="005C0DC6" w:rsidRDefault="005C0DC6" w:rsidP="00B71B6F">
                      <w:pPr>
                        <w:spacing w:line="240" w:lineRule="auto"/>
                        <w:jc w:val="center"/>
                        <w:rPr>
                          <w:rFonts w:ascii="Times New Roman" w:hAnsi="Times New Roman" w:cs="Times New Roman"/>
                          <w:sz w:val="20"/>
                          <w:szCs w:val="20"/>
                        </w:rPr>
                      </w:pPr>
                    </w:p>
                    <w:p w14:paraId="7DE0860A" w14:textId="77777777" w:rsidR="005C0DC6" w:rsidRDefault="005C0DC6" w:rsidP="00B71B6F">
                      <w:pPr>
                        <w:spacing w:line="240" w:lineRule="auto"/>
                        <w:jc w:val="center"/>
                        <w:rPr>
                          <w:rFonts w:ascii="Times New Roman" w:hAnsi="Times New Roman" w:cs="Times New Roman"/>
                          <w:sz w:val="20"/>
                          <w:szCs w:val="20"/>
                        </w:rPr>
                      </w:pPr>
                    </w:p>
                    <w:p w14:paraId="298339AD" w14:textId="77777777" w:rsidR="005C0DC6" w:rsidRDefault="005C0DC6" w:rsidP="00B71B6F">
                      <w:pPr>
                        <w:spacing w:line="240" w:lineRule="auto"/>
                        <w:jc w:val="center"/>
                        <w:rPr>
                          <w:rFonts w:ascii="Times New Roman" w:hAnsi="Times New Roman" w:cs="Times New Roman"/>
                          <w:sz w:val="20"/>
                          <w:szCs w:val="20"/>
                        </w:rPr>
                      </w:pPr>
                    </w:p>
                    <w:p w14:paraId="2A48680F" w14:textId="77777777" w:rsidR="005C0DC6" w:rsidRDefault="005C0DC6" w:rsidP="00B71B6F">
                      <w:pPr>
                        <w:spacing w:before="120" w:line="240" w:lineRule="auto"/>
                        <w:rPr>
                          <w:rFonts w:ascii="Times New Roman" w:hAnsi="Times New Roman" w:cs="Times New Roman"/>
                          <w:sz w:val="19"/>
                          <w:szCs w:val="19"/>
                        </w:rPr>
                      </w:pPr>
                      <w:r>
                        <w:rPr>
                          <w:rFonts w:ascii="Times New Roman" w:hAnsi="Times New Roman" w:cs="Times New Roman"/>
                          <w:sz w:val="19"/>
                          <w:szCs w:val="19"/>
                        </w:rPr>
                        <w:t xml:space="preserve">   Telephone/</w:t>
                      </w:r>
                    </w:p>
                    <w:p w14:paraId="36CCC27E" w14:textId="77777777" w:rsidR="005C0DC6" w:rsidRDefault="005C0DC6" w:rsidP="00B71B6F">
                      <w:pPr>
                        <w:spacing w:line="240" w:lineRule="auto"/>
                        <w:rPr>
                          <w:rFonts w:ascii="Times New Roman" w:hAnsi="Times New Roman" w:cs="Times New Roman"/>
                          <w:sz w:val="19"/>
                          <w:szCs w:val="19"/>
                        </w:rPr>
                      </w:pPr>
                      <w:r>
                        <w:rPr>
                          <w:rFonts w:ascii="Times New Roman" w:hAnsi="Times New Roman" w:cs="Times New Roman"/>
                          <w:sz w:val="19"/>
                          <w:szCs w:val="19"/>
                        </w:rPr>
                        <w:t xml:space="preserve">   Handset</w:t>
                      </w:r>
                    </w:p>
                  </w:txbxContent>
                </v:textbox>
              </v:shape>
            </w:pict>
          </mc:Fallback>
        </mc:AlternateContent>
      </w:r>
      <w:r w:rsidRPr="00A70042">
        <w:rPr>
          <w:noProof/>
          <w:szCs w:val="24"/>
          <w:lang w:eastAsia="en-GB"/>
        </w:rPr>
        <mc:AlternateContent>
          <mc:Choice Requires="wps">
            <w:drawing>
              <wp:anchor distT="0" distB="0" distL="114300" distR="114300" simplePos="0" relativeHeight="251765760" behindDoc="0" locked="0" layoutInCell="1" allowOverlap="1" wp14:anchorId="0BB89702" wp14:editId="0E75ABF4">
                <wp:simplePos x="0" y="0"/>
                <wp:positionH relativeFrom="column">
                  <wp:posOffset>2494915</wp:posOffset>
                </wp:positionH>
                <wp:positionV relativeFrom="paragraph">
                  <wp:posOffset>8255</wp:posOffset>
                </wp:positionV>
                <wp:extent cx="1033780" cy="1913255"/>
                <wp:effectExtent l="0" t="0" r="13970" b="10795"/>
                <wp:wrapNone/>
                <wp:docPr id="26" name="Text Box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3780" cy="1913255"/>
                        </a:xfrm>
                        <a:prstGeom prst="rect">
                          <a:avLst/>
                        </a:prstGeom>
                        <a:solidFill>
                          <a:schemeClr val="bg1">
                            <a:lumMod val="65000"/>
                            <a:lumOff val="0"/>
                          </a:schemeClr>
                        </a:solidFill>
                        <a:ln w="9525">
                          <a:solidFill>
                            <a:srgbClr val="000000"/>
                          </a:solidFill>
                          <a:miter lim="800000"/>
                          <a:headEnd/>
                          <a:tailEnd/>
                        </a:ln>
                      </wps:spPr>
                      <wps:txbx>
                        <w:txbxContent>
                          <w:p w14:paraId="1C2F10EA" w14:textId="77777777" w:rsidR="005C0DC6" w:rsidRDefault="005C0DC6" w:rsidP="00B71B6F">
                            <w:pPr>
                              <w:spacing w:line="240" w:lineRule="auto"/>
                              <w:jc w:val="center"/>
                              <w:rPr>
                                <w:rFonts w:ascii="Times New Roman" w:hAnsi="Times New Roman" w:cs="Times New Roman"/>
                                <w:sz w:val="19"/>
                                <w:szCs w:val="19"/>
                              </w:rPr>
                            </w:pPr>
                            <w:r>
                              <w:rPr>
                                <w:rFonts w:ascii="Times New Roman" w:hAnsi="Times New Roman" w:cs="Times New Roman"/>
                                <w:sz w:val="19"/>
                                <w:szCs w:val="19"/>
                              </w:rPr>
                              <w:t>Data</w:t>
                            </w:r>
                          </w:p>
                          <w:p w14:paraId="54A8AEB5" w14:textId="77777777" w:rsidR="005C0DC6" w:rsidRDefault="005C0DC6" w:rsidP="00B71B6F">
                            <w:pPr>
                              <w:spacing w:line="240" w:lineRule="auto"/>
                              <w:jc w:val="center"/>
                              <w:rPr>
                                <w:rFonts w:ascii="Times New Roman" w:hAnsi="Times New Roman" w:cs="Times New Roman"/>
                                <w:sz w:val="20"/>
                                <w:szCs w:val="20"/>
                              </w:rPr>
                            </w:pPr>
                          </w:p>
                          <w:p w14:paraId="66433D74" w14:textId="77777777" w:rsidR="005C0DC6" w:rsidRDefault="005C0DC6" w:rsidP="00B71B6F">
                            <w:pPr>
                              <w:spacing w:line="240" w:lineRule="auto"/>
                              <w:jc w:val="center"/>
                              <w:rPr>
                                <w:rFonts w:ascii="Times New Roman" w:hAnsi="Times New Roman" w:cs="Times New Roman"/>
                                <w:sz w:val="20"/>
                                <w:szCs w:val="20"/>
                              </w:rPr>
                            </w:pPr>
                          </w:p>
                          <w:p w14:paraId="3C9973F7" w14:textId="77777777" w:rsidR="005C0DC6" w:rsidRDefault="005C0DC6" w:rsidP="00B71B6F">
                            <w:pPr>
                              <w:spacing w:line="240" w:lineRule="auto"/>
                              <w:jc w:val="center"/>
                              <w:rPr>
                                <w:rFonts w:ascii="Times New Roman" w:hAnsi="Times New Roman" w:cs="Times New Roman"/>
                                <w:sz w:val="20"/>
                                <w:szCs w:val="20"/>
                              </w:rPr>
                            </w:pPr>
                          </w:p>
                          <w:p w14:paraId="6602A8FD" w14:textId="77777777" w:rsidR="005C0DC6" w:rsidRDefault="005C0DC6" w:rsidP="00B71B6F">
                            <w:pPr>
                              <w:spacing w:line="240" w:lineRule="auto"/>
                              <w:jc w:val="center"/>
                              <w:rPr>
                                <w:rFonts w:ascii="Times New Roman" w:hAnsi="Times New Roman" w:cs="Times New Roman"/>
                                <w:sz w:val="20"/>
                                <w:szCs w:val="20"/>
                              </w:rPr>
                            </w:pPr>
                          </w:p>
                          <w:p w14:paraId="0F19DF16" w14:textId="77777777" w:rsidR="005C0DC6" w:rsidRDefault="005C0DC6" w:rsidP="00B71B6F">
                            <w:pPr>
                              <w:spacing w:line="240" w:lineRule="auto"/>
                              <w:jc w:val="center"/>
                              <w:rPr>
                                <w:rFonts w:ascii="Times New Roman" w:hAnsi="Times New Roman" w:cs="Times New Roman"/>
                                <w:sz w:val="20"/>
                                <w:szCs w:val="20"/>
                              </w:rPr>
                            </w:pPr>
                          </w:p>
                          <w:p w14:paraId="6E8FF50E" w14:textId="77777777" w:rsidR="005C0DC6" w:rsidRDefault="005C0DC6" w:rsidP="00B71B6F">
                            <w:pPr>
                              <w:spacing w:line="240" w:lineRule="auto"/>
                              <w:jc w:val="center"/>
                              <w:rPr>
                                <w:rFonts w:ascii="Times New Roman" w:hAnsi="Times New Roman" w:cs="Times New Roman"/>
                                <w:sz w:val="20"/>
                                <w:szCs w:val="20"/>
                              </w:rPr>
                            </w:pPr>
                          </w:p>
                          <w:p w14:paraId="23B8FE6B" w14:textId="77777777" w:rsidR="005C0DC6" w:rsidRDefault="005C0DC6" w:rsidP="00B71B6F">
                            <w:pPr>
                              <w:spacing w:line="240" w:lineRule="auto"/>
                              <w:jc w:val="center"/>
                              <w:rPr>
                                <w:rFonts w:ascii="Times New Roman" w:hAnsi="Times New Roman" w:cs="Times New Roman"/>
                                <w:sz w:val="20"/>
                                <w:szCs w:val="20"/>
                              </w:rPr>
                            </w:pPr>
                          </w:p>
                          <w:p w14:paraId="0B050ABE" w14:textId="77777777" w:rsidR="005C0DC6" w:rsidRDefault="005C0DC6" w:rsidP="00B71B6F">
                            <w:pPr>
                              <w:spacing w:line="240" w:lineRule="auto"/>
                              <w:jc w:val="center"/>
                              <w:rPr>
                                <w:rFonts w:ascii="Times New Roman" w:hAnsi="Times New Roman" w:cs="Times New Roman"/>
                                <w:sz w:val="20"/>
                                <w:szCs w:val="20"/>
                              </w:rPr>
                            </w:pPr>
                          </w:p>
                          <w:p w14:paraId="5B79D385" w14:textId="77777777" w:rsidR="005C0DC6" w:rsidRDefault="005C0DC6" w:rsidP="00B71B6F">
                            <w:pPr>
                              <w:spacing w:line="240" w:lineRule="auto"/>
                              <w:jc w:val="center"/>
                              <w:rPr>
                                <w:rFonts w:ascii="Times New Roman" w:hAnsi="Times New Roman" w:cs="Times New Roman"/>
                                <w:sz w:val="20"/>
                                <w:szCs w:val="20"/>
                              </w:rPr>
                            </w:pPr>
                          </w:p>
                          <w:p w14:paraId="6BB46D81" w14:textId="77777777" w:rsidR="005C0DC6" w:rsidRDefault="005C0DC6" w:rsidP="00B71B6F">
                            <w:pPr>
                              <w:spacing w:line="240" w:lineRule="auto"/>
                              <w:jc w:val="center"/>
                              <w:rPr>
                                <w:rFonts w:ascii="Times New Roman" w:hAnsi="Times New Roman" w:cs="Times New Roman"/>
                                <w:sz w:val="20"/>
                                <w:szCs w:val="20"/>
                              </w:rPr>
                            </w:pPr>
                          </w:p>
                          <w:p w14:paraId="03D9E60D" w14:textId="77777777" w:rsidR="005C0DC6" w:rsidRDefault="005C0DC6" w:rsidP="00B71B6F">
                            <w:pPr>
                              <w:spacing w:line="240" w:lineRule="auto"/>
                              <w:jc w:val="center"/>
                              <w:rPr>
                                <w:rFonts w:ascii="Times New Roman" w:hAnsi="Times New Roman" w:cs="Times New Roman"/>
                                <w:sz w:val="19"/>
                                <w:szCs w:val="19"/>
                              </w:rPr>
                            </w:pPr>
                            <w:r>
                              <w:rPr>
                                <w:rFonts w:ascii="Times New Roman" w:hAnsi="Times New Roman" w:cs="Times New Roman"/>
                                <w:sz w:val="19"/>
                                <w:szCs w:val="19"/>
                              </w:rPr>
                              <w:t>PC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B89702" id="Text Box 26" o:spid="_x0000_s1045" type="#_x0000_t202" alt="&quot;&quot;" style="position:absolute;left:0;text-align:left;margin-left:196.45pt;margin-top:.65pt;width:81.4pt;height:150.6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" fillcolor="#a5a5a5 [2092]">
                <v:textbox>
                  <w:txbxContent>
                    <w:p w14:paraId="1C2F10EA" w14:textId="77777777" w:rsidR="005C0DC6" w:rsidRDefault="005C0DC6" w:rsidP="00B71B6F">
                      <w:pPr>
                        <w:spacing w:line="240" w:lineRule="auto"/>
                        <w:jc w:val="center"/>
                        <w:rPr>
                          <w:rFonts w:ascii="Times New Roman" w:hAnsi="Times New Roman" w:cs="Times New Roman"/>
                          <w:sz w:val="19"/>
                          <w:szCs w:val="19"/>
                        </w:rPr>
                      </w:pPr>
                      <w:r>
                        <w:rPr>
                          <w:rFonts w:ascii="Times New Roman" w:hAnsi="Times New Roman" w:cs="Times New Roman"/>
                          <w:sz w:val="19"/>
                          <w:szCs w:val="19"/>
                        </w:rPr>
                        <w:t>Data</w:t>
                      </w:r>
                    </w:p>
                    <w:p w14:paraId="54A8AEB5" w14:textId="77777777" w:rsidR="005C0DC6" w:rsidRDefault="005C0DC6" w:rsidP="00B71B6F">
                      <w:pPr>
                        <w:spacing w:line="240" w:lineRule="auto"/>
                        <w:jc w:val="center"/>
                        <w:rPr>
                          <w:rFonts w:ascii="Times New Roman" w:hAnsi="Times New Roman" w:cs="Times New Roman"/>
                          <w:sz w:val="20"/>
                          <w:szCs w:val="20"/>
                        </w:rPr>
                      </w:pPr>
                    </w:p>
                    <w:p w14:paraId="66433D74" w14:textId="77777777" w:rsidR="005C0DC6" w:rsidRDefault="005C0DC6" w:rsidP="00B71B6F">
                      <w:pPr>
                        <w:spacing w:line="240" w:lineRule="auto"/>
                        <w:jc w:val="center"/>
                        <w:rPr>
                          <w:rFonts w:ascii="Times New Roman" w:hAnsi="Times New Roman" w:cs="Times New Roman"/>
                          <w:sz w:val="20"/>
                          <w:szCs w:val="20"/>
                        </w:rPr>
                      </w:pPr>
                    </w:p>
                    <w:p w14:paraId="3C9973F7" w14:textId="77777777" w:rsidR="005C0DC6" w:rsidRDefault="005C0DC6" w:rsidP="00B71B6F">
                      <w:pPr>
                        <w:spacing w:line="240" w:lineRule="auto"/>
                        <w:jc w:val="center"/>
                        <w:rPr>
                          <w:rFonts w:ascii="Times New Roman" w:hAnsi="Times New Roman" w:cs="Times New Roman"/>
                          <w:sz w:val="20"/>
                          <w:szCs w:val="20"/>
                        </w:rPr>
                      </w:pPr>
                    </w:p>
                    <w:p w14:paraId="6602A8FD" w14:textId="77777777" w:rsidR="005C0DC6" w:rsidRDefault="005C0DC6" w:rsidP="00B71B6F">
                      <w:pPr>
                        <w:spacing w:line="240" w:lineRule="auto"/>
                        <w:jc w:val="center"/>
                        <w:rPr>
                          <w:rFonts w:ascii="Times New Roman" w:hAnsi="Times New Roman" w:cs="Times New Roman"/>
                          <w:sz w:val="20"/>
                          <w:szCs w:val="20"/>
                        </w:rPr>
                      </w:pPr>
                    </w:p>
                    <w:p w14:paraId="0F19DF16" w14:textId="77777777" w:rsidR="005C0DC6" w:rsidRDefault="005C0DC6" w:rsidP="00B71B6F">
                      <w:pPr>
                        <w:spacing w:line="240" w:lineRule="auto"/>
                        <w:jc w:val="center"/>
                        <w:rPr>
                          <w:rFonts w:ascii="Times New Roman" w:hAnsi="Times New Roman" w:cs="Times New Roman"/>
                          <w:sz w:val="20"/>
                          <w:szCs w:val="20"/>
                        </w:rPr>
                      </w:pPr>
                    </w:p>
                    <w:p w14:paraId="6E8FF50E" w14:textId="77777777" w:rsidR="005C0DC6" w:rsidRDefault="005C0DC6" w:rsidP="00B71B6F">
                      <w:pPr>
                        <w:spacing w:line="240" w:lineRule="auto"/>
                        <w:jc w:val="center"/>
                        <w:rPr>
                          <w:rFonts w:ascii="Times New Roman" w:hAnsi="Times New Roman" w:cs="Times New Roman"/>
                          <w:sz w:val="20"/>
                          <w:szCs w:val="20"/>
                        </w:rPr>
                      </w:pPr>
                    </w:p>
                    <w:p w14:paraId="23B8FE6B" w14:textId="77777777" w:rsidR="005C0DC6" w:rsidRDefault="005C0DC6" w:rsidP="00B71B6F">
                      <w:pPr>
                        <w:spacing w:line="240" w:lineRule="auto"/>
                        <w:jc w:val="center"/>
                        <w:rPr>
                          <w:rFonts w:ascii="Times New Roman" w:hAnsi="Times New Roman" w:cs="Times New Roman"/>
                          <w:sz w:val="20"/>
                          <w:szCs w:val="20"/>
                        </w:rPr>
                      </w:pPr>
                    </w:p>
                    <w:p w14:paraId="0B050ABE" w14:textId="77777777" w:rsidR="005C0DC6" w:rsidRDefault="005C0DC6" w:rsidP="00B71B6F">
                      <w:pPr>
                        <w:spacing w:line="240" w:lineRule="auto"/>
                        <w:jc w:val="center"/>
                        <w:rPr>
                          <w:rFonts w:ascii="Times New Roman" w:hAnsi="Times New Roman" w:cs="Times New Roman"/>
                          <w:sz w:val="20"/>
                          <w:szCs w:val="20"/>
                        </w:rPr>
                      </w:pPr>
                    </w:p>
                    <w:p w14:paraId="5B79D385" w14:textId="77777777" w:rsidR="005C0DC6" w:rsidRDefault="005C0DC6" w:rsidP="00B71B6F">
                      <w:pPr>
                        <w:spacing w:line="240" w:lineRule="auto"/>
                        <w:jc w:val="center"/>
                        <w:rPr>
                          <w:rFonts w:ascii="Times New Roman" w:hAnsi="Times New Roman" w:cs="Times New Roman"/>
                          <w:sz w:val="20"/>
                          <w:szCs w:val="20"/>
                        </w:rPr>
                      </w:pPr>
                    </w:p>
                    <w:p w14:paraId="6BB46D81" w14:textId="77777777" w:rsidR="005C0DC6" w:rsidRDefault="005C0DC6" w:rsidP="00B71B6F">
                      <w:pPr>
                        <w:spacing w:line="240" w:lineRule="auto"/>
                        <w:jc w:val="center"/>
                        <w:rPr>
                          <w:rFonts w:ascii="Times New Roman" w:hAnsi="Times New Roman" w:cs="Times New Roman"/>
                          <w:sz w:val="20"/>
                          <w:szCs w:val="20"/>
                        </w:rPr>
                      </w:pPr>
                    </w:p>
                    <w:p w14:paraId="03D9E60D" w14:textId="77777777" w:rsidR="005C0DC6" w:rsidRDefault="005C0DC6" w:rsidP="00B71B6F">
                      <w:pPr>
                        <w:spacing w:line="240" w:lineRule="auto"/>
                        <w:jc w:val="center"/>
                        <w:rPr>
                          <w:rFonts w:ascii="Times New Roman" w:hAnsi="Times New Roman" w:cs="Times New Roman"/>
                          <w:sz w:val="19"/>
                          <w:szCs w:val="19"/>
                        </w:rPr>
                      </w:pPr>
                      <w:r>
                        <w:rPr>
                          <w:rFonts w:ascii="Times New Roman" w:hAnsi="Times New Roman" w:cs="Times New Roman"/>
                          <w:sz w:val="19"/>
                          <w:szCs w:val="19"/>
                        </w:rPr>
                        <w:t>PC</w:t>
                      </w:r>
                    </w:p>
                  </w:txbxContent>
                </v:textbox>
              </v:shape>
            </w:pict>
          </mc:Fallback>
        </mc:AlternateContent>
      </w:r>
      <w:r w:rsidRPr="00A70042">
        <w:rPr>
          <w:noProof/>
          <w:szCs w:val="24"/>
          <w:lang w:eastAsia="en-GB"/>
        </w:rPr>
        <mc:AlternateContent>
          <mc:Choice Requires="wps">
            <w:drawing>
              <wp:anchor distT="0" distB="0" distL="114300" distR="114300" simplePos="0" relativeHeight="251766784" behindDoc="0" locked="0" layoutInCell="1" allowOverlap="1" wp14:anchorId="02C6B997" wp14:editId="535257A7">
                <wp:simplePos x="0" y="0"/>
                <wp:positionH relativeFrom="column">
                  <wp:posOffset>3852545</wp:posOffset>
                </wp:positionH>
                <wp:positionV relativeFrom="paragraph">
                  <wp:posOffset>8255</wp:posOffset>
                </wp:positionV>
                <wp:extent cx="1015365" cy="1913255"/>
                <wp:effectExtent l="0" t="0" r="13335" b="10795"/>
                <wp:wrapNone/>
                <wp:docPr id="25" name="Text Box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5365" cy="1913255"/>
                        </a:xfrm>
                        <a:prstGeom prst="rect">
                          <a:avLst/>
                        </a:prstGeom>
                        <a:solidFill>
                          <a:schemeClr val="bg1">
                            <a:lumMod val="65000"/>
                            <a:lumOff val="0"/>
                          </a:schemeClr>
                        </a:solidFill>
                        <a:ln w="9525">
                          <a:solidFill>
                            <a:srgbClr val="000000"/>
                          </a:solidFill>
                          <a:miter lim="800000"/>
                          <a:headEnd/>
                          <a:tailEnd/>
                        </a:ln>
                      </wps:spPr>
                      <wps:txbx>
                        <w:txbxContent>
                          <w:p w14:paraId="1CF3C2EC" w14:textId="77777777" w:rsidR="005C0DC6" w:rsidRDefault="005C0DC6" w:rsidP="00B71B6F">
                            <w:pPr>
                              <w:spacing w:line="240" w:lineRule="auto"/>
                              <w:rPr>
                                <w:rFonts w:ascii="Times New Roman" w:hAnsi="Times New Roman" w:cs="Times New Roman"/>
                                <w:sz w:val="19"/>
                                <w:szCs w:val="19"/>
                              </w:rPr>
                            </w:pPr>
                            <w:r>
                              <w:rPr>
                                <w:rFonts w:ascii="Times New Roman" w:hAnsi="Times New Roman" w:cs="Times New Roman"/>
                                <w:sz w:val="20"/>
                                <w:szCs w:val="20"/>
                              </w:rPr>
                              <w:t xml:space="preserve">    </w:t>
                            </w:r>
                            <w:r>
                              <w:rPr>
                                <w:rFonts w:ascii="Times New Roman" w:hAnsi="Times New Roman" w:cs="Times New Roman"/>
                                <w:sz w:val="19"/>
                                <w:szCs w:val="19"/>
                              </w:rPr>
                              <w:t>Broadcasting</w:t>
                            </w:r>
                          </w:p>
                          <w:p w14:paraId="4E89A43C" w14:textId="77777777" w:rsidR="005C0DC6" w:rsidRDefault="005C0DC6" w:rsidP="00B71B6F">
                            <w:pPr>
                              <w:spacing w:line="240" w:lineRule="auto"/>
                              <w:jc w:val="center"/>
                              <w:rPr>
                                <w:rFonts w:ascii="Times New Roman" w:hAnsi="Times New Roman" w:cs="Times New Roman"/>
                                <w:sz w:val="20"/>
                                <w:szCs w:val="20"/>
                              </w:rPr>
                            </w:pPr>
                          </w:p>
                          <w:p w14:paraId="116E7D19" w14:textId="77777777" w:rsidR="005C0DC6" w:rsidRDefault="005C0DC6" w:rsidP="00B71B6F">
                            <w:pPr>
                              <w:spacing w:line="240" w:lineRule="auto"/>
                              <w:jc w:val="center"/>
                              <w:rPr>
                                <w:rFonts w:ascii="Times New Roman" w:hAnsi="Times New Roman" w:cs="Times New Roman"/>
                                <w:sz w:val="20"/>
                                <w:szCs w:val="20"/>
                              </w:rPr>
                            </w:pPr>
                          </w:p>
                          <w:p w14:paraId="56C1DFC1" w14:textId="77777777" w:rsidR="005C0DC6" w:rsidRDefault="005C0DC6" w:rsidP="00B71B6F">
                            <w:pPr>
                              <w:spacing w:line="240" w:lineRule="auto"/>
                              <w:jc w:val="center"/>
                              <w:rPr>
                                <w:rFonts w:ascii="Times New Roman" w:hAnsi="Times New Roman" w:cs="Times New Roman"/>
                                <w:sz w:val="20"/>
                                <w:szCs w:val="20"/>
                              </w:rPr>
                            </w:pPr>
                          </w:p>
                          <w:p w14:paraId="66B1C760" w14:textId="77777777" w:rsidR="005C0DC6" w:rsidRDefault="005C0DC6" w:rsidP="00B71B6F">
                            <w:pPr>
                              <w:spacing w:line="240" w:lineRule="auto"/>
                              <w:jc w:val="center"/>
                              <w:rPr>
                                <w:rFonts w:ascii="Times New Roman" w:hAnsi="Times New Roman" w:cs="Times New Roman"/>
                                <w:sz w:val="20"/>
                                <w:szCs w:val="20"/>
                              </w:rPr>
                            </w:pPr>
                          </w:p>
                          <w:p w14:paraId="4D3AAD07" w14:textId="77777777" w:rsidR="005C0DC6" w:rsidRDefault="005C0DC6" w:rsidP="00B71B6F">
                            <w:pPr>
                              <w:spacing w:line="240" w:lineRule="auto"/>
                              <w:jc w:val="center"/>
                              <w:rPr>
                                <w:rFonts w:ascii="Times New Roman" w:hAnsi="Times New Roman" w:cs="Times New Roman"/>
                                <w:sz w:val="20"/>
                                <w:szCs w:val="20"/>
                              </w:rPr>
                            </w:pPr>
                          </w:p>
                          <w:p w14:paraId="5F0CC8BF" w14:textId="77777777" w:rsidR="005C0DC6" w:rsidRDefault="005C0DC6" w:rsidP="00B71B6F">
                            <w:pPr>
                              <w:spacing w:line="240" w:lineRule="auto"/>
                              <w:jc w:val="center"/>
                              <w:rPr>
                                <w:rFonts w:ascii="Times New Roman" w:hAnsi="Times New Roman" w:cs="Times New Roman"/>
                                <w:sz w:val="20"/>
                                <w:szCs w:val="20"/>
                              </w:rPr>
                            </w:pPr>
                          </w:p>
                          <w:p w14:paraId="087E341D" w14:textId="77777777" w:rsidR="005C0DC6" w:rsidRDefault="005C0DC6" w:rsidP="00B71B6F">
                            <w:pPr>
                              <w:spacing w:line="240" w:lineRule="auto"/>
                              <w:jc w:val="center"/>
                              <w:rPr>
                                <w:rFonts w:ascii="Times New Roman" w:hAnsi="Times New Roman" w:cs="Times New Roman"/>
                                <w:sz w:val="20"/>
                                <w:szCs w:val="20"/>
                              </w:rPr>
                            </w:pPr>
                          </w:p>
                          <w:p w14:paraId="6CA1DF26" w14:textId="77777777" w:rsidR="005C0DC6" w:rsidRDefault="005C0DC6" w:rsidP="00B71B6F">
                            <w:pPr>
                              <w:spacing w:line="240" w:lineRule="auto"/>
                              <w:jc w:val="center"/>
                              <w:rPr>
                                <w:rFonts w:ascii="Times New Roman" w:hAnsi="Times New Roman" w:cs="Times New Roman"/>
                                <w:sz w:val="20"/>
                                <w:szCs w:val="20"/>
                              </w:rPr>
                            </w:pPr>
                          </w:p>
                          <w:p w14:paraId="18FAB1DD" w14:textId="77777777" w:rsidR="005C0DC6" w:rsidRDefault="005C0DC6" w:rsidP="00B71B6F">
                            <w:pPr>
                              <w:spacing w:line="240" w:lineRule="auto"/>
                              <w:jc w:val="center"/>
                              <w:rPr>
                                <w:rFonts w:ascii="Times New Roman" w:hAnsi="Times New Roman" w:cs="Times New Roman"/>
                                <w:sz w:val="20"/>
                                <w:szCs w:val="20"/>
                              </w:rPr>
                            </w:pPr>
                          </w:p>
                          <w:p w14:paraId="648624E7" w14:textId="77777777" w:rsidR="005C0DC6" w:rsidRDefault="005C0DC6" w:rsidP="00B71B6F">
                            <w:pPr>
                              <w:spacing w:line="240" w:lineRule="auto"/>
                              <w:jc w:val="center"/>
                              <w:rPr>
                                <w:rFonts w:ascii="Times New Roman" w:hAnsi="Times New Roman" w:cs="Times New Roman"/>
                                <w:sz w:val="20"/>
                                <w:szCs w:val="20"/>
                              </w:rPr>
                            </w:pPr>
                          </w:p>
                          <w:p w14:paraId="0942A5E9" w14:textId="77777777" w:rsidR="005C0DC6" w:rsidRDefault="005C0DC6" w:rsidP="00B71B6F">
                            <w:pPr>
                              <w:spacing w:line="240" w:lineRule="auto"/>
                              <w:jc w:val="center"/>
                              <w:rPr>
                                <w:rFonts w:ascii="Times New Roman" w:hAnsi="Times New Roman" w:cs="Times New Roman"/>
                                <w:sz w:val="19"/>
                                <w:szCs w:val="19"/>
                              </w:rPr>
                            </w:pPr>
                            <w:r>
                              <w:rPr>
                                <w:rFonts w:ascii="Times New Roman" w:hAnsi="Times New Roman" w:cs="Times New Roman"/>
                                <w:sz w:val="19"/>
                                <w:szCs w:val="19"/>
                              </w:rPr>
                              <w:t>Television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C6B997" id="Text Box 25" o:spid="_x0000_s1046" type="#_x0000_t202" alt="&quot;&quot;" style="position:absolute;left:0;text-align:left;margin-left:303.35pt;margin-top:.65pt;width:79.95pt;height:150.6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" fillcolor="#a5a5a5 [2092]">
                <v:textbox>
                  <w:txbxContent>
                    <w:p w14:paraId="1CF3C2EC" w14:textId="77777777" w:rsidR="005C0DC6" w:rsidRDefault="005C0DC6" w:rsidP="00B71B6F">
                      <w:pPr>
                        <w:spacing w:line="240" w:lineRule="auto"/>
                        <w:rPr>
                          <w:rFonts w:ascii="Times New Roman" w:hAnsi="Times New Roman" w:cs="Times New Roman"/>
                          <w:sz w:val="19"/>
                          <w:szCs w:val="19"/>
                        </w:rPr>
                      </w:pPr>
                      <w:r>
                        <w:rPr>
                          <w:rFonts w:ascii="Times New Roman" w:hAnsi="Times New Roman" w:cs="Times New Roman"/>
                          <w:sz w:val="20"/>
                          <w:szCs w:val="20"/>
                        </w:rPr>
                        <w:t xml:space="preserve">    </w:t>
                      </w:r>
                      <w:r>
                        <w:rPr>
                          <w:rFonts w:ascii="Times New Roman" w:hAnsi="Times New Roman" w:cs="Times New Roman"/>
                          <w:sz w:val="19"/>
                          <w:szCs w:val="19"/>
                        </w:rPr>
                        <w:t>Broadcasting</w:t>
                      </w:r>
                    </w:p>
                    <w:p w14:paraId="4E89A43C" w14:textId="77777777" w:rsidR="005C0DC6" w:rsidRDefault="005C0DC6" w:rsidP="00B71B6F">
                      <w:pPr>
                        <w:spacing w:line="240" w:lineRule="auto"/>
                        <w:jc w:val="center"/>
                        <w:rPr>
                          <w:rFonts w:ascii="Times New Roman" w:hAnsi="Times New Roman" w:cs="Times New Roman"/>
                          <w:sz w:val="20"/>
                          <w:szCs w:val="20"/>
                        </w:rPr>
                      </w:pPr>
                    </w:p>
                    <w:p w14:paraId="116E7D19" w14:textId="77777777" w:rsidR="005C0DC6" w:rsidRDefault="005C0DC6" w:rsidP="00B71B6F">
                      <w:pPr>
                        <w:spacing w:line="240" w:lineRule="auto"/>
                        <w:jc w:val="center"/>
                        <w:rPr>
                          <w:rFonts w:ascii="Times New Roman" w:hAnsi="Times New Roman" w:cs="Times New Roman"/>
                          <w:sz w:val="20"/>
                          <w:szCs w:val="20"/>
                        </w:rPr>
                      </w:pPr>
                    </w:p>
                    <w:p w14:paraId="56C1DFC1" w14:textId="77777777" w:rsidR="005C0DC6" w:rsidRDefault="005C0DC6" w:rsidP="00B71B6F">
                      <w:pPr>
                        <w:spacing w:line="240" w:lineRule="auto"/>
                        <w:jc w:val="center"/>
                        <w:rPr>
                          <w:rFonts w:ascii="Times New Roman" w:hAnsi="Times New Roman" w:cs="Times New Roman"/>
                          <w:sz w:val="20"/>
                          <w:szCs w:val="20"/>
                        </w:rPr>
                      </w:pPr>
                    </w:p>
                    <w:p w14:paraId="66B1C760" w14:textId="77777777" w:rsidR="005C0DC6" w:rsidRDefault="005C0DC6" w:rsidP="00B71B6F">
                      <w:pPr>
                        <w:spacing w:line="240" w:lineRule="auto"/>
                        <w:jc w:val="center"/>
                        <w:rPr>
                          <w:rFonts w:ascii="Times New Roman" w:hAnsi="Times New Roman" w:cs="Times New Roman"/>
                          <w:sz w:val="20"/>
                          <w:szCs w:val="20"/>
                        </w:rPr>
                      </w:pPr>
                    </w:p>
                    <w:p w14:paraId="4D3AAD07" w14:textId="77777777" w:rsidR="005C0DC6" w:rsidRDefault="005C0DC6" w:rsidP="00B71B6F">
                      <w:pPr>
                        <w:spacing w:line="240" w:lineRule="auto"/>
                        <w:jc w:val="center"/>
                        <w:rPr>
                          <w:rFonts w:ascii="Times New Roman" w:hAnsi="Times New Roman" w:cs="Times New Roman"/>
                          <w:sz w:val="20"/>
                          <w:szCs w:val="20"/>
                        </w:rPr>
                      </w:pPr>
                    </w:p>
                    <w:p w14:paraId="5F0CC8BF" w14:textId="77777777" w:rsidR="005C0DC6" w:rsidRDefault="005C0DC6" w:rsidP="00B71B6F">
                      <w:pPr>
                        <w:spacing w:line="240" w:lineRule="auto"/>
                        <w:jc w:val="center"/>
                        <w:rPr>
                          <w:rFonts w:ascii="Times New Roman" w:hAnsi="Times New Roman" w:cs="Times New Roman"/>
                          <w:sz w:val="20"/>
                          <w:szCs w:val="20"/>
                        </w:rPr>
                      </w:pPr>
                    </w:p>
                    <w:p w14:paraId="087E341D" w14:textId="77777777" w:rsidR="005C0DC6" w:rsidRDefault="005C0DC6" w:rsidP="00B71B6F">
                      <w:pPr>
                        <w:spacing w:line="240" w:lineRule="auto"/>
                        <w:jc w:val="center"/>
                        <w:rPr>
                          <w:rFonts w:ascii="Times New Roman" w:hAnsi="Times New Roman" w:cs="Times New Roman"/>
                          <w:sz w:val="20"/>
                          <w:szCs w:val="20"/>
                        </w:rPr>
                      </w:pPr>
                    </w:p>
                    <w:p w14:paraId="6CA1DF26" w14:textId="77777777" w:rsidR="005C0DC6" w:rsidRDefault="005C0DC6" w:rsidP="00B71B6F">
                      <w:pPr>
                        <w:spacing w:line="240" w:lineRule="auto"/>
                        <w:jc w:val="center"/>
                        <w:rPr>
                          <w:rFonts w:ascii="Times New Roman" w:hAnsi="Times New Roman" w:cs="Times New Roman"/>
                          <w:sz w:val="20"/>
                          <w:szCs w:val="20"/>
                        </w:rPr>
                      </w:pPr>
                    </w:p>
                    <w:p w14:paraId="18FAB1DD" w14:textId="77777777" w:rsidR="005C0DC6" w:rsidRDefault="005C0DC6" w:rsidP="00B71B6F">
                      <w:pPr>
                        <w:spacing w:line="240" w:lineRule="auto"/>
                        <w:jc w:val="center"/>
                        <w:rPr>
                          <w:rFonts w:ascii="Times New Roman" w:hAnsi="Times New Roman" w:cs="Times New Roman"/>
                          <w:sz w:val="20"/>
                          <w:szCs w:val="20"/>
                        </w:rPr>
                      </w:pPr>
                    </w:p>
                    <w:p w14:paraId="648624E7" w14:textId="77777777" w:rsidR="005C0DC6" w:rsidRDefault="005C0DC6" w:rsidP="00B71B6F">
                      <w:pPr>
                        <w:spacing w:line="240" w:lineRule="auto"/>
                        <w:jc w:val="center"/>
                        <w:rPr>
                          <w:rFonts w:ascii="Times New Roman" w:hAnsi="Times New Roman" w:cs="Times New Roman"/>
                          <w:sz w:val="20"/>
                          <w:szCs w:val="20"/>
                        </w:rPr>
                      </w:pPr>
                    </w:p>
                    <w:p w14:paraId="0942A5E9" w14:textId="77777777" w:rsidR="005C0DC6" w:rsidRDefault="005C0DC6" w:rsidP="00B71B6F">
                      <w:pPr>
                        <w:spacing w:line="240" w:lineRule="auto"/>
                        <w:jc w:val="center"/>
                        <w:rPr>
                          <w:rFonts w:ascii="Times New Roman" w:hAnsi="Times New Roman" w:cs="Times New Roman"/>
                          <w:sz w:val="19"/>
                          <w:szCs w:val="19"/>
                        </w:rPr>
                      </w:pPr>
                      <w:r>
                        <w:rPr>
                          <w:rFonts w:ascii="Times New Roman" w:hAnsi="Times New Roman" w:cs="Times New Roman"/>
                          <w:sz w:val="19"/>
                          <w:szCs w:val="19"/>
                        </w:rPr>
                        <w:t>Television</w:t>
                      </w:r>
                    </w:p>
                  </w:txbxContent>
                </v:textbox>
              </v:shape>
            </w:pict>
          </mc:Fallback>
        </mc:AlternateContent>
      </w:r>
      <w:r w:rsidRPr="00A70042">
        <w:rPr>
          <w:noProof/>
          <w:szCs w:val="24"/>
          <w:lang w:eastAsia="en-GB"/>
        </w:rPr>
        <mc:AlternateContent>
          <mc:Choice Requires="wps">
            <w:drawing>
              <wp:anchor distT="0" distB="0" distL="114300" distR="114300" simplePos="0" relativeHeight="251767808" behindDoc="0" locked="0" layoutInCell="1" allowOverlap="1" wp14:anchorId="2156AFCE" wp14:editId="5B79DE6D">
                <wp:simplePos x="0" y="0"/>
                <wp:positionH relativeFrom="column">
                  <wp:posOffset>1795145</wp:posOffset>
                </wp:positionH>
                <wp:positionV relativeFrom="paragraph">
                  <wp:posOffset>266065</wp:posOffset>
                </wp:positionV>
                <wp:extent cx="1119505" cy="1361440"/>
                <wp:effectExtent l="0" t="0" r="80645" b="48260"/>
                <wp:wrapNone/>
                <wp:docPr id="22" name="Straight Arrow Connector 2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19505" cy="1361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CF056AF" id="_x0000_t32" coordsize="21600,21600" o:spt="32" o:oned="t" path="m,l21600,21600e" filled="f">
                <v:path arrowok="t" fillok="f" o:connecttype="none"/>
                <o:lock v:ext="edit" shapetype="t"/>
              </v:shapetype>
              <v:shape id="Straight Arrow Connector 22" o:spid="_x0000_s1026" type="#_x0000_t32" alt="&quot;&quot;" style="position:absolute;margin-left:141.35pt;margin-top:20.95pt;width:88.15pt;height:107.2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">
                <v:stroke endarrow="block"/>
              </v:shape>
            </w:pict>
          </mc:Fallback>
        </mc:AlternateContent>
      </w:r>
      <w:r w:rsidRPr="00A70042">
        <w:rPr>
          <w:noProof/>
          <w:szCs w:val="24"/>
          <w:lang w:eastAsia="en-GB"/>
        </w:rPr>
        <mc:AlternateContent>
          <mc:Choice Requires="wps">
            <w:drawing>
              <wp:anchor distT="0" distB="0" distL="114300" distR="114300" simplePos="0" relativeHeight="251768832" behindDoc="0" locked="0" layoutInCell="1" allowOverlap="1" wp14:anchorId="3192E070" wp14:editId="6D56D270">
                <wp:simplePos x="0" y="0"/>
                <wp:positionH relativeFrom="column">
                  <wp:posOffset>3098800</wp:posOffset>
                </wp:positionH>
                <wp:positionV relativeFrom="paragraph">
                  <wp:posOffset>260350</wp:posOffset>
                </wp:positionV>
                <wp:extent cx="1156970" cy="1361440"/>
                <wp:effectExtent l="38100" t="0" r="24130" b="48260"/>
                <wp:wrapNone/>
                <wp:docPr id="23" name="Straight Arrow Connector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56970" cy="13614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FA8EC8" id="Straight Arrow Connector 23" o:spid="_x0000_s1026" type="#_x0000_t32" alt="&quot;&quot;" style="position:absolute;margin-left:244pt;margin-top:20.5pt;width:91.1pt;height:107.2pt;flip:x;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">
                <v:stroke endarrow="block"/>
              </v:shape>
            </w:pict>
          </mc:Fallback>
        </mc:AlternateContent>
      </w:r>
      <w:r w:rsidRPr="00A70042">
        <w:rPr>
          <w:noProof/>
          <w:szCs w:val="24"/>
          <w:lang w:eastAsia="en-GB"/>
        </w:rPr>
        <mc:AlternateContent>
          <mc:Choice Requires="wps">
            <w:drawing>
              <wp:anchor distT="0" distB="0" distL="114300" distR="114300" simplePos="0" relativeHeight="251769856" behindDoc="0" locked="0" layoutInCell="1" allowOverlap="1" wp14:anchorId="5697473B" wp14:editId="36D40089">
                <wp:simplePos x="0" y="0"/>
                <wp:positionH relativeFrom="column">
                  <wp:posOffset>1850390</wp:posOffset>
                </wp:positionH>
                <wp:positionV relativeFrom="paragraph">
                  <wp:posOffset>321310</wp:posOffset>
                </wp:positionV>
                <wp:extent cx="1073150" cy="1306195"/>
                <wp:effectExtent l="38100" t="0" r="31750" b="65405"/>
                <wp:wrapNone/>
                <wp:docPr id="20" name="Straight Arrow Connector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73150" cy="1306195"/>
                        </a:xfrm>
                        <a:prstGeom prst="straightConnector1">
                          <a:avLst/>
                        </a:prstGeom>
                        <a:noFill/>
                        <a:ln w="9525">
                          <a:solidFill>
                            <a:schemeClr val="bg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A9EC4A" id="Straight Arrow Connector 20" o:spid="_x0000_s1026" type="#_x0000_t32" alt="&quot;&quot;" style="position:absolute;margin-left:145.7pt;margin-top:25.3pt;width:84.5pt;height:102.85pt;flip:x;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" strokecolor="white [3212]">
                <v:stroke endarrow="block"/>
              </v:shape>
            </w:pict>
          </mc:Fallback>
        </mc:AlternateContent>
      </w:r>
      <w:r w:rsidRPr="00A70042">
        <w:rPr>
          <w:noProof/>
          <w:szCs w:val="24"/>
          <w:lang w:eastAsia="en-GB"/>
        </w:rPr>
        <mc:AlternateContent>
          <mc:Choice Requires="wps">
            <w:drawing>
              <wp:anchor distT="0" distB="0" distL="114300" distR="114300" simplePos="0" relativeHeight="251770880" behindDoc="0" locked="0" layoutInCell="1" allowOverlap="1" wp14:anchorId="51D77F6D" wp14:editId="7E254655">
                <wp:simplePos x="0" y="0"/>
                <wp:positionH relativeFrom="column">
                  <wp:posOffset>3052445</wp:posOffset>
                </wp:positionH>
                <wp:positionV relativeFrom="paragraph">
                  <wp:posOffset>314325</wp:posOffset>
                </wp:positionV>
                <wp:extent cx="1061720" cy="1284605"/>
                <wp:effectExtent l="0" t="0" r="62230" b="48895"/>
                <wp:wrapNone/>
                <wp:docPr id="21" name="Straight Arrow Connector 2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1720" cy="1284605"/>
                        </a:xfrm>
                        <a:prstGeom prst="straightConnector1">
                          <a:avLst/>
                        </a:prstGeom>
                        <a:noFill/>
                        <a:ln w="9525">
                          <a:solidFill>
                            <a:schemeClr val="bg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CACF8D" id="Straight Arrow Connector 21" o:spid="_x0000_s1026" type="#_x0000_t32" alt="&quot;&quot;" style="position:absolute;margin-left:240.35pt;margin-top:24.75pt;width:83.6pt;height:101.1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" strokecolor="white [3212]">
                <v:stroke endarrow="block"/>
              </v:shape>
            </w:pict>
          </mc:Fallback>
        </mc:AlternateContent>
      </w:r>
      <w:r w:rsidRPr="00A70042">
        <w:rPr>
          <w:noProof/>
          <w:szCs w:val="24"/>
          <w:lang w:eastAsia="en-GB"/>
        </w:rPr>
        <mc:AlternateContent>
          <mc:Choice Requires="wps">
            <w:drawing>
              <wp:anchor distT="0" distB="0" distL="114300" distR="114300" simplePos="0" relativeHeight="251771904" behindDoc="0" locked="0" layoutInCell="1" allowOverlap="1" wp14:anchorId="65A7645B" wp14:editId="77081E6A">
                <wp:simplePos x="0" y="0"/>
                <wp:positionH relativeFrom="column">
                  <wp:posOffset>1109980</wp:posOffset>
                </wp:positionH>
                <wp:positionV relativeFrom="paragraph">
                  <wp:posOffset>654050</wp:posOffset>
                </wp:positionV>
                <wp:extent cx="3891915" cy="694690"/>
                <wp:effectExtent l="0" t="0" r="13335" b="10160"/>
                <wp:wrapNone/>
                <wp:docPr id="19" name="Oval 1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91915" cy="694690"/>
                        </a:xfrm>
                        <a:prstGeom prst="ellipse">
                          <a:avLst/>
                        </a:prstGeom>
                        <a:solidFill>
                          <a:schemeClr val="bg1">
                            <a:lumMod val="75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BBCB793" id="Oval 19" o:spid="_x0000_s1026" alt="&quot;&quot;" style="position:absolute;margin-left:87.4pt;margin-top:51.5pt;width:306.45pt;height:54.7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" fillcolor="#bfbfbf [2412]"/>
            </w:pict>
          </mc:Fallback>
        </mc:AlternateContent>
      </w:r>
      <w:r w:rsidRPr="00A70042">
        <w:rPr>
          <w:noProof/>
          <w:szCs w:val="24"/>
          <w:lang w:eastAsia="en-GB"/>
        </w:rPr>
        <mc:AlternateContent>
          <mc:Choice Requires="wps">
            <w:drawing>
              <wp:anchor distT="0" distB="0" distL="114300" distR="114300" simplePos="0" relativeHeight="251773952" behindDoc="0" locked="0" layoutInCell="1" allowOverlap="1" wp14:anchorId="249286B2" wp14:editId="18F97B5C">
                <wp:simplePos x="0" y="0"/>
                <wp:positionH relativeFrom="column">
                  <wp:posOffset>2994025</wp:posOffset>
                </wp:positionH>
                <wp:positionV relativeFrom="paragraph">
                  <wp:posOffset>931545</wp:posOffset>
                </wp:positionV>
                <wp:extent cx="792480" cy="260350"/>
                <wp:effectExtent l="0" t="0" r="0" b="6350"/>
                <wp:wrapNone/>
                <wp:docPr id="16" name="Text Box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911DD" w14:textId="77777777" w:rsidR="005C0DC6" w:rsidRDefault="005C0DC6" w:rsidP="00B71B6F">
                            <w:pPr>
                              <w:jc w:val="right"/>
                              <w:rPr>
                                <w:rFonts w:ascii="Times New Roman" w:hAnsi="Times New Roman" w:cs="Times New Roman"/>
                                <w:sz w:val="20"/>
                                <w:szCs w:val="20"/>
                                <w:lang w:val="tr-TR"/>
                              </w:rPr>
                            </w:pPr>
                            <w:r>
                              <w:rPr>
                                <w:rFonts w:ascii="Times New Roman" w:hAnsi="Times New Roman" w:cs="Times New Roman"/>
                                <w:sz w:val="20"/>
                                <w:szCs w:val="20"/>
                                <w:lang w:val="tr-TR"/>
                              </w:rPr>
                              <w:t>Cable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9286B2" id="Text Box 16" o:spid="_x0000_s1047" type="#_x0000_t202" alt="&quot;&quot;" style="position:absolute;left:0;text-align:left;margin-left:235.75pt;margin-top:73.35pt;width:62.4pt;height:20.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" filled="f" stroked="f">
                <v:textbox>
                  <w:txbxContent>
                    <w:p w14:paraId="086911DD" w14:textId="77777777" w:rsidR="005C0DC6" w:rsidRDefault="005C0DC6" w:rsidP="00B71B6F">
                      <w:pPr>
                        <w:jc w:val="right"/>
                        <w:rPr>
                          <w:rFonts w:ascii="Times New Roman" w:hAnsi="Times New Roman" w:cs="Times New Roman"/>
                          <w:sz w:val="20"/>
                          <w:szCs w:val="20"/>
                          <w:lang w:val="tr-TR"/>
                        </w:rPr>
                      </w:pPr>
                      <w:r>
                        <w:rPr>
                          <w:rFonts w:ascii="Times New Roman" w:hAnsi="Times New Roman" w:cs="Times New Roman"/>
                          <w:sz w:val="20"/>
                          <w:szCs w:val="20"/>
                          <w:lang w:val="tr-TR"/>
                        </w:rPr>
                        <w:t>Cable</w:t>
                      </w:r>
                    </w:p>
                  </w:txbxContent>
                </v:textbox>
              </v:shape>
            </w:pict>
          </mc:Fallback>
        </mc:AlternateContent>
      </w:r>
      <w:r w:rsidRPr="00A70042">
        <w:rPr>
          <w:noProof/>
          <w:szCs w:val="24"/>
          <w:lang w:eastAsia="en-GB"/>
        </w:rPr>
        <mc:AlternateContent>
          <mc:Choice Requires="wps">
            <w:drawing>
              <wp:anchor distT="0" distB="0" distL="114300" distR="114300" simplePos="0" relativeHeight="251774976" behindDoc="0" locked="0" layoutInCell="1" allowOverlap="1" wp14:anchorId="2FAD4056" wp14:editId="35FE3C28">
                <wp:simplePos x="0" y="0"/>
                <wp:positionH relativeFrom="column">
                  <wp:posOffset>3852545</wp:posOffset>
                </wp:positionH>
                <wp:positionV relativeFrom="paragraph">
                  <wp:posOffset>923925</wp:posOffset>
                </wp:positionV>
                <wp:extent cx="1099185" cy="260350"/>
                <wp:effectExtent l="0" t="0" r="0" b="6350"/>
                <wp:wrapNone/>
                <wp:docPr id="14" name="Text Box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918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44419" w14:textId="77777777" w:rsidR="005C0DC6" w:rsidRDefault="005C0DC6" w:rsidP="00B71B6F">
                            <w:pPr>
                              <w:jc w:val="both"/>
                              <w:rPr>
                                <w:rFonts w:ascii="Times New Roman" w:hAnsi="Times New Roman" w:cs="Times New Roman"/>
                                <w:sz w:val="20"/>
                                <w:szCs w:val="20"/>
                              </w:rPr>
                            </w:pPr>
                            <w:r>
                              <w:rPr>
                                <w:rFonts w:ascii="Times New Roman" w:hAnsi="Times New Roman" w:cs="Times New Roman"/>
                              </w:rPr>
                              <w:t xml:space="preserve">    </w:t>
                            </w:r>
                            <w:r>
                              <w:rPr>
                                <w:rFonts w:ascii="Times New Roman" w:hAnsi="Times New Roman" w:cs="Times New Roman"/>
                                <w:sz w:val="20"/>
                                <w:szCs w:val="20"/>
                              </w:rPr>
                              <w:t>Telecoms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AD4056" id="Text Box 14" o:spid="_x0000_s1048" type="#_x0000_t202" alt="&quot;&quot;" style="position:absolute;left:0;text-align:left;margin-left:303.35pt;margin-top:72.75pt;width:86.55pt;height:20.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" filled="f" stroked="f">
                <v:textbox>
                  <w:txbxContent>
                    <w:p w14:paraId="23F44419" w14:textId="77777777" w:rsidR="005C0DC6" w:rsidRDefault="005C0DC6" w:rsidP="00B71B6F">
                      <w:pPr>
                        <w:jc w:val="both"/>
                        <w:rPr>
                          <w:rFonts w:ascii="Times New Roman" w:hAnsi="Times New Roman" w:cs="Times New Roman"/>
                          <w:sz w:val="20"/>
                          <w:szCs w:val="20"/>
                        </w:rPr>
                      </w:pPr>
                      <w:r>
                        <w:rPr>
                          <w:rFonts w:ascii="Times New Roman" w:hAnsi="Times New Roman" w:cs="Times New Roman"/>
                        </w:rPr>
                        <w:t xml:space="preserve">    </w:t>
                      </w:r>
                      <w:r>
                        <w:rPr>
                          <w:rFonts w:ascii="Times New Roman" w:hAnsi="Times New Roman" w:cs="Times New Roman"/>
                          <w:sz w:val="20"/>
                          <w:szCs w:val="20"/>
                        </w:rPr>
                        <w:t>Telecoms</w:t>
                      </w:r>
                    </w:p>
                  </w:txbxContent>
                </v:textbox>
              </v:shape>
            </w:pict>
          </mc:Fallback>
        </mc:AlternateContent>
      </w:r>
      <w:r w:rsidRPr="00A70042">
        <w:rPr>
          <w:noProof/>
          <w:szCs w:val="24"/>
          <w:lang w:eastAsia="en-GB"/>
        </w:rPr>
        <mc:AlternateContent>
          <mc:Choice Requires="wps">
            <w:drawing>
              <wp:anchor distT="0" distB="0" distL="114300" distR="114300" simplePos="0" relativeHeight="251777024" behindDoc="0" locked="0" layoutInCell="1" allowOverlap="1" wp14:anchorId="4B6A935A" wp14:editId="7556AC29">
                <wp:simplePos x="0" y="0"/>
                <wp:positionH relativeFrom="column">
                  <wp:posOffset>1172845</wp:posOffset>
                </wp:positionH>
                <wp:positionV relativeFrom="paragraph">
                  <wp:posOffset>939165</wp:posOffset>
                </wp:positionV>
                <wp:extent cx="800735" cy="260350"/>
                <wp:effectExtent l="0" t="0" r="0" b="6350"/>
                <wp:wrapNone/>
                <wp:docPr id="13" name="Text Box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73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C81A8C" w14:textId="77777777" w:rsidR="005C0DC6" w:rsidRDefault="005C0DC6" w:rsidP="00B71B6F">
                            <w:pPr>
                              <w:jc w:val="right"/>
                              <w:rPr>
                                <w:rFonts w:ascii="Times New Roman" w:hAnsi="Times New Roman" w:cs="Times New Roman"/>
                                <w:sz w:val="20"/>
                                <w:szCs w:val="20"/>
                                <w:lang w:val="tr-TR"/>
                              </w:rPr>
                            </w:pPr>
                            <w:r>
                              <w:rPr>
                                <w:rFonts w:ascii="Times New Roman" w:hAnsi="Times New Roman" w:cs="Times New Roman"/>
                                <w:sz w:val="20"/>
                                <w:szCs w:val="20"/>
                                <w:lang w:val="tr-TR"/>
                              </w:rPr>
                              <w:t>Wireless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6A935A" id="Text Box 13" o:spid="_x0000_s1049" type="#_x0000_t202" alt="&quot;&quot;" style="position:absolute;left:0;text-align:left;margin-left:92.35pt;margin-top:73.95pt;width:63.05pt;height:20.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" filled="f" stroked="f">
                <v:textbox>
                  <w:txbxContent>
                    <w:p w14:paraId="6DC81A8C" w14:textId="77777777" w:rsidR="005C0DC6" w:rsidRDefault="005C0DC6" w:rsidP="00B71B6F">
                      <w:pPr>
                        <w:jc w:val="right"/>
                        <w:rPr>
                          <w:rFonts w:ascii="Times New Roman" w:hAnsi="Times New Roman" w:cs="Times New Roman"/>
                          <w:sz w:val="20"/>
                          <w:szCs w:val="20"/>
                          <w:lang w:val="tr-TR"/>
                        </w:rPr>
                      </w:pPr>
                      <w:r>
                        <w:rPr>
                          <w:rFonts w:ascii="Times New Roman" w:hAnsi="Times New Roman" w:cs="Times New Roman"/>
                          <w:sz w:val="20"/>
                          <w:szCs w:val="20"/>
                          <w:lang w:val="tr-TR"/>
                        </w:rPr>
                        <w:t>Wireless</w:t>
                      </w:r>
                    </w:p>
                  </w:txbxContent>
                </v:textbox>
              </v:shape>
            </w:pict>
          </mc:Fallback>
        </mc:AlternateContent>
      </w:r>
    </w:p>
    <w:p w14:paraId="3CCAE9CA" w14:textId="3DD2A5AB" w:rsidR="00B71B6F" w:rsidRPr="00774EDB" w:rsidRDefault="00F669A3" w:rsidP="00A70042">
      <w:pPr>
        <w:pStyle w:val="BodyText2"/>
        <w:spacing w:before="360" w:line="480" w:lineRule="auto"/>
        <w:rPr>
          <w:b w:val="0"/>
          <w:bCs w:val="0"/>
          <w:szCs w:val="24"/>
        </w:rPr>
      </w:pPr>
      <w:r w:rsidRPr="00820EF9">
        <w:rPr>
          <w:noProof/>
          <w:szCs w:val="24"/>
          <w:lang w:eastAsia="en-GB"/>
        </w:rPr>
        <mc:AlternateContent>
          <mc:Choice Requires="wps">
            <w:drawing>
              <wp:anchor distT="0" distB="0" distL="114300" distR="114300" simplePos="0" relativeHeight="251772928" behindDoc="0" locked="0" layoutInCell="1" allowOverlap="1" wp14:anchorId="692657C9" wp14:editId="30086F6A">
                <wp:simplePos x="0" y="0"/>
                <wp:positionH relativeFrom="column">
                  <wp:posOffset>2227580</wp:posOffset>
                </wp:positionH>
                <wp:positionV relativeFrom="paragraph">
                  <wp:posOffset>349885</wp:posOffset>
                </wp:positionV>
                <wp:extent cx="610235" cy="304800"/>
                <wp:effectExtent l="0" t="0" r="0" b="0"/>
                <wp:wrapNone/>
                <wp:docPr id="12" name="Text Box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235"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EDE0A" w14:textId="77777777" w:rsidR="005C0DC6" w:rsidRDefault="005C0DC6" w:rsidP="00B71B6F">
                            <w:pPr>
                              <w:rPr>
                                <w:rFonts w:ascii="Times New Roman" w:hAnsi="Times New Roman" w:cs="Times New Roman"/>
                                <w:lang w:val="tr-TR"/>
                              </w:rPr>
                            </w:pPr>
                            <w:r>
                              <w:rPr>
                                <w:rFonts w:ascii="Times New Roman" w:hAnsi="Times New Roman" w:cs="Times New Roman"/>
                                <w:sz w:val="20"/>
                                <w:szCs w:val="20"/>
                                <w:lang w:val="tr-TR"/>
                              </w:rPr>
                              <w:t>Satellite</w:t>
                            </w:r>
                            <w:r>
                              <w:rPr>
                                <w:rFonts w:ascii="Times New Roman" w:hAnsi="Times New Roman" w:cs="Times New Roman"/>
                                <w:lang w:val="tr-TR"/>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2657C9" id="Text Box 12" o:spid="_x0000_s1050" type="#_x0000_t202" alt="&quot;&quot;" style="position:absolute;left:0;text-align:left;margin-left:175.4pt;margin-top:27.55pt;width:48.05pt;height:24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" filled="f" stroked="f">
                <v:textbox>
                  <w:txbxContent>
                    <w:p w14:paraId="21FEDE0A" w14:textId="77777777" w:rsidR="005C0DC6" w:rsidRDefault="005C0DC6" w:rsidP="00B71B6F">
                      <w:pPr>
                        <w:rPr>
                          <w:rFonts w:ascii="Times New Roman" w:hAnsi="Times New Roman" w:cs="Times New Roman"/>
                          <w:lang w:val="tr-TR"/>
                        </w:rPr>
                      </w:pPr>
                      <w:r>
                        <w:rPr>
                          <w:rFonts w:ascii="Times New Roman" w:hAnsi="Times New Roman" w:cs="Times New Roman"/>
                          <w:sz w:val="20"/>
                          <w:szCs w:val="20"/>
                          <w:lang w:val="tr-TR"/>
                        </w:rPr>
                        <w:t>Satellite</w:t>
                      </w:r>
                      <w:r>
                        <w:rPr>
                          <w:rFonts w:ascii="Times New Roman" w:hAnsi="Times New Roman" w:cs="Times New Roman"/>
                          <w:lang w:val="tr-TR"/>
                        </w:rPr>
                        <w:t>e</w:t>
                      </w:r>
                    </w:p>
                  </w:txbxContent>
                </v:textbox>
              </v:shape>
            </w:pict>
          </mc:Fallback>
        </mc:AlternateContent>
      </w:r>
      <w:r w:rsidRPr="00A70042">
        <w:rPr>
          <w:noProof/>
          <w:szCs w:val="24"/>
          <w:lang w:eastAsia="en-GB"/>
        </w:rPr>
        <mc:AlternateContent>
          <mc:Choice Requires="wps">
            <w:drawing>
              <wp:anchor distT="0" distB="0" distL="114300" distR="114300" simplePos="0" relativeHeight="251776000" behindDoc="0" locked="0" layoutInCell="1" allowOverlap="1" wp14:anchorId="5AE1B5C4" wp14:editId="4EA70A1A">
                <wp:simplePos x="0" y="0"/>
                <wp:positionH relativeFrom="column">
                  <wp:posOffset>2418080</wp:posOffset>
                </wp:positionH>
                <wp:positionV relativeFrom="paragraph">
                  <wp:posOffset>130810</wp:posOffset>
                </wp:positionV>
                <wp:extent cx="1108075" cy="276225"/>
                <wp:effectExtent l="0" t="0" r="0" b="9525"/>
                <wp:wrapNone/>
                <wp:docPr id="18" name="Text Box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807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E7A0E0" w14:textId="77777777" w:rsidR="005C0DC6" w:rsidRDefault="005C0DC6" w:rsidP="00B71B6F">
                            <w:pPr>
                              <w:jc w:val="center"/>
                              <w:rPr>
                                <w:rFonts w:ascii="Times New Roman" w:hAnsi="Times New Roman" w:cs="Times New Roman"/>
                                <w:b/>
                                <w:color w:val="FFFFFF" w:themeColor="background1"/>
                                <w:sz w:val="24"/>
                                <w:szCs w:val="24"/>
                              </w:rPr>
                            </w:pPr>
                            <w:r>
                              <w:rPr>
                                <w:rFonts w:ascii="Times New Roman" w:hAnsi="Times New Roman" w:cs="Times New Roman"/>
                                <w:b/>
                                <w:color w:val="FFFFFF" w:themeColor="background1"/>
                                <w:sz w:val="24"/>
                                <w:szCs w:val="24"/>
                              </w:rPr>
                              <w:t xml:space="preserve"> I n t e r n e 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E1B5C4" id="Text Box 18" o:spid="_x0000_s1051" type="#_x0000_t202" alt="&quot;&quot;" style="position:absolute;left:0;text-align:left;margin-left:190.4pt;margin-top:10.3pt;width:87.25pt;height:21.7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" filled="f" stroked="f">
                <v:textbox>
                  <w:txbxContent>
                    <w:p w14:paraId="31E7A0E0" w14:textId="77777777" w:rsidR="005C0DC6" w:rsidRDefault="005C0DC6" w:rsidP="00B71B6F">
                      <w:pPr>
                        <w:jc w:val="center"/>
                        <w:rPr>
                          <w:rFonts w:ascii="Times New Roman" w:hAnsi="Times New Roman" w:cs="Times New Roman"/>
                          <w:b/>
                          <w:color w:val="FFFFFF" w:themeColor="background1"/>
                          <w:sz w:val="24"/>
                          <w:szCs w:val="24"/>
                        </w:rPr>
                      </w:pPr>
                      <w:r>
                        <w:rPr>
                          <w:rFonts w:ascii="Times New Roman" w:hAnsi="Times New Roman" w:cs="Times New Roman"/>
                          <w:b/>
                          <w:color w:val="FFFFFF" w:themeColor="background1"/>
                          <w:sz w:val="24"/>
                          <w:szCs w:val="24"/>
                        </w:rPr>
                        <w:t xml:space="preserve"> I n t e r n e t</w:t>
                      </w:r>
                    </w:p>
                  </w:txbxContent>
                </v:textbox>
              </v:shape>
            </w:pict>
          </mc:Fallback>
        </mc:AlternateContent>
      </w:r>
    </w:p>
    <w:p w14:paraId="60E69D87" w14:textId="6663BF26" w:rsidR="009577B0" w:rsidRDefault="009577B0" w:rsidP="00A70042">
      <w:pPr>
        <w:pStyle w:val="BodyText2"/>
        <w:spacing w:before="360" w:line="480" w:lineRule="auto"/>
      </w:pPr>
      <w:r w:rsidRPr="00820EF9">
        <w:rPr>
          <w:b w:val="0"/>
          <w:bCs w:val="0"/>
          <w:noProof/>
          <w:szCs w:val="24"/>
          <w:lang w:eastAsia="en-GB"/>
        </w:rPr>
        <mc:AlternateContent>
          <mc:Choice Requires="wps">
            <w:drawing>
              <wp:anchor distT="0" distB="0" distL="114300" distR="114300" simplePos="0" relativeHeight="251778048" behindDoc="0" locked="0" layoutInCell="1" allowOverlap="1" wp14:anchorId="6DED4AF9" wp14:editId="793B640E">
                <wp:simplePos x="0" y="0"/>
                <wp:positionH relativeFrom="column">
                  <wp:posOffset>112746</wp:posOffset>
                </wp:positionH>
                <wp:positionV relativeFrom="paragraph">
                  <wp:posOffset>405888</wp:posOffset>
                </wp:positionV>
                <wp:extent cx="867410" cy="286603"/>
                <wp:effectExtent l="0" t="0" r="8890" b="0"/>
                <wp:wrapNone/>
                <wp:docPr id="8" name="Text Box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7410" cy="2866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3A1918" w14:textId="77777777" w:rsidR="005C0DC6" w:rsidRDefault="005C0DC6" w:rsidP="00B71B6F">
                            <w:pPr>
                              <w:jc w:val="center"/>
                              <w:rPr>
                                <w:rFonts w:ascii="Times New Roman" w:hAnsi="Times New Roman" w:cs="Times New Roman"/>
                                <w:sz w:val="20"/>
                                <w:szCs w:val="20"/>
                              </w:rPr>
                            </w:pPr>
                            <w:r>
                              <w:rPr>
                                <w:rFonts w:ascii="Times New Roman" w:hAnsi="Times New Roman" w:cs="Times New Roman"/>
                                <w:sz w:val="20"/>
                                <w:szCs w:val="20"/>
                              </w:rPr>
                              <w:t xml:space="preserve">    Terminal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D4AF9" id="Text Box 8" o:spid="_x0000_s1052" type="#_x0000_t202" alt="&quot;&quot;" style="position:absolute;left:0;text-align:left;margin-left:8.9pt;margin-top:31.95pt;width:68.3pt;height:22.5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" stroked="f">
                <v:textbox>
                  <w:txbxContent>
                    <w:p w14:paraId="543A1918" w14:textId="77777777" w:rsidR="005C0DC6" w:rsidRDefault="005C0DC6" w:rsidP="00B71B6F">
                      <w:pPr>
                        <w:jc w:val="center"/>
                        <w:rPr>
                          <w:rFonts w:ascii="Times New Roman" w:hAnsi="Times New Roman" w:cs="Times New Roman"/>
                          <w:sz w:val="20"/>
                          <w:szCs w:val="20"/>
                        </w:rPr>
                      </w:pPr>
                      <w:r>
                        <w:rPr>
                          <w:rFonts w:ascii="Times New Roman" w:hAnsi="Times New Roman" w:cs="Times New Roman"/>
                          <w:sz w:val="20"/>
                          <w:szCs w:val="20"/>
                        </w:rPr>
                        <w:t xml:space="preserve">    Terminal</w:t>
                      </w:r>
                    </w:p>
                  </w:txbxContent>
                </v:textbox>
              </v:shape>
            </w:pict>
          </mc:Fallback>
        </mc:AlternateContent>
      </w:r>
    </w:p>
    <w:p w14:paraId="407F506C" w14:textId="1BA90606" w:rsidR="009577B0" w:rsidRPr="007561D3" w:rsidRDefault="009577B0" w:rsidP="00A70042">
      <w:pPr>
        <w:pStyle w:val="NormalWeb"/>
        <w:spacing w:before="480" w:beforeAutospacing="0" w:after="0" w:afterAutospacing="0" w:line="480" w:lineRule="auto"/>
        <w:jc w:val="both"/>
        <w:outlineLvl w:val="7"/>
      </w:pPr>
      <w:bookmarkStart w:id="179" w:name="_Toc17612467"/>
      <w:r w:rsidRPr="00A70042">
        <w:rPr>
          <w:b/>
          <w:bCs/>
        </w:rPr>
        <w:t>Figure 4:</w:t>
      </w:r>
      <w:r w:rsidRPr="007561D3">
        <w:t xml:space="preserve"> After convergence</w:t>
      </w:r>
      <w:bookmarkEnd w:id="179"/>
    </w:p>
    <w:p w14:paraId="5CD9E356" w14:textId="593725A2" w:rsidR="00B71B6F" w:rsidRPr="00A70042" w:rsidRDefault="00B71B6F" w:rsidP="00A70042">
      <w:pPr>
        <w:pStyle w:val="BodyText2"/>
        <w:rPr>
          <w:b w:val="0"/>
          <w:bCs w:val="0"/>
          <w:sz w:val="20"/>
          <w:szCs w:val="20"/>
        </w:rPr>
      </w:pPr>
      <w:r w:rsidRPr="00A70042">
        <w:rPr>
          <w:b w:val="0"/>
          <w:bCs w:val="0"/>
          <w:sz w:val="20"/>
          <w:szCs w:val="20"/>
        </w:rPr>
        <w:t>(Source:</w:t>
      </w:r>
      <w:r w:rsidR="00211855" w:rsidRPr="00A70042">
        <w:rPr>
          <w:b w:val="0"/>
          <w:bCs w:val="0"/>
          <w:sz w:val="20"/>
          <w:szCs w:val="20"/>
        </w:rPr>
        <w:t xml:space="preserve"> ‘</w:t>
      </w:r>
      <w:r w:rsidRPr="00A70042">
        <w:rPr>
          <w:b w:val="0"/>
          <w:bCs w:val="0"/>
          <w:sz w:val="20"/>
          <w:szCs w:val="20"/>
        </w:rPr>
        <w:t>EU Telecommunications Regulations &amp; Law</w:t>
      </w:r>
      <w:r w:rsidR="00211855" w:rsidRPr="00A70042">
        <w:rPr>
          <w:b w:val="0"/>
          <w:bCs w:val="0"/>
          <w:sz w:val="20"/>
          <w:szCs w:val="20"/>
        </w:rPr>
        <w:t>’ Conference Proceedings</w:t>
      </w:r>
      <w:r w:rsidRPr="00A70042">
        <w:rPr>
          <w:b w:val="0"/>
          <w:bCs w:val="0"/>
          <w:sz w:val="20"/>
          <w:szCs w:val="20"/>
        </w:rPr>
        <w:t>, Brussels, June 2002)</w:t>
      </w:r>
      <w:r w:rsidR="009577B0" w:rsidRPr="00A70042">
        <w:rPr>
          <w:b w:val="0"/>
          <w:bCs w:val="0"/>
          <w:sz w:val="20"/>
          <w:szCs w:val="20"/>
        </w:rPr>
        <w:t>.</w:t>
      </w:r>
    </w:p>
    <w:p w14:paraId="6A7D291F" w14:textId="77777777" w:rsidR="00B71B6F" w:rsidRPr="00774EDB" w:rsidRDefault="00B71B6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internet should be understood as a conceptual aggregation of many individual networks, most of which are privately owned, using a common protocol and addressing scheme in the allocation of IP addresses to each connected device and for transporting packets of 1s and 0s between computers and other smart devices.</w:t>
      </w:r>
      <w:r w:rsidRPr="00774EDB">
        <w:rPr>
          <w:rStyle w:val="FootnoteReference"/>
          <w:rFonts w:ascii="Times New Roman" w:hAnsi="Times New Roman" w:cs="Times New Roman"/>
          <w:sz w:val="24"/>
          <w:szCs w:val="24"/>
        </w:rPr>
        <w:footnoteReference w:id="131"/>
      </w:r>
      <w:r w:rsidRPr="00774EDB">
        <w:rPr>
          <w:rFonts w:ascii="Times New Roman" w:hAnsi="Times New Roman" w:cs="Times New Roman"/>
          <w:sz w:val="24"/>
          <w:szCs w:val="24"/>
        </w:rPr>
        <w:t xml:space="preserve"> In the internet environment, computing or information technologies are thus coupled with electronic communications, previously called “telecommunications”. Going through the convergence, internet and surrounding technologies denote a historical process which also characterises the transition from legacy networks to the NGNs, as explained below.</w:t>
      </w:r>
    </w:p>
    <w:p w14:paraId="259636B0" w14:textId="77777777" w:rsidR="00B93D63" w:rsidRPr="00774EDB" w:rsidRDefault="00B93D63" w:rsidP="00A70042">
      <w:pPr>
        <w:pStyle w:val="Heading3"/>
        <w:numPr>
          <w:ilvl w:val="2"/>
          <w:numId w:val="5"/>
        </w:numPr>
        <w:spacing w:before="360"/>
        <w:ind w:left="0" w:firstLine="0"/>
        <w:jc w:val="both"/>
        <w:rPr>
          <w:rFonts w:ascii="Times New Roman" w:hAnsi="Times New Roman" w:cs="Times New Roman"/>
          <w:b/>
          <w:color w:val="auto"/>
        </w:rPr>
      </w:pPr>
      <w:bookmarkStart w:id="180" w:name="_Toc17611362"/>
      <w:bookmarkStart w:id="181" w:name="_Toc17611579"/>
      <w:bookmarkStart w:id="182" w:name="_Toc17611791"/>
      <w:bookmarkStart w:id="183" w:name="_Toc17612005"/>
      <w:bookmarkStart w:id="184" w:name="_Toc17612218"/>
      <w:bookmarkStart w:id="185" w:name="_Toc17611363"/>
      <w:bookmarkStart w:id="186" w:name="_Toc53576034"/>
      <w:bookmarkEnd w:id="180"/>
      <w:bookmarkEnd w:id="181"/>
      <w:bookmarkEnd w:id="182"/>
      <w:bookmarkEnd w:id="183"/>
      <w:bookmarkEnd w:id="184"/>
      <w:r w:rsidRPr="00774EDB">
        <w:rPr>
          <w:rFonts w:ascii="Times New Roman" w:hAnsi="Times New Roman" w:cs="Times New Roman"/>
          <w:b/>
          <w:color w:val="auto"/>
        </w:rPr>
        <w:t>Transition from legacy networks to NGNs</w:t>
      </w:r>
      <w:bookmarkEnd w:id="167"/>
      <w:bookmarkEnd w:id="185"/>
      <w:bookmarkEnd w:id="186"/>
    </w:p>
    <w:p w14:paraId="78060024"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ICT networks enable their users to communicate and/or exchange data with each other. Out of the wide-ranging ICT networks, some rest on their one-way, point-to-</w:t>
      </w:r>
      <w:r w:rsidRPr="00774EDB">
        <w:rPr>
          <w:rFonts w:ascii="Times New Roman" w:hAnsi="Times New Roman" w:cs="Times New Roman"/>
          <w:sz w:val="24"/>
          <w:szCs w:val="24"/>
        </w:rPr>
        <w:lastRenderedPageBreak/>
        <w:t>multipoint, connections, while some others mean mutual, point-to-point, connections. Use of a decoder to receive digital signals and translate them into analog</w:t>
      </w:r>
      <w:r w:rsidR="00610FA4" w:rsidRPr="00774EDB">
        <w:rPr>
          <w:rFonts w:ascii="Times New Roman" w:hAnsi="Times New Roman" w:cs="Times New Roman"/>
          <w:sz w:val="24"/>
          <w:szCs w:val="24"/>
        </w:rPr>
        <w:t>ue</w:t>
      </w:r>
      <w:r w:rsidRPr="00774EDB">
        <w:rPr>
          <w:rFonts w:ascii="Times New Roman" w:hAnsi="Times New Roman" w:cs="Times New Roman"/>
          <w:sz w:val="24"/>
          <w:szCs w:val="24"/>
        </w:rPr>
        <w:t xml:space="preserve"> signals on the TV screen is an example of the former, whereas voice telephony taking place through point-to-point (P2P) connections, represents the latter. At the heart of both the one-way and P2P access/interconnection lies ‘interoperability’ across the converging networks </w:t>
      </w:r>
      <w:r w:rsidR="00B71B6F" w:rsidRPr="00774EDB">
        <w:rPr>
          <w:rFonts w:ascii="Times New Roman" w:hAnsi="Times New Roman" w:cs="Times New Roman"/>
          <w:sz w:val="24"/>
          <w:szCs w:val="24"/>
        </w:rPr>
        <w:t>i.</w:t>
      </w:r>
      <w:r w:rsidRPr="00774EDB">
        <w:rPr>
          <w:rFonts w:ascii="Times New Roman" w:hAnsi="Times New Roman" w:cs="Times New Roman"/>
          <w:sz w:val="24"/>
          <w:szCs w:val="24"/>
        </w:rPr>
        <w:t xml:space="preserve">e. broadcasting, electronic communications and the computing (IT) networks. While IP convergence involves a wider range of interoperability, the basic or primitive forms of ICT networks also rely on and operate based on interoperability.  </w:t>
      </w:r>
    </w:p>
    <w:p w14:paraId="5738045E"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 a circuit-switch, legacy telephone network (Public Switched Telephone Network, known as a PSTN), the signals are controlled and switched at the central (core) network, with interoperability between the end-users being secured through the switching and routing capabilities of the networks and with the help of electric and electromagnetic transmission.</w:t>
      </w:r>
      <w:r w:rsidRPr="00774EDB">
        <w:rPr>
          <w:rStyle w:val="FootnoteAnchor"/>
          <w:rFonts w:ascii="Times New Roman" w:hAnsi="Times New Roman" w:cs="Times New Roman"/>
          <w:sz w:val="24"/>
          <w:szCs w:val="24"/>
        </w:rPr>
        <w:footnoteReference w:id="132"/>
      </w:r>
      <w:r w:rsidRPr="00774EDB">
        <w:rPr>
          <w:rFonts w:ascii="Times New Roman" w:hAnsi="Times New Roman" w:cs="Times New Roman"/>
          <w:sz w:val="24"/>
          <w:szCs w:val="24"/>
        </w:rPr>
        <w:t xml:space="preserve"> Today’s circuit switches are essentially very large computers that, in addition to establishing circuits for given calls, perform a variety of other “intelligent” functions, including call forwarding, caller identification, call waiting and billing.</w:t>
      </w:r>
      <w:r w:rsidRPr="00774EDB">
        <w:rPr>
          <w:rStyle w:val="FootnoteReference"/>
          <w:rFonts w:ascii="Times New Roman" w:hAnsi="Times New Roman" w:cs="Times New Roman"/>
          <w:sz w:val="24"/>
          <w:szCs w:val="24"/>
        </w:rPr>
        <w:footnoteReference w:id="133"/>
      </w:r>
      <w:r w:rsidRPr="00774EDB">
        <w:rPr>
          <w:rFonts w:ascii="Times New Roman" w:hAnsi="Times New Roman" w:cs="Times New Roman"/>
          <w:sz w:val="24"/>
          <w:szCs w:val="24"/>
        </w:rPr>
        <w:t xml:space="preserve"> Whereas all these functionalities take place within a hierarchy, all management is conducted at the centrally owned and controlled network exchanges.</w:t>
      </w:r>
    </w:p>
    <w:p w14:paraId="45DA8D48"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Unlike circuit-switched networks, “connectionless” packet-switching technologies do not set up a dedicated circuit for the duration of a communication. Instead, the transmitted information is converted into discrete digital packets, and the packet switch sends each of them separately from the others, potentially along different transmission paths.</w:t>
      </w:r>
      <w:r w:rsidRPr="00774EDB">
        <w:rPr>
          <w:rStyle w:val="FootnoteReference"/>
          <w:rFonts w:ascii="Times New Roman" w:hAnsi="Times New Roman" w:cs="Times New Roman"/>
          <w:sz w:val="24"/>
          <w:szCs w:val="24"/>
        </w:rPr>
        <w:footnoteReference w:id="134"/>
      </w:r>
      <w:r w:rsidRPr="00774EDB">
        <w:rPr>
          <w:rFonts w:ascii="Times New Roman" w:hAnsi="Times New Roman" w:cs="Times New Roman"/>
          <w:sz w:val="24"/>
          <w:szCs w:val="24"/>
        </w:rPr>
        <w:t xml:space="preserve"> In packet-switching technology used for broadband data transmission, all data </w:t>
      </w:r>
      <w:r w:rsidRPr="00774EDB">
        <w:rPr>
          <w:rFonts w:ascii="Times New Roman" w:hAnsi="Times New Roman" w:cs="Times New Roman"/>
          <w:sz w:val="24"/>
          <w:szCs w:val="24"/>
        </w:rPr>
        <w:lastRenderedPageBreak/>
        <w:t>packets follow the shortest possible way to arrive at the identified destination (after-by-after). This brings enormous efficiency and flexibility, enabling the network operators to manage all end-to-end data transmission within the same network management system. Packet-switched technologies are increasingly being used to carry voice, as well as data, and operators are using packet-switched architectures when modernising their backbone and access networks to NGNs.</w:t>
      </w:r>
      <w:r w:rsidRPr="00774EDB">
        <w:rPr>
          <w:rStyle w:val="FootnoteReference"/>
          <w:rFonts w:ascii="Times New Roman" w:hAnsi="Times New Roman" w:cs="Times New Roman"/>
          <w:sz w:val="24"/>
          <w:szCs w:val="24"/>
        </w:rPr>
        <w:footnoteReference w:id="135"/>
      </w:r>
    </w:p>
    <w:p w14:paraId="5848AFDB"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internet is made up of interconnected, or linked, packet-switched networks, representing the very evolution from circuit-switched networks into a globalised form. Standardised internet architecture and connectivity is also crucial for the development of NGNs. The choice of the internet as a single packet-switching technology for the ICT world has raised the need for the standardised integration of different architectures, concepts, approaches, and services found in traditional and modernised types of telecommunications.</w:t>
      </w:r>
      <w:r w:rsidRPr="00774EDB">
        <w:rPr>
          <w:rStyle w:val="FootnoteReference"/>
          <w:rFonts w:ascii="Times New Roman" w:hAnsi="Times New Roman" w:cs="Times New Roman"/>
          <w:sz w:val="24"/>
          <w:szCs w:val="24"/>
        </w:rPr>
        <w:footnoteReference w:id="136"/>
      </w:r>
      <w:r w:rsidRPr="00774EDB">
        <w:rPr>
          <w:rFonts w:ascii="Times New Roman" w:hAnsi="Times New Roman" w:cs="Times New Roman"/>
          <w:sz w:val="24"/>
          <w:szCs w:val="24"/>
        </w:rPr>
        <w:t xml:space="preserve"> Such need and accompanying efforts have ended up with the standardisation process of the so-called NGNs in the first decade of the 21</w:t>
      </w:r>
      <w:r w:rsidRPr="00774EDB">
        <w:rPr>
          <w:rFonts w:ascii="Times New Roman" w:hAnsi="Times New Roman" w:cs="Times New Roman"/>
          <w:sz w:val="24"/>
          <w:szCs w:val="24"/>
          <w:vertAlign w:val="superscript"/>
        </w:rPr>
        <w:t>st</w:t>
      </w:r>
      <w:r w:rsidRPr="00774EDB">
        <w:rPr>
          <w:rFonts w:ascii="Times New Roman" w:hAnsi="Times New Roman" w:cs="Times New Roman"/>
          <w:sz w:val="24"/>
          <w:szCs w:val="24"/>
        </w:rPr>
        <w:t xml:space="preserve"> century.</w:t>
      </w:r>
      <w:r w:rsidRPr="00774EDB">
        <w:rPr>
          <w:rStyle w:val="FootnoteReference"/>
          <w:rFonts w:ascii="Times New Roman" w:hAnsi="Times New Roman" w:cs="Times New Roman"/>
          <w:sz w:val="24"/>
          <w:szCs w:val="24"/>
        </w:rPr>
        <w:footnoteReference w:id="137"/>
      </w:r>
      <w:r w:rsidRPr="00774EDB">
        <w:rPr>
          <w:rFonts w:ascii="Times New Roman" w:hAnsi="Times New Roman" w:cs="Times New Roman"/>
          <w:sz w:val="24"/>
          <w:szCs w:val="24"/>
        </w:rPr>
        <w:t xml:space="preserve"> ITU, having a pioneering role in this process, defines “NGN” as follows:</w:t>
      </w:r>
    </w:p>
    <w:p w14:paraId="4C9BE943" w14:textId="0631BB8A" w:rsidR="00B93D63" w:rsidRPr="00774EDB" w:rsidRDefault="00B93D63" w:rsidP="00A70042">
      <w:pPr>
        <w:spacing w:before="360"/>
        <w:ind w:left="720" w:right="720"/>
        <w:jc w:val="both"/>
        <w:rPr>
          <w:rFonts w:ascii="Times New Roman" w:hAnsi="Times New Roman" w:cs="Times New Roman"/>
          <w:sz w:val="24"/>
          <w:szCs w:val="24"/>
        </w:rPr>
      </w:pPr>
      <w:r w:rsidRPr="00774EDB">
        <w:rPr>
          <w:rFonts w:ascii="Times New Roman" w:hAnsi="Times New Roman" w:cs="Times New Roman"/>
          <w:sz w:val="24"/>
          <w:szCs w:val="24"/>
        </w:rPr>
        <w:t>NGN is a packet-based network able to provide telecommunication services to users and able to make use of multiple broadband, QoS-enabled (quality of service) transport technologies and in which service-related functions are independent of the underlying transport-related technologies</w:t>
      </w:r>
      <w:r w:rsidR="002600E8">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138"/>
      </w:r>
      <w:r w:rsidRPr="00774EDB">
        <w:rPr>
          <w:rFonts w:ascii="Times New Roman" w:hAnsi="Times New Roman" w:cs="Times New Roman"/>
          <w:sz w:val="24"/>
          <w:szCs w:val="24"/>
        </w:rPr>
        <w:t xml:space="preserve">    </w:t>
      </w:r>
    </w:p>
    <w:p w14:paraId="711E7635"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While the era of broadband internet access represents a transition from application-specific homogenous service provision; traditional circuit-switched voice telephony and TV broadcasting on the one side, best-effort internet on the other, to IP-based heterogenous service provision,</w:t>
      </w:r>
      <w:r w:rsidRPr="00774EDB">
        <w:rPr>
          <w:rStyle w:val="FootnoteReference"/>
          <w:rFonts w:ascii="Times New Roman" w:hAnsi="Times New Roman" w:cs="Times New Roman"/>
          <w:sz w:val="24"/>
          <w:szCs w:val="24"/>
        </w:rPr>
        <w:footnoteReference w:id="139"/>
      </w:r>
      <w:r w:rsidRPr="00774EDB">
        <w:rPr>
          <w:rFonts w:ascii="Times New Roman" w:hAnsi="Times New Roman" w:cs="Times New Roman"/>
          <w:sz w:val="24"/>
          <w:szCs w:val="24"/>
        </w:rPr>
        <w:t xml:space="preserve"> with the emergence of NGNs means standardised QoS-based networking capabilities furthering the so-called transition.</w:t>
      </w:r>
      <w:r w:rsidRPr="00774EDB">
        <w:rPr>
          <w:rStyle w:val="FootnoteReference"/>
          <w:rFonts w:ascii="Times New Roman" w:hAnsi="Times New Roman" w:cs="Times New Roman"/>
          <w:sz w:val="24"/>
          <w:szCs w:val="24"/>
        </w:rPr>
        <w:footnoteReference w:id="140"/>
      </w:r>
      <w:r w:rsidRPr="00774EDB">
        <w:rPr>
          <w:rFonts w:ascii="Times New Roman" w:hAnsi="Times New Roman" w:cs="Times New Roman"/>
          <w:sz w:val="24"/>
          <w:szCs w:val="24"/>
        </w:rPr>
        <w:t xml:space="preserve"> The most prominent and innovative aspect of these newly emerging networks is their potential to drive the all-IP migration based on the QoS parameters.</w:t>
      </w:r>
    </w:p>
    <w:p w14:paraId="63C261AF" w14:textId="77777777" w:rsidR="00B93D63" w:rsidRPr="00774EDB" w:rsidRDefault="00B93D6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NGNs, whether fixed or mobile, represent a new upgrade of networking technologies, if not a revolution.</w:t>
      </w:r>
      <w:r w:rsidRPr="00774EDB">
        <w:rPr>
          <w:rStyle w:val="FootnoteAnchor"/>
          <w:rFonts w:ascii="Times New Roman" w:hAnsi="Times New Roman" w:cs="Times New Roman"/>
          <w:sz w:val="24"/>
          <w:szCs w:val="24"/>
        </w:rPr>
        <w:footnoteReference w:id="141"/>
      </w:r>
      <w:r w:rsidRPr="00774EDB">
        <w:rPr>
          <w:rFonts w:ascii="Times New Roman" w:hAnsi="Times New Roman" w:cs="Times New Roman"/>
          <w:sz w:val="24"/>
          <w:szCs w:val="24"/>
        </w:rPr>
        <w:t xml:space="preserve"> </w:t>
      </w:r>
      <w:r w:rsidR="00610FA4" w:rsidRPr="00774EDB">
        <w:rPr>
          <w:rFonts w:ascii="Times New Roman" w:hAnsi="Times New Roman" w:cs="Times New Roman"/>
          <w:sz w:val="24"/>
          <w:szCs w:val="24"/>
        </w:rPr>
        <w:t>S</w:t>
      </w:r>
      <w:r w:rsidRPr="00774EDB">
        <w:rPr>
          <w:rFonts w:ascii="Times New Roman" w:hAnsi="Times New Roman" w:cs="Times New Roman"/>
          <w:sz w:val="24"/>
          <w:szCs w:val="24"/>
        </w:rPr>
        <w:t xml:space="preserve">ignificant changes </w:t>
      </w:r>
      <w:r w:rsidR="00610FA4" w:rsidRPr="00774EDB">
        <w:rPr>
          <w:rFonts w:ascii="Times New Roman" w:hAnsi="Times New Roman" w:cs="Times New Roman"/>
          <w:sz w:val="24"/>
          <w:szCs w:val="24"/>
        </w:rPr>
        <w:t xml:space="preserve">are </w:t>
      </w:r>
      <w:r w:rsidRPr="00774EDB">
        <w:rPr>
          <w:rFonts w:ascii="Times New Roman" w:hAnsi="Times New Roman" w:cs="Times New Roman"/>
          <w:sz w:val="24"/>
          <w:szCs w:val="24"/>
        </w:rPr>
        <w:t xml:space="preserve">brought about by the NGNs surrounding </w:t>
      </w:r>
      <w:r w:rsidRPr="00774EDB">
        <w:rPr>
          <w:rFonts w:ascii="Times New Roman" w:hAnsi="Times New Roman" w:cs="Times New Roman"/>
          <w:i/>
          <w:sz w:val="24"/>
          <w:szCs w:val="24"/>
        </w:rPr>
        <w:t>decoupling</w:t>
      </w:r>
      <w:r w:rsidRPr="00774EDB">
        <w:rPr>
          <w:rFonts w:ascii="Times New Roman" w:hAnsi="Times New Roman" w:cs="Times New Roman"/>
          <w:sz w:val="24"/>
          <w:szCs w:val="24"/>
        </w:rPr>
        <w:t xml:space="preserve"> of the services from the networking and accompanying advantages that enable the service providers to provide multiple service packages, consisting of voice, data and video, in a far more efficient and high-speed manner.</w:t>
      </w:r>
      <w:r w:rsidRPr="00774EDB">
        <w:rPr>
          <w:rStyle w:val="FootnoteReference"/>
          <w:rFonts w:ascii="Times New Roman" w:hAnsi="Times New Roman" w:cs="Times New Roman"/>
          <w:sz w:val="24"/>
          <w:szCs w:val="24"/>
        </w:rPr>
        <w:footnoteReference w:id="142"/>
      </w:r>
      <w:r w:rsidRPr="00774EDB">
        <w:rPr>
          <w:rFonts w:ascii="Times New Roman" w:hAnsi="Times New Roman" w:cs="Times New Roman"/>
          <w:sz w:val="24"/>
          <w:szCs w:val="24"/>
        </w:rPr>
        <w:t xml:space="preserve"> In a NGN environment, networks are simply configured to convey data, while services are controlled by software programs embedded in ubiquitous computers.</w:t>
      </w:r>
      <w:r w:rsidRPr="00774EDB">
        <w:rPr>
          <w:rStyle w:val="FootnoteReference"/>
          <w:rFonts w:ascii="Times New Roman" w:hAnsi="Times New Roman" w:cs="Times New Roman"/>
          <w:sz w:val="24"/>
          <w:szCs w:val="24"/>
        </w:rPr>
        <w:footnoteReference w:id="143"/>
      </w:r>
      <w:r w:rsidRPr="00774EDB">
        <w:rPr>
          <w:rFonts w:ascii="Times New Roman" w:hAnsi="Times New Roman" w:cs="Times New Roman"/>
          <w:sz w:val="24"/>
          <w:szCs w:val="24"/>
        </w:rPr>
        <w:t xml:space="preserve"> This process, echoed with the ‘decoupling’, facilitating triple or quadruple play service provision, enables third party application service providers to more effectively compete with the operator of the physical network in the provision of services.</w:t>
      </w:r>
      <w:r w:rsidRPr="00774EDB">
        <w:rPr>
          <w:rStyle w:val="FootnoteReference"/>
          <w:rFonts w:ascii="Times New Roman" w:hAnsi="Times New Roman" w:cs="Times New Roman"/>
          <w:sz w:val="24"/>
          <w:szCs w:val="24"/>
        </w:rPr>
        <w:footnoteReference w:id="144"/>
      </w:r>
      <w:r w:rsidRPr="00774EDB">
        <w:rPr>
          <w:rFonts w:ascii="Times New Roman" w:hAnsi="Times New Roman" w:cs="Times New Roman"/>
          <w:sz w:val="24"/>
          <w:szCs w:val="24"/>
        </w:rPr>
        <w:t xml:space="preserve"> All these developments </w:t>
      </w:r>
      <w:r w:rsidRPr="00774EDB">
        <w:rPr>
          <w:rFonts w:ascii="Times New Roman" w:hAnsi="Times New Roman" w:cs="Times New Roman"/>
          <w:sz w:val="24"/>
          <w:szCs w:val="24"/>
        </w:rPr>
        <w:lastRenderedPageBreak/>
        <w:t>denote the trajectory of how the IP convergence evolves along with the modernisation of networks.</w:t>
      </w:r>
      <w:r w:rsidRPr="00774EDB">
        <w:rPr>
          <w:rFonts w:ascii="Times New Roman" w:hAnsi="Times New Roman" w:cs="Times New Roman"/>
          <w:sz w:val="24"/>
          <w:szCs w:val="24"/>
          <w:lang w:eastAsia="en-GB"/>
        </w:rPr>
        <w:t xml:space="preserve"> </w:t>
      </w:r>
    </w:p>
    <w:p w14:paraId="332A55E2" w14:textId="159150B8" w:rsidR="001A72D1" w:rsidRDefault="001A72D1">
      <w:pPr>
        <w:rPr>
          <w:rFonts w:ascii="Times New Roman" w:eastAsiaTheme="majorEastAsia" w:hAnsi="Times New Roman" w:cs="Times New Roman"/>
          <w:color w:val="2E74B5" w:themeColor="accent1" w:themeShade="BF"/>
          <w:sz w:val="24"/>
          <w:szCs w:val="24"/>
        </w:rPr>
      </w:pPr>
      <w:r>
        <w:rPr>
          <w:rFonts w:ascii="Times New Roman" w:hAnsi="Times New Roman" w:cs="Times New Roman"/>
          <w:sz w:val="24"/>
          <w:szCs w:val="24"/>
        </w:rPr>
        <w:br w:type="page"/>
      </w:r>
    </w:p>
    <w:p w14:paraId="02D25054" w14:textId="2D7601FC" w:rsidR="001A72D1" w:rsidRDefault="001A72D1">
      <w:pPr>
        <w:rPr>
          <w:rFonts w:ascii="Times New Roman" w:eastAsiaTheme="majorEastAsia" w:hAnsi="Times New Roman" w:cs="Times New Roman"/>
          <w:color w:val="2E74B5" w:themeColor="accent1" w:themeShade="BF"/>
          <w:sz w:val="24"/>
          <w:szCs w:val="24"/>
        </w:rPr>
      </w:pPr>
      <w:r>
        <w:rPr>
          <w:rFonts w:ascii="Times New Roman" w:hAnsi="Times New Roman" w:cs="Times New Roman"/>
          <w:sz w:val="24"/>
          <w:szCs w:val="24"/>
        </w:rPr>
        <w:lastRenderedPageBreak/>
        <w:br w:type="page"/>
      </w:r>
    </w:p>
    <w:p w14:paraId="7A2D9ABC" w14:textId="77777777" w:rsidR="00B93D63" w:rsidRPr="00774EDB" w:rsidRDefault="00B93D63" w:rsidP="00A70042">
      <w:pPr>
        <w:pStyle w:val="Heading1"/>
        <w:numPr>
          <w:ilvl w:val="0"/>
          <w:numId w:val="5"/>
        </w:numPr>
        <w:spacing w:before="360"/>
        <w:jc w:val="both"/>
        <w:rPr>
          <w:rFonts w:ascii="Times New Roman" w:hAnsi="Times New Roman" w:cs="Times New Roman"/>
          <w:b/>
          <w:color w:val="auto"/>
          <w:sz w:val="24"/>
          <w:szCs w:val="24"/>
        </w:rPr>
      </w:pPr>
      <w:bookmarkStart w:id="187" w:name="_Toc17611364"/>
      <w:bookmarkStart w:id="188" w:name="_Toc17611581"/>
      <w:bookmarkStart w:id="189" w:name="_Toc17611793"/>
      <w:bookmarkStart w:id="190" w:name="_Toc17612007"/>
      <w:bookmarkStart w:id="191" w:name="_Toc17612220"/>
      <w:bookmarkStart w:id="192" w:name="_Toc11400627"/>
      <w:bookmarkStart w:id="193" w:name="_Toc17611365"/>
      <w:bookmarkStart w:id="194" w:name="_Toc53576035"/>
      <w:bookmarkEnd w:id="187"/>
      <w:bookmarkEnd w:id="188"/>
      <w:bookmarkEnd w:id="189"/>
      <w:bookmarkEnd w:id="190"/>
      <w:bookmarkEnd w:id="191"/>
      <w:r w:rsidRPr="00774EDB">
        <w:rPr>
          <w:rFonts w:ascii="Times New Roman" w:hAnsi="Times New Roman" w:cs="Times New Roman"/>
          <w:b/>
          <w:color w:val="auto"/>
          <w:sz w:val="24"/>
          <w:szCs w:val="24"/>
        </w:rPr>
        <w:lastRenderedPageBreak/>
        <w:t>Legal regulation of interoperability</w:t>
      </w:r>
      <w:bookmarkEnd w:id="192"/>
      <w:bookmarkEnd w:id="193"/>
      <w:bookmarkEnd w:id="194"/>
    </w:p>
    <w:p w14:paraId="14F47CA0" w14:textId="77777777" w:rsidR="00B93D63" w:rsidRPr="00774EDB" w:rsidRDefault="00B93D63" w:rsidP="00A70042">
      <w:pPr>
        <w:pStyle w:val="Heading2"/>
        <w:numPr>
          <w:ilvl w:val="1"/>
          <w:numId w:val="5"/>
        </w:numPr>
        <w:spacing w:before="360"/>
        <w:ind w:left="0" w:firstLine="0"/>
        <w:jc w:val="both"/>
        <w:rPr>
          <w:rFonts w:ascii="Times New Roman" w:hAnsi="Times New Roman" w:cs="Times New Roman"/>
          <w:b/>
          <w:color w:val="auto"/>
          <w:sz w:val="24"/>
          <w:szCs w:val="24"/>
        </w:rPr>
      </w:pPr>
      <w:bookmarkStart w:id="195" w:name="_Toc17611366"/>
      <w:bookmarkStart w:id="196" w:name="_Toc17611583"/>
      <w:bookmarkStart w:id="197" w:name="_Toc17611795"/>
      <w:bookmarkStart w:id="198" w:name="_Toc17612009"/>
      <w:bookmarkStart w:id="199" w:name="_Toc17612222"/>
      <w:bookmarkStart w:id="200" w:name="_Toc11400628"/>
      <w:bookmarkStart w:id="201" w:name="_Toc17611367"/>
      <w:bookmarkStart w:id="202" w:name="_Toc53576036"/>
      <w:bookmarkEnd w:id="195"/>
      <w:bookmarkEnd w:id="196"/>
      <w:bookmarkEnd w:id="197"/>
      <w:bookmarkEnd w:id="198"/>
      <w:bookmarkEnd w:id="199"/>
      <w:r w:rsidRPr="00774EDB">
        <w:rPr>
          <w:rFonts w:ascii="Times New Roman" w:hAnsi="Times New Roman" w:cs="Times New Roman"/>
          <w:b/>
          <w:color w:val="auto"/>
          <w:sz w:val="24"/>
          <w:szCs w:val="24"/>
        </w:rPr>
        <w:t>General overview</w:t>
      </w:r>
      <w:bookmarkEnd w:id="200"/>
      <w:bookmarkEnd w:id="201"/>
      <w:bookmarkEnd w:id="202"/>
    </w:p>
    <w:p w14:paraId="62582716" w14:textId="77777777" w:rsidR="00B93D63" w:rsidRPr="00774EDB" w:rsidRDefault="00B93D63" w:rsidP="00A70042">
      <w:pPr>
        <w:pStyle w:val="Heading3"/>
        <w:numPr>
          <w:ilvl w:val="2"/>
          <w:numId w:val="5"/>
        </w:numPr>
        <w:spacing w:before="360"/>
        <w:ind w:left="0" w:firstLine="0"/>
        <w:jc w:val="both"/>
        <w:rPr>
          <w:rFonts w:ascii="Times New Roman" w:hAnsi="Times New Roman" w:cs="Times New Roman"/>
          <w:b/>
          <w:color w:val="auto"/>
        </w:rPr>
      </w:pPr>
      <w:bookmarkStart w:id="203" w:name="_Toc17611368"/>
      <w:bookmarkStart w:id="204" w:name="_Toc17611585"/>
      <w:bookmarkStart w:id="205" w:name="_Toc17611797"/>
      <w:bookmarkStart w:id="206" w:name="_Toc17612011"/>
      <w:bookmarkStart w:id="207" w:name="_Toc17612224"/>
      <w:bookmarkStart w:id="208" w:name="_Toc11400629"/>
      <w:bookmarkStart w:id="209" w:name="_Toc17611369"/>
      <w:bookmarkStart w:id="210" w:name="_Toc53576037"/>
      <w:bookmarkEnd w:id="203"/>
      <w:bookmarkEnd w:id="204"/>
      <w:bookmarkEnd w:id="205"/>
      <w:bookmarkEnd w:id="206"/>
      <w:bookmarkEnd w:id="207"/>
      <w:r w:rsidRPr="00774EDB">
        <w:rPr>
          <w:rFonts w:ascii="Times New Roman" w:hAnsi="Times New Roman" w:cs="Times New Roman"/>
          <w:b/>
          <w:color w:val="auto"/>
        </w:rPr>
        <w:t>Interoperability debate</w:t>
      </w:r>
      <w:bookmarkEnd w:id="208"/>
      <w:bookmarkEnd w:id="209"/>
      <w:bookmarkEnd w:id="210"/>
      <w:r w:rsidRPr="00774EDB">
        <w:rPr>
          <w:rFonts w:ascii="Times New Roman" w:hAnsi="Times New Roman" w:cs="Times New Roman"/>
          <w:b/>
          <w:color w:val="auto"/>
        </w:rPr>
        <w:t xml:space="preserve"> </w:t>
      </w:r>
    </w:p>
    <w:p w14:paraId="3EF3913B" w14:textId="7C3C90D9"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As many firms attempt to exercise proprietary control over the interfaces they run, how to ensure interoperability becomes </w:t>
      </w:r>
      <w:r w:rsidR="00932D48">
        <w:rPr>
          <w:rFonts w:ascii="Times New Roman" w:hAnsi="Times New Roman" w:cs="Times New Roman"/>
          <w:sz w:val="24"/>
          <w:szCs w:val="24"/>
        </w:rPr>
        <w:t>one of the</w:t>
      </w:r>
      <w:r w:rsidR="00932D48" w:rsidRPr="00774EDB">
        <w:rPr>
          <w:rFonts w:ascii="Times New Roman" w:hAnsi="Times New Roman" w:cs="Times New Roman"/>
          <w:sz w:val="24"/>
          <w:szCs w:val="24"/>
        </w:rPr>
        <w:t xml:space="preserve"> </w:t>
      </w:r>
      <w:r w:rsidR="00133E47">
        <w:rPr>
          <w:rFonts w:ascii="Times New Roman" w:hAnsi="Times New Roman" w:cs="Times New Roman"/>
          <w:sz w:val="24"/>
          <w:szCs w:val="24"/>
        </w:rPr>
        <w:t>Gordion knot</w:t>
      </w:r>
      <w:r w:rsidR="00932D48">
        <w:rPr>
          <w:rFonts w:ascii="Times New Roman" w:hAnsi="Times New Roman" w:cs="Times New Roman"/>
          <w:sz w:val="24"/>
          <w:szCs w:val="24"/>
        </w:rPr>
        <w:t>s to be solved</w:t>
      </w:r>
      <w:r w:rsidRPr="00774EDB">
        <w:rPr>
          <w:rFonts w:ascii="Times New Roman" w:hAnsi="Times New Roman" w:cs="Times New Roman"/>
          <w:sz w:val="24"/>
          <w:szCs w:val="24"/>
        </w:rPr>
        <w:t xml:space="preserve"> in </w:t>
      </w:r>
      <w:r w:rsidR="00A57DE6" w:rsidRPr="00774EDB">
        <w:rPr>
          <w:rFonts w:ascii="Times New Roman" w:hAnsi="Times New Roman" w:cs="Times New Roman"/>
          <w:sz w:val="24"/>
          <w:szCs w:val="24"/>
        </w:rPr>
        <w:t>the field of</w:t>
      </w:r>
      <w:r w:rsidR="001D240E" w:rsidRPr="00774EDB">
        <w:rPr>
          <w:rFonts w:ascii="Times New Roman" w:hAnsi="Times New Roman" w:cs="Times New Roman"/>
          <w:sz w:val="24"/>
          <w:szCs w:val="24"/>
        </w:rPr>
        <w:t xml:space="preserve"> ICT</w:t>
      </w:r>
      <w:r w:rsidRPr="00774EDB">
        <w:rPr>
          <w:rFonts w:ascii="Times New Roman" w:hAnsi="Times New Roman" w:cs="Times New Roman"/>
          <w:sz w:val="24"/>
          <w:szCs w:val="24"/>
        </w:rPr>
        <w:t>. Crucially, interoperability information is non-rivalrous in many cases,</w:t>
      </w:r>
      <w:r w:rsidRPr="00774EDB">
        <w:rPr>
          <w:rStyle w:val="FootnoteReference"/>
          <w:rFonts w:ascii="Times New Roman" w:hAnsi="Times New Roman" w:cs="Times New Roman"/>
          <w:sz w:val="24"/>
          <w:szCs w:val="24"/>
        </w:rPr>
        <w:footnoteReference w:id="145"/>
      </w:r>
      <w:r w:rsidRPr="00774EDB">
        <w:rPr>
          <w:rFonts w:ascii="Times New Roman" w:hAnsi="Times New Roman" w:cs="Times New Roman"/>
          <w:sz w:val="24"/>
          <w:szCs w:val="24"/>
        </w:rPr>
        <w:t xml:space="preserve"> potentially drawing the boundaries of follow-on innovation and </w:t>
      </w:r>
      <w:r w:rsidR="00105AE3">
        <w:rPr>
          <w:rFonts w:ascii="Times New Roman" w:hAnsi="Times New Roman" w:cs="Times New Roman"/>
          <w:sz w:val="24"/>
          <w:szCs w:val="24"/>
        </w:rPr>
        <w:t xml:space="preserve">market </w:t>
      </w:r>
      <w:r w:rsidRPr="00774EDB">
        <w:rPr>
          <w:rFonts w:ascii="Times New Roman" w:hAnsi="Times New Roman" w:cs="Times New Roman"/>
          <w:sz w:val="24"/>
          <w:szCs w:val="24"/>
        </w:rPr>
        <w:t xml:space="preserve">competition. </w:t>
      </w:r>
      <w:r w:rsidR="00932D48">
        <w:rPr>
          <w:rFonts w:ascii="Times New Roman" w:hAnsi="Times New Roman" w:cs="Times New Roman"/>
          <w:sz w:val="24"/>
          <w:szCs w:val="24"/>
        </w:rPr>
        <w:t xml:space="preserve">From a broader perspective, one could also say that transmission of information to the third parties </w:t>
      </w:r>
      <w:r w:rsidR="00105AE3">
        <w:rPr>
          <w:rFonts w:ascii="Times New Roman" w:hAnsi="Times New Roman" w:cs="Times New Roman"/>
          <w:sz w:val="24"/>
          <w:szCs w:val="24"/>
        </w:rPr>
        <w:t xml:space="preserve">in an uninterrupted and seamless way </w:t>
      </w:r>
      <w:r w:rsidR="00932D48">
        <w:rPr>
          <w:rFonts w:ascii="Times New Roman" w:hAnsi="Times New Roman" w:cs="Times New Roman"/>
          <w:sz w:val="24"/>
          <w:szCs w:val="24"/>
        </w:rPr>
        <w:t xml:space="preserve">would serve a great many concerns being resolved surrounding cultural freedom and social production. On the other hand, interoperability debate </w:t>
      </w:r>
      <w:r w:rsidR="002D4F0D">
        <w:rPr>
          <w:rFonts w:ascii="Times New Roman" w:hAnsi="Times New Roman" w:cs="Times New Roman"/>
          <w:sz w:val="24"/>
          <w:szCs w:val="24"/>
        </w:rPr>
        <w:t xml:space="preserve">and related solutions </w:t>
      </w:r>
      <w:r w:rsidR="00932D48">
        <w:rPr>
          <w:rFonts w:ascii="Times New Roman" w:hAnsi="Times New Roman" w:cs="Times New Roman"/>
          <w:sz w:val="24"/>
          <w:szCs w:val="24"/>
        </w:rPr>
        <w:t xml:space="preserve">seem to have been </w:t>
      </w:r>
      <w:r w:rsidR="002D4F0D">
        <w:rPr>
          <w:rFonts w:ascii="Times New Roman" w:hAnsi="Times New Roman" w:cs="Times New Roman"/>
          <w:sz w:val="24"/>
          <w:szCs w:val="24"/>
        </w:rPr>
        <w:t>portray</w:t>
      </w:r>
      <w:r w:rsidR="00932D48">
        <w:rPr>
          <w:rFonts w:ascii="Times New Roman" w:hAnsi="Times New Roman" w:cs="Times New Roman"/>
          <w:sz w:val="24"/>
          <w:szCs w:val="24"/>
        </w:rPr>
        <w:t xml:space="preserve">ed within </w:t>
      </w:r>
      <w:r w:rsidR="004815FD">
        <w:rPr>
          <w:rFonts w:ascii="Times New Roman" w:hAnsi="Times New Roman" w:cs="Times New Roman"/>
          <w:sz w:val="24"/>
          <w:szCs w:val="24"/>
        </w:rPr>
        <w:t>as</w:t>
      </w:r>
      <w:r w:rsidR="00932D48">
        <w:rPr>
          <w:rFonts w:ascii="Times New Roman" w:hAnsi="Times New Roman" w:cs="Times New Roman"/>
          <w:sz w:val="24"/>
          <w:szCs w:val="24"/>
        </w:rPr>
        <w:t>certain</w:t>
      </w:r>
      <w:r w:rsidR="004815FD">
        <w:rPr>
          <w:rFonts w:ascii="Times New Roman" w:hAnsi="Times New Roman" w:cs="Times New Roman"/>
          <w:sz w:val="24"/>
          <w:szCs w:val="24"/>
        </w:rPr>
        <w:t>ed</w:t>
      </w:r>
      <w:r w:rsidR="00932D48">
        <w:rPr>
          <w:rFonts w:ascii="Times New Roman" w:hAnsi="Times New Roman" w:cs="Times New Roman"/>
          <w:sz w:val="24"/>
          <w:szCs w:val="24"/>
        </w:rPr>
        <w:t xml:space="preserve"> boundaries </w:t>
      </w:r>
      <w:r w:rsidR="004815FD">
        <w:rPr>
          <w:rFonts w:ascii="Times New Roman" w:hAnsi="Times New Roman" w:cs="Times New Roman"/>
          <w:sz w:val="24"/>
          <w:szCs w:val="24"/>
        </w:rPr>
        <w:t>of each body of law</w:t>
      </w:r>
      <w:r w:rsidR="00932D48">
        <w:rPr>
          <w:rFonts w:ascii="Times New Roman" w:hAnsi="Times New Roman" w:cs="Times New Roman"/>
          <w:sz w:val="24"/>
          <w:szCs w:val="24"/>
        </w:rPr>
        <w:t xml:space="preserve">, </w:t>
      </w:r>
      <w:r w:rsidR="002D4F0D">
        <w:rPr>
          <w:rFonts w:ascii="Times New Roman" w:hAnsi="Times New Roman" w:cs="Times New Roman"/>
          <w:sz w:val="24"/>
          <w:szCs w:val="24"/>
        </w:rPr>
        <w:t>i.e. under IPR, competition and sector-specific rules.</w:t>
      </w:r>
      <w:r w:rsidRPr="00774EDB">
        <w:rPr>
          <w:rFonts w:ascii="Times New Roman" w:hAnsi="Times New Roman" w:cs="Times New Roman"/>
          <w:sz w:val="24"/>
          <w:szCs w:val="24"/>
        </w:rPr>
        <w:t xml:space="preserve"> </w:t>
      </w:r>
    </w:p>
    <w:p w14:paraId="15E213A0" w14:textId="3B50ADCF"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From the IPR viewpoint, the interoperability debate </w:t>
      </w:r>
      <w:r w:rsidR="007617E2">
        <w:rPr>
          <w:rFonts w:ascii="Times New Roman" w:hAnsi="Times New Roman" w:cs="Times New Roman"/>
          <w:sz w:val="24"/>
          <w:szCs w:val="24"/>
        </w:rPr>
        <w:t>basically means</w:t>
      </w:r>
      <w:r w:rsidRPr="00774EDB">
        <w:rPr>
          <w:rFonts w:ascii="Times New Roman" w:hAnsi="Times New Roman" w:cs="Times New Roman"/>
          <w:sz w:val="24"/>
          <w:szCs w:val="24"/>
        </w:rPr>
        <w:t xml:space="preserve"> whether and to what extent copyright or patent or trade</w:t>
      </w:r>
      <w:r w:rsidR="00A57DE6" w:rsidRPr="00774EDB">
        <w:rPr>
          <w:rFonts w:ascii="Times New Roman" w:hAnsi="Times New Roman" w:cs="Times New Roman"/>
          <w:sz w:val="24"/>
          <w:szCs w:val="24"/>
        </w:rPr>
        <w:t xml:space="preserve"> secret</w:t>
      </w:r>
      <w:r w:rsidRPr="00774EDB">
        <w:rPr>
          <w:rFonts w:ascii="Times New Roman" w:hAnsi="Times New Roman" w:cs="Times New Roman"/>
          <w:sz w:val="24"/>
          <w:szCs w:val="24"/>
        </w:rPr>
        <w:t xml:space="preserve"> holders ought to permit their IPR-protected assets being used/accessed by third parties. Not only IPRs themselves, but also DRMs and TPMs, which are categorised differently </w:t>
      </w:r>
      <w:r w:rsidR="00F4149F">
        <w:rPr>
          <w:rFonts w:ascii="Times New Roman" w:hAnsi="Times New Roman" w:cs="Times New Roman"/>
          <w:sz w:val="24"/>
          <w:szCs w:val="24"/>
        </w:rPr>
        <w:t xml:space="preserve">yet </w:t>
      </w:r>
      <w:r w:rsidR="00D13037">
        <w:rPr>
          <w:rFonts w:ascii="Times New Roman" w:hAnsi="Times New Roman" w:cs="Times New Roman"/>
          <w:sz w:val="24"/>
          <w:szCs w:val="24"/>
        </w:rPr>
        <w:t xml:space="preserve">legally </w:t>
      </w:r>
      <w:r w:rsidR="00F4149F">
        <w:rPr>
          <w:rFonts w:ascii="Times New Roman" w:hAnsi="Times New Roman" w:cs="Times New Roman"/>
          <w:sz w:val="24"/>
          <w:szCs w:val="24"/>
        </w:rPr>
        <w:t>protected</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146"/>
      </w:r>
      <w:r w:rsidRPr="00774EDB">
        <w:rPr>
          <w:rFonts w:ascii="Times New Roman" w:hAnsi="Times New Roman" w:cs="Times New Roman"/>
          <w:sz w:val="24"/>
          <w:szCs w:val="24"/>
        </w:rPr>
        <w:t xml:space="preserve"> exemplify </w:t>
      </w:r>
      <w:r w:rsidR="005A2E3E">
        <w:rPr>
          <w:rFonts w:ascii="Times New Roman" w:hAnsi="Times New Roman" w:cs="Times New Roman"/>
          <w:sz w:val="24"/>
          <w:szCs w:val="24"/>
        </w:rPr>
        <w:t xml:space="preserve">the </w:t>
      </w:r>
      <w:r w:rsidRPr="00774EDB">
        <w:rPr>
          <w:rFonts w:ascii="Times New Roman" w:hAnsi="Times New Roman" w:cs="Times New Roman"/>
          <w:sz w:val="24"/>
          <w:szCs w:val="24"/>
        </w:rPr>
        <w:t xml:space="preserve">tools for </w:t>
      </w:r>
      <w:r w:rsidR="005A2E3E" w:rsidRPr="00774EDB">
        <w:rPr>
          <w:rFonts w:ascii="Times New Roman" w:hAnsi="Times New Roman" w:cs="Times New Roman"/>
          <w:sz w:val="24"/>
          <w:szCs w:val="24"/>
        </w:rPr>
        <w:t xml:space="preserve">retaining </w:t>
      </w:r>
      <w:r w:rsidRPr="00774EDB">
        <w:rPr>
          <w:rFonts w:ascii="Times New Roman" w:hAnsi="Times New Roman" w:cs="Times New Roman"/>
          <w:sz w:val="24"/>
          <w:szCs w:val="24"/>
        </w:rPr>
        <w:t>the interfaces, via which incumbent firms could close up their systems to third parties. This however would mean technologically blocking new entries</w:t>
      </w:r>
      <w:r w:rsidR="005A2E3E">
        <w:rPr>
          <w:rFonts w:ascii="Times New Roman" w:hAnsi="Times New Roman" w:cs="Times New Roman"/>
          <w:sz w:val="24"/>
          <w:szCs w:val="24"/>
        </w:rPr>
        <w:t xml:space="preserve"> and/or derivative products</w:t>
      </w:r>
      <w:r w:rsidRPr="00774EDB">
        <w:rPr>
          <w:rFonts w:ascii="Times New Roman" w:hAnsi="Times New Roman" w:cs="Times New Roman"/>
          <w:sz w:val="24"/>
          <w:szCs w:val="24"/>
        </w:rPr>
        <w:t xml:space="preserve">, particularly when IPR-protected </w:t>
      </w:r>
      <w:r w:rsidR="005A2E3E">
        <w:rPr>
          <w:rFonts w:ascii="Times New Roman" w:hAnsi="Times New Roman" w:cs="Times New Roman"/>
          <w:sz w:val="24"/>
          <w:szCs w:val="24"/>
        </w:rPr>
        <w:t>asse</w:t>
      </w:r>
      <w:r w:rsidRPr="00774EDB">
        <w:rPr>
          <w:rFonts w:ascii="Times New Roman" w:hAnsi="Times New Roman" w:cs="Times New Roman"/>
          <w:sz w:val="24"/>
          <w:szCs w:val="24"/>
        </w:rPr>
        <w:t>ts de</w:t>
      </w:r>
      <w:r w:rsidR="005A2E3E">
        <w:rPr>
          <w:rFonts w:ascii="Times New Roman" w:hAnsi="Times New Roman" w:cs="Times New Roman"/>
          <w:sz w:val="24"/>
          <w:szCs w:val="24"/>
        </w:rPr>
        <w:t>pict</w:t>
      </w:r>
      <w:r w:rsidRPr="00774EDB">
        <w:rPr>
          <w:rFonts w:ascii="Times New Roman" w:hAnsi="Times New Roman" w:cs="Times New Roman"/>
          <w:sz w:val="24"/>
          <w:szCs w:val="24"/>
        </w:rPr>
        <w:t xml:space="preserve"> a marketplace.  </w:t>
      </w:r>
    </w:p>
    <w:p w14:paraId="2EA0D31E" w14:textId="73FEA3CB" w:rsidR="00D33FCD" w:rsidRPr="00774EDB" w:rsidRDefault="005A2E3E" w:rsidP="00A70042">
      <w:pPr>
        <w:spacing w:before="360"/>
        <w:jc w:val="both"/>
        <w:rPr>
          <w:rFonts w:ascii="Times New Roman" w:hAnsi="Times New Roman" w:cs="Times New Roman"/>
          <w:sz w:val="24"/>
          <w:szCs w:val="24"/>
        </w:rPr>
      </w:pPr>
      <w:r>
        <w:rPr>
          <w:rFonts w:ascii="Times New Roman" w:hAnsi="Times New Roman" w:cs="Times New Roman"/>
          <w:sz w:val="24"/>
          <w:szCs w:val="24"/>
        </w:rPr>
        <w:lastRenderedPageBreak/>
        <w:t>Against this background</w:t>
      </w:r>
      <w:r w:rsidR="00D33FCD" w:rsidRPr="00774EDB">
        <w:rPr>
          <w:rFonts w:ascii="Times New Roman" w:hAnsi="Times New Roman" w:cs="Times New Roman"/>
          <w:sz w:val="24"/>
          <w:szCs w:val="24"/>
        </w:rPr>
        <w:t xml:space="preserve">, </w:t>
      </w:r>
      <w:r>
        <w:rPr>
          <w:rFonts w:ascii="Times New Roman" w:hAnsi="Times New Roman" w:cs="Times New Roman"/>
          <w:sz w:val="24"/>
          <w:szCs w:val="24"/>
        </w:rPr>
        <w:t xml:space="preserve">it becomes questionable when the </w:t>
      </w:r>
      <w:r w:rsidR="00D33FCD" w:rsidRPr="00774EDB">
        <w:rPr>
          <w:rFonts w:ascii="Times New Roman" w:hAnsi="Times New Roman" w:cs="Times New Roman"/>
          <w:sz w:val="24"/>
          <w:szCs w:val="24"/>
        </w:rPr>
        <w:t>rights holders conceal the interface specifications by distributing software only in object code, and using legal mechanisms e.g. copyright, patent, and anti-circumvention laws to prevent any decryption or decompilation which aims at uncovering such specifications.</w:t>
      </w:r>
      <w:r w:rsidR="00D33FCD" w:rsidRPr="00774EDB">
        <w:rPr>
          <w:rStyle w:val="FootnoteReference"/>
          <w:rFonts w:ascii="Times New Roman" w:hAnsi="Times New Roman" w:cs="Times New Roman"/>
          <w:sz w:val="24"/>
          <w:szCs w:val="24"/>
        </w:rPr>
        <w:footnoteReference w:id="147"/>
      </w:r>
      <w:r w:rsidR="00D33FCD" w:rsidRPr="00774EDB">
        <w:rPr>
          <w:rFonts w:ascii="Times New Roman" w:hAnsi="Times New Roman" w:cs="Times New Roman"/>
          <w:sz w:val="24"/>
          <w:szCs w:val="24"/>
        </w:rPr>
        <w:t xml:space="preserve"> Therefore, the issue from the IPR perspective revolves around how IPR exceptions are established statutorily and by precedents, incorporating the counter-legal mechanisms that would preclude reverse engineering, etc. </w:t>
      </w:r>
    </w:p>
    <w:p w14:paraId="4487F5E4" w14:textId="3CD4F8EE"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the competition law perspective, the question turns into whether lack of interoperability in different settings e.g. abuse of dominance, collaborative and concentrative acts would result in exclusion of the potential or actual competitors in an ICT market - which would presumably be occupied by dominant firm(s) that rely on critical (</w:t>
      </w:r>
      <w:r w:rsidR="007617E2">
        <w:rPr>
          <w:rFonts w:ascii="Times New Roman" w:hAnsi="Times New Roman" w:cs="Times New Roman"/>
          <w:sz w:val="24"/>
          <w:szCs w:val="24"/>
        </w:rPr>
        <w:t xml:space="preserve">often </w:t>
      </w:r>
      <w:r w:rsidRPr="00774EDB">
        <w:rPr>
          <w:rFonts w:ascii="Times New Roman" w:hAnsi="Times New Roman" w:cs="Times New Roman"/>
          <w:sz w:val="24"/>
          <w:szCs w:val="24"/>
        </w:rPr>
        <w:t xml:space="preserve">IPR-protected) assets, software or a platform. This might create a tension from the competition point of view, </w:t>
      </w:r>
      <w:r w:rsidR="007617E2">
        <w:rPr>
          <w:rFonts w:ascii="Times New Roman" w:hAnsi="Times New Roman" w:cs="Times New Roman"/>
          <w:sz w:val="24"/>
          <w:szCs w:val="24"/>
        </w:rPr>
        <w:t>since</w:t>
      </w:r>
      <w:r w:rsidRPr="00774EDB">
        <w:rPr>
          <w:rFonts w:ascii="Times New Roman" w:hAnsi="Times New Roman" w:cs="Times New Roman"/>
          <w:sz w:val="24"/>
          <w:szCs w:val="24"/>
        </w:rPr>
        <w:t xml:space="preserve"> in such cases APIs might function as the </w:t>
      </w:r>
      <w:r w:rsidR="007617E2">
        <w:rPr>
          <w:rFonts w:ascii="Times New Roman" w:hAnsi="Times New Roman" w:cs="Times New Roman"/>
          <w:sz w:val="24"/>
          <w:szCs w:val="24"/>
        </w:rPr>
        <w:t>‘</w:t>
      </w:r>
      <w:r w:rsidRPr="00774EDB">
        <w:rPr>
          <w:rFonts w:ascii="Times New Roman" w:hAnsi="Times New Roman" w:cs="Times New Roman"/>
          <w:sz w:val="24"/>
          <w:szCs w:val="24"/>
        </w:rPr>
        <w:t>gateways</w:t>
      </w:r>
      <w:r w:rsidR="007617E2">
        <w:rPr>
          <w:rFonts w:ascii="Times New Roman" w:hAnsi="Times New Roman" w:cs="Times New Roman"/>
          <w:sz w:val="24"/>
          <w:szCs w:val="24"/>
        </w:rPr>
        <w:t>’</w:t>
      </w:r>
      <w:r w:rsidRPr="00774EDB">
        <w:rPr>
          <w:rFonts w:ascii="Times New Roman" w:hAnsi="Times New Roman" w:cs="Times New Roman"/>
          <w:sz w:val="24"/>
          <w:szCs w:val="24"/>
        </w:rPr>
        <w:t xml:space="preserve"> for the third parties to interoperate with </w:t>
      </w:r>
      <w:r w:rsidR="007617E2">
        <w:rPr>
          <w:rFonts w:ascii="Times New Roman" w:hAnsi="Times New Roman" w:cs="Times New Roman"/>
          <w:sz w:val="24"/>
          <w:szCs w:val="24"/>
        </w:rPr>
        <w:t xml:space="preserve">and compete against </w:t>
      </w:r>
      <w:r w:rsidRPr="00774EDB">
        <w:rPr>
          <w:rFonts w:ascii="Times New Roman" w:hAnsi="Times New Roman" w:cs="Times New Roman"/>
          <w:sz w:val="24"/>
          <w:szCs w:val="24"/>
        </w:rPr>
        <w:t xml:space="preserve">the incumbent networks. Such tension is often augmented in the face of network industries, which are exposed to ‘network effects’ and may not be subject to ex-ante </w:t>
      </w:r>
      <w:r w:rsidR="0024248A">
        <w:rPr>
          <w:rFonts w:ascii="Times New Roman" w:hAnsi="Times New Roman" w:cs="Times New Roman"/>
          <w:sz w:val="24"/>
          <w:szCs w:val="24"/>
        </w:rPr>
        <w:t>regulations</w:t>
      </w:r>
      <w:r w:rsidRPr="00774EDB">
        <w:rPr>
          <w:rFonts w:ascii="Times New Roman" w:hAnsi="Times New Roman" w:cs="Times New Roman"/>
          <w:sz w:val="24"/>
          <w:szCs w:val="24"/>
        </w:rPr>
        <w:t>.</w:t>
      </w:r>
    </w:p>
    <w:p w14:paraId="6D84D909" w14:textId="760F38D3"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Ex-ante interoperability rules are embedded within the context of sector-specific (electronic communications) regulations, </w:t>
      </w:r>
      <w:r w:rsidR="0024248A">
        <w:rPr>
          <w:rFonts w:ascii="Times New Roman" w:hAnsi="Times New Roman" w:cs="Times New Roman"/>
          <w:sz w:val="24"/>
          <w:szCs w:val="24"/>
        </w:rPr>
        <w:t>as exemplified by</w:t>
      </w:r>
      <w:r w:rsidR="0024248A"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the ECRF. The ECRF itself is originally structured and built on the premise of achieving interoperability between networks and services for the well-being of EU citizens and consumers. Mirroring the end of ensuring access and interconnection at the highest possible level, interoperability has so far been emphasized under the ECRF, </w:t>
      </w:r>
      <w:r w:rsidR="0024248A">
        <w:rPr>
          <w:rFonts w:ascii="Times New Roman" w:hAnsi="Times New Roman" w:cs="Times New Roman"/>
          <w:sz w:val="24"/>
          <w:szCs w:val="24"/>
        </w:rPr>
        <w:t>through</w:t>
      </w:r>
      <w:r w:rsidRPr="00774EDB">
        <w:rPr>
          <w:rFonts w:ascii="Times New Roman" w:hAnsi="Times New Roman" w:cs="Times New Roman"/>
          <w:sz w:val="24"/>
          <w:szCs w:val="24"/>
        </w:rPr>
        <w:t xml:space="preserve"> </w:t>
      </w:r>
      <w:r w:rsidR="00627C29">
        <w:rPr>
          <w:rFonts w:ascii="Times New Roman" w:hAnsi="Times New Roman" w:cs="Times New Roman"/>
          <w:sz w:val="24"/>
          <w:szCs w:val="24"/>
        </w:rPr>
        <w:t>specified</w:t>
      </w:r>
      <w:r w:rsidR="00627C29"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rules </w:t>
      </w:r>
      <w:r w:rsidRPr="00774EDB">
        <w:rPr>
          <w:rFonts w:ascii="Times New Roman" w:hAnsi="Times New Roman" w:cs="Times New Roman"/>
          <w:sz w:val="24"/>
          <w:szCs w:val="24"/>
        </w:rPr>
        <w:lastRenderedPageBreak/>
        <w:t xml:space="preserve">i.e. mandatory access to CASs and mechanisms i.e. standardisation. </w:t>
      </w:r>
      <w:r w:rsidR="00627C29">
        <w:rPr>
          <w:rFonts w:ascii="Times New Roman" w:hAnsi="Times New Roman" w:cs="Times New Roman"/>
          <w:sz w:val="24"/>
          <w:szCs w:val="24"/>
        </w:rPr>
        <w:t>That is to say</w:t>
      </w:r>
      <w:r w:rsidRPr="00774EDB">
        <w:rPr>
          <w:rFonts w:ascii="Times New Roman" w:hAnsi="Times New Roman" w:cs="Times New Roman"/>
          <w:sz w:val="24"/>
          <w:szCs w:val="24"/>
        </w:rPr>
        <w:t>, a number of ex-ante interoperability-based measures are embedded under the ECRF, to be invoked in tandem with the ex-post competition rules. Below, firstly, the main concerns surrounding lack of interoperability are given, and then introductory information about each EU legal regime is given respectively.</w:t>
      </w:r>
    </w:p>
    <w:p w14:paraId="05FB0D25" w14:textId="77777777" w:rsidR="00D33FCD" w:rsidRPr="00774EDB" w:rsidRDefault="00D33FCD" w:rsidP="00A70042">
      <w:pPr>
        <w:pStyle w:val="Heading3"/>
        <w:numPr>
          <w:ilvl w:val="2"/>
          <w:numId w:val="5"/>
        </w:numPr>
        <w:spacing w:before="360"/>
        <w:ind w:left="0" w:firstLine="0"/>
        <w:jc w:val="both"/>
        <w:rPr>
          <w:rFonts w:ascii="Times New Roman" w:hAnsi="Times New Roman" w:cs="Times New Roman"/>
          <w:b/>
          <w:color w:val="auto"/>
        </w:rPr>
      </w:pPr>
      <w:bookmarkStart w:id="211" w:name="_Toc17611370"/>
      <w:bookmarkStart w:id="212" w:name="_Toc17611587"/>
      <w:bookmarkStart w:id="213" w:name="_Toc17611799"/>
      <w:bookmarkStart w:id="214" w:name="_Toc17612013"/>
      <w:bookmarkStart w:id="215" w:name="_Toc17612226"/>
      <w:bookmarkStart w:id="216" w:name="_Toc11400630"/>
      <w:bookmarkStart w:id="217" w:name="_Toc17611371"/>
      <w:bookmarkStart w:id="218" w:name="_Toc53576038"/>
      <w:bookmarkEnd w:id="211"/>
      <w:bookmarkEnd w:id="212"/>
      <w:bookmarkEnd w:id="213"/>
      <w:bookmarkEnd w:id="214"/>
      <w:bookmarkEnd w:id="215"/>
      <w:r w:rsidRPr="00774EDB">
        <w:rPr>
          <w:rFonts w:ascii="Times New Roman" w:hAnsi="Times New Roman" w:cs="Times New Roman"/>
          <w:b/>
          <w:color w:val="auto"/>
        </w:rPr>
        <w:t>Main concerns surrounding lack of interoperability</w:t>
      </w:r>
      <w:bookmarkEnd w:id="216"/>
      <w:bookmarkEnd w:id="217"/>
      <w:bookmarkEnd w:id="218"/>
      <w:r w:rsidRPr="00774EDB">
        <w:rPr>
          <w:rFonts w:ascii="Times New Roman" w:hAnsi="Times New Roman" w:cs="Times New Roman"/>
          <w:b/>
          <w:color w:val="auto"/>
        </w:rPr>
        <w:t xml:space="preserve"> </w:t>
      </w:r>
    </w:p>
    <w:p w14:paraId="61733E4B" w14:textId="4103DAD5" w:rsidR="00D33FCD" w:rsidRPr="00774EDB" w:rsidRDefault="00D33FCD" w:rsidP="00A70042">
      <w:pPr>
        <w:spacing w:before="360" w:line="468" w:lineRule="auto"/>
        <w:jc w:val="both"/>
        <w:rPr>
          <w:rFonts w:ascii="Times New Roman" w:hAnsi="Times New Roman" w:cs="Times New Roman"/>
          <w:sz w:val="24"/>
          <w:szCs w:val="24"/>
          <w:lang w:eastAsia="en-GB"/>
        </w:rPr>
      </w:pPr>
      <w:r w:rsidRPr="00774EDB">
        <w:rPr>
          <w:rFonts w:ascii="Times New Roman" w:hAnsi="Times New Roman" w:cs="Times New Roman"/>
          <w:sz w:val="24"/>
          <w:szCs w:val="24"/>
          <w:lang w:eastAsia="en-GB"/>
        </w:rPr>
        <w:t>ICT interoperability entails various technical parameters based on the real-life situation, user needs and requirements. So, lack of interoperability emerges as a common problem for ICT networks and services, which essentially depend on seamless and uninterrupted communication and data exchange. However, this is not the default or inherent situation found in many cases because of the proprietary/closed systems, accompanying abusive behaviours, exploitation of consumer loyalty and/or inertia, network effects, etc. While these factors are conducive to the lack of interoperability</w:t>
      </w:r>
      <w:r w:rsidR="00627C29">
        <w:rPr>
          <w:rFonts w:ascii="Times New Roman" w:hAnsi="Times New Roman" w:cs="Times New Roman"/>
          <w:sz w:val="24"/>
          <w:szCs w:val="24"/>
          <w:lang w:eastAsia="en-GB"/>
        </w:rPr>
        <w:t xml:space="preserve"> and its adverse effects</w:t>
      </w:r>
      <w:r w:rsidRPr="00774EDB">
        <w:rPr>
          <w:rFonts w:ascii="Times New Roman" w:hAnsi="Times New Roman" w:cs="Times New Roman"/>
          <w:sz w:val="24"/>
          <w:szCs w:val="24"/>
          <w:lang w:eastAsia="en-GB"/>
        </w:rPr>
        <w:t xml:space="preserve">, the potential outcomes include </w:t>
      </w:r>
      <w:r w:rsidR="00627C29">
        <w:rPr>
          <w:rFonts w:ascii="Times New Roman" w:hAnsi="Times New Roman" w:cs="Times New Roman"/>
          <w:sz w:val="24"/>
          <w:szCs w:val="24"/>
          <w:lang w:eastAsia="en-GB"/>
        </w:rPr>
        <w:t xml:space="preserve">but not limited to </w:t>
      </w:r>
      <w:r w:rsidRPr="00774EDB">
        <w:rPr>
          <w:rFonts w:ascii="Times New Roman" w:hAnsi="Times New Roman" w:cs="Times New Roman"/>
          <w:sz w:val="24"/>
          <w:szCs w:val="24"/>
          <w:lang w:eastAsia="en-GB"/>
        </w:rPr>
        <w:t xml:space="preserve">vendor lock-in, switching costs, restricted follow-on innovation, hampered end-to-end connectivity, </w:t>
      </w:r>
      <w:r w:rsidR="00627C29">
        <w:rPr>
          <w:rFonts w:ascii="Times New Roman" w:hAnsi="Times New Roman" w:cs="Times New Roman"/>
          <w:sz w:val="24"/>
          <w:szCs w:val="24"/>
          <w:lang w:eastAsia="en-GB"/>
        </w:rPr>
        <w:t>lessened cultural production and freedom</w:t>
      </w:r>
      <w:r w:rsidRPr="00774EDB">
        <w:rPr>
          <w:rFonts w:ascii="Times New Roman" w:hAnsi="Times New Roman" w:cs="Times New Roman"/>
          <w:sz w:val="24"/>
          <w:szCs w:val="24"/>
          <w:lang w:eastAsia="en-GB"/>
        </w:rPr>
        <w:t xml:space="preserve">.      </w:t>
      </w:r>
    </w:p>
    <w:p w14:paraId="650E1207" w14:textId="4BEEF1AC" w:rsidR="00D33FCD" w:rsidRPr="00774EDB" w:rsidRDefault="00D33FCD" w:rsidP="00A70042">
      <w:pPr>
        <w:spacing w:before="360" w:line="468" w:lineRule="auto"/>
        <w:jc w:val="both"/>
        <w:rPr>
          <w:rFonts w:ascii="Times New Roman" w:hAnsi="Times New Roman" w:cs="Times New Roman"/>
          <w:sz w:val="24"/>
          <w:szCs w:val="24"/>
          <w:lang w:eastAsia="en-GB"/>
        </w:rPr>
      </w:pPr>
      <w:r w:rsidRPr="00774EDB">
        <w:rPr>
          <w:rFonts w:ascii="Times New Roman" w:hAnsi="Times New Roman" w:cs="Times New Roman"/>
          <w:sz w:val="24"/>
          <w:szCs w:val="24"/>
          <w:lang w:eastAsia="en-GB"/>
        </w:rPr>
        <w:t xml:space="preserve">Often representing network industries, ICT networks/services manifest either de facto or de jure standards and/or path dependencies caused by network effects. This situation first and foremost brings out the </w:t>
      </w:r>
      <w:r w:rsidR="003D650A">
        <w:rPr>
          <w:rFonts w:ascii="Times New Roman" w:hAnsi="Times New Roman" w:cs="Times New Roman"/>
          <w:sz w:val="24"/>
          <w:szCs w:val="24"/>
          <w:lang w:eastAsia="en-GB"/>
        </w:rPr>
        <w:t xml:space="preserve">very </w:t>
      </w:r>
      <w:r w:rsidRPr="00774EDB">
        <w:rPr>
          <w:rFonts w:ascii="Times New Roman" w:hAnsi="Times New Roman" w:cs="Times New Roman"/>
          <w:sz w:val="24"/>
          <w:szCs w:val="24"/>
          <w:lang w:eastAsia="en-GB"/>
        </w:rPr>
        <w:t xml:space="preserve">possibility of ‘vendor lock-in’. Vendor, or technology, lock-in means a product being opted for by the consumers when they are reluctant to switch from that product, even for a better one, either due to switching costs or because they are lazy (euphemistically called “end-users inertia” by the </w:t>
      </w:r>
      <w:r w:rsidRPr="00774EDB">
        <w:rPr>
          <w:rFonts w:ascii="Times New Roman" w:hAnsi="Times New Roman" w:cs="Times New Roman"/>
          <w:sz w:val="24"/>
          <w:szCs w:val="24"/>
          <w:lang w:eastAsia="en-GB"/>
        </w:rPr>
        <w:lastRenderedPageBreak/>
        <w:t>Commission).</w:t>
      </w:r>
      <w:r w:rsidRPr="00774EDB">
        <w:rPr>
          <w:rStyle w:val="FootnoteReference"/>
          <w:rFonts w:ascii="Times New Roman" w:hAnsi="Times New Roman" w:cs="Times New Roman"/>
          <w:sz w:val="24"/>
          <w:szCs w:val="24"/>
          <w:lang w:eastAsia="en-GB"/>
        </w:rPr>
        <w:footnoteReference w:id="148"/>
      </w:r>
      <w:r w:rsidRPr="00774EDB">
        <w:rPr>
          <w:rFonts w:ascii="Times New Roman" w:hAnsi="Times New Roman" w:cs="Times New Roman"/>
          <w:sz w:val="24"/>
          <w:szCs w:val="24"/>
          <w:lang w:eastAsia="en-GB"/>
        </w:rPr>
        <w:t xml:space="preserve"> While vendor lock-in is not necessarily unwanted in every situation e.g. for small and medium size enterprises’ market penetration and innovation, switching costs following up vendor lock-in would be criticised for many reasons.</w:t>
      </w:r>
    </w:p>
    <w:p w14:paraId="2A2BFF8F" w14:textId="77777777" w:rsidR="00D33FCD" w:rsidRPr="00774EDB" w:rsidRDefault="00D33FCD" w:rsidP="00A70042">
      <w:pPr>
        <w:spacing w:before="360" w:line="468" w:lineRule="auto"/>
        <w:jc w:val="both"/>
        <w:rPr>
          <w:rFonts w:ascii="Times New Roman" w:hAnsi="Times New Roman" w:cs="Times New Roman"/>
          <w:sz w:val="24"/>
          <w:szCs w:val="24"/>
          <w:lang w:eastAsia="en-GB"/>
        </w:rPr>
      </w:pPr>
      <w:r w:rsidRPr="00774EDB">
        <w:rPr>
          <w:rFonts w:ascii="Times New Roman" w:hAnsi="Times New Roman" w:cs="Times New Roman"/>
          <w:sz w:val="24"/>
          <w:szCs w:val="24"/>
          <w:lang w:eastAsia="en-GB"/>
        </w:rPr>
        <w:t>Switching costs are mentioned as a barrier for a firm to overcome when it wishes to enter a market after a small but permanent price increase.</w:t>
      </w:r>
      <w:r w:rsidRPr="00774EDB">
        <w:rPr>
          <w:rStyle w:val="FootnoteReference"/>
          <w:rFonts w:ascii="Times New Roman" w:hAnsi="Times New Roman" w:cs="Times New Roman"/>
          <w:sz w:val="24"/>
          <w:szCs w:val="24"/>
          <w:lang w:eastAsia="en-GB"/>
        </w:rPr>
        <w:footnoteReference w:id="149"/>
      </w:r>
      <w:r w:rsidRPr="00774EDB">
        <w:rPr>
          <w:rFonts w:ascii="Times New Roman" w:hAnsi="Times New Roman" w:cs="Times New Roman"/>
          <w:sz w:val="24"/>
          <w:szCs w:val="24"/>
          <w:lang w:eastAsia="en-GB"/>
        </w:rPr>
        <w:t xml:space="preserve"> There is theoretical and empirical research showing that consumer switching costs confer market power on firms.</w:t>
      </w:r>
      <w:r w:rsidRPr="00774EDB">
        <w:rPr>
          <w:rStyle w:val="FootnoteReference"/>
          <w:rFonts w:ascii="Times New Roman" w:hAnsi="Times New Roman" w:cs="Times New Roman"/>
          <w:sz w:val="24"/>
          <w:szCs w:val="24"/>
          <w:lang w:eastAsia="en-GB"/>
        </w:rPr>
        <w:footnoteReference w:id="150"/>
      </w:r>
      <w:r w:rsidRPr="00774EDB">
        <w:rPr>
          <w:rFonts w:ascii="Times New Roman" w:hAnsi="Times New Roman" w:cs="Times New Roman"/>
          <w:sz w:val="24"/>
          <w:szCs w:val="24"/>
          <w:lang w:eastAsia="en-GB"/>
        </w:rPr>
        <w:t xml:space="preserve"> Given this fact, switching costs might have an impact of slowing or preventing market entry as well as creating consumer harm, particularly when the impact stems from the consumers sticking to technologically inferior products available in the relevant market. The systemic impact arises from the struggle over interoperation and compatibility, when firms are likely to exploit captive markets by raising prices to locked-in consumers to the height of switching costs - this can lead them to compete extensively by investing in incompatibility.</w:t>
      </w:r>
      <w:r w:rsidRPr="00774EDB">
        <w:rPr>
          <w:rStyle w:val="FootnoteReference"/>
          <w:rFonts w:ascii="Times New Roman" w:hAnsi="Times New Roman" w:cs="Times New Roman"/>
          <w:sz w:val="24"/>
          <w:szCs w:val="24"/>
          <w:lang w:eastAsia="en-GB"/>
        </w:rPr>
        <w:footnoteReference w:id="151"/>
      </w:r>
      <w:r w:rsidRPr="00774EDB">
        <w:rPr>
          <w:rFonts w:ascii="Times New Roman" w:hAnsi="Times New Roman" w:cs="Times New Roman"/>
          <w:sz w:val="24"/>
          <w:szCs w:val="24"/>
          <w:lang w:eastAsia="en-GB"/>
        </w:rPr>
        <w:t xml:space="preserve"> Having said this, a clear link could be established between lock-in risk, reinforced by the switching costs, and market tipping/foreclosure that resulted from network effects; where in many cases these consequences are driven by the lack of interoperability.</w:t>
      </w:r>
    </w:p>
    <w:p w14:paraId="61C6E94B" w14:textId="79A49CD8"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Lack of interoperability across the ICT networks, including the IoT and cloud platforms, might have anti-competitive effects particularly in the presence of network effects. This risk is directly corelated to the scenarios when consumers face interoperability problems because of the incompatible files, devices and/or software </w:t>
      </w:r>
      <w:r w:rsidRPr="00774EDB">
        <w:rPr>
          <w:rFonts w:ascii="Times New Roman" w:hAnsi="Times New Roman" w:cs="Times New Roman"/>
          <w:sz w:val="24"/>
          <w:szCs w:val="24"/>
        </w:rPr>
        <w:lastRenderedPageBreak/>
        <w:t>that are used by the service e.g. cloud providers.</w:t>
      </w:r>
      <w:r w:rsidRPr="00774EDB">
        <w:rPr>
          <w:rStyle w:val="FootnoteReference"/>
          <w:rFonts w:ascii="Times New Roman" w:hAnsi="Times New Roman" w:cs="Times New Roman"/>
          <w:sz w:val="24"/>
          <w:szCs w:val="24"/>
        </w:rPr>
        <w:footnoteReference w:id="152"/>
      </w:r>
      <w:r w:rsidRPr="00774EDB">
        <w:rPr>
          <w:rFonts w:ascii="Times New Roman" w:hAnsi="Times New Roman" w:cs="Times New Roman"/>
          <w:sz w:val="24"/>
          <w:szCs w:val="24"/>
        </w:rPr>
        <w:t xml:space="preserve"> </w:t>
      </w:r>
      <w:r w:rsidR="004B5DC1">
        <w:rPr>
          <w:rFonts w:ascii="Times New Roman" w:hAnsi="Times New Roman" w:cs="Times New Roman"/>
          <w:sz w:val="24"/>
          <w:szCs w:val="24"/>
        </w:rPr>
        <w:t>Such problems</w:t>
      </w:r>
      <w:r w:rsidR="00AF64B2">
        <w:rPr>
          <w:rFonts w:ascii="Times New Roman" w:hAnsi="Times New Roman" w:cs="Times New Roman"/>
          <w:sz w:val="24"/>
          <w:szCs w:val="24"/>
        </w:rPr>
        <w:t xml:space="preserve"> would surface more </w:t>
      </w:r>
      <w:r w:rsidR="005D1606">
        <w:rPr>
          <w:rFonts w:ascii="Times New Roman" w:hAnsi="Times New Roman" w:cs="Times New Roman"/>
          <w:sz w:val="24"/>
          <w:szCs w:val="24"/>
        </w:rPr>
        <w:t>should</w:t>
      </w:r>
      <w:r w:rsidR="00AF64B2">
        <w:rPr>
          <w:rFonts w:ascii="Times New Roman" w:hAnsi="Times New Roman" w:cs="Times New Roman"/>
          <w:sz w:val="24"/>
          <w:szCs w:val="24"/>
        </w:rPr>
        <w:t xml:space="preserve"> </w:t>
      </w:r>
      <w:r w:rsidR="004B5DC1">
        <w:rPr>
          <w:rFonts w:ascii="Times New Roman" w:hAnsi="Times New Roman" w:cs="Times New Roman"/>
          <w:sz w:val="24"/>
          <w:szCs w:val="24"/>
        </w:rPr>
        <w:t xml:space="preserve">customers </w:t>
      </w:r>
      <w:r w:rsidR="005D1606">
        <w:rPr>
          <w:rFonts w:ascii="Times New Roman" w:hAnsi="Times New Roman" w:cs="Times New Roman"/>
          <w:sz w:val="24"/>
          <w:szCs w:val="24"/>
        </w:rPr>
        <w:t>opt</w:t>
      </w:r>
      <w:r w:rsidR="004B5DC1">
        <w:rPr>
          <w:rFonts w:ascii="Times New Roman" w:hAnsi="Times New Roman" w:cs="Times New Roman"/>
          <w:sz w:val="24"/>
          <w:szCs w:val="24"/>
        </w:rPr>
        <w:t xml:space="preserve"> </w:t>
      </w:r>
      <w:r w:rsidR="00AF64B2">
        <w:rPr>
          <w:rFonts w:ascii="Times New Roman" w:hAnsi="Times New Roman" w:cs="Times New Roman"/>
          <w:sz w:val="24"/>
          <w:szCs w:val="24"/>
        </w:rPr>
        <w:t>switch</w:t>
      </w:r>
      <w:r w:rsidR="005D1606">
        <w:rPr>
          <w:rFonts w:ascii="Times New Roman" w:hAnsi="Times New Roman" w:cs="Times New Roman"/>
          <w:sz w:val="24"/>
          <w:szCs w:val="24"/>
        </w:rPr>
        <w:t>ing</w:t>
      </w:r>
      <w:r w:rsidR="00AF64B2">
        <w:rPr>
          <w:rFonts w:ascii="Times New Roman" w:hAnsi="Times New Roman" w:cs="Times New Roman"/>
          <w:sz w:val="24"/>
          <w:szCs w:val="24"/>
        </w:rPr>
        <w:t xml:space="preserve"> from one </w:t>
      </w:r>
      <w:r w:rsidR="004B5DC1">
        <w:rPr>
          <w:rFonts w:ascii="Times New Roman" w:hAnsi="Times New Roman" w:cs="Times New Roman"/>
          <w:sz w:val="24"/>
          <w:szCs w:val="24"/>
        </w:rPr>
        <w:t>provid</w:t>
      </w:r>
      <w:r w:rsidR="00AF64B2">
        <w:rPr>
          <w:rFonts w:ascii="Times New Roman" w:hAnsi="Times New Roman" w:cs="Times New Roman"/>
          <w:sz w:val="24"/>
          <w:szCs w:val="24"/>
        </w:rPr>
        <w:t>er to another. Normally</w:t>
      </w:r>
      <w:r w:rsidRPr="00774EDB">
        <w:rPr>
          <w:rFonts w:ascii="Times New Roman" w:hAnsi="Times New Roman" w:cs="Times New Roman"/>
          <w:sz w:val="24"/>
          <w:szCs w:val="24"/>
        </w:rPr>
        <w:t>, the fact that a cloud computing provider decides to choose a specific antivirus software could be interpreted as a choice over which customers should not have a say.</w:t>
      </w:r>
      <w:r w:rsidRPr="00774EDB">
        <w:rPr>
          <w:rStyle w:val="FootnoteReference"/>
          <w:rFonts w:ascii="Times New Roman" w:hAnsi="Times New Roman" w:cs="Times New Roman"/>
          <w:sz w:val="24"/>
          <w:szCs w:val="24"/>
        </w:rPr>
        <w:footnoteReference w:id="153"/>
      </w:r>
      <w:r w:rsidRPr="00774EDB">
        <w:rPr>
          <w:rFonts w:ascii="Times New Roman" w:hAnsi="Times New Roman" w:cs="Times New Roman"/>
          <w:sz w:val="24"/>
          <w:szCs w:val="24"/>
        </w:rPr>
        <w:t xml:space="preserve"> </w:t>
      </w:r>
      <w:r w:rsidR="004B5DC1">
        <w:rPr>
          <w:rFonts w:ascii="Times New Roman" w:hAnsi="Times New Roman" w:cs="Times New Roman"/>
          <w:sz w:val="24"/>
          <w:szCs w:val="24"/>
        </w:rPr>
        <w:t>Thus</w:t>
      </w:r>
      <w:r w:rsidRPr="00774EDB">
        <w:rPr>
          <w:rFonts w:ascii="Times New Roman" w:hAnsi="Times New Roman" w:cs="Times New Roman"/>
          <w:sz w:val="24"/>
          <w:szCs w:val="24"/>
        </w:rPr>
        <w:t xml:space="preserve">, not only security programs but also other software used by the cloud users would confer </w:t>
      </w:r>
      <w:r w:rsidR="00527920" w:rsidRPr="00774EDB">
        <w:rPr>
          <w:rFonts w:ascii="Times New Roman" w:hAnsi="Times New Roman" w:cs="Times New Roman"/>
          <w:sz w:val="24"/>
          <w:szCs w:val="24"/>
        </w:rPr>
        <w:t>lock-in risk</w:t>
      </w:r>
      <w:r w:rsidR="008360B0" w:rsidRPr="00774EDB">
        <w:rPr>
          <w:rFonts w:ascii="Times New Roman" w:hAnsi="Times New Roman" w:cs="Times New Roman"/>
          <w:sz w:val="24"/>
          <w:szCs w:val="24"/>
        </w:rPr>
        <w:t xml:space="preserve"> for the consumers</w:t>
      </w:r>
      <w:r w:rsidRPr="00774EDB">
        <w:rPr>
          <w:rFonts w:ascii="Times New Roman" w:hAnsi="Times New Roman" w:cs="Times New Roman"/>
          <w:sz w:val="24"/>
          <w:szCs w:val="24"/>
        </w:rPr>
        <w:t>, unless switching costs are eliminated by fierce competition</w:t>
      </w:r>
      <w:r w:rsidR="00480249" w:rsidRPr="00774EDB">
        <w:rPr>
          <w:rFonts w:ascii="Times New Roman" w:hAnsi="Times New Roman" w:cs="Times New Roman"/>
          <w:sz w:val="24"/>
          <w:szCs w:val="24"/>
        </w:rPr>
        <w:t xml:space="preserve"> or statutory portability mechanisms</w:t>
      </w:r>
      <w:r w:rsidRPr="00774EDB">
        <w:rPr>
          <w:rFonts w:ascii="Times New Roman" w:hAnsi="Times New Roman" w:cs="Times New Roman"/>
          <w:sz w:val="24"/>
          <w:szCs w:val="24"/>
        </w:rPr>
        <w:t>. Similar concerns are valid for the IoT context, whereby the consumers would be hindered from moving to a new platform because of the switching costs.</w:t>
      </w:r>
      <w:r w:rsidR="00480249" w:rsidRPr="00774EDB">
        <w:rPr>
          <w:rStyle w:val="FootnoteReference"/>
          <w:rFonts w:ascii="Times New Roman" w:hAnsi="Times New Roman" w:cs="Times New Roman"/>
          <w:sz w:val="24"/>
          <w:szCs w:val="24"/>
        </w:rPr>
        <w:footnoteReference w:id="154"/>
      </w:r>
      <w:r w:rsidR="00480249" w:rsidRPr="00774EDB">
        <w:rPr>
          <w:rFonts w:ascii="Times New Roman" w:hAnsi="Times New Roman" w:cs="Times New Roman"/>
          <w:sz w:val="24"/>
          <w:szCs w:val="24"/>
        </w:rPr>
        <w:t xml:space="preserve"> </w:t>
      </w:r>
      <w:r w:rsidR="008360B0" w:rsidRPr="00774EDB">
        <w:rPr>
          <w:rFonts w:ascii="Times New Roman" w:hAnsi="Times New Roman" w:cs="Times New Roman"/>
          <w:sz w:val="24"/>
          <w:szCs w:val="24"/>
        </w:rPr>
        <w:t>As</w:t>
      </w:r>
      <w:r w:rsidRPr="00774EDB">
        <w:rPr>
          <w:rFonts w:ascii="Times New Roman" w:hAnsi="Times New Roman" w:cs="Times New Roman"/>
          <w:sz w:val="24"/>
          <w:szCs w:val="24"/>
        </w:rPr>
        <w:t xml:space="preserve"> this is </w:t>
      </w:r>
      <w:r w:rsidR="008360B0" w:rsidRPr="00774EDB">
        <w:rPr>
          <w:rFonts w:ascii="Times New Roman" w:hAnsi="Times New Roman" w:cs="Times New Roman"/>
          <w:sz w:val="24"/>
          <w:szCs w:val="24"/>
        </w:rPr>
        <w:t xml:space="preserve">usually </w:t>
      </w:r>
      <w:r w:rsidRPr="00774EDB">
        <w:rPr>
          <w:rFonts w:ascii="Times New Roman" w:hAnsi="Times New Roman" w:cs="Times New Roman"/>
          <w:sz w:val="24"/>
          <w:szCs w:val="24"/>
        </w:rPr>
        <w:t xml:space="preserve">attended by the </w:t>
      </w:r>
      <w:r w:rsidR="008360B0" w:rsidRPr="00774EDB">
        <w:rPr>
          <w:rFonts w:ascii="Times New Roman" w:hAnsi="Times New Roman" w:cs="Times New Roman"/>
          <w:sz w:val="24"/>
          <w:szCs w:val="24"/>
        </w:rPr>
        <w:t>proprietary</w:t>
      </w:r>
      <w:r w:rsidRPr="00774EDB">
        <w:rPr>
          <w:rFonts w:ascii="Times New Roman" w:hAnsi="Times New Roman" w:cs="Times New Roman"/>
          <w:sz w:val="24"/>
          <w:szCs w:val="24"/>
        </w:rPr>
        <w:t xml:space="preserve"> </w:t>
      </w:r>
      <w:r w:rsidR="008360B0" w:rsidRPr="00774EDB">
        <w:rPr>
          <w:rFonts w:ascii="Times New Roman" w:hAnsi="Times New Roman" w:cs="Times New Roman"/>
          <w:sz w:val="24"/>
          <w:szCs w:val="24"/>
        </w:rPr>
        <w:t xml:space="preserve">and non-interoperable </w:t>
      </w:r>
      <w:r w:rsidRPr="00774EDB">
        <w:rPr>
          <w:rFonts w:ascii="Times New Roman" w:hAnsi="Times New Roman" w:cs="Times New Roman"/>
          <w:sz w:val="24"/>
          <w:szCs w:val="24"/>
        </w:rPr>
        <w:t xml:space="preserve">platforms, competitors would </w:t>
      </w:r>
      <w:r w:rsidR="008360B0" w:rsidRPr="00774EDB">
        <w:rPr>
          <w:rFonts w:ascii="Times New Roman" w:hAnsi="Times New Roman" w:cs="Times New Roman"/>
          <w:sz w:val="24"/>
          <w:szCs w:val="24"/>
        </w:rPr>
        <w:t xml:space="preserve">then </w:t>
      </w:r>
      <w:r w:rsidRPr="00774EDB">
        <w:rPr>
          <w:rFonts w:ascii="Times New Roman" w:hAnsi="Times New Roman" w:cs="Times New Roman"/>
          <w:sz w:val="24"/>
          <w:szCs w:val="24"/>
        </w:rPr>
        <w:t>be excluded e.g. in the absence of countervailing buying power that ameliorates the network effects.</w:t>
      </w:r>
    </w:p>
    <w:p w14:paraId="7CC2A5C8" w14:textId="1DE30C20"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 xml:space="preserve">In the case of </w:t>
      </w:r>
      <w:r w:rsidRPr="00774EDB">
        <w:rPr>
          <w:rFonts w:ascii="Times New Roman" w:hAnsi="Times New Roman" w:cs="Times New Roman"/>
          <w:i/>
          <w:iCs/>
          <w:sz w:val="24"/>
          <w:szCs w:val="24"/>
        </w:rPr>
        <w:t>contestable</w:t>
      </w:r>
      <w:r w:rsidRPr="00774EDB">
        <w:rPr>
          <w:rFonts w:ascii="Times New Roman" w:hAnsi="Times New Roman" w:cs="Times New Roman"/>
          <w:sz w:val="24"/>
          <w:szCs w:val="24"/>
        </w:rPr>
        <w:t xml:space="preserve"> markets, which are depicted by low barriers to entry and exit along with short-term prices and price-sensitive consumers,</w:t>
      </w:r>
      <w:r w:rsidRPr="00774EDB">
        <w:rPr>
          <w:rStyle w:val="FootnoteReference"/>
          <w:rFonts w:ascii="Times New Roman" w:hAnsi="Times New Roman" w:cs="Times New Roman"/>
          <w:sz w:val="24"/>
          <w:szCs w:val="24"/>
        </w:rPr>
        <w:footnoteReference w:id="155"/>
      </w:r>
      <w:r w:rsidRPr="00774EDB">
        <w:rPr>
          <w:rFonts w:ascii="Times New Roman" w:hAnsi="Times New Roman" w:cs="Times New Roman"/>
          <w:sz w:val="24"/>
          <w:szCs w:val="24"/>
        </w:rPr>
        <w:t xml:space="preserve"> such problems would not exist </w:t>
      </w:r>
      <w:r w:rsidR="004B5DC1">
        <w:rPr>
          <w:rFonts w:ascii="Times New Roman" w:hAnsi="Times New Roman" w:cs="Times New Roman"/>
          <w:sz w:val="24"/>
          <w:szCs w:val="24"/>
        </w:rPr>
        <w:t>n</w:t>
      </w:r>
      <w:r w:rsidRPr="00774EDB">
        <w:rPr>
          <w:rFonts w:ascii="Times New Roman" w:hAnsi="Times New Roman" w:cs="Times New Roman"/>
          <w:sz w:val="24"/>
          <w:szCs w:val="24"/>
        </w:rPr>
        <w:t xml:space="preserve">or </w:t>
      </w:r>
      <w:r w:rsidR="005911CB">
        <w:rPr>
          <w:rFonts w:ascii="Times New Roman" w:hAnsi="Times New Roman" w:cs="Times New Roman"/>
          <w:sz w:val="24"/>
          <w:szCs w:val="24"/>
        </w:rPr>
        <w:t xml:space="preserve">does </w:t>
      </w:r>
      <w:r w:rsidRPr="00774EDB">
        <w:rPr>
          <w:rFonts w:ascii="Times New Roman" w:hAnsi="Times New Roman" w:cs="Times New Roman"/>
          <w:sz w:val="24"/>
          <w:szCs w:val="24"/>
        </w:rPr>
        <w:t xml:space="preserve">a disruptive effect </w:t>
      </w:r>
      <w:r w:rsidR="005911CB">
        <w:rPr>
          <w:rFonts w:ascii="Times New Roman" w:hAnsi="Times New Roman" w:cs="Times New Roman"/>
          <w:sz w:val="24"/>
          <w:szCs w:val="24"/>
        </w:rPr>
        <w:t>emerge</w:t>
      </w:r>
      <w:r w:rsidR="004B5DC1">
        <w:rPr>
          <w:rFonts w:ascii="Times New Roman" w:hAnsi="Times New Roman" w:cs="Times New Roman"/>
          <w:sz w:val="24"/>
          <w:szCs w:val="24"/>
        </w:rPr>
        <w:t xml:space="preserve"> </w:t>
      </w:r>
      <w:r w:rsidRPr="00774EDB">
        <w:rPr>
          <w:rFonts w:ascii="Times New Roman" w:hAnsi="Times New Roman" w:cs="Times New Roman"/>
          <w:sz w:val="24"/>
          <w:szCs w:val="24"/>
        </w:rPr>
        <w:t xml:space="preserve">over the competitive functioning of the markets. Against such a potential for competition and when switching is easy and fast, lack of interoperability would no longer have the effect of preventing new entries and/or innovation. </w:t>
      </w:r>
      <w:r w:rsidR="005911CB">
        <w:rPr>
          <w:rFonts w:ascii="Times New Roman" w:hAnsi="Times New Roman" w:cs="Times New Roman"/>
          <w:sz w:val="24"/>
          <w:szCs w:val="24"/>
        </w:rPr>
        <w:t>In most cases</w:t>
      </w:r>
      <w:r w:rsidRPr="00774EDB">
        <w:rPr>
          <w:rFonts w:ascii="Times New Roman" w:hAnsi="Times New Roman" w:cs="Times New Roman"/>
          <w:sz w:val="24"/>
          <w:szCs w:val="24"/>
        </w:rPr>
        <w:t>, ICT markets are not representative of contestable markets because of the network effects and the potential for market tipping; and lack of interoperability thus would bear far-reaching negative implications in these markets.</w:t>
      </w:r>
      <w:r w:rsidRPr="00774EDB">
        <w:rPr>
          <w:rStyle w:val="FootnoteReference"/>
          <w:rFonts w:ascii="Times New Roman" w:hAnsi="Times New Roman" w:cs="Times New Roman"/>
          <w:sz w:val="24"/>
          <w:szCs w:val="24"/>
        </w:rPr>
        <w:footnoteReference w:id="156"/>
      </w:r>
      <w:r w:rsidRPr="00774EDB">
        <w:rPr>
          <w:rFonts w:ascii="Times New Roman" w:hAnsi="Times New Roman" w:cs="Times New Roman"/>
          <w:sz w:val="24"/>
          <w:szCs w:val="24"/>
        </w:rPr>
        <w:t xml:space="preserve">    </w:t>
      </w:r>
    </w:p>
    <w:p w14:paraId="0DC72FD6" w14:textId="67C91E8F" w:rsidR="00054A6F" w:rsidRDefault="00D33FCD" w:rsidP="00E35076">
      <w:pPr>
        <w:spacing w:before="360"/>
        <w:jc w:val="both"/>
        <w:rPr>
          <w:rFonts w:ascii="Times New Roman" w:hAnsi="Times New Roman" w:cs="Times New Roman"/>
          <w:sz w:val="24"/>
          <w:szCs w:val="24"/>
        </w:rPr>
      </w:pPr>
      <w:r w:rsidRPr="00774EDB">
        <w:rPr>
          <w:rFonts w:ascii="Times New Roman" w:hAnsi="Times New Roman" w:cs="Times New Roman"/>
          <w:sz w:val="24"/>
          <w:szCs w:val="24"/>
        </w:rPr>
        <w:t>On the other hand, interoperability-based problems in the ICT sector are not limited to vendor lock-in, switching costs,</w:t>
      </w:r>
      <w:r w:rsidR="005911CB">
        <w:rPr>
          <w:rFonts w:ascii="Times New Roman" w:hAnsi="Times New Roman" w:cs="Times New Roman"/>
          <w:sz w:val="24"/>
          <w:szCs w:val="24"/>
        </w:rPr>
        <w:t xml:space="preserve"> etc</w:t>
      </w:r>
      <w:r w:rsidRPr="00774EDB">
        <w:rPr>
          <w:rFonts w:ascii="Times New Roman" w:hAnsi="Times New Roman" w:cs="Times New Roman"/>
          <w:sz w:val="24"/>
          <w:szCs w:val="24"/>
        </w:rPr>
        <w:t xml:space="preserve">. As a matter of fact, the interoperability-centric problems are not exclusively related, or conducive, to anti-competitive </w:t>
      </w:r>
      <w:r w:rsidR="008360B0" w:rsidRPr="00774EDB">
        <w:rPr>
          <w:rFonts w:ascii="Times New Roman" w:hAnsi="Times New Roman" w:cs="Times New Roman"/>
          <w:sz w:val="24"/>
          <w:szCs w:val="24"/>
        </w:rPr>
        <w:t>behaviour</w:t>
      </w:r>
      <w:r w:rsidRPr="00774EDB">
        <w:rPr>
          <w:rFonts w:ascii="Times New Roman" w:hAnsi="Times New Roman" w:cs="Times New Roman"/>
          <w:sz w:val="24"/>
          <w:szCs w:val="24"/>
        </w:rPr>
        <w:t xml:space="preserve">s and/or the hampered follow-on innovation. </w:t>
      </w:r>
      <w:r w:rsidR="00A419F3">
        <w:rPr>
          <w:rFonts w:ascii="Times New Roman" w:hAnsi="Times New Roman" w:cs="Times New Roman"/>
          <w:sz w:val="24"/>
          <w:szCs w:val="24"/>
        </w:rPr>
        <w:t>Alongside the competiti</w:t>
      </w:r>
      <w:r w:rsidR="00676E41">
        <w:rPr>
          <w:rFonts w:ascii="Times New Roman" w:hAnsi="Times New Roman" w:cs="Times New Roman"/>
          <w:sz w:val="24"/>
          <w:szCs w:val="24"/>
        </w:rPr>
        <w:t>on and innovation</w:t>
      </w:r>
      <w:r w:rsidR="00A419F3">
        <w:rPr>
          <w:rFonts w:ascii="Times New Roman" w:hAnsi="Times New Roman" w:cs="Times New Roman"/>
          <w:sz w:val="24"/>
          <w:szCs w:val="24"/>
        </w:rPr>
        <w:t xml:space="preserve"> </w:t>
      </w:r>
      <w:r w:rsidR="00676E41">
        <w:rPr>
          <w:rFonts w:ascii="Times New Roman" w:hAnsi="Times New Roman" w:cs="Times New Roman"/>
          <w:sz w:val="24"/>
          <w:szCs w:val="24"/>
        </w:rPr>
        <w:t xml:space="preserve">related </w:t>
      </w:r>
      <w:r w:rsidR="00A419F3">
        <w:rPr>
          <w:rFonts w:ascii="Times New Roman" w:hAnsi="Times New Roman" w:cs="Times New Roman"/>
          <w:sz w:val="24"/>
          <w:szCs w:val="24"/>
        </w:rPr>
        <w:t>concerns</w:t>
      </w:r>
      <w:r w:rsidR="00054A6F">
        <w:rPr>
          <w:rFonts w:ascii="Times New Roman" w:hAnsi="Times New Roman" w:cs="Times New Roman"/>
          <w:sz w:val="24"/>
          <w:szCs w:val="24"/>
        </w:rPr>
        <w:t>,</w:t>
      </w:r>
      <w:r w:rsidR="00A419F3">
        <w:rPr>
          <w:rFonts w:ascii="Times New Roman" w:hAnsi="Times New Roman" w:cs="Times New Roman"/>
          <w:sz w:val="24"/>
          <w:szCs w:val="24"/>
        </w:rPr>
        <w:t xml:space="preserve"> </w:t>
      </w:r>
      <w:r w:rsidR="00786586">
        <w:rPr>
          <w:rFonts w:ascii="Times New Roman" w:hAnsi="Times New Roman" w:cs="Times New Roman"/>
          <w:sz w:val="24"/>
          <w:szCs w:val="24"/>
        </w:rPr>
        <w:t>some other</w:t>
      </w:r>
      <w:r w:rsidR="00054A6F">
        <w:rPr>
          <w:rFonts w:ascii="Times New Roman" w:hAnsi="Times New Roman" w:cs="Times New Roman"/>
          <w:sz w:val="24"/>
          <w:szCs w:val="24"/>
        </w:rPr>
        <w:t xml:space="preserve"> consequences </w:t>
      </w:r>
      <w:r w:rsidR="00054A6F" w:rsidRPr="00774EDB">
        <w:rPr>
          <w:rFonts w:ascii="Times New Roman" w:hAnsi="Times New Roman" w:cs="Times New Roman"/>
          <w:sz w:val="24"/>
          <w:szCs w:val="24"/>
        </w:rPr>
        <w:t xml:space="preserve">would also </w:t>
      </w:r>
      <w:r w:rsidR="00786586">
        <w:rPr>
          <w:rFonts w:ascii="Times New Roman" w:hAnsi="Times New Roman" w:cs="Times New Roman"/>
          <w:sz w:val="24"/>
          <w:szCs w:val="24"/>
        </w:rPr>
        <w:t xml:space="preserve">result </w:t>
      </w:r>
      <w:r w:rsidR="00054A6F">
        <w:rPr>
          <w:rFonts w:ascii="Times New Roman" w:hAnsi="Times New Roman" w:cs="Times New Roman"/>
          <w:sz w:val="24"/>
          <w:szCs w:val="24"/>
        </w:rPr>
        <w:t xml:space="preserve">from </w:t>
      </w:r>
      <w:r w:rsidR="00054A6F" w:rsidRPr="00774EDB">
        <w:rPr>
          <w:rFonts w:ascii="Times New Roman" w:hAnsi="Times New Roman" w:cs="Times New Roman"/>
          <w:sz w:val="24"/>
          <w:szCs w:val="24"/>
        </w:rPr>
        <w:t>lack of interoperability</w:t>
      </w:r>
      <w:r w:rsidR="00054A6F">
        <w:rPr>
          <w:rFonts w:ascii="Times New Roman" w:hAnsi="Times New Roman" w:cs="Times New Roman"/>
          <w:sz w:val="24"/>
          <w:szCs w:val="24"/>
        </w:rPr>
        <w:t xml:space="preserve"> </w:t>
      </w:r>
      <w:r w:rsidR="00786586">
        <w:rPr>
          <w:rFonts w:ascii="Times New Roman" w:hAnsi="Times New Roman" w:cs="Times New Roman"/>
          <w:sz w:val="24"/>
          <w:szCs w:val="24"/>
        </w:rPr>
        <w:t>surround</w:t>
      </w:r>
      <w:r w:rsidR="00054A6F">
        <w:rPr>
          <w:rFonts w:ascii="Times New Roman" w:hAnsi="Times New Roman" w:cs="Times New Roman"/>
          <w:sz w:val="24"/>
          <w:szCs w:val="24"/>
        </w:rPr>
        <w:t>ing</w:t>
      </w:r>
      <w:r w:rsidR="00A419F3">
        <w:rPr>
          <w:rFonts w:ascii="Times New Roman" w:hAnsi="Times New Roman" w:cs="Times New Roman"/>
          <w:sz w:val="24"/>
          <w:szCs w:val="24"/>
        </w:rPr>
        <w:t xml:space="preserve"> </w:t>
      </w:r>
      <w:r w:rsidRPr="00774EDB">
        <w:rPr>
          <w:rFonts w:ascii="Times New Roman" w:hAnsi="Times New Roman" w:cs="Times New Roman"/>
          <w:sz w:val="24"/>
          <w:szCs w:val="24"/>
        </w:rPr>
        <w:t>restricted consumer choices</w:t>
      </w:r>
      <w:r w:rsidR="00BA7AE4">
        <w:rPr>
          <w:rFonts w:ascii="Times New Roman" w:hAnsi="Times New Roman" w:cs="Times New Roman"/>
          <w:sz w:val="24"/>
          <w:szCs w:val="24"/>
        </w:rPr>
        <w:t xml:space="preserve"> </w:t>
      </w:r>
      <w:r w:rsidR="00676E41">
        <w:rPr>
          <w:rFonts w:ascii="Times New Roman" w:hAnsi="Times New Roman" w:cs="Times New Roman"/>
          <w:sz w:val="24"/>
          <w:szCs w:val="24"/>
        </w:rPr>
        <w:t>and information flows</w:t>
      </w:r>
      <w:r w:rsidRPr="00774EDB">
        <w:rPr>
          <w:rFonts w:ascii="Times New Roman" w:hAnsi="Times New Roman" w:cs="Times New Roman"/>
          <w:sz w:val="24"/>
          <w:szCs w:val="24"/>
        </w:rPr>
        <w:t>.</w:t>
      </w:r>
      <w:r w:rsidR="00054A6F">
        <w:rPr>
          <w:rFonts w:ascii="Times New Roman" w:hAnsi="Times New Roman" w:cs="Times New Roman"/>
          <w:sz w:val="24"/>
          <w:szCs w:val="24"/>
        </w:rPr>
        <w:t xml:space="preserve"> A broader viewpoint is compelling to understand such adverse effects and consequences which </w:t>
      </w:r>
      <w:r w:rsidR="004067D0">
        <w:rPr>
          <w:rFonts w:ascii="Times New Roman" w:hAnsi="Times New Roman" w:cs="Times New Roman"/>
          <w:sz w:val="24"/>
          <w:szCs w:val="24"/>
        </w:rPr>
        <w:t xml:space="preserve">often go beyond </w:t>
      </w:r>
      <w:r w:rsidR="00355A5D">
        <w:rPr>
          <w:rFonts w:ascii="Times New Roman" w:hAnsi="Times New Roman" w:cs="Times New Roman"/>
          <w:sz w:val="24"/>
          <w:szCs w:val="24"/>
        </w:rPr>
        <w:t xml:space="preserve">the conventional understanding of consumer harm and reach out to </w:t>
      </w:r>
      <w:r w:rsidR="00054A6F">
        <w:rPr>
          <w:rFonts w:ascii="Times New Roman" w:hAnsi="Times New Roman" w:cs="Times New Roman"/>
          <w:sz w:val="24"/>
          <w:szCs w:val="24"/>
        </w:rPr>
        <w:t>media pluralism, cultural diversity</w:t>
      </w:r>
      <w:r w:rsidR="00B10FED">
        <w:rPr>
          <w:rFonts w:ascii="Times New Roman" w:hAnsi="Times New Roman" w:cs="Times New Roman"/>
          <w:sz w:val="24"/>
          <w:szCs w:val="24"/>
        </w:rPr>
        <w:t>, etc</w:t>
      </w:r>
      <w:r w:rsidR="00054A6F">
        <w:rPr>
          <w:rFonts w:ascii="Times New Roman" w:hAnsi="Times New Roman" w:cs="Times New Roman"/>
          <w:sz w:val="24"/>
          <w:szCs w:val="24"/>
        </w:rPr>
        <w:t xml:space="preserve">.  </w:t>
      </w:r>
    </w:p>
    <w:p w14:paraId="0B907E76" w14:textId="014BCE97"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this regard, </w:t>
      </w:r>
      <w:r w:rsidR="008360B0" w:rsidRPr="00774EDB">
        <w:rPr>
          <w:rFonts w:ascii="Times New Roman" w:hAnsi="Times New Roman" w:cs="Times New Roman"/>
          <w:sz w:val="24"/>
          <w:szCs w:val="24"/>
        </w:rPr>
        <w:t>‘</w:t>
      </w:r>
      <w:r w:rsidRPr="00774EDB">
        <w:rPr>
          <w:rFonts w:ascii="Times New Roman" w:hAnsi="Times New Roman" w:cs="Times New Roman"/>
          <w:sz w:val="24"/>
          <w:szCs w:val="24"/>
        </w:rPr>
        <w:t>end-to-end connectivity</w:t>
      </w:r>
      <w:r w:rsidR="008360B0" w:rsidRPr="00774EDB">
        <w:rPr>
          <w:rFonts w:ascii="Times New Roman" w:hAnsi="Times New Roman" w:cs="Times New Roman"/>
          <w:sz w:val="24"/>
          <w:szCs w:val="24"/>
        </w:rPr>
        <w:t>’</w:t>
      </w:r>
      <w:r w:rsidRPr="00774EDB">
        <w:rPr>
          <w:rFonts w:ascii="Times New Roman" w:hAnsi="Times New Roman" w:cs="Times New Roman"/>
          <w:sz w:val="24"/>
          <w:szCs w:val="24"/>
        </w:rPr>
        <w:t xml:space="preserve"> </w:t>
      </w:r>
      <w:r w:rsidR="00B10FED">
        <w:rPr>
          <w:rFonts w:ascii="Times New Roman" w:hAnsi="Times New Roman" w:cs="Times New Roman"/>
          <w:sz w:val="24"/>
          <w:szCs w:val="24"/>
        </w:rPr>
        <w:t xml:space="preserve">or broadly speaking ‘any-to-any communication’ </w:t>
      </w:r>
      <w:r w:rsidRPr="00774EDB">
        <w:rPr>
          <w:rFonts w:ascii="Times New Roman" w:hAnsi="Times New Roman" w:cs="Times New Roman"/>
          <w:sz w:val="24"/>
          <w:szCs w:val="24"/>
        </w:rPr>
        <w:t xml:space="preserve">is the </w:t>
      </w:r>
      <w:r w:rsidR="00B10FED">
        <w:rPr>
          <w:rFonts w:ascii="Times New Roman" w:hAnsi="Times New Roman" w:cs="Times New Roman"/>
          <w:sz w:val="24"/>
          <w:szCs w:val="24"/>
        </w:rPr>
        <w:t>first and fore</w:t>
      </w:r>
      <w:r w:rsidRPr="00774EDB">
        <w:rPr>
          <w:rFonts w:ascii="Times New Roman" w:hAnsi="Times New Roman" w:cs="Times New Roman"/>
          <w:sz w:val="24"/>
          <w:szCs w:val="24"/>
        </w:rPr>
        <w:t>most issue that needs to be underlined</w:t>
      </w:r>
      <w:r w:rsidR="00676E41">
        <w:rPr>
          <w:rFonts w:ascii="Times New Roman" w:hAnsi="Times New Roman" w:cs="Times New Roman"/>
          <w:sz w:val="24"/>
          <w:szCs w:val="24"/>
        </w:rPr>
        <w:t xml:space="preserve"> and addressed</w:t>
      </w:r>
      <w:r w:rsidRPr="00774EDB">
        <w:rPr>
          <w:rFonts w:ascii="Times New Roman" w:hAnsi="Times New Roman" w:cs="Times New Roman"/>
          <w:sz w:val="24"/>
          <w:szCs w:val="24"/>
        </w:rPr>
        <w:t xml:space="preserve">. In fact, without the interoperability standards/protocols, any person could </w:t>
      </w:r>
      <w:r w:rsidRPr="00774EDB">
        <w:rPr>
          <w:rFonts w:ascii="Times New Roman" w:hAnsi="Times New Roman" w:cs="Times New Roman"/>
          <w:sz w:val="24"/>
          <w:szCs w:val="24"/>
        </w:rPr>
        <w:lastRenderedPageBreak/>
        <w:t xml:space="preserve">not communicate with anyone else. Expressed with the term ‘end-to-end connectivity’, this situation confers interoperability a crucial meaning and purpose. </w:t>
      </w:r>
      <w:r w:rsidR="008360B0" w:rsidRPr="00774EDB">
        <w:rPr>
          <w:rFonts w:ascii="Times New Roman" w:hAnsi="Times New Roman" w:cs="Times New Roman"/>
          <w:sz w:val="24"/>
          <w:szCs w:val="24"/>
        </w:rPr>
        <w:t>By the same token</w:t>
      </w:r>
      <w:r w:rsidRPr="00774EDB">
        <w:rPr>
          <w:rFonts w:ascii="Times New Roman" w:hAnsi="Times New Roman" w:cs="Times New Roman"/>
          <w:sz w:val="24"/>
          <w:szCs w:val="24"/>
        </w:rPr>
        <w:t xml:space="preserve">, the ECRF has a number of obligations inclusive of interoperability, mostly echoed by the ‘interconnection’ imposed on the telecom operators that ensure end-to-end connectivity. Under the ECRF there also exists another obligation based on interoperability, aiming at the transmission of digital TV signals through the set-top boxes, </w:t>
      </w:r>
      <w:r w:rsidR="00945D43" w:rsidRPr="00774EDB">
        <w:rPr>
          <w:rFonts w:ascii="Times New Roman" w:hAnsi="Times New Roman" w:cs="Times New Roman"/>
          <w:sz w:val="24"/>
          <w:szCs w:val="24"/>
        </w:rPr>
        <w:t xml:space="preserve">i.e. </w:t>
      </w:r>
      <w:r w:rsidRPr="00774EDB">
        <w:rPr>
          <w:rFonts w:ascii="Times New Roman" w:hAnsi="Times New Roman" w:cs="Times New Roman"/>
          <w:sz w:val="24"/>
          <w:szCs w:val="24"/>
        </w:rPr>
        <w:t>CAS systems, on a fair, reasonable and non-discriminatory basis. This latter obligation, unlike interconnection, aims at enhancing media plurality and cultural diversity.</w:t>
      </w:r>
      <w:r w:rsidR="00BA7AE4">
        <w:rPr>
          <w:rStyle w:val="FootnoteReference"/>
          <w:rFonts w:ascii="Times New Roman" w:hAnsi="Times New Roman" w:cs="Times New Roman"/>
          <w:sz w:val="24"/>
          <w:szCs w:val="24"/>
        </w:rPr>
        <w:footnoteReference w:id="157"/>
      </w:r>
      <w:r w:rsidRPr="00774EDB">
        <w:rPr>
          <w:rFonts w:ascii="Times New Roman" w:hAnsi="Times New Roman" w:cs="Times New Roman"/>
          <w:sz w:val="24"/>
          <w:szCs w:val="24"/>
        </w:rPr>
        <w:t xml:space="preserve"> </w:t>
      </w:r>
    </w:p>
    <w:p w14:paraId="0BD3BCBF" w14:textId="3C29ADA8" w:rsidR="00B124E8"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Interconnection and CAS obligations aim to address interoperability-based concerns not necessarily related to </w:t>
      </w:r>
      <w:r w:rsidR="00B10FED">
        <w:rPr>
          <w:rFonts w:ascii="Times New Roman" w:hAnsi="Times New Roman" w:cs="Times New Roman"/>
          <w:sz w:val="24"/>
          <w:szCs w:val="24"/>
        </w:rPr>
        <w:t xml:space="preserve">market </w:t>
      </w:r>
      <w:r w:rsidRPr="00774EDB">
        <w:rPr>
          <w:rFonts w:ascii="Times New Roman" w:hAnsi="Times New Roman" w:cs="Times New Roman"/>
          <w:sz w:val="24"/>
          <w:szCs w:val="24"/>
        </w:rPr>
        <w:t xml:space="preserve">competition or innovation. While they might have </w:t>
      </w:r>
      <w:r w:rsidR="00355A5D">
        <w:rPr>
          <w:rFonts w:ascii="Times New Roman" w:hAnsi="Times New Roman" w:cs="Times New Roman"/>
          <w:sz w:val="24"/>
          <w:szCs w:val="24"/>
        </w:rPr>
        <w:t>competitive</w:t>
      </w:r>
      <w:r w:rsidR="00355A5D"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implications, these obligations </w:t>
      </w:r>
      <w:r w:rsidR="002B46DF">
        <w:rPr>
          <w:rFonts w:ascii="Times New Roman" w:hAnsi="Times New Roman" w:cs="Times New Roman"/>
          <w:sz w:val="24"/>
          <w:szCs w:val="24"/>
        </w:rPr>
        <w:t>mainly</w:t>
      </w:r>
      <w:r w:rsidR="00D73378">
        <w:rPr>
          <w:rFonts w:ascii="Times New Roman" w:hAnsi="Times New Roman" w:cs="Times New Roman"/>
          <w:sz w:val="24"/>
          <w:szCs w:val="24"/>
        </w:rPr>
        <w:t xml:space="preserve"> address the concerns surrounding the media</w:t>
      </w:r>
      <w:r w:rsidR="004067D0">
        <w:rPr>
          <w:rFonts w:ascii="Times New Roman" w:hAnsi="Times New Roman" w:cs="Times New Roman"/>
          <w:sz w:val="24"/>
          <w:szCs w:val="24"/>
        </w:rPr>
        <w:t xml:space="preserve"> </w:t>
      </w:r>
      <w:r w:rsidR="005D1606">
        <w:rPr>
          <w:rFonts w:ascii="Times New Roman" w:hAnsi="Times New Roman" w:cs="Times New Roman"/>
          <w:sz w:val="24"/>
          <w:szCs w:val="24"/>
        </w:rPr>
        <w:t xml:space="preserve">plurality </w:t>
      </w:r>
      <w:r w:rsidR="004067D0">
        <w:rPr>
          <w:rFonts w:ascii="Times New Roman" w:hAnsi="Times New Roman" w:cs="Times New Roman"/>
          <w:sz w:val="24"/>
          <w:szCs w:val="24"/>
        </w:rPr>
        <w:t xml:space="preserve">and </w:t>
      </w:r>
      <w:r w:rsidR="00D73378">
        <w:rPr>
          <w:rFonts w:ascii="Times New Roman" w:hAnsi="Times New Roman" w:cs="Times New Roman"/>
          <w:sz w:val="24"/>
          <w:szCs w:val="24"/>
        </w:rPr>
        <w:t>diverse cultural productions</w:t>
      </w:r>
      <w:r w:rsidR="004067D0">
        <w:rPr>
          <w:rFonts w:ascii="Times New Roman" w:hAnsi="Times New Roman" w:cs="Times New Roman"/>
          <w:sz w:val="24"/>
          <w:szCs w:val="24"/>
        </w:rPr>
        <w:t xml:space="preserve"> which can be extended to participatory democracy</w:t>
      </w:r>
      <w:r w:rsidRPr="00774EDB">
        <w:rPr>
          <w:rFonts w:ascii="Times New Roman" w:hAnsi="Times New Roman" w:cs="Times New Roman"/>
          <w:sz w:val="24"/>
          <w:szCs w:val="24"/>
        </w:rPr>
        <w:t>.</w:t>
      </w:r>
      <w:r w:rsidR="007C2050">
        <w:rPr>
          <w:rStyle w:val="FootnoteReference"/>
          <w:rFonts w:ascii="Times New Roman" w:hAnsi="Times New Roman" w:cs="Times New Roman"/>
          <w:sz w:val="24"/>
          <w:szCs w:val="24"/>
        </w:rPr>
        <w:footnoteReference w:id="158"/>
      </w:r>
      <w:r w:rsidRPr="00774EDB">
        <w:rPr>
          <w:rFonts w:ascii="Times New Roman" w:hAnsi="Times New Roman" w:cs="Times New Roman"/>
          <w:sz w:val="24"/>
          <w:szCs w:val="24"/>
        </w:rPr>
        <w:t xml:space="preserve"> </w:t>
      </w:r>
      <w:r w:rsidR="005D1606">
        <w:rPr>
          <w:rFonts w:ascii="Times New Roman" w:hAnsi="Times New Roman" w:cs="Times New Roman"/>
          <w:sz w:val="24"/>
          <w:szCs w:val="24"/>
        </w:rPr>
        <w:t>A</w:t>
      </w:r>
      <w:r w:rsidR="003E4C74">
        <w:rPr>
          <w:rFonts w:ascii="Times New Roman" w:hAnsi="Times New Roman" w:cs="Times New Roman"/>
          <w:sz w:val="24"/>
          <w:szCs w:val="24"/>
        </w:rPr>
        <w:t>ccess a</w:t>
      </w:r>
      <w:r w:rsidR="00D73378">
        <w:rPr>
          <w:rFonts w:ascii="Times New Roman" w:hAnsi="Times New Roman" w:cs="Times New Roman"/>
          <w:sz w:val="24"/>
          <w:szCs w:val="24"/>
        </w:rPr>
        <w:t>n</w:t>
      </w:r>
      <w:r w:rsidR="003E4C74">
        <w:rPr>
          <w:rFonts w:ascii="Times New Roman" w:hAnsi="Times New Roman" w:cs="Times New Roman"/>
          <w:sz w:val="24"/>
          <w:szCs w:val="24"/>
        </w:rPr>
        <w:t>d interoperability</w:t>
      </w:r>
      <w:r w:rsidRPr="00774EDB">
        <w:rPr>
          <w:rFonts w:ascii="Times New Roman" w:hAnsi="Times New Roman" w:cs="Times New Roman"/>
          <w:sz w:val="24"/>
          <w:szCs w:val="24"/>
        </w:rPr>
        <w:t xml:space="preserve"> obligations</w:t>
      </w:r>
      <w:r w:rsidR="00D73378">
        <w:rPr>
          <w:rFonts w:ascii="Times New Roman" w:hAnsi="Times New Roman" w:cs="Times New Roman"/>
          <w:sz w:val="24"/>
          <w:szCs w:val="24"/>
        </w:rPr>
        <w:t xml:space="preserve"> under the ECRF</w:t>
      </w:r>
      <w:r w:rsidR="004067D0">
        <w:rPr>
          <w:rFonts w:ascii="Times New Roman" w:hAnsi="Times New Roman" w:cs="Times New Roman"/>
          <w:sz w:val="24"/>
          <w:szCs w:val="24"/>
        </w:rPr>
        <w:t>,</w:t>
      </w:r>
      <w:r w:rsidR="00D73378">
        <w:rPr>
          <w:rFonts w:ascii="Times New Roman" w:hAnsi="Times New Roman" w:cs="Times New Roman"/>
          <w:sz w:val="24"/>
          <w:szCs w:val="24"/>
        </w:rPr>
        <w:t xml:space="preserve"> </w:t>
      </w:r>
      <w:r w:rsidR="004067D0">
        <w:rPr>
          <w:rFonts w:ascii="Times New Roman" w:hAnsi="Times New Roman" w:cs="Times New Roman"/>
          <w:sz w:val="24"/>
          <w:szCs w:val="24"/>
        </w:rPr>
        <w:t xml:space="preserve">as examined above, serve such concerns being </w:t>
      </w:r>
      <w:r w:rsidR="00BA7AE4">
        <w:rPr>
          <w:rFonts w:ascii="Times New Roman" w:hAnsi="Times New Roman" w:cs="Times New Roman"/>
          <w:sz w:val="24"/>
          <w:szCs w:val="24"/>
        </w:rPr>
        <w:t>mitigat</w:t>
      </w:r>
      <w:r w:rsidR="004067D0">
        <w:rPr>
          <w:rFonts w:ascii="Times New Roman" w:hAnsi="Times New Roman" w:cs="Times New Roman"/>
          <w:sz w:val="24"/>
          <w:szCs w:val="24"/>
        </w:rPr>
        <w:t xml:space="preserve">ed </w:t>
      </w:r>
      <w:r w:rsidR="00355A5D">
        <w:rPr>
          <w:rFonts w:ascii="Times New Roman" w:hAnsi="Times New Roman" w:cs="Times New Roman"/>
          <w:sz w:val="24"/>
          <w:szCs w:val="24"/>
        </w:rPr>
        <w:t>in relation to the</w:t>
      </w:r>
      <w:r w:rsidR="002B46DF">
        <w:rPr>
          <w:rFonts w:ascii="Times New Roman" w:hAnsi="Times New Roman" w:cs="Times New Roman"/>
          <w:sz w:val="24"/>
          <w:szCs w:val="24"/>
        </w:rPr>
        <w:t xml:space="preserve"> intermediary network and</w:t>
      </w:r>
      <w:r w:rsidR="00355A5D">
        <w:rPr>
          <w:rFonts w:ascii="Times New Roman" w:hAnsi="Times New Roman" w:cs="Times New Roman"/>
          <w:sz w:val="24"/>
          <w:szCs w:val="24"/>
        </w:rPr>
        <w:t xml:space="preserve"> platforms </w:t>
      </w:r>
      <w:r w:rsidR="002B46DF">
        <w:rPr>
          <w:rFonts w:ascii="Times New Roman" w:hAnsi="Times New Roman" w:cs="Times New Roman"/>
          <w:sz w:val="24"/>
          <w:szCs w:val="24"/>
        </w:rPr>
        <w:t xml:space="preserve">that </w:t>
      </w:r>
      <w:r w:rsidR="00BA7AE4">
        <w:rPr>
          <w:rFonts w:ascii="Times New Roman" w:hAnsi="Times New Roman" w:cs="Times New Roman"/>
          <w:sz w:val="24"/>
          <w:szCs w:val="24"/>
        </w:rPr>
        <w:t>control</w:t>
      </w:r>
      <w:r w:rsidR="002B46DF">
        <w:rPr>
          <w:rFonts w:ascii="Times New Roman" w:hAnsi="Times New Roman" w:cs="Times New Roman"/>
          <w:sz w:val="24"/>
          <w:szCs w:val="24"/>
        </w:rPr>
        <w:t xml:space="preserve"> the information flows</w:t>
      </w:r>
      <w:r w:rsidRPr="00774EDB">
        <w:rPr>
          <w:rFonts w:ascii="Times New Roman" w:hAnsi="Times New Roman" w:cs="Times New Roman"/>
          <w:sz w:val="24"/>
          <w:szCs w:val="24"/>
        </w:rPr>
        <w:t xml:space="preserve">. </w:t>
      </w:r>
    </w:p>
    <w:p w14:paraId="6BC14C7B" w14:textId="6A8259FC" w:rsidR="005F53DC" w:rsidRDefault="006C5BC1" w:rsidP="00A70042">
      <w:pPr>
        <w:spacing w:before="360"/>
        <w:jc w:val="both"/>
        <w:rPr>
          <w:rFonts w:ascii="Times New Roman" w:hAnsi="Times New Roman" w:cs="Times New Roman"/>
          <w:sz w:val="24"/>
          <w:szCs w:val="24"/>
        </w:rPr>
      </w:pPr>
      <w:r>
        <w:rPr>
          <w:rFonts w:ascii="Times New Roman" w:hAnsi="Times New Roman" w:cs="Times New Roman"/>
          <w:sz w:val="24"/>
          <w:szCs w:val="24"/>
        </w:rPr>
        <w:t>‘</w:t>
      </w:r>
      <w:r w:rsidR="00263797">
        <w:rPr>
          <w:rFonts w:ascii="Times New Roman" w:hAnsi="Times New Roman" w:cs="Times New Roman"/>
          <w:sz w:val="24"/>
          <w:szCs w:val="24"/>
        </w:rPr>
        <w:t>Information flow</w:t>
      </w:r>
      <w:r>
        <w:rPr>
          <w:rFonts w:ascii="Times New Roman" w:hAnsi="Times New Roman" w:cs="Times New Roman"/>
          <w:sz w:val="24"/>
          <w:szCs w:val="24"/>
        </w:rPr>
        <w:t>’</w:t>
      </w:r>
      <w:r w:rsidR="00263797">
        <w:rPr>
          <w:rFonts w:ascii="Times New Roman" w:hAnsi="Times New Roman" w:cs="Times New Roman"/>
          <w:sz w:val="24"/>
          <w:szCs w:val="24"/>
        </w:rPr>
        <w:t xml:space="preserve">, which </w:t>
      </w:r>
      <w:r w:rsidR="00BA7AE4">
        <w:rPr>
          <w:rFonts w:ascii="Times New Roman" w:hAnsi="Times New Roman" w:cs="Times New Roman"/>
          <w:sz w:val="24"/>
          <w:szCs w:val="24"/>
        </w:rPr>
        <w:t>wa</w:t>
      </w:r>
      <w:r w:rsidR="00263797">
        <w:rPr>
          <w:rFonts w:ascii="Times New Roman" w:hAnsi="Times New Roman" w:cs="Times New Roman"/>
          <w:sz w:val="24"/>
          <w:szCs w:val="24"/>
        </w:rPr>
        <w:t xml:space="preserve">s first </w:t>
      </w:r>
      <w:r w:rsidR="00BA7AE4">
        <w:rPr>
          <w:rFonts w:ascii="Times New Roman" w:hAnsi="Times New Roman" w:cs="Times New Roman"/>
          <w:sz w:val="24"/>
          <w:szCs w:val="24"/>
        </w:rPr>
        <w:t>conceptualis</w:t>
      </w:r>
      <w:r w:rsidR="003936AF">
        <w:rPr>
          <w:rFonts w:ascii="Times New Roman" w:hAnsi="Times New Roman" w:cs="Times New Roman"/>
          <w:sz w:val="24"/>
          <w:szCs w:val="24"/>
        </w:rPr>
        <w:t>e</w:t>
      </w:r>
      <w:r w:rsidR="00263797">
        <w:rPr>
          <w:rFonts w:ascii="Times New Roman" w:hAnsi="Times New Roman" w:cs="Times New Roman"/>
          <w:sz w:val="24"/>
          <w:szCs w:val="24"/>
        </w:rPr>
        <w:t xml:space="preserve">d </w:t>
      </w:r>
      <w:r>
        <w:rPr>
          <w:rFonts w:ascii="Times New Roman" w:hAnsi="Times New Roman" w:cs="Times New Roman"/>
          <w:sz w:val="24"/>
          <w:szCs w:val="24"/>
        </w:rPr>
        <w:t>by Elkin-Koren</w:t>
      </w:r>
      <w:r w:rsidR="00263797">
        <w:rPr>
          <w:rFonts w:ascii="Times New Roman" w:hAnsi="Times New Roman" w:cs="Times New Roman"/>
          <w:sz w:val="24"/>
          <w:szCs w:val="24"/>
        </w:rPr>
        <w:t>,</w:t>
      </w:r>
      <w:r w:rsidR="00A36E4B">
        <w:rPr>
          <w:rStyle w:val="FootnoteReference"/>
          <w:rFonts w:ascii="Times New Roman" w:hAnsi="Times New Roman" w:cs="Times New Roman"/>
          <w:sz w:val="24"/>
          <w:szCs w:val="24"/>
        </w:rPr>
        <w:footnoteReference w:id="159"/>
      </w:r>
      <w:r w:rsidR="00263797">
        <w:rPr>
          <w:rFonts w:ascii="Times New Roman" w:hAnsi="Times New Roman" w:cs="Times New Roman"/>
          <w:sz w:val="24"/>
          <w:szCs w:val="24"/>
        </w:rPr>
        <w:t xml:space="preserve"> has a particular</w:t>
      </w:r>
      <w:r w:rsidR="00BA7AE4">
        <w:rPr>
          <w:rFonts w:ascii="Times New Roman" w:hAnsi="Times New Roman" w:cs="Times New Roman"/>
          <w:sz w:val="24"/>
          <w:szCs w:val="24"/>
        </w:rPr>
        <w:t>ised</w:t>
      </w:r>
      <w:r w:rsidR="00263797">
        <w:rPr>
          <w:rFonts w:ascii="Times New Roman" w:hAnsi="Times New Roman" w:cs="Times New Roman"/>
          <w:sz w:val="24"/>
          <w:szCs w:val="24"/>
        </w:rPr>
        <w:t xml:space="preserve"> meaning for this study by which </w:t>
      </w:r>
      <w:r w:rsidR="00BA7AE4">
        <w:rPr>
          <w:rFonts w:ascii="Times New Roman" w:hAnsi="Times New Roman" w:cs="Times New Roman"/>
          <w:sz w:val="24"/>
          <w:szCs w:val="24"/>
        </w:rPr>
        <w:t xml:space="preserve">to </w:t>
      </w:r>
      <w:r w:rsidR="00371BC1">
        <w:rPr>
          <w:rFonts w:ascii="Times New Roman" w:hAnsi="Times New Roman" w:cs="Times New Roman"/>
          <w:sz w:val="24"/>
          <w:szCs w:val="24"/>
        </w:rPr>
        <w:t xml:space="preserve">emphasize </w:t>
      </w:r>
      <w:r w:rsidR="009D14E8">
        <w:rPr>
          <w:rFonts w:ascii="Times New Roman" w:hAnsi="Times New Roman" w:cs="Times New Roman"/>
          <w:sz w:val="24"/>
          <w:szCs w:val="24"/>
        </w:rPr>
        <w:t>information</w:t>
      </w:r>
      <w:r w:rsidR="00263797">
        <w:rPr>
          <w:rFonts w:ascii="Times New Roman" w:hAnsi="Times New Roman" w:cs="Times New Roman"/>
          <w:sz w:val="24"/>
          <w:szCs w:val="24"/>
        </w:rPr>
        <w:t xml:space="preserve"> </w:t>
      </w:r>
      <w:r w:rsidR="00BA7AE4">
        <w:rPr>
          <w:rFonts w:ascii="Times New Roman" w:hAnsi="Times New Roman" w:cs="Times New Roman"/>
          <w:sz w:val="24"/>
          <w:szCs w:val="24"/>
        </w:rPr>
        <w:t xml:space="preserve">being </w:t>
      </w:r>
      <w:r w:rsidR="00D826D7">
        <w:rPr>
          <w:rFonts w:ascii="Times New Roman" w:hAnsi="Times New Roman" w:cs="Times New Roman"/>
          <w:sz w:val="24"/>
          <w:szCs w:val="24"/>
        </w:rPr>
        <w:t>disseminated and exchanged across the end</w:t>
      </w:r>
      <w:r w:rsidR="00371BC1">
        <w:rPr>
          <w:rFonts w:ascii="Times New Roman" w:hAnsi="Times New Roman" w:cs="Times New Roman"/>
          <w:sz w:val="24"/>
          <w:szCs w:val="24"/>
        </w:rPr>
        <w:t xml:space="preserve"> </w:t>
      </w:r>
      <w:r w:rsidR="00D826D7">
        <w:rPr>
          <w:rFonts w:ascii="Times New Roman" w:hAnsi="Times New Roman" w:cs="Times New Roman"/>
          <w:sz w:val="24"/>
          <w:szCs w:val="24"/>
        </w:rPr>
        <w:t>points</w:t>
      </w:r>
      <w:r w:rsidR="00263797">
        <w:rPr>
          <w:rFonts w:ascii="Times New Roman" w:hAnsi="Times New Roman" w:cs="Times New Roman"/>
          <w:sz w:val="24"/>
          <w:szCs w:val="24"/>
        </w:rPr>
        <w:t>. Th</w:t>
      </w:r>
      <w:r>
        <w:rPr>
          <w:rFonts w:ascii="Times New Roman" w:hAnsi="Times New Roman" w:cs="Times New Roman"/>
          <w:sz w:val="24"/>
          <w:szCs w:val="24"/>
        </w:rPr>
        <w:t>e</w:t>
      </w:r>
      <w:r w:rsidR="00263797">
        <w:rPr>
          <w:rFonts w:ascii="Times New Roman" w:hAnsi="Times New Roman" w:cs="Times New Roman"/>
          <w:sz w:val="24"/>
          <w:szCs w:val="24"/>
        </w:rPr>
        <w:t xml:space="preserve"> exclusionary effect </w:t>
      </w:r>
      <w:r w:rsidR="009D14E8">
        <w:rPr>
          <w:rFonts w:ascii="Times New Roman" w:hAnsi="Times New Roman" w:cs="Times New Roman"/>
          <w:sz w:val="24"/>
          <w:szCs w:val="24"/>
        </w:rPr>
        <w:t>of</w:t>
      </w:r>
      <w:r w:rsidR="00263797">
        <w:rPr>
          <w:rFonts w:ascii="Times New Roman" w:hAnsi="Times New Roman" w:cs="Times New Roman"/>
          <w:sz w:val="24"/>
          <w:szCs w:val="24"/>
        </w:rPr>
        <w:t xml:space="preserve"> the IPRs </w:t>
      </w:r>
      <w:r w:rsidR="003E49B0">
        <w:rPr>
          <w:rFonts w:ascii="Times New Roman" w:hAnsi="Times New Roman" w:cs="Times New Roman"/>
          <w:sz w:val="24"/>
          <w:szCs w:val="24"/>
        </w:rPr>
        <w:lastRenderedPageBreak/>
        <w:t xml:space="preserve">surfaces here </w:t>
      </w:r>
      <w:r w:rsidR="00263797">
        <w:rPr>
          <w:rFonts w:ascii="Times New Roman" w:hAnsi="Times New Roman" w:cs="Times New Roman"/>
          <w:sz w:val="24"/>
          <w:szCs w:val="24"/>
        </w:rPr>
        <w:t>since the access-</w:t>
      </w:r>
      <w:r w:rsidR="003E49B0">
        <w:rPr>
          <w:rFonts w:ascii="Times New Roman" w:hAnsi="Times New Roman" w:cs="Times New Roman"/>
          <w:sz w:val="24"/>
          <w:szCs w:val="24"/>
        </w:rPr>
        <w:t>deni</w:t>
      </w:r>
      <w:r w:rsidR="00263797">
        <w:rPr>
          <w:rFonts w:ascii="Times New Roman" w:hAnsi="Times New Roman" w:cs="Times New Roman"/>
          <w:sz w:val="24"/>
          <w:szCs w:val="24"/>
        </w:rPr>
        <w:t xml:space="preserve">ed </w:t>
      </w:r>
      <w:r w:rsidR="003E49B0">
        <w:rPr>
          <w:rFonts w:ascii="Times New Roman" w:hAnsi="Times New Roman" w:cs="Times New Roman"/>
          <w:sz w:val="24"/>
          <w:szCs w:val="24"/>
        </w:rPr>
        <w:t xml:space="preserve">(or restricted) </w:t>
      </w:r>
      <w:r w:rsidR="00263797">
        <w:rPr>
          <w:rFonts w:ascii="Times New Roman" w:hAnsi="Times New Roman" w:cs="Times New Roman"/>
          <w:sz w:val="24"/>
          <w:szCs w:val="24"/>
        </w:rPr>
        <w:t xml:space="preserve">content </w:t>
      </w:r>
      <w:r w:rsidR="007A3AB2">
        <w:rPr>
          <w:rFonts w:ascii="Times New Roman" w:hAnsi="Times New Roman" w:cs="Times New Roman"/>
          <w:sz w:val="24"/>
          <w:szCs w:val="24"/>
        </w:rPr>
        <w:t xml:space="preserve">is often not tangible </w:t>
      </w:r>
      <w:r w:rsidR="003E49B0">
        <w:rPr>
          <w:rFonts w:ascii="Times New Roman" w:hAnsi="Times New Roman" w:cs="Times New Roman"/>
          <w:sz w:val="24"/>
          <w:szCs w:val="24"/>
        </w:rPr>
        <w:t>n</w:t>
      </w:r>
      <w:r w:rsidR="007A3AB2">
        <w:rPr>
          <w:rFonts w:ascii="Times New Roman" w:hAnsi="Times New Roman" w:cs="Times New Roman"/>
          <w:sz w:val="24"/>
          <w:szCs w:val="24"/>
        </w:rPr>
        <w:t>or in a bounded</w:t>
      </w:r>
      <w:r>
        <w:rPr>
          <w:rFonts w:ascii="Times New Roman" w:hAnsi="Times New Roman" w:cs="Times New Roman"/>
          <w:sz w:val="24"/>
          <w:szCs w:val="24"/>
        </w:rPr>
        <w:t xml:space="preserve"> </w:t>
      </w:r>
      <w:r w:rsidR="007A3AB2">
        <w:rPr>
          <w:rFonts w:ascii="Times New Roman" w:hAnsi="Times New Roman" w:cs="Times New Roman"/>
          <w:sz w:val="24"/>
          <w:szCs w:val="24"/>
        </w:rPr>
        <w:t xml:space="preserve">form but </w:t>
      </w:r>
      <w:r w:rsidR="003E49B0">
        <w:rPr>
          <w:rFonts w:ascii="Times New Roman" w:hAnsi="Times New Roman" w:cs="Times New Roman"/>
          <w:sz w:val="24"/>
          <w:szCs w:val="24"/>
        </w:rPr>
        <w:t xml:space="preserve">would often </w:t>
      </w:r>
      <w:r>
        <w:rPr>
          <w:rFonts w:ascii="Times New Roman" w:hAnsi="Times New Roman" w:cs="Times New Roman"/>
          <w:sz w:val="24"/>
          <w:szCs w:val="24"/>
        </w:rPr>
        <w:t>hav</w:t>
      </w:r>
      <w:r w:rsidR="003E49B0">
        <w:rPr>
          <w:rFonts w:ascii="Times New Roman" w:hAnsi="Times New Roman" w:cs="Times New Roman"/>
          <w:sz w:val="24"/>
          <w:szCs w:val="24"/>
        </w:rPr>
        <w:t>e</w:t>
      </w:r>
      <w:r>
        <w:rPr>
          <w:rFonts w:ascii="Times New Roman" w:hAnsi="Times New Roman" w:cs="Times New Roman"/>
          <w:sz w:val="24"/>
          <w:szCs w:val="24"/>
        </w:rPr>
        <w:t xml:space="preserve"> a </w:t>
      </w:r>
      <w:r w:rsidR="007A3AB2">
        <w:rPr>
          <w:rFonts w:ascii="Times New Roman" w:hAnsi="Times New Roman" w:cs="Times New Roman"/>
          <w:sz w:val="24"/>
          <w:szCs w:val="24"/>
        </w:rPr>
        <w:t xml:space="preserve">fluid </w:t>
      </w:r>
      <w:r>
        <w:rPr>
          <w:rFonts w:ascii="Times New Roman" w:hAnsi="Times New Roman" w:cs="Times New Roman"/>
          <w:sz w:val="24"/>
          <w:szCs w:val="24"/>
        </w:rPr>
        <w:t xml:space="preserve">form </w:t>
      </w:r>
      <w:r w:rsidR="007A3AB2">
        <w:rPr>
          <w:rFonts w:ascii="Times New Roman" w:hAnsi="Times New Roman" w:cs="Times New Roman"/>
          <w:sz w:val="24"/>
          <w:szCs w:val="24"/>
        </w:rPr>
        <w:t>transcending the boundaries</w:t>
      </w:r>
      <w:r w:rsidR="003E49B0">
        <w:rPr>
          <w:rFonts w:ascii="Times New Roman" w:hAnsi="Times New Roman" w:cs="Times New Roman"/>
          <w:sz w:val="24"/>
          <w:szCs w:val="24"/>
        </w:rPr>
        <w:t xml:space="preserve"> of ICT networks/platforms</w:t>
      </w:r>
      <w:r w:rsidR="007A3AB2">
        <w:rPr>
          <w:rFonts w:ascii="Times New Roman" w:hAnsi="Times New Roman" w:cs="Times New Roman"/>
          <w:sz w:val="24"/>
          <w:szCs w:val="24"/>
        </w:rPr>
        <w:t xml:space="preserve">. This </w:t>
      </w:r>
      <w:r w:rsidR="005554C7">
        <w:rPr>
          <w:rFonts w:ascii="Times New Roman" w:hAnsi="Times New Roman" w:cs="Times New Roman"/>
          <w:sz w:val="24"/>
          <w:szCs w:val="24"/>
        </w:rPr>
        <w:t xml:space="preserve">transition, namely </w:t>
      </w:r>
      <w:r w:rsidR="007A3AB2">
        <w:rPr>
          <w:rFonts w:ascii="Times New Roman" w:hAnsi="Times New Roman" w:cs="Times New Roman"/>
          <w:sz w:val="24"/>
          <w:szCs w:val="24"/>
        </w:rPr>
        <w:t xml:space="preserve">from </w:t>
      </w:r>
      <w:r w:rsidR="003E49B0">
        <w:rPr>
          <w:rFonts w:ascii="Times New Roman" w:hAnsi="Times New Roman" w:cs="Times New Roman"/>
          <w:sz w:val="24"/>
          <w:szCs w:val="24"/>
        </w:rPr>
        <w:t>the</w:t>
      </w:r>
      <w:r w:rsidR="007A3AB2">
        <w:rPr>
          <w:rFonts w:ascii="Times New Roman" w:hAnsi="Times New Roman" w:cs="Times New Roman"/>
          <w:sz w:val="24"/>
          <w:szCs w:val="24"/>
        </w:rPr>
        <w:t xml:space="preserve"> </w:t>
      </w:r>
      <w:r w:rsidR="005554C7">
        <w:rPr>
          <w:rFonts w:ascii="Times New Roman" w:hAnsi="Times New Roman" w:cs="Times New Roman"/>
          <w:sz w:val="24"/>
          <w:szCs w:val="24"/>
        </w:rPr>
        <w:t>‘</w:t>
      </w:r>
      <w:r w:rsidR="007A3AB2">
        <w:rPr>
          <w:rFonts w:ascii="Times New Roman" w:hAnsi="Times New Roman" w:cs="Times New Roman"/>
          <w:sz w:val="24"/>
          <w:szCs w:val="24"/>
        </w:rPr>
        <w:t>stock</w:t>
      </w:r>
      <w:r w:rsidR="005554C7">
        <w:rPr>
          <w:rFonts w:ascii="Times New Roman" w:hAnsi="Times New Roman" w:cs="Times New Roman"/>
          <w:sz w:val="24"/>
          <w:szCs w:val="24"/>
        </w:rPr>
        <w:t>’s</w:t>
      </w:r>
      <w:r w:rsidR="007A3AB2">
        <w:rPr>
          <w:rFonts w:ascii="Times New Roman" w:hAnsi="Times New Roman" w:cs="Times New Roman"/>
          <w:sz w:val="24"/>
          <w:szCs w:val="24"/>
        </w:rPr>
        <w:t xml:space="preserve"> to </w:t>
      </w:r>
      <w:r w:rsidR="005554C7">
        <w:rPr>
          <w:rFonts w:ascii="Times New Roman" w:hAnsi="Times New Roman" w:cs="Times New Roman"/>
          <w:sz w:val="24"/>
          <w:szCs w:val="24"/>
        </w:rPr>
        <w:t>‘</w:t>
      </w:r>
      <w:r w:rsidR="007A3AB2">
        <w:rPr>
          <w:rFonts w:ascii="Times New Roman" w:hAnsi="Times New Roman" w:cs="Times New Roman"/>
          <w:sz w:val="24"/>
          <w:szCs w:val="24"/>
        </w:rPr>
        <w:t>commodity flow</w:t>
      </w:r>
      <w:r w:rsidR="005554C7">
        <w:rPr>
          <w:rFonts w:ascii="Times New Roman" w:hAnsi="Times New Roman" w:cs="Times New Roman"/>
          <w:sz w:val="24"/>
          <w:szCs w:val="24"/>
        </w:rPr>
        <w:t>’s</w:t>
      </w:r>
      <w:r w:rsidR="004561CC">
        <w:rPr>
          <w:rFonts w:ascii="Times New Roman" w:hAnsi="Times New Roman" w:cs="Times New Roman"/>
          <w:sz w:val="24"/>
          <w:szCs w:val="24"/>
        </w:rPr>
        <w:t>,</w:t>
      </w:r>
      <w:r w:rsidR="005554C7">
        <w:rPr>
          <w:rStyle w:val="FootnoteReference"/>
          <w:rFonts w:ascii="Times New Roman" w:hAnsi="Times New Roman" w:cs="Times New Roman"/>
          <w:sz w:val="24"/>
          <w:szCs w:val="24"/>
        </w:rPr>
        <w:footnoteReference w:id="160"/>
      </w:r>
      <w:r w:rsidR="00AE5737">
        <w:rPr>
          <w:rFonts w:ascii="Times New Roman" w:hAnsi="Times New Roman" w:cs="Times New Roman"/>
          <w:sz w:val="24"/>
          <w:szCs w:val="24"/>
        </w:rPr>
        <w:t xml:space="preserve"> </w:t>
      </w:r>
      <w:r w:rsidR="005554C7">
        <w:rPr>
          <w:rFonts w:ascii="Times New Roman" w:hAnsi="Times New Roman" w:cs="Times New Roman"/>
          <w:sz w:val="24"/>
          <w:szCs w:val="24"/>
        </w:rPr>
        <w:t>needs to be noted as a key change driven by the ever fast evolving ICTs and the accompanying</w:t>
      </w:r>
      <w:r w:rsidR="004561CC">
        <w:rPr>
          <w:rFonts w:ascii="Times New Roman" w:hAnsi="Times New Roman" w:cs="Times New Roman"/>
          <w:sz w:val="24"/>
          <w:szCs w:val="24"/>
        </w:rPr>
        <w:t xml:space="preserve"> </w:t>
      </w:r>
      <w:r w:rsidR="005554C7">
        <w:rPr>
          <w:rFonts w:ascii="Times New Roman" w:hAnsi="Times New Roman" w:cs="Times New Roman"/>
          <w:sz w:val="24"/>
          <w:szCs w:val="24"/>
        </w:rPr>
        <w:t>‘</w:t>
      </w:r>
      <w:r w:rsidR="00431ED2">
        <w:rPr>
          <w:rFonts w:ascii="Times New Roman" w:hAnsi="Times New Roman" w:cs="Times New Roman"/>
          <w:sz w:val="24"/>
          <w:szCs w:val="24"/>
        </w:rPr>
        <w:t xml:space="preserve">networked </w:t>
      </w:r>
      <w:r w:rsidR="004561CC">
        <w:rPr>
          <w:rFonts w:ascii="Times New Roman" w:hAnsi="Times New Roman" w:cs="Times New Roman"/>
          <w:sz w:val="24"/>
          <w:szCs w:val="24"/>
        </w:rPr>
        <w:t>information economy</w:t>
      </w:r>
      <w:r w:rsidR="005554C7">
        <w:rPr>
          <w:rFonts w:ascii="Times New Roman" w:hAnsi="Times New Roman" w:cs="Times New Roman"/>
          <w:sz w:val="24"/>
          <w:szCs w:val="24"/>
        </w:rPr>
        <w:t>’</w:t>
      </w:r>
      <w:r w:rsidR="004561CC">
        <w:rPr>
          <w:rFonts w:ascii="Times New Roman" w:hAnsi="Times New Roman" w:cs="Times New Roman"/>
          <w:sz w:val="24"/>
          <w:szCs w:val="24"/>
        </w:rPr>
        <w:t>.</w:t>
      </w:r>
      <w:r w:rsidR="00431ED2">
        <w:rPr>
          <w:rStyle w:val="FootnoteReference"/>
          <w:rFonts w:ascii="Times New Roman" w:hAnsi="Times New Roman" w:cs="Times New Roman"/>
          <w:sz w:val="24"/>
          <w:szCs w:val="24"/>
        </w:rPr>
        <w:footnoteReference w:id="161"/>
      </w:r>
      <w:r w:rsidR="00431ED2">
        <w:rPr>
          <w:rFonts w:ascii="Times New Roman" w:hAnsi="Times New Roman" w:cs="Times New Roman"/>
          <w:sz w:val="24"/>
          <w:szCs w:val="24"/>
        </w:rPr>
        <w:t xml:space="preserve"> </w:t>
      </w:r>
      <w:r w:rsidR="004561CC">
        <w:rPr>
          <w:rFonts w:ascii="Times New Roman" w:hAnsi="Times New Roman" w:cs="Times New Roman"/>
          <w:sz w:val="24"/>
          <w:szCs w:val="24"/>
        </w:rPr>
        <w:t>In this regard, commodifi</w:t>
      </w:r>
      <w:r w:rsidR="002D2545">
        <w:rPr>
          <w:rFonts w:ascii="Times New Roman" w:hAnsi="Times New Roman" w:cs="Times New Roman"/>
          <w:sz w:val="24"/>
          <w:szCs w:val="24"/>
        </w:rPr>
        <w:t xml:space="preserve">ed information </w:t>
      </w:r>
      <w:r w:rsidR="00400353">
        <w:rPr>
          <w:rFonts w:ascii="Times New Roman" w:hAnsi="Times New Roman" w:cs="Times New Roman"/>
          <w:sz w:val="24"/>
          <w:szCs w:val="24"/>
        </w:rPr>
        <w:t>com</w:t>
      </w:r>
      <w:r w:rsidR="002D2545">
        <w:rPr>
          <w:rFonts w:ascii="Times New Roman" w:hAnsi="Times New Roman" w:cs="Times New Roman"/>
          <w:sz w:val="24"/>
          <w:szCs w:val="24"/>
        </w:rPr>
        <w:t>ing</w:t>
      </w:r>
      <w:r w:rsidR="00400353">
        <w:rPr>
          <w:rFonts w:ascii="Times New Roman" w:hAnsi="Times New Roman" w:cs="Times New Roman"/>
          <w:sz w:val="24"/>
          <w:szCs w:val="24"/>
        </w:rPr>
        <w:t xml:space="preserve"> up with </w:t>
      </w:r>
      <w:r w:rsidR="002D2545">
        <w:rPr>
          <w:rFonts w:ascii="Times New Roman" w:hAnsi="Times New Roman" w:cs="Times New Roman"/>
          <w:sz w:val="24"/>
          <w:szCs w:val="24"/>
        </w:rPr>
        <w:t xml:space="preserve">the </w:t>
      </w:r>
      <w:r w:rsidR="00400353">
        <w:rPr>
          <w:rFonts w:ascii="Times New Roman" w:hAnsi="Times New Roman" w:cs="Times New Roman"/>
          <w:sz w:val="24"/>
          <w:szCs w:val="24"/>
        </w:rPr>
        <w:t>fluidity</w:t>
      </w:r>
      <w:r w:rsidR="002D2545">
        <w:rPr>
          <w:rFonts w:ascii="Times New Roman" w:hAnsi="Times New Roman" w:cs="Times New Roman"/>
          <w:sz w:val="24"/>
          <w:szCs w:val="24"/>
        </w:rPr>
        <w:t xml:space="preserve"> through codes </w:t>
      </w:r>
      <w:r w:rsidR="003744DA">
        <w:rPr>
          <w:rFonts w:ascii="Times New Roman" w:hAnsi="Times New Roman" w:cs="Times New Roman"/>
          <w:sz w:val="24"/>
          <w:szCs w:val="24"/>
        </w:rPr>
        <w:t>and</w:t>
      </w:r>
      <w:r w:rsidR="002D2545">
        <w:rPr>
          <w:rFonts w:ascii="Times New Roman" w:hAnsi="Times New Roman" w:cs="Times New Roman"/>
          <w:sz w:val="24"/>
          <w:szCs w:val="24"/>
        </w:rPr>
        <w:t xml:space="preserve"> </w:t>
      </w:r>
      <w:r w:rsidR="00A24388">
        <w:rPr>
          <w:rFonts w:ascii="Times New Roman" w:hAnsi="Times New Roman" w:cs="Times New Roman"/>
          <w:sz w:val="24"/>
          <w:szCs w:val="24"/>
        </w:rPr>
        <w:t>b</w:t>
      </w:r>
      <w:r w:rsidR="002D2545">
        <w:rPr>
          <w:rFonts w:ascii="Times New Roman" w:hAnsi="Times New Roman" w:cs="Times New Roman"/>
          <w:sz w:val="24"/>
          <w:szCs w:val="24"/>
        </w:rPr>
        <w:t>its bring out the question as to the appropriateness of the stock-focused property regimes including IPR rules, particularly against the key role of information flow</w:t>
      </w:r>
      <w:r w:rsidR="007307EC">
        <w:rPr>
          <w:rFonts w:ascii="Times New Roman" w:hAnsi="Times New Roman" w:cs="Times New Roman"/>
          <w:sz w:val="24"/>
          <w:szCs w:val="24"/>
        </w:rPr>
        <w:t>s</w:t>
      </w:r>
      <w:r w:rsidR="002D2545">
        <w:rPr>
          <w:rFonts w:ascii="Times New Roman" w:hAnsi="Times New Roman" w:cs="Times New Roman"/>
          <w:sz w:val="24"/>
          <w:szCs w:val="24"/>
        </w:rPr>
        <w:t xml:space="preserve"> in the digital age.</w:t>
      </w:r>
      <w:r w:rsidR="009458F6">
        <w:rPr>
          <w:rStyle w:val="FootnoteReference"/>
          <w:rFonts w:ascii="Times New Roman" w:hAnsi="Times New Roman" w:cs="Times New Roman"/>
          <w:sz w:val="24"/>
          <w:szCs w:val="24"/>
        </w:rPr>
        <w:footnoteReference w:id="162"/>
      </w:r>
      <w:r w:rsidR="0084023D">
        <w:rPr>
          <w:rFonts w:ascii="Times New Roman" w:hAnsi="Times New Roman" w:cs="Times New Roman"/>
          <w:sz w:val="24"/>
          <w:szCs w:val="24"/>
        </w:rPr>
        <w:t xml:space="preserve"> </w:t>
      </w:r>
      <w:r w:rsidR="0023460B">
        <w:rPr>
          <w:rFonts w:ascii="Times New Roman" w:hAnsi="Times New Roman" w:cs="Times New Roman"/>
          <w:sz w:val="24"/>
          <w:szCs w:val="24"/>
        </w:rPr>
        <w:t>While responding this question goes beyond the scope of this study, it is noteworthy that t</w:t>
      </w:r>
      <w:r w:rsidR="0023460B" w:rsidRPr="00B1768D">
        <w:rPr>
          <w:rFonts w:ascii="Times New Roman" w:hAnsi="Times New Roman" w:cs="Times New Roman"/>
          <w:sz w:val="24"/>
          <w:szCs w:val="24"/>
        </w:rPr>
        <w:t>he construction of information is not reflected merely through classification, but also through the network of links that creates the path which leads to the information.</w:t>
      </w:r>
      <w:r w:rsidR="0023460B" w:rsidRPr="00E35076">
        <w:rPr>
          <w:rStyle w:val="FootnoteReference"/>
          <w:rFonts w:ascii="Times New Roman" w:hAnsi="Times New Roman" w:cs="Times New Roman"/>
          <w:sz w:val="24"/>
          <w:szCs w:val="24"/>
        </w:rPr>
        <w:footnoteReference w:id="163"/>
      </w:r>
      <w:r w:rsidR="0023460B">
        <w:rPr>
          <w:rFonts w:ascii="Times New Roman" w:hAnsi="Times New Roman" w:cs="Times New Roman"/>
          <w:sz w:val="24"/>
          <w:szCs w:val="24"/>
        </w:rPr>
        <w:t xml:space="preserve"> Having said that, not only </w:t>
      </w:r>
      <w:r w:rsidR="0095051F">
        <w:rPr>
          <w:rFonts w:ascii="Times New Roman" w:hAnsi="Times New Roman" w:cs="Times New Roman"/>
          <w:sz w:val="24"/>
          <w:szCs w:val="24"/>
        </w:rPr>
        <w:t xml:space="preserve">(theoretical) </w:t>
      </w:r>
      <w:r w:rsidR="00AC0B8A">
        <w:rPr>
          <w:rFonts w:ascii="Times New Roman" w:hAnsi="Times New Roman" w:cs="Times New Roman"/>
          <w:sz w:val="24"/>
          <w:szCs w:val="24"/>
        </w:rPr>
        <w:t xml:space="preserve">access </w:t>
      </w:r>
      <w:r w:rsidR="0023460B">
        <w:rPr>
          <w:rFonts w:ascii="Times New Roman" w:hAnsi="Times New Roman" w:cs="Times New Roman"/>
          <w:sz w:val="24"/>
          <w:szCs w:val="24"/>
        </w:rPr>
        <w:t>rights</w:t>
      </w:r>
      <w:r w:rsidR="00AC0B8A">
        <w:rPr>
          <w:rStyle w:val="FootnoteReference"/>
          <w:rFonts w:ascii="Times New Roman" w:hAnsi="Times New Roman" w:cs="Times New Roman"/>
          <w:sz w:val="24"/>
          <w:szCs w:val="24"/>
        </w:rPr>
        <w:footnoteReference w:id="164"/>
      </w:r>
      <w:r w:rsidR="00F74808">
        <w:rPr>
          <w:rFonts w:ascii="Times New Roman" w:hAnsi="Times New Roman" w:cs="Times New Roman"/>
          <w:sz w:val="24"/>
          <w:szCs w:val="24"/>
        </w:rPr>
        <w:t xml:space="preserve"> or permitted circumvention of </w:t>
      </w:r>
      <w:r w:rsidR="00F74808">
        <w:rPr>
          <w:rFonts w:ascii="Times New Roman" w:hAnsi="Times New Roman" w:cs="Times New Roman"/>
          <w:sz w:val="24"/>
          <w:szCs w:val="24"/>
        </w:rPr>
        <w:lastRenderedPageBreak/>
        <w:t>access controls</w:t>
      </w:r>
      <w:r w:rsidR="0023460B">
        <w:rPr>
          <w:rFonts w:ascii="Times New Roman" w:hAnsi="Times New Roman" w:cs="Times New Roman"/>
          <w:sz w:val="24"/>
          <w:szCs w:val="24"/>
        </w:rPr>
        <w:t xml:space="preserve"> e.g. as enshrined </w:t>
      </w:r>
      <w:r w:rsidR="006D26D2">
        <w:rPr>
          <w:rFonts w:ascii="Times New Roman" w:hAnsi="Times New Roman" w:cs="Times New Roman"/>
          <w:sz w:val="24"/>
          <w:szCs w:val="24"/>
        </w:rPr>
        <w:t xml:space="preserve">under </w:t>
      </w:r>
      <w:r w:rsidR="0023460B">
        <w:rPr>
          <w:rFonts w:ascii="Times New Roman" w:hAnsi="Times New Roman" w:cs="Times New Roman"/>
          <w:sz w:val="24"/>
          <w:szCs w:val="24"/>
        </w:rPr>
        <w:t xml:space="preserve">DMCA </w:t>
      </w:r>
      <w:r w:rsidR="006D26D2">
        <w:rPr>
          <w:rFonts w:ascii="Times New Roman" w:hAnsi="Times New Roman" w:cs="Times New Roman"/>
          <w:sz w:val="24"/>
          <w:szCs w:val="24"/>
        </w:rPr>
        <w:t>under certain conditions</w:t>
      </w:r>
      <w:r w:rsidR="0023460B">
        <w:rPr>
          <w:rFonts w:ascii="Times New Roman" w:hAnsi="Times New Roman" w:cs="Times New Roman"/>
          <w:sz w:val="24"/>
          <w:szCs w:val="24"/>
        </w:rPr>
        <w:t>,</w:t>
      </w:r>
      <w:r w:rsidR="006D26D2">
        <w:rPr>
          <w:rStyle w:val="FootnoteReference"/>
          <w:rFonts w:ascii="Times New Roman" w:hAnsi="Times New Roman" w:cs="Times New Roman"/>
          <w:sz w:val="24"/>
          <w:szCs w:val="24"/>
        </w:rPr>
        <w:footnoteReference w:id="165"/>
      </w:r>
      <w:r w:rsidR="0023460B">
        <w:rPr>
          <w:rFonts w:ascii="Times New Roman" w:hAnsi="Times New Roman" w:cs="Times New Roman"/>
          <w:sz w:val="24"/>
          <w:szCs w:val="24"/>
        </w:rPr>
        <w:t xml:space="preserve"> but also</w:t>
      </w:r>
      <w:r w:rsidR="0095051F">
        <w:rPr>
          <w:rFonts w:ascii="Times New Roman" w:hAnsi="Times New Roman" w:cs="Times New Roman"/>
          <w:sz w:val="24"/>
          <w:szCs w:val="24"/>
        </w:rPr>
        <w:t>, even more importantly,</w:t>
      </w:r>
      <w:r w:rsidR="0023460B">
        <w:rPr>
          <w:rFonts w:ascii="Times New Roman" w:hAnsi="Times New Roman" w:cs="Times New Roman"/>
          <w:sz w:val="24"/>
          <w:szCs w:val="24"/>
        </w:rPr>
        <w:t xml:space="preserve"> information</w:t>
      </w:r>
      <w:r w:rsidR="006D26D2">
        <w:rPr>
          <w:rFonts w:ascii="Times New Roman" w:hAnsi="Times New Roman" w:cs="Times New Roman"/>
          <w:sz w:val="24"/>
          <w:szCs w:val="24"/>
        </w:rPr>
        <w:t xml:space="preserve"> flows </w:t>
      </w:r>
      <w:r w:rsidR="00B475AF">
        <w:rPr>
          <w:rFonts w:ascii="Times New Roman" w:hAnsi="Times New Roman" w:cs="Times New Roman"/>
          <w:sz w:val="24"/>
          <w:szCs w:val="24"/>
        </w:rPr>
        <w:t xml:space="preserve">across the technological layers, networks and platforms </w:t>
      </w:r>
      <w:r w:rsidR="006D26D2">
        <w:rPr>
          <w:rFonts w:ascii="Times New Roman" w:hAnsi="Times New Roman" w:cs="Times New Roman"/>
          <w:sz w:val="24"/>
          <w:szCs w:val="24"/>
        </w:rPr>
        <w:t xml:space="preserve">gain importance in </w:t>
      </w:r>
      <w:r w:rsidR="00B475AF">
        <w:rPr>
          <w:rFonts w:ascii="Times New Roman" w:hAnsi="Times New Roman" w:cs="Times New Roman"/>
          <w:sz w:val="24"/>
          <w:szCs w:val="24"/>
        </w:rPr>
        <w:t>the current ICT landscape</w:t>
      </w:r>
      <w:r w:rsidR="006D26D2">
        <w:rPr>
          <w:rFonts w:ascii="Times New Roman" w:hAnsi="Times New Roman" w:cs="Times New Roman"/>
          <w:sz w:val="24"/>
          <w:szCs w:val="24"/>
        </w:rPr>
        <w:t>.</w:t>
      </w:r>
    </w:p>
    <w:p w14:paraId="0B6728B7" w14:textId="70730259" w:rsidR="0023460B" w:rsidRDefault="005F53DC" w:rsidP="000527AA">
      <w:pPr>
        <w:spacing w:before="360"/>
        <w:jc w:val="both"/>
        <w:rPr>
          <w:rFonts w:ascii="Times New Roman" w:hAnsi="Times New Roman" w:cs="Times New Roman"/>
          <w:sz w:val="24"/>
          <w:szCs w:val="24"/>
        </w:rPr>
      </w:pPr>
      <w:r>
        <w:rPr>
          <w:rFonts w:ascii="Times New Roman" w:hAnsi="Times New Roman" w:cs="Times New Roman"/>
          <w:sz w:val="24"/>
          <w:szCs w:val="24"/>
        </w:rPr>
        <w:t>Decentralisation and diffusion of power is not the same thing as less power exercised over human beings; nor is the same thing as democracy.</w:t>
      </w:r>
      <w:r>
        <w:rPr>
          <w:rStyle w:val="FootnoteReference"/>
          <w:rFonts w:ascii="Times New Roman" w:hAnsi="Times New Roman" w:cs="Times New Roman"/>
          <w:sz w:val="24"/>
          <w:szCs w:val="24"/>
        </w:rPr>
        <w:footnoteReference w:id="166"/>
      </w:r>
      <w:r>
        <w:rPr>
          <w:rFonts w:ascii="Times New Roman" w:hAnsi="Times New Roman" w:cs="Times New Roman"/>
          <w:sz w:val="24"/>
          <w:szCs w:val="24"/>
        </w:rPr>
        <w:t xml:space="preserve"> </w:t>
      </w:r>
      <w:r w:rsidR="00A25744">
        <w:rPr>
          <w:rFonts w:ascii="Times New Roman" w:hAnsi="Times New Roman" w:cs="Times New Roman"/>
          <w:sz w:val="24"/>
          <w:szCs w:val="24"/>
        </w:rPr>
        <w:t>Power does no disappear in a digital networked world, and shifts from the arbitrary will of specific individuals and the imperatives of large bureaucratic organisations to the channelling effects of software code, surveillance technologies, and information networks.</w:t>
      </w:r>
      <w:r w:rsidR="00A25744">
        <w:rPr>
          <w:rStyle w:val="FootnoteReference"/>
          <w:rFonts w:ascii="Times New Roman" w:hAnsi="Times New Roman" w:cs="Times New Roman"/>
          <w:sz w:val="24"/>
          <w:szCs w:val="24"/>
        </w:rPr>
        <w:footnoteReference w:id="167"/>
      </w:r>
      <w:r w:rsidR="00A25744">
        <w:rPr>
          <w:rFonts w:ascii="Times New Roman" w:hAnsi="Times New Roman" w:cs="Times New Roman"/>
          <w:sz w:val="24"/>
          <w:szCs w:val="24"/>
        </w:rPr>
        <w:t xml:space="preserve"> Although we are increasingly integrated into information networks in some ways, we are also alienated from them in others,</w:t>
      </w:r>
      <w:r w:rsidR="00A25744">
        <w:rPr>
          <w:rStyle w:val="FootnoteReference"/>
          <w:rFonts w:ascii="Times New Roman" w:hAnsi="Times New Roman" w:cs="Times New Roman"/>
          <w:sz w:val="24"/>
          <w:szCs w:val="24"/>
        </w:rPr>
        <w:footnoteReference w:id="168"/>
      </w:r>
      <w:r w:rsidR="00A25744">
        <w:rPr>
          <w:rFonts w:ascii="Times New Roman" w:hAnsi="Times New Roman" w:cs="Times New Roman"/>
          <w:sz w:val="24"/>
          <w:szCs w:val="24"/>
        </w:rPr>
        <w:t xml:space="preserve"> </w:t>
      </w:r>
      <w:r w:rsidR="00DC41F9">
        <w:rPr>
          <w:rFonts w:ascii="Times New Roman" w:hAnsi="Times New Roman" w:cs="Times New Roman"/>
          <w:sz w:val="24"/>
          <w:szCs w:val="24"/>
        </w:rPr>
        <w:t>which would mean restricted information flows</w:t>
      </w:r>
      <w:r w:rsidR="006941D6">
        <w:rPr>
          <w:rFonts w:ascii="Times New Roman" w:hAnsi="Times New Roman" w:cs="Times New Roman"/>
          <w:sz w:val="24"/>
          <w:szCs w:val="24"/>
        </w:rPr>
        <w:t xml:space="preserve"> </w:t>
      </w:r>
      <w:r w:rsidR="00C400B2">
        <w:rPr>
          <w:rFonts w:ascii="Times New Roman" w:hAnsi="Times New Roman" w:cs="Times New Roman"/>
          <w:sz w:val="24"/>
          <w:szCs w:val="24"/>
        </w:rPr>
        <w:t>as well as increased</w:t>
      </w:r>
      <w:r w:rsidR="00AF6435">
        <w:rPr>
          <w:rFonts w:ascii="Times New Roman" w:hAnsi="Times New Roman" w:cs="Times New Roman"/>
          <w:sz w:val="24"/>
          <w:szCs w:val="24"/>
        </w:rPr>
        <w:t xml:space="preserve"> control over content</w:t>
      </w:r>
      <w:r w:rsidR="00DC41F9">
        <w:rPr>
          <w:rFonts w:ascii="Times New Roman" w:hAnsi="Times New Roman" w:cs="Times New Roman"/>
          <w:sz w:val="24"/>
          <w:szCs w:val="24"/>
        </w:rPr>
        <w:t>.</w:t>
      </w:r>
      <w:r w:rsidR="00A25744">
        <w:rPr>
          <w:rFonts w:ascii="Times New Roman" w:hAnsi="Times New Roman" w:cs="Times New Roman"/>
          <w:sz w:val="24"/>
          <w:szCs w:val="24"/>
        </w:rPr>
        <w:t xml:space="preserve">  </w:t>
      </w:r>
    </w:p>
    <w:p w14:paraId="1FAEB2A4" w14:textId="51655D43" w:rsidR="00BF6739" w:rsidRDefault="00B124E8" w:rsidP="00A70042">
      <w:pPr>
        <w:spacing w:before="360"/>
        <w:jc w:val="both"/>
        <w:rPr>
          <w:rFonts w:ascii="Times New Roman" w:hAnsi="Times New Roman" w:cs="Times New Roman"/>
          <w:sz w:val="24"/>
          <w:szCs w:val="24"/>
        </w:rPr>
      </w:pPr>
      <w:r w:rsidRPr="00E35076">
        <w:rPr>
          <w:rFonts w:ascii="Times New Roman" w:hAnsi="Times New Roman" w:cs="Times New Roman"/>
          <w:sz w:val="24"/>
          <w:szCs w:val="24"/>
        </w:rPr>
        <w:t>A</w:t>
      </w:r>
      <w:r w:rsidRPr="003D1726">
        <w:rPr>
          <w:rFonts w:ascii="Times New Roman" w:hAnsi="Times New Roman" w:cs="Times New Roman"/>
          <w:sz w:val="24"/>
          <w:szCs w:val="24"/>
        </w:rPr>
        <w:t xml:space="preserve">s </w:t>
      </w:r>
      <w:r w:rsidR="00547568" w:rsidRPr="003D1726">
        <w:rPr>
          <w:rFonts w:ascii="Times New Roman" w:hAnsi="Times New Roman" w:cs="Times New Roman"/>
          <w:sz w:val="24"/>
          <w:szCs w:val="24"/>
        </w:rPr>
        <w:t>underlin</w:t>
      </w:r>
      <w:r w:rsidRPr="003D1726">
        <w:rPr>
          <w:rFonts w:ascii="Times New Roman" w:hAnsi="Times New Roman" w:cs="Times New Roman"/>
          <w:sz w:val="24"/>
          <w:szCs w:val="24"/>
        </w:rPr>
        <w:t xml:space="preserve">ed by </w:t>
      </w:r>
      <w:r w:rsidR="00B475AF">
        <w:rPr>
          <w:rFonts w:ascii="Times New Roman" w:hAnsi="Times New Roman" w:cs="Times New Roman"/>
          <w:sz w:val="24"/>
          <w:szCs w:val="24"/>
        </w:rPr>
        <w:t>Elkin-Kohen</w:t>
      </w:r>
      <w:r>
        <w:rPr>
          <w:rFonts w:ascii="Times New Roman" w:hAnsi="Times New Roman" w:cs="Times New Roman"/>
          <w:sz w:val="24"/>
          <w:szCs w:val="24"/>
        </w:rPr>
        <w:t>, concentration of ownership and control over content may reduce pluralism and result in a “marginal” or “meaningless” diversity of the type of content created.</w:t>
      </w:r>
      <w:r w:rsidR="00400353">
        <w:rPr>
          <w:rStyle w:val="FootnoteReference"/>
          <w:rFonts w:ascii="Times New Roman" w:hAnsi="Times New Roman" w:cs="Times New Roman"/>
          <w:sz w:val="24"/>
          <w:szCs w:val="24"/>
        </w:rPr>
        <w:footnoteReference w:id="169"/>
      </w:r>
      <w:r w:rsidR="00BF6739">
        <w:rPr>
          <w:rFonts w:ascii="Times New Roman" w:hAnsi="Times New Roman" w:cs="Times New Roman"/>
          <w:sz w:val="24"/>
          <w:szCs w:val="24"/>
        </w:rPr>
        <w:t xml:space="preserve"> </w:t>
      </w:r>
      <w:r w:rsidR="00B25BEF">
        <w:rPr>
          <w:rFonts w:ascii="Times New Roman" w:hAnsi="Times New Roman" w:cs="Times New Roman"/>
          <w:sz w:val="24"/>
          <w:szCs w:val="24"/>
          <w:lang w:val="en-US"/>
        </w:rPr>
        <w:t xml:space="preserve">Control over content may affect the extent to which people can </w:t>
      </w:r>
      <w:r w:rsidR="00B25BEF">
        <w:rPr>
          <w:rFonts w:ascii="Times New Roman" w:hAnsi="Times New Roman" w:cs="Times New Roman"/>
          <w:sz w:val="24"/>
          <w:szCs w:val="24"/>
          <w:lang w:val="en-US"/>
        </w:rPr>
        <w:lastRenderedPageBreak/>
        <w:t>appropriate content and adapt it to reflect their own agenda.</w:t>
      </w:r>
      <w:r w:rsidR="00B25BEF">
        <w:rPr>
          <w:rStyle w:val="FootnoteReference"/>
          <w:rFonts w:ascii="Times New Roman" w:hAnsi="Times New Roman" w:cs="Times New Roman"/>
          <w:sz w:val="24"/>
          <w:szCs w:val="24"/>
          <w:lang w:val="en-US"/>
        </w:rPr>
        <w:footnoteReference w:id="170"/>
      </w:r>
      <w:r w:rsidR="00B25BEF">
        <w:rPr>
          <w:rFonts w:ascii="Times New Roman" w:hAnsi="Times New Roman" w:cs="Times New Roman"/>
          <w:sz w:val="24"/>
          <w:szCs w:val="24"/>
          <w:lang w:val="en-US"/>
        </w:rPr>
        <w:t xml:space="preserve"> </w:t>
      </w:r>
      <w:r w:rsidR="008D3BBD">
        <w:rPr>
          <w:rFonts w:ascii="Times New Roman" w:hAnsi="Times New Roman" w:cs="Times New Roman"/>
          <w:sz w:val="24"/>
          <w:szCs w:val="24"/>
          <w:lang w:val="en-US"/>
        </w:rPr>
        <w:t>From the viewpoint of information flows, t</w:t>
      </w:r>
      <w:r w:rsidR="00B25BEF">
        <w:rPr>
          <w:rFonts w:ascii="Times New Roman" w:hAnsi="Times New Roman" w:cs="Times New Roman"/>
          <w:sz w:val="24"/>
          <w:szCs w:val="24"/>
          <w:lang w:val="en-US"/>
        </w:rPr>
        <w:t xml:space="preserve">his would also lead up to the information asymmetries as well as non-transparencies on the part of the dominant </w:t>
      </w:r>
      <w:r w:rsidR="00B475AF">
        <w:rPr>
          <w:rFonts w:ascii="Times New Roman" w:hAnsi="Times New Roman" w:cs="Times New Roman"/>
          <w:sz w:val="24"/>
          <w:szCs w:val="24"/>
          <w:lang w:val="en-US"/>
        </w:rPr>
        <w:t xml:space="preserve">information </w:t>
      </w:r>
      <w:r w:rsidR="00B25BEF">
        <w:rPr>
          <w:rFonts w:ascii="Times New Roman" w:hAnsi="Times New Roman" w:cs="Times New Roman"/>
          <w:sz w:val="24"/>
          <w:szCs w:val="24"/>
          <w:lang w:val="en-US"/>
        </w:rPr>
        <w:t xml:space="preserve">actors or agencies. </w:t>
      </w:r>
      <w:r w:rsidR="00B475AF">
        <w:rPr>
          <w:rFonts w:ascii="Times New Roman" w:hAnsi="Times New Roman" w:cs="Times New Roman"/>
          <w:sz w:val="24"/>
          <w:szCs w:val="24"/>
          <w:lang w:val="en-US"/>
        </w:rPr>
        <w:t xml:space="preserve">Ultimately, this would encourage these actors/agencies to be gatekeepers that have the capacity to exploit the consumers and </w:t>
      </w:r>
      <w:r w:rsidR="00DC41F9">
        <w:rPr>
          <w:rFonts w:ascii="Times New Roman" w:hAnsi="Times New Roman" w:cs="Times New Roman"/>
          <w:sz w:val="24"/>
          <w:szCs w:val="24"/>
          <w:lang w:val="en-US"/>
        </w:rPr>
        <w:t>maximize</w:t>
      </w:r>
      <w:r w:rsidR="00B475AF">
        <w:rPr>
          <w:rFonts w:ascii="Times New Roman" w:hAnsi="Times New Roman" w:cs="Times New Roman"/>
          <w:sz w:val="24"/>
          <w:szCs w:val="24"/>
          <w:lang w:val="en-US"/>
        </w:rPr>
        <w:t xml:space="preserve"> </w:t>
      </w:r>
      <w:r w:rsidR="00BC7200">
        <w:rPr>
          <w:rFonts w:ascii="Times New Roman" w:hAnsi="Times New Roman" w:cs="Times New Roman"/>
          <w:sz w:val="24"/>
          <w:szCs w:val="24"/>
          <w:lang w:val="en-US"/>
        </w:rPr>
        <w:t>capital</w:t>
      </w:r>
      <w:r w:rsidR="00B475AF">
        <w:rPr>
          <w:rFonts w:ascii="Times New Roman" w:hAnsi="Times New Roman" w:cs="Times New Roman"/>
          <w:sz w:val="24"/>
          <w:szCs w:val="24"/>
          <w:lang w:val="en-US"/>
        </w:rPr>
        <w:t xml:space="preserve"> </w:t>
      </w:r>
      <w:r w:rsidR="00DC41F9">
        <w:rPr>
          <w:rFonts w:ascii="Times New Roman" w:hAnsi="Times New Roman" w:cs="Times New Roman"/>
          <w:sz w:val="24"/>
          <w:szCs w:val="24"/>
          <w:lang w:val="en-US"/>
        </w:rPr>
        <w:t xml:space="preserve">flow </w:t>
      </w:r>
      <w:r w:rsidR="00B475AF">
        <w:rPr>
          <w:rFonts w:ascii="Times New Roman" w:hAnsi="Times New Roman" w:cs="Times New Roman"/>
          <w:sz w:val="24"/>
          <w:szCs w:val="24"/>
          <w:lang w:val="en-US"/>
        </w:rPr>
        <w:t xml:space="preserve">from this. </w:t>
      </w:r>
    </w:p>
    <w:p w14:paraId="0CBADBBD" w14:textId="4A085FC7" w:rsidR="00DE7ACB" w:rsidRDefault="00B25BEF" w:rsidP="00E35076">
      <w:pPr>
        <w:spacing w:before="360"/>
        <w:jc w:val="both"/>
        <w:rPr>
          <w:rFonts w:ascii="Times New Roman" w:hAnsi="Times New Roman" w:cs="Times New Roman"/>
          <w:sz w:val="24"/>
          <w:szCs w:val="24"/>
          <w:lang w:val="en-US"/>
        </w:rPr>
      </w:pPr>
      <w:r>
        <w:rPr>
          <w:rFonts w:ascii="Times New Roman" w:hAnsi="Times New Roman" w:cs="Times New Roman"/>
          <w:sz w:val="24"/>
          <w:szCs w:val="24"/>
          <w:lang w:val="en-US"/>
        </w:rPr>
        <w:t>A</w:t>
      </w:r>
      <w:r w:rsidR="00237E13">
        <w:rPr>
          <w:rFonts w:ascii="Times New Roman" w:hAnsi="Times New Roman" w:cs="Times New Roman"/>
          <w:sz w:val="24"/>
          <w:szCs w:val="24"/>
          <w:lang w:val="en-US"/>
        </w:rPr>
        <w:t xml:space="preserve">s far as informational goods </w:t>
      </w:r>
      <w:r w:rsidR="00575B1D">
        <w:rPr>
          <w:rFonts w:ascii="Times New Roman" w:hAnsi="Times New Roman" w:cs="Times New Roman"/>
          <w:sz w:val="24"/>
          <w:szCs w:val="24"/>
          <w:lang w:val="en-US"/>
        </w:rPr>
        <w:t>are</w:t>
      </w:r>
      <w:r w:rsidR="00237E13">
        <w:rPr>
          <w:rFonts w:ascii="Times New Roman" w:hAnsi="Times New Roman" w:cs="Times New Roman"/>
          <w:sz w:val="24"/>
          <w:szCs w:val="24"/>
          <w:lang w:val="en-US"/>
        </w:rPr>
        <w:t xml:space="preserve"> concerned, the viewpoint </w:t>
      </w:r>
      <w:r w:rsidR="00575B1D">
        <w:rPr>
          <w:rFonts w:ascii="Times New Roman" w:hAnsi="Times New Roman" w:cs="Times New Roman"/>
          <w:sz w:val="24"/>
          <w:szCs w:val="24"/>
          <w:lang w:val="en-US"/>
        </w:rPr>
        <w:t xml:space="preserve">one should have needs to be elaborated with </w:t>
      </w:r>
      <w:r w:rsidR="00237E13">
        <w:rPr>
          <w:rFonts w:ascii="Times New Roman" w:hAnsi="Times New Roman" w:cs="Times New Roman"/>
          <w:sz w:val="24"/>
          <w:szCs w:val="24"/>
          <w:lang w:val="en-US"/>
        </w:rPr>
        <w:t xml:space="preserve">civic virtue </w:t>
      </w:r>
      <w:r w:rsidR="00BC7200">
        <w:rPr>
          <w:rFonts w:ascii="Times New Roman" w:hAnsi="Times New Roman" w:cs="Times New Roman"/>
          <w:sz w:val="24"/>
          <w:szCs w:val="24"/>
          <w:lang w:val="en-US"/>
        </w:rPr>
        <w:t>because</w:t>
      </w:r>
      <w:r w:rsidR="00575B1D">
        <w:rPr>
          <w:rFonts w:ascii="Times New Roman" w:hAnsi="Times New Roman" w:cs="Times New Roman"/>
          <w:sz w:val="24"/>
          <w:szCs w:val="24"/>
          <w:lang w:val="en-US"/>
        </w:rPr>
        <w:t xml:space="preserve"> </w:t>
      </w:r>
      <w:r w:rsidR="00824980">
        <w:rPr>
          <w:rFonts w:ascii="Times New Roman" w:hAnsi="Times New Roman" w:cs="Times New Roman"/>
          <w:sz w:val="24"/>
          <w:szCs w:val="24"/>
          <w:lang w:val="en-US"/>
        </w:rPr>
        <w:t>information users</w:t>
      </w:r>
      <w:r w:rsidR="00237E13">
        <w:rPr>
          <w:rFonts w:ascii="Times New Roman" w:hAnsi="Times New Roman" w:cs="Times New Roman"/>
          <w:sz w:val="24"/>
          <w:szCs w:val="24"/>
          <w:lang w:val="en-US"/>
        </w:rPr>
        <w:t xml:space="preserve"> </w:t>
      </w:r>
      <w:r w:rsidR="00575B1D">
        <w:rPr>
          <w:rFonts w:ascii="Times New Roman" w:hAnsi="Times New Roman" w:cs="Times New Roman"/>
          <w:sz w:val="24"/>
          <w:szCs w:val="24"/>
          <w:lang w:val="en-US"/>
        </w:rPr>
        <w:t xml:space="preserve">would </w:t>
      </w:r>
      <w:r w:rsidR="00BC7200">
        <w:rPr>
          <w:rFonts w:ascii="Times New Roman" w:hAnsi="Times New Roman" w:cs="Times New Roman"/>
          <w:sz w:val="24"/>
          <w:szCs w:val="24"/>
          <w:lang w:val="en-US"/>
        </w:rPr>
        <w:t>bett</w:t>
      </w:r>
      <w:r w:rsidR="00575B1D">
        <w:rPr>
          <w:rFonts w:ascii="Times New Roman" w:hAnsi="Times New Roman" w:cs="Times New Roman"/>
          <w:sz w:val="24"/>
          <w:szCs w:val="24"/>
          <w:lang w:val="en-US"/>
        </w:rPr>
        <w:t xml:space="preserve">er be </w:t>
      </w:r>
      <w:r w:rsidR="00BC7200">
        <w:rPr>
          <w:rFonts w:ascii="Times New Roman" w:hAnsi="Times New Roman" w:cs="Times New Roman"/>
          <w:sz w:val="24"/>
          <w:szCs w:val="24"/>
          <w:lang w:val="en-US"/>
        </w:rPr>
        <w:t>captur</w:t>
      </w:r>
      <w:r w:rsidR="00575B1D">
        <w:rPr>
          <w:rFonts w:ascii="Times New Roman" w:hAnsi="Times New Roman" w:cs="Times New Roman"/>
          <w:sz w:val="24"/>
          <w:szCs w:val="24"/>
          <w:lang w:val="en-US"/>
        </w:rPr>
        <w:t xml:space="preserve">ed </w:t>
      </w:r>
      <w:r w:rsidR="00BC7200">
        <w:rPr>
          <w:rFonts w:ascii="Times New Roman" w:hAnsi="Times New Roman" w:cs="Times New Roman"/>
          <w:sz w:val="24"/>
          <w:szCs w:val="24"/>
          <w:lang w:val="en-US"/>
        </w:rPr>
        <w:t>by the term ‘</w:t>
      </w:r>
      <w:r w:rsidR="00237E13">
        <w:rPr>
          <w:rFonts w:ascii="Times New Roman" w:hAnsi="Times New Roman" w:cs="Times New Roman"/>
          <w:sz w:val="24"/>
          <w:szCs w:val="24"/>
          <w:lang w:val="en-US"/>
        </w:rPr>
        <w:t>citizens</w:t>
      </w:r>
      <w:r w:rsidR="00BC7200">
        <w:rPr>
          <w:rFonts w:ascii="Times New Roman" w:hAnsi="Times New Roman" w:cs="Times New Roman"/>
          <w:sz w:val="24"/>
          <w:szCs w:val="24"/>
          <w:lang w:val="en-US"/>
        </w:rPr>
        <w:t>’</w:t>
      </w:r>
      <w:r w:rsidR="00237E13">
        <w:rPr>
          <w:rFonts w:ascii="Times New Roman" w:hAnsi="Times New Roman" w:cs="Times New Roman"/>
          <w:sz w:val="24"/>
          <w:szCs w:val="24"/>
          <w:lang w:val="en-US"/>
        </w:rPr>
        <w:t xml:space="preserve"> rather than </w:t>
      </w:r>
      <w:r w:rsidR="00BC7200">
        <w:rPr>
          <w:rFonts w:ascii="Times New Roman" w:hAnsi="Times New Roman" w:cs="Times New Roman"/>
          <w:sz w:val="24"/>
          <w:szCs w:val="24"/>
          <w:lang w:val="en-US"/>
        </w:rPr>
        <w:t>‘</w:t>
      </w:r>
      <w:r w:rsidR="00237E13">
        <w:rPr>
          <w:rFonts w:ascii="Times New Roman" w:hAnsi="Times New Roman" w:cs="Times New Roman"/>
          <w:sz w:val="24"/>
          <w:szCs w:val="24"/>
          <w:lang w:val="en-US"/>
        </w:rPr>
        <w:t>consumers</w:t>
      </w:r>
      <w:r w:rsidR="00BC7200">
        <w:rPr>
          <w:rFonts w:ascii="Times New Roman" w:hAnsi="Times New Roman" w:cs="Times New Roman"/>
          <w:sz w:val="24"/>
          <w:szCs w:val="24"/>
          <w:lang w:val="en-US"/>
        </w:rPr>
        <w:t>’</w:t>
      </w:r>
      <w:r w:rsidR="00237E13">
        <w:rPr>
          <w:rFonts w:ascii="Times New Roman" w:hAnsi="Times New Roman" w:cs="Times New Roman"/>
          <w:sz w:val="24"/>
          <w:szCs w:val="24"/>
          <w:lang w:val="en-US"/>
        </w:rPr>
        <w:t>.</w:t>
      </w:r>
      <w:r w:rsidR="00824980">
        <w:rPr>
          <w:rFonts w:ascii="Times New Roman" w:hAnsi="Times New Roman" w:cs="Times New Roman"/>
          <w:sz w:val="24"/>
          <w:szCs w:val="24"/>
          <w:lang w:val="en-US"/>
        </w:rPr>
        <w:t xml:space="preserve"> </w:t>
      </w:r>
      <w:r w:rsidR="00BC7200">
        <w:rPr>
          <w:rFonts w:ascii="Times New Roman" w:hAnsi="Times New Roman" w:cs="Times New Roman"/>
          <w:sz w:val="24"/>
          <w:szCs w:val="24"/>
          <w:lang w:val="en-US"/>
        </w:rPr>
        <w:t>I</w:t>
      </w:r>
      <w:r>
        <w:rPr>
          <w:rFonts w:ascii="Times New Roman" w:hAnsi="Times New Roman" w:cs="Times New Roman"/>
          <w:sz w:val="24"/>
          <w:szCs w:val="24"/>
          <w:lang w:val="en-US"/>
        </w:rPr>
        <w:t xml:space="preserve">nformation flow concerns </w:t>
      </w:r>
      <w:r w:rsidR="00BC7200">
        <w:rPr>
          <w:rFonts w:ascii="Times New Roman" w:hAnsi="Times New Roman" w:cs="Times New Roman"/>
          <w:sz w:val="24"/>
          <w:szCs w:val="24"/>
          <w:lang w:val="en-US"/>
        </w:rPr>
        <w:t xml:space="preserve">would thus </w:t>
      </w:r>
      <w:r>
        <w:rPr>
          <w:rFonts w:ascii="Times New Roman" w:hAnsi="Times New Roman" w:cs="Times New Roman"/>
          <w:sz w:val="24"/>
          <w:szCs w:val="24"/>
          <w:lang w:val="en-US"/>
        </w:rPr>
        <w:t xml:space="preserve">need to be </w:t>
      </w:r>
      <w:r w:rsidR="00A24388">
        <w:rPr>
          <w:rFonts w:ascii="Times New Roman" w:hAnsi="Times New Roman" w:cs="Times New Roman"/>
          <w:sz w:val="24"/>
          <w:szCs w:val="24"/>
          <w:lang w:val="en-US"/>
        </w:rPr>
        <w:t xml:space="preserve">taken </w:t>
      </w:r>
      <w:r w:rsidR="008D3BBD">
        <w:rPr>
          <w:rFonts w:ascii="Times New Roman" w:hAnsi="Times New Roman" w:cs="Times New Roman"/>
          <w:sz w:val="24"/>
          <w:szCs w:val="24"/>
          <w:lang w:val="en-US"/>
        </w:rPr>
        <w:t>of utmost</w:t>
      </w:r>
      <w:r w:rsidR="00A24388">
        <w:rPr>
          <w:rFonts w:ascii="Times New Roman" w:hAnsi="Times New Roman" w:cs="Times New Roman"/>
          <w:sz w:val="24"/>
          <w:szCs w:val="24"/>
          <w:lang w:val="en-US"/>
        </w:rPr>
        <w:t xml:space="preserve"> account</w:t>
      </w:r>
      <w:r>
        <w:rPr>
          <w:rFonts w:ascii="Times New Roman" w:hAnsi="Times New Roman" w:cs="Times New Roman"/>
          <w:sz w:val="24"/>
          <w:szCs w:val="24"/>
          <w:lang w:val="en-US"/>
        </w:rPr>
        <w:t xml:space="preserve"> </w:t>
      </w:r>
      <w:r w:rsidR="008D3BBD">
        <w:rPr>
          <w:rFonts w:ascii="Times New Roman" w:hAnsi="Times New Roman" w:cs="Times New Roman"/>
          <w:sz w:val="24"/>
          <w:szCs w:val="24"/>
          <w:lang w:val="en-US"/>
        </w:rPr>
        <w:t xml:space="preserve">also considering the enabling tools of ‘interoperability’ </w:t>
      </w:r>
      <w:r w:rsidR="00BC7200">
        <w:rPr>
          <w:rFonts w:ascii="Times New Roman" w:hAnsi="Times New Roman" w:cs="Times New Roman"/>
          <w:sz w:val="24"/>
          <w:szCs w:val="24"/>
          <w:lang w:val="en-US"/>
        </w:rPr>
        <w:t>against the gatekeeping roles and functionalities</w:t>
      </w:r>
      <w:r w:rsidR="00827F60">
        <w:rPr>
          <w:rFonts w:ascii="Times New Roman" w:hAnsi="Times New Roman" w:cs="Times New Roman"/>
          <w:sz w:val="24"/>
          <w:szCs w:val="24"/>
          <w:lang w:val="en-US"/>
        </w:rPr>
        <w:t xml:space="preserve">. While interoperability measures </w:t>
      </w:r>
      <w:r w:rsidR="00BC7200">
        <w:rPr>
          <w:rFonts w:ascii="Times New Roman" w:hAnsi="Times New Roman" w:cs="Times New Roman"/>
          <w:sz w:val="24"/>
          <w:szCs w:val="24"/>
          <w:lang w:val="en-US"/>
        </w:rPr>
        <w:t>would increas</w:t>
      </w:r>
      <w:r w:rsidR="00827F60">
        <w:rPr>
          <w:rFonts w:ascii="Times New Roman" w:hAnsi="Times New Roman" w:cs="Times New Roman"/>
          <w:sz w:val="24"/>
          <w:szCs w:val="24"/>
          <w:lang w:val="en-US"/>
        </w:rPr>
        <w:t xml:space="preserve">e </w:t>
      </w:r>
      <w:r w:rsidR="00BC7200">
        <w:rPr>
          <w:rFonts w:ascii="Times New Roman" w:hAnsi="Times New Roman" w:cs="Times New Roman"/>
          <w:sz w:val="24"/>
          <w:szCs w:val="24"/>
          <w:lang w:val="en-US"/>
        </w:rPr>
        <w:t xml:space="preserve">the </w:t>
      </w:r>
      <w:r w:rsidR="00827F60">
        <w:rPr>
          <w:rFonts w:ascii="Times New Roman" w:hAnsi="Times New Roman" w:cs="Times New Roman"/>
          <w:sz w:val="24"/>
          <w:szCs w:val="24"/>
          <w:lang w:val="en-US"/>
        </w:rPr>
        <w:t xml:space="preserve">spectrum </w:t>
      </w:r>
      <w:r w:rsidR="004842E9">
        <w:rPr>
          <w:rFonts w:ascii="Times New Roman" w:hAnsi="Times New Roman" w:cs="Times New Roman"/>
          <w:sz w:val="24"/>
          <w:szCs w:val="24"/>
          <w:lang w:val="en-US"/>
        </w:rPr>
        <w:t>for</w:t>
      </w:r>
      <w:r w:rsidR="00827F60">
        <w:rPr>
          <w:rFonts w:ascii="Times New Roman" w:hAnsi="Times New Roman" w:cs="Times New Roman"/>
          <w:sz w:val="24"/>
          <w:szCs w:val="24"/>
          <w:lang w:val="en-US"/>
        </w:rPr>
        <w:t xml:space="preserve"> information goods, its absence would mean not </w:t>
      </w:r>
      <w:r w:rsidR="00840496">
        <w:rPr>
          <w:rFonts w:ascii="Times New Roman" w:hAnsi="Times New Roman" w:cs="Times New Roman"/>
          <w:sz w:val="24"/>
          <w:szCs w:val="24"/>
          <w:lang w:val="en-US"/>
        </w:rPr>
        <w:t>only</w:t>
      </w:r>
      <w:r w:rsidR="00827F60">
        <w:rPr>
          <w:rFonts w:ascii="Times New Roman" w:hAnsi="Times New Roman" w:cs="Times New Roman"/>
          <w:sz w:val="24"/>
          <w:szCs w:val="24"/>
          <w:lang w:val="en-US"/>
        </w:rPr>
        <w:t xml:space="preserve"> heightened control mechanisms but also lacking links between the parties that would impart and </w:t>
      </w:r>
      <w:r w:rsidR="00840496">
        <w:rPr>
          <w:rFonts w:ascii="Times New Roman" w:hAnsi="Times New Roman" w:cs="Times New Roman"/>
          <w:sz w:val="24"/>
          <w:szCs w:val="24"/>
          <w:lang w:val="en-US"/>
        </w:rPr>
        <w:t xml:space="preserve">receive the information. Considering this and other consequences resulting from lacking interoperability, one could draw out </w:t>
      </w:r>
      <w:r w:rsidR="004842E9">
        <w:rPr>
          <w:rFonts w:ascii="Times New Roman" w:hAnsi="Times New Roman" w:cs="Times New Roman"/>
          <w:sz w:val="24"/>
          <w:szCs w:val="24"/>
          <w:lang w:val="en-US"/>
        </w:rPr>
        <w:t>a number of</w:t>
      </w:r>
      <w:r w:rsidR="00840496">
        <w:rPr>
          <w:rFonts w:ascii="Times New Roman" w:hAnsi="Times New Roman" w:cs="Times New Roman"/>
          <w:sz w:val="24"/>
          <w:szCs w:val="24"/>
          <w:lang w:val="en-US"/>
        </w:rPr>
        <w:t xml:space="preserve"> concerns in relation to interoperability. </w:t>
      </w:r>
    </w:p>
    <w:p w14:paraId="39318046" w14:textId="7B12F2F0"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the </w:t>
      </w:r>
      <w:r w:rsidR="00945D43" w:rsidRPr="00774EDB">
        <w:rPr>
          <w:rFonts w:ascii="Times New Roman" w:hAnsi="Times New Roman" w:cs="Times New Roman"/>
          <w:sz w:val="24"/>
          <w:szCs w:val="24"/>
        </w:rPr>
        <w:t>f</w:t>
      </w:r>
      <w:r w:rsidRPr="00774EDB">
        <w:rPr>
          <w:rFonts w:ascii="Times New Roman" w:hAnsi="Times New Roman" w:cs="Times New Roman"/>
          <w:sz w:val="24"/>
          <w:szCs w:val="24"/>
        </w:rPr>
        <w:t xml:space="preserve">igure </w:t>
      </w:r>
      <w:r w:rsidR="00945D43" w:rsidRPr="00774EDB">
        <w:rPr>
          <w:rFonts w:ascii="Times New Roman" w:hAnsi="Times New Roman" w:cs="Times New Roman"/>
          <w:sz w:val="24"/>
          <w:szCs w:val="24"/>
        </w:rPr>
        <w:t>below</w:t>
      </w:r>
      <w:r w:rsidRPr="00774EDB">
        <w:rPr>
          <w:rFonts w:ascii="Times New Roman" w:hAnsi="Times New Roman" w:cs="Times New Roman"/>
          <w:sz w:val="24"/>
          <w:szCs w:val="24"/>
        </w:rPr>
        <w:t xml:space="preserve">, could be seen the manifestation of </w:t>
      </w:r>
      <w:r w:rsidR="00840496">
        <w:rPr>
          <w:rFonts w:ascii="Times New Roman" w:hAnsi="Times New Roman" w:cs="Times New Roman"/>
          <w:sz w:val="24"/>
          <w:szCs w:val="24"/>
        </w:rPr>
        <w:t>the major</w:t>
      </w:r>
      <w:r w:rsidR="00840496"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concerns that </w:t>
      </w:r>
      <w:r w:rsidR="00840496">
        <w:rPr>
          <w:rFonts w:ascii="Times New Roman" w:hAnsi="Times New Roman" w:cs="Times New Roman"/>
          <w:sz w:val="24"/>
          <w:szCs w:val="24"/>
        </w:rPr>
        <w:t xml:space="preserve">potentially result from </w:t>
      </w:r>
      <w:r w:rsidRPr="00774EDB">
        <w:rPr>
          <w:rFonts w:ascii="Times New Roman" w:hAnsi="Times New Roman" w:cs="Times New Roman"/>
          <w:sz w:val="24"/>
          <w:szCs w:val="24"/>
        </w:rPr>
        <w:t>the lack of interoperability.</w:t>
      </w:r>
    </w:p>
    <w:p w14:paraId="781A31D8" w14:textId="52296365" w:rsidR="00D33FCD" w:rsidRDefault="00D33FCD" w:rsidP="00A70042">
      <w:pPr>
        <w:spacing w:before="360" w:line="240" w:lineRule="auto"/>
        <w:jc w:val="both"/>
        <w:rPr>
          <w:rFonts w:ascii="Times New Roman" w:hAnsi="Times New Roman" w:cs="Times New Roman"/>
          <w:sz w:val="24"/>
          <w:szCs w:val="24"/>
        </w:rPr>
      </w:pPr>
      <w:r w:rsidRPr="00820EF9">
        <w:rPr>
          <w:rFonts w:ascii="Times New Roman" w:hAnsi="Times New Roman" w:cs="Times New Roman"/>
          <w:noProof/>
          <w:sz w:val="24"/>
          <w:szCs w:val="24"/>
          <w:lang w:eastAsia="en-GB"/>
        </w:rPr>
        <w:lastRenderedPageBreak/>
        <w:drawing>
          <wp:inline distT="0" distB="0" distL="0" distR="0" wp14:anchorId="29B149F8" wp14:editId="275A2EE5">
            <wp:extent cx="5060731" cy="3062605"/>
            <wp:effectExtent l="0" t="0" r="0" b="0"/>
            <wp:docPr id="57364" name="Diagram 57364" descr="Bubble diagram">
              <a:extLst xmlns:a="http://schemas.openxmlformats.org/drawingml/2006/main">
                <a:ext uri="{FF2B5EF4-FFF2-40B4-BE49-F238E27FC236}">
                  <a16:creationId xmlns:a16="http://schemas.microsoft.com/office/drawing/2014/main" id="{01D6174A-30FC-48B6-83C4-737081DB30AA}"/>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086C240A" w14:textId="77777777" w:rsidR="009577B0" w:rsidRPr="00E27D4F" w:rsidRDefault="009577B0" w:rsidP="00A70042">
      <w:pPr>
        <w:jc w:val="both"/>
        <w:outlineLvl w:val="7"/>
        <w:rPr>
          <w:rFonts w:ascii="Times New Roman" w:hAnsi="Times New Roman" w:cs="Times New Roman"/>
          <w:sz w:val="24"/>
          <w:szCs w:val="24"/>
        </w:rPr>
      </w:pPr>
      <w:bookmarkStart w:id="219" w:name="_Toc17612468"/>
      <w:r w:rsidRPr="00A70042">
        <w:rPr>
          <w:rFonts w:ascii="Times New Roman" w:hAnsi="Times New Roman" w:cs="Times New Roman"/>
          <w:b/>
          <w:bCs/>
          <w:sz w:val="24"/>
          <w:szCs w:val="24"/>
        </w:rPr>
        <w:t>Figure 5:</w:t>
      </w:r>
      <w:r w:rsidRPr="00E27D4F">
        <w:rPr>
          <w:rFonts w:ascii="Times New Roman" w:hAnsi="Times New Roman" w:cs="Times New Roman"/>
          <w:sz w:val="24"/>
          <w:szCs w:val="24"/>
        </w:rPr>
        <w:t xml:space="preserve">  Major concerns surrounding lack of interoperability</w:t>
      </w:r>
      <w:bookmarkEnd w:id="219"/>
    </w:p>
    <w:p w14:paraId="663F6F3B" w14:textId="142E983F" w:rsidR="00D33FCD" w:rsidRDefault="00D33FCD" w:rsidP="00A70042">
      <w:pPr>
        <w:jc w:val="both"/>
        <w:rPr>
          <w:rFonts w:ascii="Times New Roman" w:hAnsi="Times New Roman" w:cs="Times New Roman"/>
          <w:sz w:val="20"/>
          <w:szCs w:val="20"/>
        </w:rPr>
      </w:pPr>
      <w:r w:rsidRPr="00A70042">
        <w:rPr>
          <w:rFonts w:ascii="Times New Roman" w:hAnsi="Times New Roman" w:cs="Times New Roman"/>
          <w:sz w:val="20"/>
          <w:szCs w:val="20"/>
        </w:rPr>
        <w:t>Source: Constructed by the author</w:t>
      </w:r>
    </w:p>
    <w:p w14:paraId="6F5B0C5C" w14:textId="4867219D" w:rsidR="003E4C74" w:rsidRPr="00692824" w:rsidRDefault="000816B0" w:rsidP="0048162D">
      <w:pPr>
        <w:pStyle w:val="Heading3"/>
        <w:numPr>
          <w:ilvl w:val="2"/>
          <w:numId w:val="5"/>
        </w:numPr>
        <w:spacing w:before="360"/>
        <w:ind w:left="0" w:firstLine="0"/>
        <w:jc w:val="both"/>
        <w:rPr>
          <w:rFonts w:ascii="Times New Roman" w:hAnsi="Times New Roman" w:cs="Times New Roman"/>
          <w:b/>
          <w:color w:val="auto"/>
        </w:rPr>
      </w:pPr>
      <w:bookmarkStart w:id="220" w:name="_Hlk53210896"/>
      <w:bookmarkStart w:id="221" w:name="_Toc53576039"/>
      <w:r w:rsidRPr="0048162D">
        <w:rPr>
          <w:rFonts w:ascii="Times New Roman" w:hAnsi="Times New Roman" w:cs="Times New Roman"/>
          <w:b/>
          <w:color w:val="auto"/>
        </w:rPr>
        <w:t>Brief analysis of m</w:t>
      </w:r>
      <w:r w:rsidR="0078571A" w:rsidRPr="0048162D">
        <w:rPr>
          <w:rFonts w:ascii="Times New Roman" w:hAnsi="Times New Roman" w:cs="Times New Roman"/>
          <w:b/>
          <w:color w:val="auto"/>
        </w:rPr>
        <w:t>ajor</w:t>
      </w:r>
      <w:r w:rsidR="00DC30E4" w:rsidRPr="0048162D">
        <w:rPr>
          <w:rFonts w:ascii="Times New Roman" w:hAnsi="Times New Roman" w:cs="Times New Roman"/>
          <w:b/>
          <w:color w:val="auto"/>
        </w:rPr>
        <w:t xml:space="preserve"> concerns</w:t>
      </w:r>
      <w:r w:rsidR="00355A5D" w:rsidRPr="0048162D">
        <w:rPr>
          <w:rFonts w:ascii="Times New Roman" w:hAnsi="Times New Roman" w:cs="Times New Roman"/>
          <w:b/>
          <w:color w:val="auto"/>
        </w:rPr>
        <w:t xml:space="preserve"> </w:t>
      </w:r>
      <w:r w:rsidRPr="0048162D">
        <w:rPr>
          <w:rFonts w:ascii="Times New Roman" w:hAnsi="Times New Roman" w:cs="Times New Roman"/>
          <w:b/>
          <w:color w:val="auto"/>
        </w:rPr>
        <w:t>on the cumulative ground of</w:t>
      </w:r>
      <w:r w:rsidR="00355A5D" w:rsidRPr="0048162D">
        <w:rPr>
          <w:rFonts w:ascii="Times New Roman" w:hAnsi="Times New Roman" w:cs="Times New Roman"/>
          <w:b/>
          <w:color w:val="auto"/>
        </w:rPr>
        <w:t xml:space="preserve"> </w:t>
      </w:r>
      <w:r w:rsidRPr="0048162D">
        <w:rPr>
          <w:rFonts w:ascii="Times New Roman" w:hAnsi="Times New Roman" w:cs="Times New Roman"/>
          <w:b/>
          <w:color w:val="auto"/>
        </w:rPr>
        <w:t>‘</w:t>
      </w:r>
      <w:r w:rsidR="007734BD" w:rsidRPr="0048162D">
        <w:rPr>
          <w:rFonts w:ascii="Times New Roman" w:hAnsi="Times New Roman" w:cs="Times New Roman"/>
          <w:b/>
          <w:color w:val="auto"/>
        </w:rPr>
        <w:t>gatekeeping</w:t>
      </w:r>
      <w:r w:rsidRPr="0048162D">
        <w:rPr>
          <w:rFonts w:ascii="Times New Roman" w:hAnsi="Times New Roman" w:cs="Times New Roman"/>
          <w:b/>
          <w:color w:val="auto"/>
        </w:rPr>
        <w:t>’</w:t>
      </w:r>
      <w:bookmarkEnd w:id="220"/>
      <w:bookmarkEnd w:id="221"/>
      <w:r w:rsidR="007734BD" w:rsidRPr="0048162D">
        <w:rPr>
          <w:rFonts w:ascii="Times New Roman" w:hAnsi="Times New Roman" w:cs="Times New Roman"/>
          <w:b/>
          <w:color w:val="auto"/>
        </w:rPr>
        <w:t xml:space="preserve"> </w:t>
      </w:r>
    </w:p>
    <w:p w14:paraId="73C8EBA1" w14:textId="4770F2E6" w:rsidR="003E4C74" w:rsidRDefault="003E4C74" w:rsidP="003E4C74">
      <w:pPr>
        <w:jc w:val="both"/>
        <w:rPr>
          <w:rFonts w:ascii="Times New Roman" w:hAnsi="Times New Roman" w:cs="Times New Roman"/>
          <w:b/>
          <w:bCs/>
          <w:sz w:val="24"/>
          <w:szCs w:val="24"/>
        </w:rPr>
      </w:pPr>
    </w:p>
    <w:p w14:paraId="13A3316E" w14:textId="6BF57074" w:rsidR="004A6789" w:rsidRDefault="0078571A" w:rsidP="003D1726">
      <w:pPr>
        <w:jc w:val="both"/>
        <w:rPr>
          <w:rFonts w:ascii="Times New Roman" w:hAnsi="Times New Roman" w:cs="Times New Roman"/>
          <w:sz w:val="24"/>
          <w:szCs w:val="24"/>
        </w:rPr>
      </w:pPr>
      <w:r>
        <w:rPr>
          <w:rFonts w:ascii="Times New Roman" w:hAnsi="Times New Roman" w:cs="Times New Roman"/>
          <w:sz w:val="24"/>
          <w:szCs w:val="24"/>
        </w:rPr>
        <w:t xml:space="preserve">As the above figure denotes, </w:t>
      </w:r>
      <w:r w:rsidR="00C929A2">
        <w:rPr>
          <w:rFonts w:ascii="Times New Roman" w:hAnsi="Times New Roman" w:cs="Times New Roman"/>
          <w:sz w:val="24"/>
          <w:szCs w:val="24"/>
        </w:rPr>
        <w:t>‘</w:t>
      </w:r>
      <w:r>
        <w:rPr>
          <w:rFonts w:ascii="Times New Roman" w:hAnsi="Times New Roman" w:cs="Times New Roman"/>
          <w:sz w:val="24"/>
          <w:szCs w:val="24"/>
        </w:rPr>
        <w:t>lack of interoperability</w:t>
      </w:r>
      <w:r w:rsidR="00C929A2">
        <w:rPr>
          <w:rFonts w:ascii="Times New Roman" w:hAnsi="Times New Roman" w:cs="Times New Roman"/>
          <w:sz w:val="24"/>
          <w:szCs w:val="24"/>
        </w:rPr>
        <w:t>’</w:t>
      </w:r>
      <w:r>
        <w:rPr>
          <w:rFonts w:ascii="Times New Roman" w:hAnsi="Times New Roman" w:cs="Times New Roman"/>
          <w:sz w:val="24"/>
          <w:szCs w:val="24"/>
        </w:rPr>
        <w:t xml:space="preserve"> </w:t>
      </w:r>
      <w:r w:rsidR="00DE7ACB">
        <w:rPr>
          <w:rFonts w:ascii="Times New Roman" w:hAnsi="Times New Roman" w:cs="Times New Roman"/>
          <w:sz w:val="24"/>
          <w:szCs w:val="24"/>
        </w:rPr>
        <w:t xml:space="preserve">would </w:t>
      </w:r>
      <w:r w:rsidR="00BC36FE">
        <w:rPr>
          <w:rFonts w:ascii="Times New Roman" w:hAnsi="Times New Roman" w:cs="Times New Roman"/>
          <w:sz w:val="24"/>
          <w:szCs w:val="24"/>
        </w:rPr>
        <w:t xml:space="preserve">cause </w:t>
      </w:r>
      <w:r w:rsidR="00DE7ACB">
        <w:rPr>
          <w:rFonts w:ascii="Times New Roman" w:hAnsi="Times New Roman" w:cs="Times New Roman"/>
          <w:sz w:val="24"/>
          <w:szCs w:val="24"/>
        </w:rPr>
        <w:t>several</w:t>
      </w:r>
      <w:r>
        <w:rPr>
          <w:rFonts w:ascii="Times New Roman" w:hAnsi="Times New Roman" w:cs="Times New Roman"/>
          <w:sz w:val="24"/>
          <w:szCs w:val="24"/>
        </w:rPr>
        <w:t xml:space="preserve"> concerns. </w:t>
      </w:r>
      <w:r w:rsidR="00BC36FE">
        <w:rPr>
          <w:rFonts w:ascii="Times New Roman" w:hAnsi="Times New Roman" w:cs="Times New Roman"/>
          <w:sz w:val="24"/>
          <w:szCs w:val="24"/>
        </w:rPr>
        <w:t>Such</w:t>
      </w:r>
      <w:r>
        <w:rPr>
          <w:rFonts w:ascii="Times New Roman" w:hAnsi="Times New Roman" w:cs="Times New Roman"/>
          <w:sz w:val="24"/>
          <w:szCs w:val="24"/>
        </w:rPr>
        <w:t xml:space="preserve"> concerns could be analysed within two main groups, based on their </w:t>
      </w:r>
      <w:r w:rsidR="00E53319">
        <w:rPr>
          <w:rFonts w:ascii="Times New Roman" w:hAnsi="Times New Roman" w:cs="Times New Roman"/>
          <w:sz w:val="24"/>
          <w:szCs w:val="24"/>
        </w:rPr>
        <w:t xml:space="preserve">most salient </w:t>
      </w:r>
      <w:r w:rsidR="00BC36FE">
        <w:rPr>
          <w:rFonts w:ascii="Times New Roman" w:hAnsi="Times New Roman" w:cs="Times New Roman"/>
          <w:sz w:val="24"/>
          <w:szCs w:val="24"/>
        </w:rPr>
        <w:t>aspect</w:t>
      </w:r>
      <w:r w:rsidR="00394AF3">
        <w:rPr>
          <w:rFonts w:ascii="Times New Roman" w:hAnsi="Times New Roman" w:cs="Times New Roman"/>
          <w:sz w:val="24"/>
          <w:szCs w:val="24"/>
        </w:rPr>
        <w:t>s</w:t>
      </w:r>
      <w:r w:rsidR="00D44AE9">
        <w:rPr>
          <w:rFonts w:ascii="Times New Roman" w:hAnsi="Times New Roman" w:cs="Times New Roman"/>
          <w:sz w:val="24"/>
          <w:szCs w:val="24"/>
        </w:rPr>
        <w:t>,</w:t>
      </w:r>
      <w:r>
        <w:rPr>
          <w:rFonts w:ascii="Times New Roman" w:hAnsi="Times New Roman" w:cs="Times New Roman"/>
          <w:sz w:val="24"/>
          <w:szCs w:val="24"/>
        </w:rPr>
        <w:t xml:space="preserve"> </w:t>
      </w:r>
      <w:r w:rsidR="00D44AE9">
        <w:rPr>
          <w:rFonts w:ascii="Times New Roman" w:hAnsi="Times New Roman" w:cs="Times New Roman"/>
          <w:sz w:val="24"/>
          <w:szCs w:val="24"/>
        </w:rPr>
        <w:t>more explicitly,</w:t>
      </w:r>
      <w:r>
        <w:rPr>
          <w:rFonts w:ascii="Times New Roman" w:hAnsi="Times New Roman" w:cs="Times New Roman"/>
          <w:sz w:val="24"/>
          <w:szCs w:val="24"/>
        </w:rPr>
        <w:t xml:space="preserve"> </w:t>
      </w:r>
      <w:r w:rsidR="00E53319">
        <w:rPr>
          <w:rFonts w:ascii="Times New Roman" w:hAnsi="Times New Roman" w:cs="Times New Roman"/>
          <w:sz w:val="24"/>
          <w:szCs w:val="24"/>
        </w:rPr>
        <w:t xml:space="preserve">for </w:t>
      </w:r>
      <w:r w:rsidR="00D44AE9">
        <w:rPr>
          <w:rFonts w:ascii="Times New Roman" w:hAnsi="Times New Roman" w:cs="Times New Roman"/>
          <w:sz w:val="24"/>
          <w:szCs w:val="24"/>
        </w:rPr>
        <w:t xml:space="preserve">predominantly </w:t>
      </w:r>
      <w:r w:rsidR="00E53319">
        <w:rPr>
          <w:rFonts w:ascii="Times New Roman" w:hAnsi="Times New Roman" w:cs="Times New Roman"/>
          <w:sz w:val="24"/>
          <w:szCs w:val="24"/>
        </w:rPr>
        <w:t xml:space="preserve">having an </w:t>
      </w:r>
      <w:r>
        <w:rPr>
          <w:rFonts w:ascii="Times New Roman" w:hAnsi="Times New Roman" w:cs="Times New Roman"/>
          <w:sz w:val="24"/>
          <w:szCs w:val="24"/>
        </w:rPr>
        <w:t>economic</w:t>
      </w:r>
      <w:r w:rsidR="004A087B">
        <w:rPr>
          <w:rFonts w:ascii="Times New Roman" w:hAnsi="Times New Roman" w:cs="Times New Roman"/>
          <w:sz w:val="24"/>
          <w:szCs w:val="24"/>
        </w:rPr>
        <w:t>,</w:t>
      </w:r>
      <w:r>
        <w:rPr>
          <w:rFonts w:ascii="Times New Roman" w:hAnsi="Times New Roman" w:cs="Times New Roman"/>
          <w:sz w:val="24"/>
          <w:szCs w:val="24"/>
        </w:rPr>
        <w:t xml:space="preserve"> </w:t>
      </w:r>
      <w:r w:rsidR="004A087B">
        <w:rPr>
          <w:rFonts w:ascii="Times New Roman" w:hAnsi="Times New Roman" w:cs="Times New Roman"/>
          <w:sz w:val="24"/>
          <w:szCs w:val="24"/>
        </w:rPr>
        <w:t xml:space="preserve">mostly </w:t>
      </w:r>
      <w:r w:rsidR="00BC36FE" w:rsidRPr="00692824">
        <w:rPr>
          <w:rFonts w:ascii="Times New Roman" w:hAnsi="Times New Roman" w:cs="Times New Roman"/>
          <w:i/>
          <w:iCs/>
          <w:sz w:val="24"/>
          <w:szCs w:val="24"/>
        </w:rPr>
        <w:t>competition-oriented</w:t>
      </w:r>
      <w:r w:rsidR="00BC36FE">
        <w:rPr>
          <w:rFonts w:ascii="Times New Roman" w:hAnsi="Times New Roman" w:cs="Times New Roman"/>
          <w:sz w:val="24"/>
          <w:szCs w:val="24"/>
        </w:rPr>
        <w:t xml:space="preserve"> </w:t>
      </w:r>
      <w:r>
        <w:rPr>
          <w:rFonts w:ascii="Times New Roman" w:hAnsi="Times New Roman" w:cs="Times New Roman"/>
          <w:sz w:val="24"/>
          <w:szCs w:val="24"/>
        </w:rPr>
        <w:t>or non-economic</w:t>
      </w:r>
      <w:r w:rsidR="00BC36FE">
        <w:rPr>
          <w:rFonts w:ascii="Times New Roman" w:hAnsi="Times New Roman" w:cs="Times New Roman"/>
          <w:sz w:val="24"/>
          <w:szCs w:val="24"/>
        </w:rPr>
        <w:t xml:space="preserve">, mostly </w:t>
      </w:r>
      <w:r w:rsidR="00BC36FE" w:rsidRPr="00692824">
        <w:rPr>
          <w:rFonts w:ascii="Times New Roman" w:hAnsi="Times New Roman" w:cs="Times New Roman"/>
          <w:i/>
          <w:iCs/>
          <w:sz w:val="24"/>
          <w:szCs w:val="24"/>
        </w:rPr>
        <w:t>techno-social</w:t>
      </w:r>
      <w:r w:rsidR="00E53319">
        <w:rPr>
          <w:rFonts w:ascii="Times New Roman" w:hAnsi="Times New Roman" w:cs="Times New Roman"/>
          <w:sz w:val="24"/>
          <w:szCs w:val="24"/>
        </w:rPr>
        <w:t xml:space="preserve"> nature</w:t>
      </w:r>
      <w:r>
        <w:rPr>
          <w:rFonts w:ascii="Times New Roman" w:hAnsi="Times New Roman" w:cs="Times New Roman"/>
          <w:sz w:val="24"/>
          <w:szCs w:val="24"/>
        </w:rPr>
        <w:t>.</w:t>
      </w:r>
      <w:r w:rsidR="006C4FF7">
        <w:rPr>
          <w:rStyle w:val="FootnoteReference"/>
          <w:rFonts w:ascii="Times New Roman" w:hAnsi="Times New Roman"/>
          <w:sz w:val="24"/>
          <w:szCs w:val="24"/>
        </w:rPr>
        <w:footnoteReference w:id="171"/>
      </w:r>
      <w:r w:rsidR="00C929A2">
        <w:rPr>
          <w:rFonts w:ascii="Times New Roman" w:hAnsi="Times New Roman" w:cs="Times New Roman"/>
          <w:sz w:val="24"/>
          <w:szCs w:val="24"/>
        </w:rPr>
        <w:t xml:space="preserve"> </w:t>
      </w:r>
      <w:r w:rsidR="003C2546">
        <w:rPr>
          <w:rFonts w:ascii="Times New Roman" w:hAnsi="Times New Roman" w:cs="Times New Roman"/>
          <w:sz w:val="24"/>
          <w:szCs w:val="24"/>
        </w:rPr>
        <w:t>T</w:t>
      </w:r>
      <w:r w:rsidR="005F7022">
        <w:rPr>
          <w:rFonts w:ascii="Times New Roman" w:hAnsi="Times New Roman" w:cs="Times New Roman"/>
          <w:sz w:val="24"/>
          <w:szCs w:val="24"/>
        </w:rPr>
        <w:t xml:space="preserve">he former group </w:t>
      </w:r>
      <w:r w:rsidR="003C2546">
        <w:rPr>
          <w:rFonts w:ascii="Times New Roman" w:hAnsi="Times New Roman" w:cs="Times New Roman"/>
          <w:sz w:val="24"/>
          <w:szCs w:val="24"/>
        </w:rPr>
        <w:t>reflect</w:t>
      </w:r>
      <w:r w:rsidR="005F7022">
        <w:rPr>
          <w:rFonts w:ascii="Times New Roman" w:hAnsi="Times New Roman" w:cs="Times New Roman"/>
          <w:sz w:val="24"/>
          <w:szCs w:val="24"/>
        </w:rPr>
        <w:t xml:space="preserve"> the </w:t>
      </w:r>
      <w:r w:rsidR="00394AF3">
        <w:rPr>
          <w:rFonts w:ascii="Times New Roman" w:hAnsi="Times New Roman" w:cs="Times New Roman"/>
          <w:sz w:val="24"/>
          <w:szCs w:val="24"/>
        </w:rPr>
        <w:t>concerns</w:t>
      </w:r>
      <w:r w:rsidR="005F7022">
        <w:rPr>
          <w:rFonts w:ascii="Times New Roman" w:hAnsi="Times New Roman" w:cs="Times New Roman"/>
          <w:sz w:val="24"/>
          <w:szCs w:val="24"/>
        </w:rPr>
        <w:t xml:space="preserve"> </w:t>
      </w:r>
      <w:r w:rsidR="00E53319">
        <w:rPr>
          <w:rFonts w:ascii="Times New Roman" w:hAnsi="Times New Roman" w:cs="Times New Roman"/>
          <w:sz w:val="24"/>
          <w:szCs w:val="24"/>
        </w:rPr>
        <w:t>surrounding</w:t>
      </w:r>
      <w:r>
        <w:rPr>
          <w:rFonts w:ascii="Times New Roman" w:hAnsi="Times New Roman" w:cs="Times New Roman"/>
          <w:sz w:val="24"/>
          <w:szCs w:val="24"/>
        </w:rPr>
        <w:t xml:space="preserve"> </w:t>
      </w:r>
      <w:r w:rsidR="005F7022">
        <w:rPr>
          <w:rFonts w:ascii="Times New Roman" w:hAnsi="Times New Roman" w:cs="Times New Roman"/>
          <w:sz w:val="24"/>
          <w:szCs w:val="24"/>
        </w:rPr>
        <w:t>vendor lock-in, network effects</w:t>
      </w:r>
      <w:r w:rsidR="00D44AE9">
        <w:rPr>
          <w:rFonts w:ascii="Times New Roman" w:hAnsi="Times New Roman" w:cs="Times New Roman"/>
          <w:sz w:val="24"/>
          <w:szCs w:val="24"/>
        </w:rPr>
        <w:t xml:space="preserve"> and (hindrance of) follow-on innovation</w:t>
      </w:r>
      <w:r w:rsidR="005F7022">
        <w:rPr>
          <w:rFonts w:ascii="Times New Roman" w:hAnsi="Times New Roman" w:cs="Times New Roman"/>
          <w:sz w:val="24"/>
          <w:szCs w:val="24"/>
        </w:rPr>
        <w:t xml:space="preserve">, </w:t>
      </w:r>
      <w:r w:rsidR="007A727C">
        <w:rPr>
          <w:rFonts w:ascii="Times New Roman" w:hAnsi="Times New Roman" w:cs="Times New Roman"/>
          <w:sz w:val="24"/>
          <w:szCs w:val="24"/>
        </w:rPr>
        <w:t>whereas latt</w:t>
      </w:r>
      <w:r w:rsidR="00D44AE9">
        <w:rPr>
          <w:rFonts w:ascii="Times New Roman" w:hAnsi="Times New Roman" w:cs="Times New Roman"/>
          <w:sz w:val="24"/>
          <w:szCs w:val="24"/>
        </w:rPr>
        <w:t>er</w:t>
      </w:r>
      <w:r w:rsidR="007A727C">
        <w:rPr>
          <w:rFonts w:ascii="Times New Roman" w:hAnsi="Times New Roman" w:cs="Times New Roman"/>
          <w:sz w:val="24"/>
          <w:szCs w:val="24"/>
        </w:rPr>
        <w:t xml:space="preserve"> group of</w:t>
      </w:r>
      <w:r w:rsidR="005F7022">
        <w:rPr>
          <w:rFonts w:ascii="Times New Roman" w:hAnsi="Times New Roman" w:cs="Times New Roman"/>
          <w:sz w:val="24"/>
          <w:szCs w:val="24"/>
        </w:rPr>
        <w:t xml:space="preserve"> concerns </w:t>
      </w:r>
      <w:r w:rsidR="003C2546">
        <w:rPr>
          <w:rFonts w:ascii="Times New Roman" w:hAnsi="Times New Roman" w:cs="Times New Roman"/>
          <w:sz w:val="24"/>
          <w:szCs w:val="24"/>
        </w:rPr>
        <w:t xml:space="preserve">i.e. end-to-end connectivity, media </w:t>
      </w:r>
      <w:r w:rsidR="003C2546">
        <w:rPr>
          <w:rFonts w:ascii="Times New Roman" w:hAnsi="Times New Roman" w:cs="Times New Roman"/>
          <w:sz w:val="24"/>
          <w:szCs w:val="24"/>
        </w:rPr>
        <w:lastRenderedPageBreak/>
        <w:t>pluralism and information asymmetries</w:t>
      </w:r>
      <w:r w:rsidR="00DF0C42">
        <w:rPr>
          <w:rFonts w:ascii="Times New Roman" w:hAnsi="Times New Roman" w:cs="Times New Roman"/>
          <w:sz w:val="24"/>
          <w:szCs w:val="24"/>
        </w:rPr>
        <w:t>,</w:t>
      </w:r>
      <w:r w:rsidR="003C2546">
        <w:rPr>
          <w:rFonts w:ascii="Times New Roman" w:hAnsi="Times New Roman" w:cs="Times New Roman"/>
          <w:sz w:val="24"/>
          <w:szCs w:val="24"/>
        </w:rPr>
        <w:t xml:space="preserve"> </w:t>
      </w:r>
      <w:r w:rsidR="007A727C">
        <w:rPr>
          <w:rFonts w:ascii="Times New Roman" w:hAnsi="Times New Roman" w:cs="Times New Roman"/>
          <w:sz w:val="24"/>
          <w:szCs w:val="24"/>
        </w:rPr>
        <w:t>is</w:t>
      </w:r>
      <w:r w:rsidR="005F7022">
        <w:rPr>
          <w:rFonts w:ascii="Times New Roman" w:hAnsi="Times New Roman" w:cs="Times New Roman"/>
          <w:sz w:val="24"/>
          <w:szCs w:val="24"/>
        </w:rPr>
        <w:t xml:space="preserve"> </w:t>
      </w:r>
      <w:r w:rsidR="00DF0C42">
        <w:rPr>
          <w:rFonts w:ascii="Times New Roman" w:hAnsi="Times New Roman" w:cs="Times New Roman"/>
          <w:sz w:val="24"/>
          <w:szCs w:val="24"/>
        </w:rPr>
        <w:t>c</w:t>
      </w:r>
      <w:r w:rsidR="007A727C">
        <w:rPr>
          <w:rFonts w:ascii="Times New Roman" w:hAnsi="Times New Roman" w:cs="Times New Roman"/>
          <w:sz w:val="24"/>
          <w:szCs w:val="24"/>
        </w:rPr>
        <w:t>onstruct</w:t>
      </w:r>
      <w:r w:rsidR="003C2546">
        <w:rPr>
          <w:rFonts w:ascii="Times New Roman" w:hAnsi="Times New Roman" w:cs="Times New Roman"/>
          <w:sz w:val="24"/>
          <w:szCs w:val="24"/>
        </w:rPr>
        <w:t xml:space="preserve">ed separately for </w:t>
      </w:r>
      <w:r w:rsidR="007A727C">
        <w:rPr>
          <w:rFonts w:ascii="Times New Roman" w:hAnsi="Times New Roman" w:cs="Times New Roman"/>
          <w:sz w:val="24"/>
          <w:szCs w:val="24"/>
        </w:rPr>
        <w:t xml:space="preserve">the arising informational, societal and epistemological consequences out of </w:t>
      </w:r>
      <w:r w:rsidR="003C2546">
        <w:rPr>
          <w:rFonts w:ascii="Times New Roman" w:hAnsi="Times New Roman" w:cs="Times New Roman"/>
          <w:sz w:val="24"/>
          <w:szCs w:val="24"/>
        </w:rPr>
        <w:t>the</w:t>
      </w:r>
      <w:r w:rsidR="007A727C">
        <w:rPr>
          <w:rFonts w:ascii="Times New Roman" w:hAnsi="Times New Roman" w:cs="Times New Roman"/>
          <w:sz w:val="24"/>
          <w:szCs w:val="24"/>
        </w:rPr>
        <w:t xml:space="preserve"> underlying</w:t>
      </w:r>
      <w:r w:rsidR="004A6789">
        <w:rPr>
          <w:rFonts w:ascii="Times New Roman" w:hAnsi="Times New Roman" w:cs="Times New Roman"/>
          <w:sz w:val="24"/>
          <w:szCs w:val="24"/>
        </w:rPr>
        <w:t xml:space="preserve"> </w:t>
      </w:r>
      <w:r w:rsidR="007A727C">
        <w:rPr>
          <w:rFonts w:ascii="Times New Roman" w:hAnsi="Times New Roman" w:cs="Times New Roman"/>
          <w:sz w:val="24"/>
          <w:szCs w:val="24"/>
        </w:rPr>
        <w:t xml:space="preserve">ICT </w:t>
      </w:r>
      <w:r w:rsidR="003C2546">
        <w:rPr>
          <w:rFonts w:ascii="Times New Roman" w:hAnsi="Times New Roman" w:cs="Times New Roman"/>
          <w:sz w:val="24"/>
          <w:szCs w:val="24"/>
        </w:rPr>
        <w:t>architectur</w:t>
      </w:r>
      <w:r w:rsidR="007A727C">
        <w:rPr>
          <w:rFonts w:ascii="Times New Roman" w:hAnsi="Times New Roman" w:cs="Times New Roman"/>
          <w:sz w:val="24"/>
          <w:szCs w:val="24"/>
        </w:rPr>
        <w:t>es</w:t>
      </w:r>
      <w:r w:rsidR="003C2546">
        <w:rPr>
          <w:rFonts w:ascii="Times New Roman" w:hAnsi="Times New Roman" w:cs="Times New Roman"/>
          <w:sz w:val="24"/>
          <w:szCs w:val="24"/>
        </w:rPr>
        <w:t>.</w:t>
      </w:r>
      <w:r w:rsidR="004A6789">
        <w:rPr>
          <w:rFonts w:ascii="Times New Roman" w:hAnsi="Times New Roman" w:cs="Times New Roman"/>
          <w:sz w:val="24"/>
          <w:szCs w:val="24"/>
        </w:rPr>
        <w:t xml:space="preserve"> </w:t>
      </w:r>
      <w:r w:rsidR="00394AF3">
        <w:rPr>
          <w:rFonts w:ascii="Times New Roman" w:hAnsi="Times New Roman" w:cs="Times New Roman"/>
          <w:sz w:val="24"/>
          <w:szCs w:val="24"/>
        </w:rPr>
        <w:t>W</w:t>
      </w:r>
      <w:r>
        <w:rPr>
          <w:rFonts w:ascii="Times New Roman" w:hAnsi="Times New Roman" w:cs="Times New Roman"/>
          <w:sz w:val="24"/>
          <w:szCs w:val="24"/>
        </w:rPr>
        <w:t xml:space="preserve">e cannot </w:t>
      </w:r>
      <w:r w:rsidR="007A727C">
        <w:rPr>
          <w:rFonts w:ascii="Times New Roman" w:hAnsi="Times New Roman" w:cs="Times New Roman"/>
          <w:sz w:val="24"/>
          <w:szCs w:val="24"/>
        </w:rPr>
        <w:t xml:space="preserve">radically </w:t>
      </w:r>
      <w:r>
        <w:rPr>
          <w:rFonts w:ascii="Times New Roman" w:hAnsi="Times New Roman" w:cs="Times New Roman"/>
          <w:sz w:val="24"/>
          <w:szCs w:val="24"/>
        </w:rPr>
        <w:t>isolate the</w:t>
      </w:r>
      <w:r w:rsidR="00394AF3">
        <w:rPr>
          <w:rFonts w:ascii="Times New Roman" w:hAnsi="Times New Roman" w:cs="Times New Roman"/>
          <w:sz w:val="24"/>
          <w:szCs w:val="24"/>
        </w:rPr>
        <w:t>se</w:t>
      </w:r>
      <w:r>
        <w:rPr>
          <w:rFonts w:ascii="Times New Roman" w:hAnsi="Times New Roman" w:cs="Times New Roman"/>
          <w:sz w:val="24"/>
          <w:szCs w:val="24"/>
        </w:rPr>
        <w:t xml:space="preserve"> </w:t>
      </w:r>
      <w:r w:rsidR="00E53319">
        <w:rPr>
          <w:rFonts w:ascii="Times New Roman" w:hAnsi="Times New Roman" w:cs="Times New Roman"/>
          <w:sz w:val="24"/>
          <w:szCs w:val="24"/>
        </w:rPr>
        <w:t xml:space="preserve">concerns </w:t>
      </w:r>
      <w:r w:rsidR="00B11CDF">
        <w:rPr>
          <w:rFonts w:ascii="Times New Roman" w:hAnsi="Times New Roman" w:cs="Times New Roman"/>
          <w:sz w:val="24"/>
          <w:szCs w:val="24"/>
        </w:rPr>
        <w:t>since</w:t>
      </w:r>
      <w:r>
        <w:rPr>
          <w:rFonts w:ascii="Times New Roman" w:hAnsi="Times New Roman" w:cs="Times New Roman"/>
          <w:sz w:val="24"/>
          <w:szCs w:val="24"/>
        </w:rPr>
        <w:t xml:space="preserve"> </w:t>
      </w:r>
      <w:r w:rsidR="00364441">
        <w:rPr>
          <w:rFonts w:ascii="Times New Roman" w:hAnsi="Times New Roman" w:cs="Times New Roman"/>
          <w:sz w:val="24"/>
          <w:szCs w:val="24"/>
        </w:rPr>
        <w:t>these information or</w:t>
      </w:r>
      <w:r>
        <w:rPr>
          <w:rFonts w:ascii="Times New Roman" w:hAnsi="Times New Roman" w:cs="Times New Roman"/>
          <w:sz w:val="24"/>
          <w:szCs w:val="24"/>
        </w:rPr>
        <w:t xml:space="preserve"> media related aspects also </w:t>
      </w:r>
      <w:r w:rsidR="00E53319">
        <w:rPr>
          <w:rFonts w:ascii="Times New Roman" w:hAnsi="Times New Roman" w:cs="Times New Roman"/>
          <w:sz w:val="24"/>
          <w:szCs w:val="24"/>
        </w:rPr>
        <w:t>entail economic factors or implications</w:t>
      </w:r>
      <w:r w:rsidR="004A6789">
        <w:rPr>
          <w:rFonts w:ascii="Times New Roman" w:hAnsi="Times New Roman" w:cs="Times New Roman"/>
          <w:sz w:val="24"/>
          <w:szCs w:val="24"/>
        </w:rPr>
        <w:t xml:space="preserve">, if not to the same degree one </w:t>
      </w:r>
      <w:r w:rsidR="00364441">
        <w:rPr>
          <w:rFonts w:ascii="Times New Roman" w:hAnsi="Times New Roman" w:cs="Times New Roman"/>
          <w:sz w:val="24"/>
          <w:szCs w:val="24"/>
        </w:rPr>
        <w:t xml:space="preserve">would </w:t>
      </w:r>
      <w:r w:rsidR="004A6789">
        <w:rPr>
          <w:rFonts w:ascii="Times New Roman" w:hAnsi="Times New Roman" w:cs="Times New Roman"/>
          <w:sz w:val="24"/>
          <w:szCs w:val="24"/>
        </w:rPr>
        <w:t>expect of the f</w:t>
      </w:r>
      <w:r w:rsidR="00364441">
        <w:rPr>
          <w:rFonts w:ascii="Times New Roman" w:hAnsi="Times New Roman" w:cs="Times New Roman"/>
          <w:sz w:val="24"/>
          <w:szCs w:val="24"/>
        </w:rPr>
        <w:t>ormer</w:t>
      </w:r>
      <w:r w:rsidR="004A6789">
        <w:rPr>
          <w:rFonts w:ascii="Times New Roman" w:hAnsi="Times New Roman" w:cs="Times New Roman"/>
          <w:sz w:val="24"/>
          <w:szCs w:val="24"/>
        </w:rPr>
        <w:t xml:space="preserve"> group of concerns.</w:t>
      </w:r>
    </w:p>
    <w:p w14:paraId="36FD98FA" w14:textId="77777777" w:rsidR="004A6789" w:rsidRDefault="004A6789" w:rsidP="003E4C74">
      <w:pPr>
        <w:jc w:val="both"/>
        <w:rPr>
          <w:rFonts w:ascii="Times New Roman" w:hAnsi="Times New Roman" w:cs="Times New Roman"/>
          <w:sz w:val="24"/>
          <w:szCs w:val="24"/>
        </w:rPr>
      </w:pPr>
    </w:p>
    <w:p w14:paraId="18C9D27B" w14:textId="5A18F988" w:rsidR="00B11CDF" w:rsidRDefault="003E2D36" w:rsidP="003E4C74">
      <w:pPr>
        <w:jc w:val="both"/>
        <w:rPr>
          <w:rFonts w:ascii="Times New Roman" w:hAnsi="Times New Roman" w:cs="Times New Roman"/>
          <w:sz w:val="24"/>
          <w:szCs w:val="24"/>
        </w:rPr>
      </w:pPr>
      <w:r>
        <w:rPr>
          <w:rFonts w:ascii="Times New Roman" w:hAnsi="Times New Roman" w:cs="Times New Roman"/>
          <w:sz w:val="24"/>
          <w:szCs w:val="24"/>
        </w:rPr>
        <w:t>Hereby, it is i</w:t>
      </w:r>
      <w:r w:rsidR="009260AF">
        <w:rPr>
          <w:rFonts w:ascii="Times New Roman" w:hAnsi="Times New Roman" w:cs="Times New Roman"/>
          <w:sz w:val="24"/>
          <w:szCs w:val="24"/>
        </w:rPr>
        <w:t>mportant</w:t>
      </w:r>
      <w:r>
        <w:rPr>
          <w:rFonts w:ascii="Times New Roman" w:hAnsi="Times New Roman" w:cs="Times New Roman"/>
          <w:sz w:val="24"/>
          <w:szCs w:val="24"/>
        </w:rPr>
        <w:t xml:space="preserve"> to</w:t>
      </w:r>
      <w:r w:rsidR="00B11CDF">
        <w:rPr>
          <w:rFonts w:ascii="Times New Roman" w:hAnsi="Times New Roman" w:cs="Times New Roman"/>
          <w:sz w:val="24"/>
          <w:szCs w:val="24"/>
        </w:rPr>
        <w:t xml:space="preserve"> distin</w:t>
      </w:r>
      <w:r>
        <w:rPr>
          <w:rFonts w:ascii="Times New Roman" w:hAnsi="Times New Roman" w:cs="Times New Roman"/>
          <w:sz w:val="24"/>
          <w:szCs w:val="24"/>
        </w:rPr>
        <w:t>guish</w:t>
      </w:r>
      <w:r w:rsidR="00B11CDF">
        <w:rPr>
          <w:rFonts w:ascii="Times New Roman" w:hAnsi="Times New Roman" w:cs="Times New Roman"/>
          <w:sz w:val="24"/>
          <w:szCs w:val="24"/>
        </w:rPr>
        <w:t xml:space="preserve"> that every ingredient of the emergent</w:t>
      </w:r>
      <w:r w:rsidR="004D18C9">
        <w:rPr>
          <w:rFonts w:ascii="Times New Roman" w:hAnsi="Times New Roman" w:cs="Times New Roman"/>
          <w:sz w:val="24"/>
          <w:szCs w:val="24"/>
        </w:rPr>
        <w:t xml:space="preserve"> ‘network</w:t>
      </w:r>
      <w:r w:rsidR="00B11CDF">
        <w:rPr>
          <w:rFonts w:ascii="Times New Roman" w:hAnsi="Times New Roman" w:cs="Times New Roman"/>
          <w:sz w:val="24"/>
          <w:szCs w:val="24"/>
        </w:rPr>
        <w:t xml:space="preserve"> information economy</w:t>
      </w:r>
      <w:r w:rsidR="004D18C9">
        <w:rPr>
          <w:rFonts w:ascii="Times New Roman" w:hAnsi="Times New Roman" w:cs="Times New Roman"/>
          <w:sz w:val="24"/>
          <w:szCs w:val="24"/>
        </w:rPr>
        <w:t>’</w:t>
      </w:r>
      <w:r w:rsidR="00B11CDF">
        <w:rPr>
          <w:rFonts w:ascii="Times New Roman" w:hAnsi="Times New Roman" w:cs="Times New Roman"/>
          <w:sz w:val="24"/>
          <w:szCs w:val="24"/>
        </w:rPr>
        <w:t xml:space="preserve"> is </w:t>
      </w:r>
      <w:r w:rsidR="008312A4">
        <w:rPr>
          <w:rFonts w:ascii="Times New Roman" w:hAnsi="Times New Roman" w:cs="Times New Roman"/>
          <w:sz w:val="24"/>
          <w:szCs w:val="24"/>
        </w:rPr>
        <w:t xml:space="preserve">not </w:t>
      </w:r>
      <w:r w:rsidR="00B11CDF">
        <w:rPr>
          <w:rFonts w:ascii="Times New Roman" w:hAnsi="Times New Roman" w:cs="Times New Roman"/>
          <w:sz w:val="24"/>
          <w:szCs w:val="24"/>
        </w:rPr>
        <w:t xml:space="preserve">calculable </w:t>
      </w:r>
      <w:r>
        <w:rPr>
          <w:rFonts w:ascii="Times New Roman" w:hAnsi="Times New Roman" w:cs="Times New Roman"/>
          <w:sz w:val="24"/>
          <w:szCs w:val="24"/>
        </w:rPr>
        <w:t>and would not fit into the</w:t>
      </w:r>
      <w:r w:rsidR="00B11CDF">
        <w:rPr>
          <w:rFonts w:ascii="Times New Roman" w:hAnsi="Times New Roman" w:cs="Times New Roman"/>
          <w:sz w:val="24"/>
          <w:szCs w:val="24"/>
        </w:rPr>
        <w:t xml:space="preserve"> </w:t>
      </w:r>
      <w:r w:rsidR="004D18C9">
        <w:rPr>
          <w:rFonts w:ascii="Times New Roman" w:hAnsi="Times New Roman" w:cs="Times New Roman"/>
          <w:sz w:val="24"/>
          <w:szCs w:val="24"/>
        </w:rPr>
        <w:t xml:space="preserve">traditional </w:t>
      </w:r>
      <w:r w:rsidR="00B11CDF">
        <w:rPr>
          <w:rFonts w:ascii="Times New Roman" w:hAnsi="Times New Roman" w:cs="Times New Roman"/>
          <w:sz w:val="24"/>
          <w:szCs w:val="24"/>
        </w:rPr>
        <w:t xml:space="preserve">market economy or competition </w:t>
      </w:r>
      <w:r w:rsidR="00514384">
        <w:rPr>
          <w:rFonts w:ascii="Times New Roman" w:hAnsi="Times New Roman" w:cs="Times New Roman"/>
          <w:sz w:val="24"/>
          <w:szCs w:val="24"/>
        </w:rPr>
        <w:t xml:space="preserve">law and </w:t>
      </w:r>
      <w:r w:rsidR="00B11CDF">
        <w:rPr>
          <w:rFonts w:ascii="Times New Roman" w:hAnsi="Times New Roman" w:cs="Times New Roman"/>
          <w:sz w:val="24"/>
          <w:szCs w:val="24"/>
        </w:rPr>
        <w:t xml:space="preserve">policy </w:t>
      </w:r>
      <w:r w:rsidR="00514384">
        <w:rPr>
          <w:rFonts w:ascii="Times New Roman" w:hAnsi="Times New Roman" w:cs="Times New Roman"/>
          <w:sz w:val="24"/>
          <w:szCs w:val="24"/>
        </w:rPr>
        <w:t>mindset</w:t>
      </w:r>
      <w:r w:rsidR="00B11CDF">
        <w:rPr>
          <w:rFonts w:ascii="Times New Roman" w:hAnsi="Times New Roman" w:cs="Times New Roman"/>
          <w:sz w:val="24"/>
          <w:szCs w:val="24"/>
        </w:rPr>
        <w:t xml:space="preserve">. Pursuing </w:t>
      </w:r>
      <w:r>
        <w:rPr>
          <w:rFonts w:ascii="Times New Roman" w:hAnsi="Times New Roman" w:cs="Times New Roman"/>
          <w:sz w:val="24"/>
          <w:szCs w:val="24"/>
        </w:rPr>
        <w:t xml:space="preserve">competition law </w:t>
      </w:r>
      <w:r w:rsidR="00B11CDF">
        <w:rPr>
          <w:rFonts w:ascii="Times New Roman" w:hAnsi="Times New Roman" w:cs="Times New Roman"/>
          <w:sz w:val="24"/>
          <w:szCs w:val="24"/>
        </w:rPr>
        <w:t xml:space="preserve">terms, </w:t>
      </w:r>
      <w:r w:rsidR="00135DDC">
        <w:rPr>
          <w:rFonts w:ascii="Times New Roman" w:hAnsi="Times New Roman" w:cs="Times New Roman"/>
          <w:sz w:val="24"/>
          <w:szCs w:val="24"/>
        </w:rPr>
        <w:t>one</w:t>
      </w:r>
      <w:r w:rsidR="00B11CDF">
        <w:rPr>
          <w:rFonts w:ascii="Times New Roman" w:hAnsi="Times New Roman" w:cs="Times New Roman"/>
          <w:sz w:val="24"/>
          <w:szCs w:val="24"/>
        </w:rPr>
        <w:t xml:space="preserve"> </w:t>
      </w:r>
      <w:r w:rsidR="00135DDC">
        <w:rPr>
          <w:rFonts w:ascii="Times New Roman" w:hAnsi="Times New Roman" w:cs="Times New Roman"/>
          <w:sz w:val="24"/>
          <w:szCs w:val="24"/>
        </w:rPr>
        <w:t>sh</w:t>
      </w:r>
      <w:r w:rsidR="00B11CDF">
        <w:rPr>
          <w:rFonts w:ascii="Times New Roman" w:hAnsi="Times New Roman" w:cs="Times New Roman"/>
          <w:sz w:val="24"/>
          <w:szCs w:val="24"/>
        </w:rPr>
        <w:t xml:space="preserve">ould need to look </w:t>
      </w:r>
      <w:r w:rsidR="00676EC3">
        <w:rPr>
          <w:rFonts w:ascii="Times New Roman" w:hAnsi="Times New Roman" w:cs="Times New Roman"/>
          <w:sz w:val="24"/>
          <w:szCs w:val="24"/>
        </w:rPr>
        <w:t>to</w:t>
      </w:r>
      <w:r w:rsidR="00B11CDF">
        <w:rPr>
          <w:rFonts w:ascii="Times New Roman" w:hAnsi="Times New Roman" w:cs="Times New Roman"/>
          <w:sz w:val="24"/>
          <w:szCs w:val="24"/>
        </w:rPr>
        <w:t xml:space="preserve"> the ‘consumer welfare’ or </w:t>
      </w:r>
      <w:r>
        <w:rPr>
          <w:rFonts w:ascii="Times New Roman" w:hAnsi="Times New Roman" w:cs="Times New Roman"/>
          <w:sz w:val="24"/>
          <w:szCs w:val="24"/>
        </w:rPr>
        <w:t xml:space="preserve">to </w:t>
      </w:r>
      <w:r w:rsidR="00B11CDF">
        <w:rPr>
          <w:rFonts w:ascii="Times New Roman" w:hAnsi="Times New Roman" w:cs="Times New Roman"/>
          <w:sz w:val="24"/>
          <w:szCs w:val="24"/>
        </w:rPr>
        <w:t>‘total welfare’ according to the US antitrust law</w:t>
      </w:r>
      <w:r w:rsidR="008312A4">
        <w:rPr>
          <w:rFonts w:ascii="Times New Roman" w:hAnsi="Times New Roman" w:cs="Times New Roman"/>
          <w:sz w:val="24"/>
          <w:szCs w:val="24"/>
        </w:rPr>
        <w:t xml:space="preserve">, seeking </w:t>
      </w:r>
      <w:r>
        <w:rPr>
          <w:rFonts w:ascii="Times New Roman" w:hAnsi="Times New Roman" w:cs="Times New Roman"/>
          <w:sz w:val="24"/>
          <w:szCs w:val="24"/>
        </w:rPr>
        <w:t>out an</w:t>
      </w:r>
      <w:r w:rsidR="008312A4">
        <w:rPr>
          <w:rFonts w:ascii="Times New Roman" w:hAnsi="Times New Roman" w:cs="Times New Roman"/>
          <w:sz w:val="24"/>
          <w:szCs w:val="24"/>
        </w:rPr>
        <w:t xml:space="preserve"> answer </w:t>
      </w:r>
      <w:r>
        <w:rPr>
          <w:rFonts w:ascii="Times New Roman" w:hAnsi="Times New Roman" w:cs="Times New Roman"/>
          <w:sz w:val="24"/>
          <w:szCs w:val="24"/>
        </w:rPr>
        <w:t xml:space="preserve">as to </w:t>
      </w:r>
      <w:r w:rsidR="008312A4">
        <w:rPr>
          <w:rFonts w:ascii="Times New Roman" w:hAnsi="Times New Roman" w:cs="Times New Roman"/>
          <w:sz w:val="24"/>
          <w:szCs w:val="24"/>
        </w:rPr>
        <w:t xml:space="preserve">whether there </w:t>
      </w:r>
      <w:r w:rsidR="00677BF4">
        <w:rPr>
          <w:rFonts w:ascii="Times New Roman" w:hAnsi="Times New Roman" w:cs="Times New Roman"/>
          <w:sz w:val="24"/>
          <w:szCs w:val="24"/>
        </w:rPr>
        <w:t>exists</w:t>
      </w:r>
      <w:r w:rsidR="008312A4">
        <w:rPr>
          <w:rFonts w:ascii="Times New Roman" w:hAnsi="Times New Roman" w:cs="Times New Roman"/>
          <w:sz w:val="24"/>
          <w:szCs w:val="24"/>
        </w:rPr>
        <w:t xml:space="preserve"> any </w:t>
      </w:r>
      <w:r w:rsidR="00135DDC">
        <w:rPr>
          <w:rFonts w:ascii="Times New Roman" w:hAnsi="Times New Roman" w:cs="Times New Roman"/>
          <w:sz w:val="24"/>
          <w:szCs w:val="24"/>
        </w:rPr>
        <w:t xml:space="preserve">potential or actual </w:t>
      </w:r>
      <w:r w:rsidR="008312A4">
        <w:rPr>
          <w:rFonts w:ascii="Times New Roman" w:hAnsi="Times New Roman" w:cs="Times New Roman"/>
          <w:sz w:val="24"/>
          <w:szCs w:val="24"/>
        </w:rPr>
        <w:t xml:space="preserve">consumer harm for </w:t>
      </w:r>
      <w:r w:rsidR="00135DDC">
        <w:rPr>
          <w:rFonts w:ascii="Times New Roman" w:hAnsi="Times New Roman" w:cs="Times New Roman"/>
          <w:sz w:val="24"/>
          <w:szCs w:val="24"/>
        </w:rPr>
        <w:t>the conduct</w:t>
      </w:r>
      <w:r w:rsidR="00514384">
        <w:rPr>
          <w:rFonts w:ascii="Times New Roman" w:hAnsi="Times New Roman" w:cs="Times New Roman"/>
          <w:sz w:val="24"/>
          <w:szCs w:val="24"/>
        </w:rPr>
        <w:t>, agreement or merger</w:t>
      </w:r>
      <w:r w:rsidR="00135DDC">
        <w:rPr>
          <w:rFonts w:ascii="Times New Roman" w:hAnsi="Times New Roman" w:cs="Times New Roman"/>
          <w:sz w:val="24"/>
          <w:szCs w:val="24"/>
        </w:rPr>
        <w:t xml:space="preserve"> scrutinised</w:t>
      </w:r>
      <w:r w:rsidR="00B11CDF">
        <w:rPr>
          <w:rFonts w:ascii="Times New Roman" w:hAnsi="Times New Roman" w:cs="Times New Roman"/>
          <w:sz w:val="24"/>
          <w:szCs w:val="24"/>
        </w:rPr>
        <w:t xml:space="preserve">. If an action of a dominant firm </w:t>
      </w:r>
      <w:r w:rsidR="00135DDC">
        <w:rPr>
          <w:rFonts w:ascii="Times New Roman" w:hAnsi="Times New Roman" w:cs="Times New Roman"/>
          <w:sz w:val="24"/>
          <w:szCs w:val="24"/>
        </w:rPr>
        <w:t xml:space="preserve">is likely to harm </w:t>
      </w:r>
      <w:r w:rsidR="00FF545E">
        <w:rPr>
          <w:rFonts w:ascii="Times New Roman" w:hAnsi="Times New Roman" w:cs="Times New Roman"/>
          <w:sz w:val="24"/>
          <w:szCs w:val="24"/>
        </w:rPr>
        <w:t xml:space="preserve">consumers by reducing the ‘consumer surplus’ which is </w:t>
      </w:r>
      <w:r w:rsidR="00514384">
        <w:rPr>
          <w:rFonts w:ascii="Times New Roman" w:hAnsi="Times New Roman" w:cs="Times New Roman"/>
          <w:sz w:val="24"/>
          <w:szCs w:val="24"/>
        </w:rPr>
        <w:t>most</w:t>
      </w:r>
      <w:r w:rsidR="00FF545E">
        <w:rPr>
          <w:rFonts w:ascii="Times New Roman" w:hAnsi="Times New Roman" w:cs="Times New Roman"/>
          <w:sz w:val="24"/>
          <w:szCs w:val="24"/>
        </w:rPr>
        <w:t xml:space="preserve">ly calculable, then that firm falls into the spotlight of the competition or regulatory authorities. On the other hand, this could hardly </w:t>
      </w:r>
      <w:r w:rsidR="00676EC3">
        <w:rPr>
          <w:rFonts w:ascii="Times New Roman" w:hAnsi="Times New Roman" w:cs="Times New Roman"/>
          <w:sz w:val="24"/>
          <w:szCs w:val="24"/>
        </w:rPr>
        <w:t xml:space="preserve">be </w:t>
      </w:r>
      <w:r w:rsidR="00514384">
        <w:rPr>
          <w:rFonts w:ascii="Times New Roman" w:hAnsi="Times New Roman" w:cs="Times New Roman"/>
          <w:sz w:val="24"/>
          <w:szCs w:val="24"/>
        </w:rPr>
        <w:t>ga</w:t>
      </w:r>
      <w:r w:rsidR="003D2E96">
        <w:rPr>
          <w:rFonts w:ascii="Times New Roman" w:hAnsi="Times New Roman" w:cs="Times New Roman"/>
          <w:sz w:val="24"/>
          <w:szCs w:val="24"/>
        </w:rPr>
        <w:t>u</w:t>
      </w:r>
      <w:r w:rsidR="00514384">
        <w:rPr>
          <w:rFonts w:ascii="Times New Roman" w:hAnsi="Times New Roman" w:cs="Times New Roman"/>
          <w:sz w:val="24"/>
          <w:szCs w:val="24"/>
        </w:rPr>
        <w:t>g</w:t>
      </w:r>
      <w:r w:rsidR="003D2E96">
        <w:rPr>
          <w:rFonts w:ascii="Times New Roman" w:hAnsi="Times New Roman" w:cs="Times New Roman"/>
          <w:sz w:val="24"/>
          <w:szCs w:val="24"/>
        </w:rPr>
        <w:t>ed</w:t>
      </w:r>
      <w:r w:rsidR="00FF545E">
        <w:rPr>
          <w:rFonts w:ascii="Times New Roman" w:hAnsi="Times New Roman" w:cs="Times New Roman"/>
          <w:sz w:val="24"/>
          <w:szCs w:val="24"/>
        </w:rPr>
        <w:t xml:space="preserve"> </w:t>
      </w:r>
      <w:r w:rsidR="00514384">
        <w:rPr>
          <w:rFonts w:ascii="Times New Roman" w:hAnsi="Times New Roman" w:cs="Times New Roman"/>
          <w:sz w:val="24"/>
          <w:szCs w:val="24"/>
        </w:rPr>
        <w:t>against</w:t>
      </w:r>
      <w:r w:rsidR="00FF545E">
        <w:rPr>
          <w:rFonts w:ascii="Times New Roman" w:hAnsi="Times New Roman" w:cs="Times New Roman"/>
          <w:sz w:val="24"/>
          <w:szCs w:val="24"/>
        </w:rPr>
        <w:t xml:space="preserve"> the latter </w:t>
      </w:r>
      <w:r w:rsidR="003D2E96">
        <w:rPr>
          <w:rFonts w:ascii="Times New Roman" w:hAnsi="Times New Roman" w:cs="Times New Roman"/>
          <w:sz w:val="24"/>
          <w:szCs w:val="24"/>
        </w:rPr>
        <w:t xml:space="preserve">concerns </w:t>
      </w:r>
      <w:r w:rsidR="00514384">
        <w:rPr>
          <w:rFonts w:ascii="Times New Roman" w:hAnsi="Times New Roman" w:cs="Times New Roman"/>
          <w:sz w:val="24"/>
          <w:szCs w:val="24"/>
        </w:rPr>
        <w:t>which</w:t>
      </w:r>
      <w:r w:rsidR="00FF545E">
        <w:rPr>
          <w:rFonts w:ascii="Times New Roman" w:hAnsi="Times New Roman" w:cs="Times New Roman"/>
          <w:sz w:val="24"/>
          <w:szCs w:val="24"/>
        </w:rPr>
        <w:t xml:space="preserve"> </w:t>
      </w:r>
      <w:r w:rsidR="00514384">
        <w:rPr>
          <w:rFonts w:ascii="Times New Roman" w:hAnsi="Times New Roman" w:cs="Times New Roman"/>
          <w:sz w:val="24"/>
          <w:szCs w:val="24"/>
        </w:rPr>
        <w:t>potentially and primarily mean restrictions over</w:t>
      </w:r>
      <w:r w:rsidR="00FF545E">
        <w:rPr>
          <w:rFonts w:ascii="Times New Roman" w:hAnsi="Times New Roman" w:cs="Times New Roman"/>
          <w:sz w:val="24"/>
          <w:szCs w:val="24"/>
        </w:rPr>
        <w:t xml:space="preserve"> information </w:t>
      </w:r>
      <w:r w:rsidR="003D2E96">
        <w:rPr>
          <w:rFonts w:ascii="Times New Roman" w:hAnsi="Times New Roman" w:cs="Times New Roman"/>
          <w:sz w:val="24"/>
          <w:szCs w:val="24"/>
        </w:rPr>
        <w:t xml:space="preserve">flow and </w:t>
      </w:r>
      <w:r w:rsidR="00FF545E">
        <w:rPr>
          <w:rFonts w:ascii="Times New Roman" w:hAnsi="Times New Roman" w:cs="Times New Roman"/>
          <w:sz w:val="24"/>
          <w:szCs w:val="24"/>
        </w:rPr>
        <w:t>freedom</w:t>
      </w:r>
      <w:r w:rsidR="00514384">
        <w:rPr>
          <w:rFonts w:ascii="Times New Roman" w:hAnsi="Times New Roman" w:cs="Times New Roman"/>
          <w:sz w:val="24"/>
          <w:szCs w:val="24"/>
        </w:rPr>
        <w:t>.</w:t>
      </w:r>
      <w:r w:rsidR="00FF545E">
        <w:rPr>
          <w:rFonts w:ascii="Times New Roman" w:hAnsi="Times New Roman" w:cs="Times New Roman"/>
          <w:sz w:val="24"/>
          <w:szCs w:val="24"/>
        </w:rPr>
        <w:t xml:space="preserve"> </w:t>
      </w:r>
    </w:p>
    <w:p w14:paraId="273E2892" w14:textId="77777777" w:rsidR="00135DDC" w:rsidRDefault="00135DDC" w:rsidP="003E4C74">
      <w:pPr>
        <w:jc w:val="both"/>
        <w:rPr>
          <w:rFonts w:ascii="Times New Roman" w:hAnsi="Times New Roman" w:cs="Times New Roman"/>
          <w:sz w:val="24"/>
          <w:szCs w:val="24"/>
        </w:rPr>
      </w:pPr>
    </w:p>
    <w:p w14:paraId="666F1F45" w14:textId="0B7B4780" w:rsidR="006D4FD2" w:rsidRDefault="006D4FD2" w:rsidP="006D4FD2">
      <w:pPr>
        <w:jc w:val="both"/>
        <w:rPr>
          <w:rFonts w:ascii="Times New Roman" w:hAnsi="Times New Roman" w:cs="Times New Roman"/>
          <w:sz w:val="24"/>
          <w:szCs w:val="24"/>
        </w:rPr>
      </w:pPr>
      <w:r>
        <w:rPr>
          <w:rFonts w:ascii="Times New Roman" w:hAnsi="Times New Roman" w:cs="Times New Roman"/>
          <w:sz w:val="24"/>
          <w:szCs w:val="24"/>
        </w:rPr>
        <w:t>Should we reconsider the ‘consumer welfare’ from a broader viewpoint</w:t>
      </w:r>
      <w:r w:rsidR="00514384">
        <w:rPr>
          <w:rFonts w:ascii="Times New Roman" w:hAnsi="Times New Roman" w:cs="Times New Roman"/>
          <w:sz w:val="24"/>
          <w:szCs w:val="24"/>
        </w:rPr>
        <w:t xml:space="preserve"> </w:t>
      </w:r>
      <w:r w:rsidR="00D941AB">
        <w:rPr>
          <w:rFonts w:ascii="Times New Roman" w:hAnsi="Times New Roman" w:cs="Times New Roman"/>
          <w:sz w:val="24"/>
          <w:szCs w:val="24"/>
        </w:rPr>
        <w:t>elaborated with the civic virtue around the information flows</w:t>
      </w:r>
      <w:r>
        <w:rPr>
          <w:rFonts w:ascii="Times New Roman" w:hAnsi="Times New Roman" w:cs="Times New Roman"/>
          <w:sz w:val="24"/>
          <w:szCs w:val="24"/>
        </w:rPr>
        <w:t xml:space="preserve">, </w:t>
      </w:r>
      <w:r w:rsidR="0023595D">
        <w:rPr>
          <w:rFonts w:ascii="Times New Roman" w:hAnsi="Times New Roman" w:cs="Times New Roman"/>
          <w:sz w:val="24"/>
          <w:szCs w:val="24"/>
        </w:rPr>
        <w:t xml:space="preserve">a distinction between </w:t>
      </w:r>
      <w:r>
        <w:rPr>
          <w:rFonts w:ascii="Times New Roman" w:hAnsi="Times New Roman" w:cs="Times New Roman"/>
          <w:sz w:val="24"/>
          <w:szCs w:val="24"/>
        </w:rPr>
        <w:t>the abovementioned concerns</w:t>
      </w:r>
      <w:r w:rsidR="0023595D">
        <w:rPr>
          <w:rFonts w:ascii="Times New Roman" w:hAnsi="Times New Roman" w:cs="Times New Roman"/>
          <w:sz w:val="24"/>
          <w:szCs w:val="24"/>
        </w:rPr>
        <w:t xml:space="preserve"> would be easier</w:t>
      </w:r>
      <w:r>
        <w:rPr>
          <w:rFonts w:ascii="Times New Roman" w:hAnsi="Times New Roman" w:cs="Times New Roman"/>
          <w:sz w:val="24"/>
          <w:szCs w:val="24"/>
        </w:rPr>
        <w:t xml:space="preserve">. Benkler’s </w:t>
      </w:r>
      <w:r w:rsidR="0023595D" w:rsidRPr="0023595D">
        <w:rPr>
          <w:rFonts w:ascii="Times New Roman" w:hAnsi="Times New Roman" w:cs="Times New Roman"/>
          <w:sz w:val="24"/>
          <w:szCs w:val="24"/>
        </w:rPr>
        <w:t>discursive</w:t>
      </w:r>
      <w:r>
        <w:rPr>
          <w:rFonts w:ascii="Times New Roman" w:hAnsi="Times New Roman" w:cs="Times New Roman"/>
          <w:sz w:val="24"/>
          <w:szCs w:val="24"/>
        </w:rPr>
        <w:t xml:space="preserve"> </w:t>
      </w:r>
      <w:r w:rsidR="0023595D">
        <w:rPr>
          <w:rFonts w:ascii="Times New Roman" w:hAnsi="Times New Roman" w:cs="Times New Roman"/>
          <w:sz w:val="24"/>
          <w:szCs w:val="24"/>
        </w:rPr>
        <w:t>analysis</w:t>
      </w:r>
      <w:r>
        <w:rPr>
          <w:rFonts w:ascii="Times New Roman" w:hAnsi="Times New Roman" w:cs="Times New Roman"/>
          <w:sz w:val="24"/>
          <w:szCs w:val="24"/>
        </w:rPr>
        <w:t xml:space="preserve"> concerning the individual autonomy and information environment would be helpful</w:t>
      </w:r>
      <w:r w:rsidR="0023595D">
        <w:rPr>
          <w:rFonts w:ascii="Times New Roman" w:hAnsi="Times New Roman" w:cs="Times New Roman"/>
          <w:sz w:val="24"/>
          <w:szCs w:val="24"/>
        </w:rPr>
        <w:t xml:space="preserve"> understand such distinction</w:t>
      </w:r>
      <w:r>
        <w:rPr>
          <w:rFonts w:ascii="Times New Roman" w:hAnsi="Times New Roman" w:cs="Times New Roman"/>
          <w:sz w:val="24"/>
          <w:szCs w:val="24"/>
        </w:rPr>
        <w:t>:</w:t>
      </w:r>
    </w:p>
    <w:p w14:paraId="500F87B0" w14:textId="77777777" w:rsidR="006D4FD2" w:rsidRDefault="006D4FD2" w:rsidP="006D4FD2">
      <w:pPr>
        <w:jc w:val="both"/>
        <w:rPr>
          <w:rFonts w:ascii="Times New Roman" w:hAnsi="Times New Roman" w:cs="Times New Roman"/>
          <w:sz w:val="24"/>
          <w:szCs w:val="24"/>
        </w:rPr>
      </w:pPr>
    </w:p>
    <w:p w14:paraId="7ED53ACF" w14:textId="77777777" w:rsidR="006D4FD2" w:rsidRDefault="006D4FD2" w:rsidP="006D4FD2">
      <w:pPr>
        <w:ind w:left="720" w:right="720"/>
        <w:jc w:val="both"/>
        <w:rPr>
          <w:rFonts w:ascii="Times New Roman" w:hAnsi="Times New Roman" w:cs="Times New Roman"/>
          <w:sz w:val="24"/>
          <w:szCs w:val="24"/>
        </w:rPr>
      </w:pPr>
      <w:r>
        <w:rPr>
          <w:rFonts w:ascii="Times New Roman" w:hAnsi="Times New Roman" w:cs="Times New Roman"/>
          <w:sz w:val="24"/>
          <w:szCs w:val="24"/>
        </w:rPr>
        <w:lastRenderedPageBreak/>
        <w:t xml:space="preserve">To understand the effects of concentration, we can think of freedom from constraint as a dimension of welfare. Just as we have no reason to think that in a concentrated market, total welfare, let alone consumer welfare, will be optimal, we also have no reason to think that a </w:t>
      </w:r>
      <w:r w:rsidRPr="00D84040">
        <w:rPr>
          <w:rFonts w:ascii="Times New Roman" w:hAnsi="Times New Roman" w:cs="Times New Roman"/>
          <w:i/>
          <w:iCs/>
          <w:sz w:val="24"/>
          <w:szCs w:val="24"/>
        </w:rPr>
        <w:t>component of welfare</w:t>
      </w:r>
      <w:r>
        <w:rPr>
          <w:rFonts w:ascii="Times New Roman" w:hAnsi="Times New Roman" w:cs="Times New Roman"/>
          <w:sz w:val="24"/>
          <w:szCs w:val="24"/>
        </w:rPr>
        <w:t xml:space="preserve"> – freedom from constraint as a condition to access one’s communicative  environment – will be optimal.</w:t>
      </w:r>
      <w:r>
        <w:rPr>
          <w:rStyle w:val="FootnoteReference"/>
          <w:rFonts w:ascii="Times New Roman" w:hAnsi="Times New Roman" w:cs="Times New Roman"/>
          <w:sz w:val="24"/>
          <w:szCs w:val="24"/>
        </w:rPr>
        <w:footnoteReference w:id="172"/>
      </w:r>
      <w:r>
        <w:rPr>
          <w:rFonts w:ascii="Times New Roman" w:hAnsi="Times New Roman" w:cs="Times New Roman"/>
          <w:sz w:val="24"/>
          <w:szCs w:val="24"/>
        </w:rPr>
        <w:t xml:space="preserve">         </w:t>
      </w:r>
    </w:p>
    <w:p w14:paraId="553E092A" w14:textId="77777777" w:rsidR="006D4FD2" w:rsidRDefault="006D4FD2" w:rsidP="006D4FD2">
      <w:pPr>
        <w:jc w:val="both"/>
        <w:rPr>
          <w:rFonts w:ascii="Times New Roman" w:hAnsi="Times New Roman" w:cs="Times New Roman"/>
          <w:sz w:val="24"/>
          <w:szCs w:val="24"/>
        </w:rPr>
      </w:pPr>
    </w:p>
    <w:p w14:paraId="5DE79554" w14:textId="77777777" w:rsidR="004D18C9" w:rsidRDefault="006D4FD2" w:rsidP="003D1726">
      <w:pPr>
        <w:jc w:val="both"/>
        <w:rPr>
          <w:rFonts w:ascii="Times New Roman" w:hAnsi="Times New Roman" w:cs="Times New Roman"/>
          <w:sz w:val="24"/>
          <w:szCs w:val="24"/>
          <w:lang w:val="en-US"/>
        </w:rPr>
      </w:pPr>
      <w:r>
        <w:rPr>
          <w:rFonts w:ascii="Times New Roman" w:hAnsi="Times New Roman" w:cs="Times New Roman"/>
          <w:sz w:val="24"/>
          <w:szCs w:val="24"/>
          <w:lang w:val="en-US"/>
        </w:rPr>
        <w:t>F</w:t>
      </w:r>
      <w:r w:rsidR="00D941AB">
        <w:rPr>
          <w:rFonts w:ascii="Times New Roman" w:hAnsi="Times New Roman" w:cs="Times New Roman"/>
          <w:sz w:val="24"/>
          <w:szCs w:val="24"/>
          <w:lang w:val="en-US"/>
        </w:rPr>
        <w:t>lowing from</w:t>
      </w:r>
      <w:r>
        <w:rPr>
          <w:rFonts w:ascii="Times New Roman" w:hAnsi="Times New Roman" w:cs="Times New Roman"/>
          <w:sz w:val="24"/>
          <w:szCs w:val="24"/>
          <w:lang w:val="en-US"/>
        </w:rPr>
        <w:t xml:space="preserve"> Benkler’s point of view, </w:t>
      </w:r>
      <w:r w:rsidR="00D941AB">
        <w:rPr>
          <w:rFonts w:ascii="Times New Roman" w:hAnsi="Times New Roman" w:cs="Times New Roman"/>
          <w:sz w:val="24"/>
          <w:szCs w:val="24"/>
          <w:lang w:val="en-US"/>
        </w:rPr>
        <w:t xml:space="preserve">it should be noted that </w:t>
      </w:r>
      <w:r>
        <w:rPr>
          <w:rFonts w:ascii="Times New Roman" w:hAnsi="Times New Roman" w:cs="Times New Roman"/>
          <w:sz w:val="24"/>
          <w:szCs w:val="24"/>
          <w:lang w:val="en-US"/>
        </w:rPr>
        <w:t xml:space="preserve">the welfare components are not limited to the consumer </w:t>
      </w:r>
      <w:r w:rsidR="006C4FF7">
        <w:rPr>
          <w:rFonts w:ascii="Times New Roman" w:hAnsi="Times New Roman" w:cs="Times New Roman"/>
          <w:sz w:val="24"/>
          <w:szCs w:val="24"/>
          <w:lang w:val="en-US"/>
        </w:rPr>
        <w:t xml:space="preserve">welfare or </w:t>
      </w:r>
      <w:r>
        <w:rPr>
          <w:rFonts w:ascii="Times New Roman" w:hAnsi="Times New Roman" w:cs="Times New Roman"/>
          <w:sz w:val="24"/>
          <w:szCs w:val="24"/>
          <w:lang w:val="en-US"/>
        </w:rPr>
        <w:t xml:space="preserve">surplus that </w:t>
      </w:r>
      <w:r w:rsidR="00D941AB">
        <w:rPr>
          <w:rFonts w:ascii="Times New Roman" w:hAnsi="Times New Roman" w:cs="Times New Roman"/>
          <w:sz w:val="24"/>
          <w:szCs w:val="24"/>
          <w:lang w:val="en-US"/>
        </w:rPr>
        <w:t>is</w:t>
      </w:r>
      <w:r>
        <w:rPr>
          <w:rFonts w:ascii="Times New Roman" w:hAnsi="Times New Roman" w:cs="Times New Roman"/>
          <w:sz w:val="24"/>
          <w:szCs w:val="24"/>
          <w:lang w:val="en-US"/>
        </w:rPr>
        <w:t xml:space="preserve"> calcula</w:t>
      </w:r>
      <w:r w:rsidR="006C4FF7">
        <w:rPr>
          <w:rFonts w:ascii="Times New Roman" w:hAnsi="Times New Roman" w:cs="Times New Roman"/>
          <w:sz w:val="24"/>
          <w:szCs w:val="24"/>
          <w:lang w:val="en-US"/>
        </w:rPr>
        <w:t>ble</w:t>
      </w:r>
      <w:r>
        <w:rPr>
          <w:rFonts w:ascii="Times New Roman" w:hAnsi="Times New Roman" w:cs="Times New Roman"/>
          <w:sz w:val="24"/>
          <w:szCs w:val="24"/>
          <w:lang w:val="en-US"/>
        </w:rPr>
        <w:t xml:space="preserve"> </w:t>
      </w:r>
      <w:r w:rsidR="00643EE0">
        <w:rPr>
          <w:rFonts w:ascii="Times New Roman" w:hAnsi="Times New Roman" w:cs="Times New Roman"/>
          <w:sz w:val="24"/>
          <w:szCs w:val="24"/>
          <w:lang w:val="en-US"/>
        </w:rPr>
        <w:t>and is</w:t>
      </w:r>
      <w:r w:rsidR="006C4FF7">
        <w:rPr>
          <w:rFonts w:ascii="Times New Roman" w:hAnsi="Times New Roman" w:cs="Times New Roman"/>
          <w:sz w:val="24"/>
          <w:szCs w:val="24"/>
          <w:lang w:val="en-US"/>
        </w:rPr>
        <w:t xml:space="preserve"> </w:t>
      </w:r>
      <w:r w:rsidR="00643EE0">
        <w:rPr>
          <w:rFonts w:ascii="Times New Roman" w:hAnsi="Times New Roman" w:cs="Times New Roman"/>
          <w:sz w:val="24"/>
          <w:szCs w:val="24"/>
          <w:lang w:val="en-US"/>
        </w:rPr>
        <w:t xml:space="preserve">acknowledged necessary </w:t>
      </w:r>
      <w:r>
        <w:rPr>
          <w:rFonts w:ascii="Times New Roman" w:hAnsi="Times New Roman" w:cs="Times New Roman"/>
          <w:sz w:val="24"/>
          <w:szCs w:val="24"/>
          <w:lang w:val="en-US"/>
        </w:rPr>
        <w:t xml:space="preserve">to find out the Pareto efficiency or optimality. </w:t>
      </w:r>
      <w:r w:rsidR="0023595D">
        <w:rPr>
          <w:rFonts w:ascii="Times New Roman" w:hAnsi="Times New Roman" w:cs="Times New Roman"/>
          <w:sz w:val="24"/>
          <w:szCs w:val="24"/>
          <w:lang w:val="en-US"/>
        </w:rPr>
        <w:t>In fact, d</w:t>
      </w:r>
      <w:r>
        <w:rPr>
          <w:rFonts w:ascii="Times New Roman" w:hAnsi="Times New Roman" w:cs="Times New Roman"/>
          <w:sz w:val="24"/>
          <w:szCs w:val="24"/>
          <w:lang w:val="en-US"/>
        </w:rPr>
        <w:t xml:space="preserve">efining an optimal person extends to civic virtue </w:t>
      </w:r>
      <w:r w:rsidR="00D941AB">
        <w:rPr>
          <w:rFonts w:ascii="Times New Roman" w:hAnsi="Times New Roman" w:cs="Times New Roman"/>
          <w:sz w:val="24"/>
          <w:szCs w:val="24"/>
          <w:lang w:val="en-US"/>
        </w:rPr>
        <w:t>that</w:t>
      </w:r>
      <w:r>
        <w:rPr>
          <w:rFonts w:ascii="Times New Roman" w:hAnsi="Times New Roman" w:cs="Times New Roman"/>
          <w:sz w:val="24"/>
          <w:szCs w:val="24"/>
          <w:lang w:val="en-US"/>
        </w:rPr>
        <w:t xml:space="preserve"> </w:t>
      </w:r>
      <w:r w:rsidR="00D941AB">
        <w:rPr>
          <w:rFonts w:ascii="Times New Roman" w:hAnsi="Times New Roman" w:cs="Times New Roman"/>
          <w:sz w:val="24"/>
          <w:szCs w:val="24"/>
          <w:lang w:val="en-US"/>
        </w:rPr>
        <w:t>is</w:t>
      </w:r>
      <w:r>
        <w:rPr>
          <w:rFonts w:ascii="Times New Roman" w:hAnsi="Times New Roman" w:cs="Times New Roman"/>
          <w:sz w:val="24"/>
          <w:szCs w:val="24"/>
          <w:lang w:val="en-US"/>
        </w:rPr>
        <w:t xml:space="preserve"> not quantifiable and largely related to </w:t>
      </w:r>
      <w:r w:rsidR="00D941AB">
        <w:rPr>
          <w:rFonts w:ascii="Times New Roman" w:hAnsi="Times New Roman" w:cs="Times New Roman"/>
          <w:sz w:val="24"/>
          <w:szCs w:val="24"/>
          <w:lang w:val="en-US"/>
        </w:rPr>
        <w:t>existence</w:t>
      </w:r>
      <w:r>
        <w:rPr>
          <w:rFonts w:ascii="Times New Roman" w:hAnsi="Times New Roman" w:cs="Times New Roman"/>
          <w:sz w:val="24"/>
          <w:szCs w:val="24"/>
          <w:lang w:val="en-US"/>
        </w:rPr>
        <w:t xml:space="preserve"> of participatory culture </w:t>
      </w:r>
      <w:r w:rsidR="00643EE0">
        <w:rPr>
          <w:rFonts w:ascii="Times New Roman" w:hAnsi="Times New Roman" w:cs="Times New Roman"/>
          <w:sz w:val="24"/>
          <w:szCs w:val="24"/>
          <w:lang w:val="en-US"/>
        </w:rPr>
        <w:t xml:space="preserve">and democracy </w:t>
      </w:r>
      <w:r w:rsidR="0023595D">
        <w:rPr>
          <w:rFonts w:ascii="Times New Roman" w:hAnsi="Times New Roman" w:cs="Times New Roman"/>
          <w:sz w:val="24"/>
          <w:szCs w:val="24"/>
          <w:lang w:val="en-US"/>
        </w:rPr>
        <w:t>within a</w:t>
      </w:r>
      <w:r>
        <w:rPr>
          <w:rFonts w:ascii="Times New Roman" w:hAnsi="Times New Roman" w:cs="Times New Roman"/>
          <w:sz w:val="24"/>
          <w:szCs w:val="24"/>
          <w:lang w:val="en-US"/>
        </w:rPr>
        <w:t xml:space="preserve"> society. Citizens develop their ideas, shape their positions, identify their interests, and ascertain their identity in the public sphere, which represents the main scene of our democratic life.</w:t>
      </w:r>
      <w:r>
        <w:rPr>
          <w:rStyle w:val="FootnoteReference"/>
          <w:rFonts w:ascii="Times New Roman" w:hAnsi="Times New Roman" w:cs="Times New Roman"/>
          <w:sz w:val="24"/>
          <w:szCs w:val="24"/>
          <w:lang w:val="en-US"/>
        </w:rPr>
        <w:footnoteReference w:id="173"/>
      </w:r>
    </w:p>
    <w:p w14:paraId="1B9EA146" w14:textId="77777777" w:rsidR="004D18C9" w:rsidRDefault="004D18C9" w:rsidP="003D1726">
      <w:pPr>
        <w:jc w:val="both"/>
        <w:rPr>
          <w:rFonts w:ascii="Times New Roman" w:hAnsi="Times New Roman" w:cs="Times New Roman"/>
          <w:sz w:val="24"/>
          <w:szCs w:val="24"/>
          <w:lang w:val="en-US"/>
        </w:rPr>
      </w:pPr>
    </w:p>
    <w:p w14:paraId="5F7684BC" w14:textId="4931195F" w:rsidR="006D4FD2" w:rsidRPr="00692824" w:rsidRDefault="0049733A" w:rsidP="003D1726">
      <w:pPr>
        <w:jc w:val="both"/>
        <w:rPr>
          <w:rFonts w:ascii="Times New Roman" w:hAnsi="Times New Roman" w:cs="Times New Roman"/>
          <w:sz w:val="24"/>
          <w:szCs w:val="24"/>
        </w:rPr>
      </w:pPr>
      <w:r>
        <w:rPr>
          <w:rFonts w:ascii="Times New Roman" w:hAnsi="Times New Roman" w:cs="Times New Roman"/>
          <w:sz w:val="24"/>
          <w:szCs w:val="24"/>
          <w:lang w:val="en-US"/>
        </w:rPr>
        <w:t>I</w:t>
      </w:r>
      <w:r w:rsidR="006D4FD2">
        <w:rPr>
          <w:rFonts w:ascii="Times New Roman" w:hAnsi="Times New Roman" w:cs="Times New Roman"/>
          <w:sz w:val="24"/>
          <w:szCs w:val="24"/>
          <w:lang w:val="en-US"/>
        </w:rPr>
        <w:t xml:space="preserve">t is </w:t>
      </w:r>
      <w:r w:rsidR="00D941AB">
        <w:rPr>
          <w:rFonts w:ascii="Times New Roman" w:hAnsi="Times New Roman" w:cs="Times New Roman"/>
          <w:sz w:val="24"/>
          <w:szCs w:val="24"/>
          <w:lang w:val="en-US"/>
        </w:rPr>
        <w:t>recognizable</w:t>
      </w:r>
      <w:r w:rsidR="006D4FD2">
        <w:rPr>
          <w:rFonts w:ascii="Times New Roman" w:hAnsi="Times New Roman" w:cs="Times New Roman"/>
          <w:sz w:val="24"/>
          <w:szCs w:val="24"/>
          <w:lang w:val="en-US"/>
        </w:rPr>
        <w:t xml:space="preserve"> that digital fences are heightened </w:t>
      </w:r>
      <w:r>
        <w:rPr>
          <w:rFonts w:ascii="Times New Roman" w:hAnsi="Times New Roman" w:cs="Times New Roman"/>
          <w:sz w:val="24"/>
          <w:szCs w:val="24"/>
          <w:lang w:val="en-US"/>
        </w:rPr>
        <w:t xml:space="preserve">in the internet era, which brings out </w:t>
      </w:r>
      <w:r w:rsidR="00445BE5">
        <w:rPr>
          <w:rFonts w:ascii="Times New Roman" w:hAnsi="Times New Roman" w:cs="Times New Roman"/>
          <w:sz w:val="24"/>
          <w:szCs w:val="24"/>
          <w:lang w:val="en-US"/>
        </w:rPr>
        <w:t xml:space="preserve">significant costs and consequences as opposed </w:t>
      </w:r>
      <w:r>
        <w:rPr>
          <w:rFonts w:ascii="Times New Roman" w:hAnsi="Times New Roman" w:cs="Times New Roman"/>
          <w:sz w:val="24"/>
          <w:szCs w:val="24"/>
          <w:lang w:val="en-US"/>
        </w:rPr>
        <w:t xml:space="preserve">to the </w:t>
      </w:r>
      <w:r w:rsidR="00445BE5">
        <w:rPr>
          <w:rFonts w:ascii="Times New Roman" w:hAnsi="Times New Roman" w:cs="Times New Roman"/>
          <w:sz w:val="24"/>
          <w:szCs w:val="24"/>
          <w:lang w:val="en-US"/>
        </w:rPr>
        <w:t xml:space="preserve">supposed </w:t>
      </w:r>
      <w:r>
        <w:rPr>
          <w:rFonts w:ascii="Times New Roman" w:hAnsi="Times New Roman" w:cs="Times New Roman"/>
          <w:sz w:val="24"/>
          <w:szCs w:val="24"/>
          <w:lang w:val="en-US"/>
        </w:rPr>
        <w:t xml:space="preserve">outcomes </w:t>
      </w:r>
      <w:r w:rsidR="00445BE5">
        <w:rPr>
          <w:rFonts w:ascii="Times New Roman" w:hAnsi="Times New Roman" w:cs="Times New Roman"/>
          <w:sz w:val="24"/>
          <w:szCs w:val="24"/>
          <w:lang w:val="en-US"/>
        </w:rPr>
        <w:t>of</w:t>
      </w:r>
      <w:r>
        <w:rPr>
          <w:rFonts w:ascii="Times New Roman" w:hAnsi="Times New Roman" w:cs="Times New Roman"/>
          <w:sz w:val="24"/>
          <w:szCs w:val="24"/>
          <w:lang w:val="en-US"/>
        </w:rPr>
        <w:t xml:space="preserve"> internet freedom and liberties.</w:t>
      </w:r>
      <w:r w:rsidR="00431ED2">
        <w:rPr>
          <w:rStyle w:val="FootnoteReference"/>
          <w:rFonts w:ascii="Times New Roman" w:hAnsi="Times New Roman" w:cs="Times New Roman"/>
          <w:sz w:val="24"/>
          <w:szCs w:val="24"/>
        </w:rPr>
        <w:footnoteReference w:id="174"/>
      </w:r>
      <w:r>
        <w:rPr>
          <w:rFonts w:ascii="Times New Roman" w:hAnsi="Times New Roman" w:cs="Times New Roman"/>
          <w:sz w:val="24"/>
          <w:szCs w:val="24"/>
          <w:lang w:val="en-US"/>
        </w:rPr>
        <w:t xml:space="preserve"> </w:t>
      </w:r>
      <w:r w:rsidR="004D18C9">
        <w:rPr>
          <w:rFonts w:ascii="Times New Roman" w:hAnsi="Times New Roman" w:cs="Times New Roman"/>
          <w:sz w:val="24"/>
          <w:szCs w:val="24"/>
          <w:lang w:val="en-US"/>
        </w:rPr>
        <w:t xml:space="preserve">That is to say, </w:t>
      </w:r>
      <w:r w:rsidR="004D18C9">
        <w:rPr>
          <w:rFonts w:ascii="Times New Roman" w:hAnsi="Times New Roman" w:cs="Times New Roman"/>
          <w:sz w:val="24"/>
          <w:szCs w:val="24"/>
        </w:rPr>
        <w:t>in the</w:t>
      </w:r>
      <w:r w:rsidR="004412AF">
        <w:rPr>
          <w:rFonts w:ascii="Times New Roman" w:hAnsi="Times New Roman" w:cs="Times New Roman"/>
          <w:sz w:val="24"/>
          <w:szCs w:val="24"/>
        </w:rPr>
        <w:t xml:space="preserve"> digitised IP world, stronger </w:t>
      </w:r>
      <w:r w:rsidR="004412AF">
        <w:rPr>
          <w:rFonts w:ascii="Times New Roman" w:hAnsi="Times New Roman" w:cs="Times New Roman"/>
          <w:sz w:val="24"/>
          <w:szCs w:val="24"/>
        </w:rPr>
        <w:lastRenderedPageBreak/>
        <w:t>effects could be found out in overzealous use of IPRs and TPMs, which often function as newly erected digital fences enabling ‘perfect control’,</w:t>
      </w:r>
      <w:r w:rsidR="004412AF">
        <w:rPr>
          <w:rStyle w:val="FootnoteReference"/>
          <w:rFonts w:ascii="Times New Roman" w:hAnsi="Times New Roman" w:cs="Times New Roman"/>
          <w:sz w:val="24"/>
          <w:szCs w:val="24"/>
        </w:rPr>
        <w:footnoteReference w:id="175"/>
      </w:r>
      <w:r w:rsidR="004412AF">
        <w:rPr>
          <w:rFonts w:ascii="Times New Roman" w:hAnsi="Times New Roman" w:cs="Times New Roman"/>
          <w:sz w:val="24"/>
          <w:szCs w:val="24"/>
        </w:rPr>
        <w:t xml:space="preserve"> and are ironically protected by the modernised copyright and patent laws.</w:t>
      </w:r>
      <w:r w:rsidR="004412AF">
        <w:rPr>
          <w:rStyle w:val="FootnoteReference"/>
          <w:rFonts w:ascii="Times New Roman" w:hAnsi="Times New Roman" w:cs="Times New Roman"/>
          <w:sz w:val="24"/>
          <w:szCs w:val="24"/>
        </w:rPr>
        <w:footnoteReference w:id="176"/>
      </w:r>
      <w:r w:rsidR="004D18C9">
        <w:rPr>
          <w:rFonts w:ascii="Times New Roman" w:hAnsi="Times New Roman" w:cs="Times New Roman"/>
          <w:sz w:val="24"/>
          <w:szCs w:val="24"/>
        </w:rPr>
        <w:t xml:space="preserve"> </w:t>
      </w:r>
      <w:r w:rsidR="004D18C9">
        <w:rPr>
          <w:rFonts w:ascii="Times New Roman" w:hAnsi="Times New Roman" w:cs="Times New Roman"/>
          <w:sz w:val="24"/>
          <w:szCs w:val="24"/>
          <w:lang w:val="en-US"/>
        </w:rPr>
        <w:t>In effect, such heightened digital fences i.e. through highly increased TPMs and IPRs, mean barriers</w:t>
      </w:r>
      <w:r w:rsidR="00824BA7">
        <w:rPr>
          <w:rFonts w:ascii="Times New Roman" w:hAnsi="Times New Roman" w:cs="Times New Roman"/>
          <w:sz w:val="24"/>
          <w:szCs w:val="24"/>
          <w:lang w:val="en-US"/>
        </w:rPr>
        <w:t xml:space="preserve"> preventing free flow of information</w:t>
      </w:r>
      <w:r w:rsidR="004D18C9">
        <w:rPr>
          <w:rStyle w:val="FootnoteReference"/>
          <w:rFonts w:ascii="Times New Roman" w:hAnsi="Times New Roman" w:cs="Times New Roman"/>
          <w:sz w:val="24"/>
          <w:szCs w:val="24"/>
        </w:rPr>
        <w:footnoteReference w:id="177"/>
      </w:r>
      <w:r w:rsidR="004D18C9">
        <w:rPr>
          <w:rFonts w:ascii="Times New Roman" w:hAnsi="Times New Roman" w:cs="Times New Roman"/>
          <w:sz w:val="24"/>
          <w:szCs w:val="24"/>
          <w:lang w:val="en-US"/>
        </w:rPr>
        <w:t xml:space="preserve"> having the potential to affect participatory democracy as well as cultural production.</w:t>
      </w:r>
      <w:r w:rsidR="004D18C9">
        <w:rPr>
          <w:rStyle w:val="FootnoteReference"/>
          <w:rFonts w:ascii="Times New Roman" w:hAnsi="Times New Roman" w:cs="Times New Roman"/>
          <w:sz w:val="24"/>
          <w:szCs w:val="24"/>
          <w:lang w:val="en-US"/>
        </w:rPr>
        <w:footnoteReference w:id="178"/>
      </w:r>
      <w:r w:rsidR="004D18C9">
        <w:rPr>
          <w:rFonts w:ascii="Times New Roman" w:hAnsi="Times New Roman" w:cs="Times New Roman"/>
          <w:sz w:val="24"/>
          <w:szCs w:val="24"/>
        </w:rPr>
        <w:t xml:space="preserve"> </w:t>
      </w:r>
      <w:r w:rsidR="00445BE5">
        <w:rPr>
          <w:rFonts w:ascii="Times New Roman" w:hAnsi="Times New Roman" w:cs="Times New Roman"/>
          <w:sz w:val="24"/>
          <w:szCs w:val="24"/>
        </w:rPr>
        <w:t>T</w:t>
      </w:r>
      <w:r>
        <w:rPr>
          <w:rFonts w:ascii="Times New Roman" w:hAnsi="Times New Roman" w:cs="Times New Roman"/>
          <w:sz w:val="24"/>
          <w:szCs w:val="24"/>
        </w:rPr>
        <w:t>he</w:t>
      </w:r>
      <w:r w:rsidR="005111EB">
        <w:rPr>
          <w:rFonts w:ascii="Times New Roman" w:hAnsi="Times New Roman" w:cs="Times New Roman"/>
          <w:sz w:val="24"/>
          <w:szCs w:val="24"/>
        </w:rPr>
        <w:t>se</w:t>
      </w:r>
      <w:r w:rsidR="00881257">
        <w:rPr>
          <w:rFonts w:ascii="Times New Roman" w:hAnsi="Times New Roman" w:cs="Times New Roman"/>
          <w:sz w:val="24"/>
          <w:szCs w:val="24"/>
        </w:rPr>
        <w:t xml:space="preserve"> </w:t>
      </w:r>
      <w:r>
        <w:rPr>
          <w:rFonts w:ascii="Times New Roman" w:hAnsi="Times New Roman" w:cs="Times New Roman"/>
          <w:sz w:val="24"/>
          <w:szCs w:val="24"/>
        </w:rPr>
        <w:t>informational barriers</w:t>
      </w:r>
      <w:r w:rsidR="006F50A1">
        <w:rPr>
          <w:rFonts w:ascii="Times New Roman" w:hAnsi="Times New Roman" w:cs="Times New Roman"/>
          <w:sz w:val="24"/>
          <w:szCs w:val="24"/>
        </w:rPr>
        <w:t>,</w:t>
      </w:r>
      <w:r w:rsidR="00445BE5">
        <w:rPr>
          <w:rFonts w:ascii="Times New Roman" w:hAnsi="Times New Roman" w:cs="Times New Roman"/>
          <w:sz w:val="24"/>
          <w:szCs w:val="24"/>
        </w:rPr>
        <w:t xml:space="preserve"> </w:t>
      </w:r>
      <w:r w:rsidR="006F50A1">
        <w:rPr>
          <w:rFonts w:ascii="Times New Roman" w:hAnsi="Times New Roman" w:cs="Times New Roman"/>
          <w:sz w:val="24"/>
          <w:szCs w:val="24"/>
        </w:rPr>
        <w:t xml:space="preserve">which </w:t>
      </w:r>
      <w:r w:rsidR="00445BE5">
        <w:rPr>
          <w:rFonts w:ascii="Times New Roman" w:hAnsi="Times New Roman" w:cs="Times New Roman"/>
          <w:sz w:val="24"/>
          <w:szCs w:val="24"/>
        </w:rPr>
        <w:t>would mean</w:t>
      </w:r>
      <w:r>
        <w:rPr>
          <w:rFonts w:ascii="Times New Roman" w:hAnsi="Times New Roman" w:cs="Times New Roman"/>
          <w:sz w:val="24"/>
          <w:szCs w:val="24"/>
        </w:rPr>
        <w:t xml:space="preserve"> a</w:t>
      </w:r>
      <w:r w:rsidR="00445BE5">
        <w:rPr>
          <w:rFonts w:ascii="Times New Roman" w:hAnsi="Times New Roman" w:cs="Times New Roman"/>
          <w:sz w:val="24"/>
          <w:szCs w:val="24"/>
        </w:rPr>
        <w:t xml:space="preserve"> </w:t>
      </w:r>
      <w:r>
        <w:rPr>
          <w:rFonts w:ascii="Times New Roman" w:hAnsi="Times New Roman" w:cs="Times New Roman"/>
          <w:sz w:val="24"/>
          <w:szCs w:val="24"/>
        </w:rPr>
        <w:t>strain</w:t>
      </w:r>
      <w:r w:rsidR="00445BE5">
        <w:rPr>
          <w:rFonts w:ascii="Times New Roman" w:hAnsi="Times New Roman" w:cs="Times New Roman"/>
          <w:sz w:val="24"/>
          <w:szCs w:val="24"/>
        </w:rPr>
        <w:t xml:space="preserve"> over the </w:t>
      </w:r>
      <w:r w:rsidR="008A3D1D">
        <w:rPr>
          <w:rFonts w:ascii="Times New Roman" w:hAnsi="Times New Roman" w:cs="Times New Roman"/>
          <w:sz w:val="24"/>
          <w:szCs w:val="24"/>
        </w:rPr>
        <w:t>democra</w:t>
      </w:r>
      <w:r w:rsidR="006F50A1">
        <w:rPr>
          <w:rFonts w:ascii="Times New Roman" w:hAnsi="Times New Roman" w:cs="Times New Roman"/>
          <w:sz w:val="24"/>
          <w:szCs w:val="24"/>
        </w:rPr>
        <w:t>tic culture</w:t>
      </w:r>
      <w:r w:rsidR="008A3D1D">
        <w:rPr>
          <w:rFonts w:ascii="Times New Roman" w:hAnsi="Times New Roman" w:cs="Times New Roman"/>
          <w:sz w:val="24"/>
          <w:szCs w:val="24"/>
        </w:rPr>
        <w:t>,</w:t>
      </w:r>
      <w:r w:rsidR="005F53DC">
        <w:rPr>
          <w:rStyle w:val="FootnoteReference"/>
          <w:rFonts w:ascii="Times New Roman" w:hAnsi="Times New Roman" w:cs="Times New Roman"/>
          <w:sz w:val="24"/>
          <w:szCs w:val="24"/>
        </w:rPr>
        <w:footnoteReference w:id="179"/>
      </w:r>
      <w:r w:rsidR="008A3D1D">
        <w:rPr>
          <w:rFonts w:ascii="Times New Roman" w:hAnsi="Times New Roman" w:cs="Times New Roman"/>
          <w:sz w:val="24"/>
          <w:szCs w:val="24"/>
        </w:rPr>
        <w:t xml:space="preserve"> </w:t>
      </w:r>
      <w:r w:rsidR="00445BE5">
        <w:rPr>
          <w:rFonts w:ascii="Times New Roman" w:hAnsi="Times New Roman" w:cs="Times New Roman"/>
          <w:sz w:val="24"/>
          <w:szCs w:val="24"/>
        </w:rPr>
        <w:t>augment</w:t>
      </w:r>
      <w:r>
        <w:rPr>
          <w:rFonts w:ascii="Times New Roman" w:hAnsi="Times New Roman" w:cs="Times New Roman"/>
          <w:sz w:val="24"/>
          <w:szCs w:val="24"/>
        </w:rPr>
        <w:t xml:space="preserve"> the concerns categorised in the </w:t>
      </w:r>
      <w:r w:rsidR="00445BE5">
        <w:rPr>
          <w:rFonts w:ascii="Times New Roman" w:hAnsi="Times New Roman" w:cs="Times New Roman"/>
          <w:sz w:val="24"/>
          <w:szCs w:val="24"/>
        </w:rPr>
        <w:t>latter</w:t>
      </w:r>
      <w:r>
        <w:rPr>
          <w:rFonts w:ascii="Times New Roman" w:hAnsi="Times New Roman" w:cs="Times New Roman"/>
          <w:sz w:val="24"/>
          <w:szCs w:val="24"/>
        </w:rPr>
        <w:t xml:space="preserve"> group. </w:t>
      </w:r>
    </w:p>
    <w:p w14:paraId="088884D6" w14:textId="77777777" w:rsidR="006D4FD2" w:rsidRDefault="006D4FD2" w:rsidP="006D4FD2">
      <w:pPr>
        <w:jc w:val="both"/>
      </w:pPr>
    </w:p>
    <w:p w14:paraId="18CF6C12" w14:textId="09382826" w:rsidR="00881257" w:rsidRDefault="00D73235" w:rsidP="006D4FD2">
      <w:pPr>
        <w:jc w:val="both"/>
        <w:rPr>
          <w:rFonts w:ascii="Times New Roman" w:hAnsi="Times New Roman" w:cs="Times New Roman"/>
          <w:color w:val="FF0000"/>
          <w:sz w:val="24"/>
          <w:szCs w:val="24"/>
        </w:rPr>
      </w:pPr>
      <w:r>
        <w:rPr>
          <w:rFonts w:ascii="Times New Roman" w:hAnsi="Times New Roman" w:cs="Times New Roman"/>
          <w:sz w:val="24"/>
          <w:szCs w:val="24"/>
        </w:rPr>
        <w:t>From this vantage point of view, one might</w:t>
      </w:r>
      <w:r w:rsidR="002C1BE7">
        <w:rPr>
          <w:rFonts w:ascii="Times New Roman" w:hAnsi="Times New Roman" w:cs="Times New Roman"/>
          <w:sz w:val="24"/>
          <w:szCs w:val="24"/>
        </w:rPr>
        <w:t xml:space="preserve"> </w:t>
      </w:r>
      <w:r>
        <w:rPr>
          <w:rFonts w:ascii="Times New Roman" w:hAnsi="Times New Roman" w:cs="Times New Roman"/>
          <w:sz w:val="24"/>
          <w:szCs w:val="24"/>
        </w:rPr>
        <w:t xml:space="preserve">ask </w:t>
      </w:r>
      <w:r w:rsidR="002C1BE7">
        <w:rPr>
          <w:rFonts w:ascii="Times New Roman" w:hAnsi="Times New Roman" w:cs="Times New Roman"/>
          <w:sz w:val="24"/>
          <w:szCs w:val="24"/>
        </w:rPr>
        <w:t>to what extent all the major concerns</w:t>
      </w:r>
      <w:r w:rsidR="008A3D1D">
        <w:rPr>
          <w:rFonts w:ascii="Times New Roman" w:hAnsi="Times New Roman" w:cs="Times New Roman"/>
          <w:sz w:val="24"/>
          <w:szCs w:val="24"/>
        </w:rPr>
        <w:t xml:space="preserve"> referred above</w:t>
      </w:r>
      <w:r w:rsidR="002C1BE7">
        <w:rPr>
          <w:rFonts w:ascii="Times New Roman" w:hAnsi="Times New Roman" w:cs="Times New Roman"/>
          <w:sz w:val="24"/>
          <w:szCs w:val="24"/>
        </w:rPr>
        <w:t xml:space="preserve"> are addressed </w:t>
      </w:r>
      <w:r w:rsidR="00881257">
        <w:rPr>
          <w:rFonts w:ascii="Times New Roman" w:hAnsi="Times New Roman" w:cs="Times New Roman"/>
          <w:sz w:val="24"/>
          <w:szCs w:val="24"/>
        </w:rPr>
        <w:t xml:space="preserve">under the </w:t>
      </w:r>
      <w:r w:rsidR="00881257" w:rsidRPr="00692824">
        <w:rPr>
          <w:rFonts w:ascii="Times New Roman" w:hAnsi="Times New Roman" w:cs="Times New Roman"/>
          <w:i/>
          <w:iCs/>
          <w:sz w:val="24"/>
          <w:szCs w:val="24"/>
        </w:rPr>
        <w:t>status quo</w:t>
      </w:r>
      <w:r w:rsidR="00881257">
        <w:rPr>
          <w:rFonts w:ascii="Times New Roman" w:hAnsi="Times New Roman" w:cs="Times New Roman"/>
          <w:i/>
          <w:iCs/>
          <w:sz w:val="24"/>
          <w:szCs w:val="24"/>
        </w:rPr>
        <w:t xml:space="preserve">. </w:t>
      </w:r>
      <w:r w:rsidR="00881257">
        <w:rPr>
          <w:rFonts w:ascii="Times New Roman" w:hAnsi="Times New Roman" w:cs="Times New Roman"/>
          <w:sz w:val="24"/>
          <w:szCs w:val="24"/>
        </w:rPr>
        <w:t xml:space="preserve">Or it would be asked how far these concerns </w:t>
      </w:r>
      <w:r w:rsidR="008A3D1D">
        <w:rPr>
          <w:rFonts w:ascii="Times New Roman" w:hAnsi="Times New Roman" w:cs="Times New Roman"/>
          <w:sz w:val="24"/>
          <w:szCs w:val="24"/>
        </w:rPr>
        <w:t xml:space="preserve">and their </w:t>
      </w:r>
      <w:r w:rsidR="008A3D1D" w:rsidRPr="008A3D1D">
        <w:rPr>
          <w:rFonts w:ascii="Times New Roman" w:hAnsi="Times New Roman" w:cs="Times New Roman"/>
          <w:sz w:val="24"/>
          <w:szCs w:val="24"/>
        </w:rPr>
        <w:t xml:space="preserve">omnipresence </w:t>
      </w:r>
      <w:r w:rsidR="008A3D1D">
        <w:rPr>
          <w:rFonts w:ascii="Times New Roman" w:hAnsi="Times New Roman" w:cs="Times New Roman"/>
          <w:sz w:val="24"/>
          <w:szCs w:val="24"/>
        </w:rPr>
        <w:t>are</w:t>
      </w:r>
      <w:r w:rsidR="00881257">
        <w:rPr>
          <w:rFonts w:ascii="Times New Roman" w:hAnsi="Times New Roman" w:cs="Times New Roman"/>
          <w:sz w:val="24"/>
          <w:szCs w:val="24"/>
        </w:rPr>
        <w:t xml:space="preserve"> infused under the EU </w:t>
      </w:r>
      <w:r w:rsidR="008A3D1D">
        <w:rPr>
          <w:rFonts w:ascii="Times New Roman" w:hAnsi="Times New Roman" w:cs="Times New Roman"/>
          <w:sz w:val="24"/>
          <w:szCs w:val="24"/>
        </w:rPr>
        <w:t>regulatory thinking</w:t>
      </w:r>
      <w:r w:rsidR="00881257" w:rsidRPr="003D1726">
        <w:rPr>
          <w:rFonts w:ascii="Times New Roman" w:hAnsi="Times New Roman" w:cs="Times New Roman"/>
          <w:sz w:val="24"/>
          <w:szCs w:val="24"/>
        </w:rPr>
        <w:t xml:space="preserve">. </w:t>
      </w:r>
      <w:r w:rsidR="00034A70" w:rsidRPr="003D1726">
        <w:rPr>
          <w:rFonts w:ascii="Times New Roman" w:hAnsi="Times New Roman" w:cs="Times New Roman"/>
          <w:sz w:val="24"/>
          <w:szCs w:val="24"/>
        </w:rPr>
        <w:t xml:space="preserve">Leaving these questions to the relevant parts of the thesis, suffice </w:t>
      </w:r>
      <w:r w:rsidR="006D4FD2" w:rsidRPr="003D1726">
        <w:rPr>
          <w:rFonts w:ascii="Times New Roman" w:hAnsi="Times New Roman" w:cs="Times New Roman"/>
          <w:sz w:val="24"/>
          <w:szCs w:val="24"/>
        </w:rPr>
        <w:t xml:space="preserve">it </w:t>
      </w:r>
      <w:r w:rsidR="00034A70" w:rsidRPr="003D1726">
        <w:rPr>
          <w:rFonts w:ascii="Times New Roman" w:hAnsi="Times New Roman" w:cs="Times New Roman"/>
          <w:sz w:val="24"/>
          <w:szCs w:val="24"/>
        </w:rPr>
        <w:t>to say</w:t>
      </w:r>
      <w:r w:rsidR="006D4FD2" w:rsidRPr="003D1726">
        <w:rPr>
          <w:rFonts w:ascii="Times New Roman" w:hAnsi="Times New Roman" w:cs="Times New Roman"/>
          <w:sz w:val="24"/>
          <w:szCs w:val="24"/>
        </w:rPr>
        <w:t>,</w:t>
      </w:r>
      <w:r w:rsidR="00034A70" w:rsidRPr="003D1726">
        <w:rPr>
          <w:rFonts w:ascii="Times New Roman" w:hAnsi="Times New Roman" w:cs="Times New Roman"/>
          <w:sz w:val="24"/>
          <w:szCs w:val="24"/>
        </w:rPr>
        <w:t xml:space="preserve"> </w:t>
      </w:r>
      <w:r w:rsidR="00881257" w:rsidRPr="003D1726">
        <w:rPr>
          <w:rFonts w:ascii="Times New Roman" w:hAnsi="Times New Roman" w:cs="Times New Roman"/>
          <w:sz w:val="24"/>
          <w:szCs w:val="24"/>
        </w:rPr>
        <w:t xml:space="preserve">co-existence </w:t>
      </w:r>
      <w:r w:rsidR="00881257" w:rsidRPr="003D1726">
        <w:rPr>
          <w:rFonts w:ascii="Times New Roman" w:hAnsi="Times New Roman" w:cs="Times New Roman"/>
          <w:sz w:val="24"/>
          <w:szCs w:val="24"/>
        </w:rPr>
        <w:lastRenderedPageBreak/>
        <w:t xml:space="preserve">of both competition and techno-social concerns highlighted above </w:t>
      </w:r>
      <w:r w:rsidR="00034A70" w:rsidRPr="003D1726">
        <w:rPr>
          <w:rFonts w:ascii="Times New Roman" w:hAnsi="Times New Roman" w:cs="Times New Roman"/>
          <w:sz w:val="24"/>
          <w:szCs w:val="24"/>
        </w:rPr>
        <w:t>compel</w:t>
      </w:r>
      <w:r w:rsidR="00881257" w:rsidRPr="00692824">
        <w:rPr>
          <w:rFonts w:ascii="Times New Roman" w:hAnsi="Times New Roman" w:cs="Times New Roman"/>
          <w:sz w:val="24"/>
          <w:szCs w:val="24"/>
        </w:rPr>
        <w:t xml:space="preserve">s regulatory thinking to have a broader mind-set. While </w:t>
      </w:r>
      <w:r w:rsidR="008A3D1D">
        <w:rPr>
          <w:rFonts w:ascii="Times New Roman" w:hAnsi="Times New Roman" w:cs="Times New Roman"/>
          <w:sz w:val="24"/>
          <w:szCs w:val="24"/>
        </w:rPr>
        <w:t>the following chapters aim at</w:t>
      </w:r>
      <w:r w:rsidR="00881257" w:rsidRPr="00692824">
        <w:rPr>
          <w:rFonts w:ascii="Times New Roman" w:hAnsi="Times New Roman" w:cs="Times New Roman"/>
          <w:sz w:val="24"/>
          <w:szCs w:val="24"/>
        </w:rPr>
        <w:t xml:space="preserve"> f</w:t>
      </w:r>
      <w:r w:rsidR="005111EB">
        <w:rPr>
          <w:rFonts w:ascii="Times New Roman" w:hAnsi="Times New Roman" w:cs="Times New Roman"/>
          <w:sz w:val="24"/>
          <w:szCs w:val="24"/>
        </w:rPr>
        <w:t>ilter</w:t>
      </w:r>
      <w:r w:rsidR="008A3D1D">
        <w:rPr>
          <w:rFonts w:ascii="Times New Roman" w:hAnsi="Times New Roman" w:cs="Times New Roman"/>
          <w:sz w:val="24"/>
          <w:szCs w:val="24"/>
        </w:rPr>
        <w:t>ing</w:t>
      </w:r>
      <w:r w:rsidR="00881257" w:rsidRPr="00692824">
        <w:rPr>
          <w:rFonts w:ascii="Times New Roman" w:hAnsi="Times New Roman" w:cs="Times New Roman"/>
          <w:sz w:val="24"/>
          <w:szCs w:val="24"/>
        </w:rPr>
        <w:t xml:space="preserve"> out all the available </w:t>
      </w:r>
      <w:r w:rsidR="00A56407">
        <w:rPr>
          <w:rFonts w:ascii="Times New Roman" w:hAnsi="Times New Roman" w:cs="Times New Roman"/>
          <w:sz w:val="24"/>
          <w:szCs w:val="24"/>
        </w:rPr>
        <w:t>measures</w:t>
      </w:r>
      <w:r w:rsidR="00881257" w:rsidRPr="00692824">
        <w:rPr>
          <w:rFonts w:ascii="Times New Roman" w:hAnsi="Times New Roman" w:cs="Times New Roman"/>
          <w:sz w:val="24"/>
          <w:szCs w:val="24"/>
        </w:rPr>
        <w:t xml:space="preserve"> and shortcomings, </w:t>
      </w:r>
      <w:r w:rsidR="008A3D1D">
        <w:rPr>
          <w:rFonts w:ascii="Times New Roman" w:hAnsi="Times New Roman" w:cs="Times New Roman"/>
          <w:sz w:val="24"/>
          <w:szCs w:val="24"/>
        </w:rPr>
        <w:t xml:space="preserve">suffice it to say </w:t>
      </w:r>
      <w:r w:rsidR="00155F84">
        <w:rPr>
          <w:rFonts w:ascii="Times New Roman" w:hAnsi="Times New Roman" w:cs="Times New Roman"/>
          <w:sz w:val="24"/>
          <w:szCs w:val="24"/>
        </w:rPr>
        <w:t xml:space="preserve">here </w:t>
      </w:r>
      <w:r w:rsidR="00F50C6F">
        <w:rPr>
          <w:rFonts w:ascii="Times New Roman" w:hAnsi="Times New Roman" w:cs="Times New Roman"/>
          <w:sz w:val="24"/>
          <w:szCs w:val="24"/>
        </w:rPr>
        <w:t xml:space="preserve">that </w:t>
      </w:r>
      <w:r w:rsidR="00881257" w:rsidRPr="00692824">
        <w:rPr>
          <w:rFonts w:ascii="Times New Roman" w:hAnsi="Times New Roman" w:cs="Times New Roman"/>
          <w:sz w:val="24"/>
          <w:szCs w:val="24"/>
        </w:rPr>
        <w:t xml:space="preserve">there </w:t>
      </w:r>
      <w:r w:rsidR="00F50C6F">
        <w:rPr>
          <w:rFonts w:ascii="Times New Roman" w:hAnsi="Times New Roman" w:cs="Times New Roman"/>
          <w:sz w:val="24"/>
          <w:szCs w:val="24"/>
        </w:rPr>
        <w:t>is</w:t>
      </w:r>
      <w:r w:rsidR="00881257" w:rsidRPr="00692824">
        <w:rPr>
          <w:rFonts w:ascii="Times New Roman" w:hAnsi="Times New Roman" w:cs="Times New Roman"/>
          <w:sz w:val="24"/>
          <w:szCs w:val="24"/>
        </w:rPr>
        <w:t xml:space="preserve"> a pressing need to comprehend all the major concerns under a </w:t>
      </w:r>
      <w:r w:rsidR="00A56407" w:rsidRPr="00692824">
        <w:rPr>
          <w:rFonts w:ascii="Times New Roman" w:hAnsi="Times New Roman" w:cs="Times New Roman"/>
          <w:sz w:val="24"/>
          <w:szCs w:val="24"/>
        </w:rPr>
        <w:t>common ground. At this point, this thesis takes a step further to synthesise these concerns on the cumulative ground of ‘gatekeeping’.</w:t>
      </w:r>
      <w:r w:rsidR="00A56407">
        <w:rPr>
          <w:rFonts w:ascii="Times New Roman" w:hAnsi="Times New Roman" w:cs="Times New Roman"/>
          <w:color w:val="FF0000"/>
          <w:sz w:val="24"/>
          <w:szCs w:val="24"/>
        </w:rPr>
        <w:t xml:space="preserve"> </w:t>
      </w:r>
    </w:p>
    <w:p w14:paraId="4A68EDBB" w14:textId="3674F40E" w:rsidR="00D53A70" w:rsidRDefault="00D53A70" w:rsidP="006D4FD2">
      <w:pPr>
        <w:jc w:val="both"/>
        <w:rPr>
          <w:rFonts w:ascii="Times New Roman" w:hAnsi="Times New Roman" w:cs="Times New Roman"/>
          <w:color w:val="FF0000"/>
          <w:sz w:val="24"/>
          <w:szCs w:val="24"/>
        </w:rPr>
      </w:pPr>
    </w:p>
    <w:p w14:paraId="7085A646" w14:textId="5A73CD5E" w:rsidR="00655539" w:rsidRDefault="00244356" w:rsidP="00865523">
      <w:pPr>
        <w:jc w:val="both"/>
        <w:rPr>
          <w:rFonts w:ascii="Times New Roman" w:hAnsi="Times New Roman" w:cs="Times New Roman"/>
          <w:sz w:val="24"/>
          <w:szCs w:val="24"/>
        </w:rPr>
      </w:pPr>
      <w:r>
        <w:rPr>
          <w:rFonts w:ascii="Times New Roman" w:hAnsi="Times New Roman" w:cs="Times New Roman"/>
          <w:sz w:val="24"/>
          <w:szCs w:val="24"/>
        </w:rPr>
        <w:t>‘</w:t>
      </w:r>
      <w:r w:rsidR="00D53A70" w:rsidRPr="00692824">
        <w:rPr>
          <w:rFonts w:ascii="Times New Roman" w:hAnsi="Times New Roman" w:cs="Times New Roman"/>
          <w:sz w:val="24"/>
          <w:szCs w:val="24"/>
        </w:rPr>
        <w:t>Gatekeeping</w:t>
      </w:r>
      <w:r>
        <w:rPr>
          <w:rFonts w:ascii="Times New Roman" w:hAnsi="Times New Roman" w:cs="Times New Roman"/>
          <w:sz w:val="24"/>
          <w:szCs w:val="24"/>
        </w:rPr>
        <w:t>’</w:t>
      </w:r>
      <w:r w:rsidR="00D53A70" w:rsidRPr="00692824">
        <w:rPr>
          <w:rFonts w:ascii="Times New Roman" w:hAnsi="Times New Roman" w:cs="Times New Roman"/>
          <w:sz w:val="24"/>
          <w:szCs w:val="24"/>
        </w:rPr>
        <w:t xml:space="preserve"> </w:t>
      </w:r>
      <w:r>
        <w:rPr>
          <w:rFonts w:ascii="Times New Roman" w:hAnsi="Times New Roman" w:cs="Times New Roman"/>
          <w:sz w:val="24"/>
          <w:szCs w:val="24"/>
        </w:rPr>
        <w:t>ha</w:t>
      </w:r>
      <w:r w:rsidR="00D53A70" w:rsidRPr="00692824">
        <w:rPr>
          <w:rFonts w:ascii="Times New Roman" w:hAnsi="Times New Roman" w:cs="Times New Roman"/>
          <w:sz w:val="24"/>
          <w:szCs w:val="24"/>
        </w:rPr>
        <w:t>s</w:t>
      </w:r>
      <w:r>
        <w:rPr>
          <w:rFonts w:ascii="Times New Roman" w:hAnsi="Times New Roman" w:cs="Times New Roman"/>
          <w:sz w:val="24"/>
          <w:szCs w:val="24"/>
        </w:rPr>
        <w:t xml:space="preserve"> been </w:t>
      </w:r>
      <w:r w:rsidR="00D53A70" w:rsidRPr="00692824">
        <w:rPr>
          <w:rFonts w:ascii="Times New Roman" w:hAnsi="Times New Roman" w:cs="Times New Roman"/>
          <w:sz w:val="24"/>
          <w:szCs w:val="24"/>
        </w:rPr>
        <w:t xml:space="preserve">used </w:t>
      </w:r>
      <w:r>
        <w:rPr>
          <w:rFonts w:ascii="Times New Roman" w:hAnsi="Times New Roman" w:cs="Times New Roman"/>
          <w:sz w:val="24"/>
          <w:szCs w:val="24"/>
        </w:rPr>
        <w:t xml:space="preserve">as a term mostly </w:t>
      </w:r>
      <w:r w:rsidR="00D53A70" w:rsidRPr="00692824">
        <w:rPr>
          <w:rFonts w:ascii="Times New Roman" w:hAnsi="Times New Roman" w:cs="Times New Roman"/>
          <w:sz w:val="24"/>
          <w:szCs w:val="24"/>
        </w:rPr>
        <w:t>in</w:t>
      </w:r>
      <w:r w:rsidR="00D53A70">
        <w:rPr>
          <w:rFonts w:ascii="Times New Roman" w:hAnsi="Times New Roman" w:cs="Times New Roman"/>
          <w:sz w:val="24"/>
          <w:szCs w:val="24"/>
        </w:rPr>
        <w:t xml:space="preserve"> field of media and communication</w:t>
      </w:r>
      <w:r w:rsidR="00865523">
        <w:rPr>
          <w:rFonts w:ascii="Times New Roman" w:hAnsi="Times New Roman" w:cs="Times New Roman"/>
          <w:sz w:val="24"/>
          <w:szCs w:val="24"/>
        </w:rPr>
        <w:t xml:space="preserve"> studies</w:t>
      </w:r>
      <w:r w:rsidR="00D53A70">
        <w:rPr>
          <w:rFonts w:ascii="Times New Roman" w:hAnsi="Times New Roman" w:cs="Times New Roman"/>
          <w:sz w:val="24"/>
          <w:szCs w:val="24"/>
        </w:rPr>
        <w:t xml:space="preserve">, since it has been conceptualised by </w:t>
      </w:r>
      <w:r w:rsidR="00D53A70" w:rsidRPr="00E52059">
        <w:rPr>
          <w:rFonts w:ascii="Times New Roman" w:hAnsi="Times New Roman" w:cs="Times New Roman"/>
          <w:sz w:val="24"/>
          <w:szCs w:val="24"/>
        </w:rPr>
        <w:t>Kurt Lewin</w:t>
      </w:r>
      <w:r w:rsidR="00D53A70">
        <w:rPr>
          <w:rStyle w:val="FootnoteReference"/>
          <w:rFonts w:ascii="Times New Roman" w:hAnsi="Times New Roman" w:cs="Times New Roman"/>
          <w:sz w:val="24"/>
          <w:szCs w:val="24"/>
        </w:rPr>
        <w:footnoteReference w:id="180"/>
      </w:r>
      <w:r w:rsidR="00D53A70">
        <w:rPr>
          <w:rFonts w:ascii="Times New Roman" w:hAnsi="Times New Roman" w:cs="Times New Roman"/>
          <w:sz w:val="24"/>
          <w:szCs w:val="24"/>
        </w:rPr>
        <w:t xml:space="preserve"> and </w:t>
      </w:r>
      <w:r w:rsidR="00D53A70" w:rsidRPr="00692824">
        <w:rPr>
          <w:rFonts w:ascii="Times New Roman" w:hAnsi="Times New Roman" w:cs="Times New Roman"/>
          <w:sz w:val="24"/>
          <w:szCs w:val="24"/>
        </w:rPr>
        <w:t>David Manning White</w:t>
      </w:r>
      <w:r w:rsidR="000E08F4">
        <w:rPr>
          <w:rFonts w:ascii="Times New Roman" w:hAnsi="Times New Roman" w:cs="Times New Roman"/>
          <w:sz w:val="24"/>
          <w:szCs w:val="24"/>
        </w:rPr>
        <w:t>,</w:t>
      </w:r>
      <w:r w:rsidR="00D53A70" w:rsidRPr="00692824">
        <w:rPr>
          <w:rFonts w:ascii="Times New Roman" w:hAnsi="Times New Roman" w:cs="Times New Roman"/>
          <w:sz w:val="24"/>
          <w:szCs w:val="24"/>
        </w:rPr>
        <w:t xml:space="preserve"> who first applied gatekeeping</w:t>
      </w:r>
      <w:r w:rsidR="00D53A70">
        <w:rPr>
          <w:rFonts w:ascii="Times New Roman" w:hAnsi="Times New Roman" w:cs="Times New Roman"/>
          <w:sz w:val="24"/>
          <w:szCs w:val="24"/>
        </w:rPr>
        <w:t xml:space="preserve"> </w:t>
      </w:r>
      <w:r w:rsidR="00D53A70" w:rsidRPr="00692824">
        <w:rPr>
          <w:rFonts w:ascii="Times New Roman" w:hAnsi="Times New Roman" w:cs="Times New Roman"/>
          <w:sz w:val="24"/>
          <w:szCs w:val="24"/>
        </w:rPr>
        <w:t>theory in journalism research.</w:t>
      </w:r>
      <w:r w:rsidR="00D53A70">
        <w:rPr>
          <w:rStyle w:val="FootnoteReference"/>
          <w:rFonts w:ascii="Times New Roman" w:hAnsi="Times New Roman" w:cs="Times New Roman"/>
          <w:sz w:val="24"/>
          <w:szCs w:val="24"/>
        </w:rPr>
        <w:footnoteReference w:id="181"/>
      </w:r>
      <w:r w:rsidR="00D53A70">
        <w:rPr>
          <w:rFonts w:ascii="Times New Roman" w:hAnsi="Times New Roman" w:cs="Times New Roman"/>
          <w:sz w:val="24"/>
          <w:szCs w:val="24"/>
        </w:rPr>
        <w:t xml:space="preserve"> </w:t>
      </w:r>
      <w:r w:rsidR="00D53A70" w:rsidRPr="00692824">
        <w:rPr>
          <w:rFonts w:ascii="Times New Roman" w:hAnsi="Times New Roman" w:cs="Times New Roman"/>
          <w:sz w:val="24"/>
          <w:szCs w:val="24"/>
        </w:rPr>
        <w:t>White analy</w:t>
      </w:r>
      <w:r w:rsidR="00D53A70">
        <w:rPr>
          <w:rFonts w:ascii="Times New Roman" w:hAnsi="Times New Roman" w:cs="Times New Roman"/>
          <w:sz w:val="24"/>
          <w:szCs w:val="24"/>
        </w:rPr>
        <w:t>s</w:t>
      </w:r>
      <w:r w:rsidR="00D53A70" w:rsidRPr="00692824">
        <w:rPr>
          <w:rFonts w:ascii="Times New Roman" w:hAnsi="Times New Roman" w:cs="Times New Roman"/>
          <w:sz w:val="24"/>
          <w:szCs w:val="24"/>
        </w:rPr>
        <w:t>ed how a single</w:t>
      </w:r>
      <w:r w:rsidR="00D53A70">
        <w:rPr>
          <w:rFonts w:ascii="Times New Roman" w:hAnsi="Times New Roman" w:cs="Times New Roman"/>
          <w:sz w:val="24"/>
          <w:szCs w:val="24"/>
        </w:rPr>
        <w:t xml:space="preserve"> </w:t>
      </w:r>
      <w:r w:rsidR="00D53A70" w:rsidRPr="00692824">
        <w:rPr>
          <w:rFonts w:ascii="Times New Roman" w:hAnsi="Times New Roman" w:cs="Times New Roman"/>
          <w:sz w:val="24"/>
          <w:szCs w:val="24"/>
        </w:rPr>
        <w:t>editor of a local newspaper</w:t>
      </w:r>
      <w:r w:rsidR="00D53A70">
        <w:rPr>
          <w:rFonts w:ascii="Times New Roman" w:hAnsi="Times New Roman" w:cs="Times New Roman"/>
          <w:sz w:val="24"/>
          <w:szCs w:val="24"/>
        </w:rPr>
        <w:t xml:space="preserve"> </w:t>
      </w:r>
      <w:r w:rsidR="00D53A70" w:rsidRPr="00692824">
        <w:rPr>
          <w:rFonts w:ascii="Times New Roman" w:hAnsi="Times New Roman" w:cs="Times New Roman"/>
          <w:sz w:val="24"/>
          <w:szCs w:val="24"/>
        </w:rPr>
        <w:t>selected</w:t>
      </w:r>
      <w:r w:rsidR="00D53A70">
        <w:rPr>
          <w:rFonts w:ascii="Times New Roman" w:hAnsi="Times New Roman" w:cs="Times New Roman"/>
          <w:sz w:val="24"/>
          <w:szCs w:val="24"/>
        </w:rPr>
        <w:t xml:space="preserve"> </w:t>
      </w:r>
      <w:r w:rsidR="00D53A70" w:rsidRPr="00692824">
        <w:rPr>
          <w:rFonts w:ascii="Times New Roman" w:hAnsi="Times New Roman" w:cs="Times New Roman"/>
          <w:sz w:val="24"/>
          <w:szCs w:val="24"/>
        </w:rPr>
        <w:t>which stories were and were not covered, and found that the news was</w:t>
      </w:r>
      <w:r w:rsidR="00D53A70">
        <w:rPr>
          <w:rFonts w:ascii="Times New Roman" w:hAnsi="Times New Roman" w:cs="Times New Roman"/>
          <w:sz w:val="24"/>
          <w:szCs w:val="24"/>
        </w:rPr>
        <w:t xml:space="preserve"> </w:t>
      </w:r>
      <w:r w:rsidR="00D53A70" w:rsidRPr="00692824">
        <w:rPr>
          <w:rFonts w:ascii="Times New Roman" w:hAnsi="Times New Roman" w:cs="Times New Roman"/>
          <w:sz w:val="24"/>
          <w:szCs w:val="24"/>
        </w:rPr>
        <w:t>heavily influenced by the individual preferences of the editor.</w:t>
      </w:r>
      <w:r w:rsidR="00D53A70">
        <w:rPr>
          <w:rStyle w:val="FootnoteReference"/>
          <w:rFonts w:ascii="Times New Roman" w:hAnsi="Times New Roman" w:cs="Times New Roman"/>
          <w:sz w:val="24"/>
          <w:szCs w:val="24"/>
        </w:rPr>
        <w:footnoteReference w:id="182"/>
      </w:r>
      <w:r w:rsidR="00865523">
        <w:rPr>
          <w:rFonts w:ascii="Times New Roman" w:hAnsi="Times New Roman" w:cs="Times New Roman"/>
          <w:sz w:val="24"/>
          <w:szCs w:val="24"/>
        </w:rPr>
        <w:t xml:space="preserve"> </w:t>
      </w:r>
      <w:r w:rsidR="00865523" w:rsidRPr="00865523">
        <w:rPr>
          <w:rFonts w:ascii="Times New Roman" w:hAnsi="Times New Roman" w:cs="Times New Roman"/>
          <w:sz w:val="24"/>
          <w:szCs w:val="24"/>
        </w:rPr>
        <w:t>The people that are in a strong position to influence this selection</w:t>
      </w:r>
      <w:r w:rsidR="00865523">
        <w:rPr>
          <w:rFonts w:ascii="Times New Roman" w:hAnsi="Times New Roman" w:cs="Times New Roman"/>
          <w:sz w:val="24"/>
          <w:szCs w:val="24"/>
        </w:rPr>
        <w:t xml:space="preserve"> </w:t>
      </w:r>
      <w:r w:rsidR="00865523" w:rsidRPr="00865523">
        <w:rPr>
          <w:rFonts w:ascii="Times New Roman" w:hAnsi="Times New Roman" w:cs="Times New Roman"/>
          <w:sz w:val="24"/>
          <w:szCs w:val="24"/>
        </w:rPr>
        <w:t>process have been conceptualized as gatekeepers: they control gates</w:t>
      </w:r>
      <w:r w:rsidR="00865523">
        <w:rPr>
          <w:rFonts w:ascii="Times New Roman" w:hAnsi="Times New Roman" w:cs="Times New Roman"/>
          <w:sz w:val="24"/>
          <w:szCs w:val="24"/>
        </w:rPr>
        <w:t xml:space="preserve"> </w:t>
      </w:r>
      <w:r w:rsidR="00865523" w:rsidRPr="00865523">
        <w:rPr>
          <w:rFonts w:ascii="Times New Roman" w:hAnsi="Times New Roman" w:cs="Times New Roman"/>
          <w:sz w:val="24"/>
          <w:szCs w:val="24"/>
        </w:rPr>
        <w:t>in the communication channels through which news flows into society.</w:t>
      </w:r>
      <w:r w:rsidR="00865523">
        <w:rPr>
          <w:rStyle w:val="FootnoteReference"/>
          <w:rFonts w:ascii="Times New Roman" w:hAnsi="Times New Roman" w:cs="Times New Roman"/>
          <w:sz w:val="24"/>
          <w:szCs w:val="24"/>
        </w:rPr>
        <w:footnoteReference w:id="183"/>
      </w:r>
      <w:r w:rsidR="00865523">
        <w:rPr>
          <w:rFonts w:ascii="Times New Roman" w:hAnsi="Times New Roman" w:cs="Times New Roman"/>
          <w:sz w:val="24"/>
          <w:szCs w:val="24"/>
        </w:rPr>
        <w:t xml:space="preserve"> </w:t>
      </w:r>
      <w:r w:rsidR="00864A8F">
        <w:rPr>
          <w:rFonts w:ascii="Times New Roman" w:hAnsi="Times New Roman" w:cs="Times New Roman"/>
          <w:sz w:val="24"/>
          <w:szCs w:val="24"/>
        </w:rPr>
        <w:t xml:space="preserve">While this type of gatekeeping </w:t>
      </w:r>
      <w:r w:rsidR="00AE088A">
        <w:rPr>
          <w:rFonts w:ascii="Times New Roman" w:hAnsi="Times New Roman" w:cs="Times New Roman"/>
          <w:sz w:val="24"/>
          <w:szCs w:val="24"/>
        </w:rPr>
        <w:t>suggest</w:t>
      </w:r>
      <w:r w:rsidR="00864A8F">
        <w:rPr>
          <w:rFonts w:ascii="Times New Roman" w:hAnsi="Times New Roman" w:cs="Times New Roman"/>
          <w:sz w:val="24"/>
          <w:szCs w:val="24"/>
        </w:rPr>
        <w:t xml:space="preserve">s an </w:t>
      </w:r>
      <w:r w:rsidR="002A4232">
        <w:rPr>
          <w:rFonts w:ascii="Times New Roman" w:hAnsi="Times New Roman" w:cs="Times New Roman"/>
          <w:sz w:val="24"/>
          <w:szCs w:val="24"/>
        </w:rPr>
        <w:t>‘</w:t>
      </w:r>
      <w:r w:rsidR="00864A8F">
        <w:rPr>
          <w:rFonts w:ascii="Times New Roman" w:hAnsi="Times New Roman" w:cs="Times New Roman"/>
          <w:sz w:val="24"/>
          <w:szCs w:val="24"/>
        </w:rPr>
        <w:t>intermediary</w:t>
      </w:r>
      <w:r w:rsidR="002A4232">
        <w:rPr>
          <w:rFonts w:ascii="Times New Roman" w:hAnsi="Times New Roman" w:cs="Times New Roman"/>
          <w:sz w:val="24"/>
          <w:szCs w:val="24"/>
        </w:rPr>
        <w:t>’</w:t>
      </w:r>
      <w:r w:rsidR="00864A8F">
        <w:rPr>
          <w:rFonts w:ascii="Times New Roman" w:hAnsi="Times New Roman" w:cs="Times New Roman"/>
          <w:sz w:val="24"/>
          <w:szCs w:val="24"/>
        </w:rPr>
        <w:t xml:space="preserve"> role, this should not be considered as the defining aspect</w:t>
      </w:r>
      <w:r w:rsidR="000E08F4">
        <w:rPr>
          <w:rFonts w:ascii="Times New Roman" w:hAnsi="Times New Roman" w:cs="Times New Roman"/>
          <w:sz w:val="24"/>
          <w:szCs w:val="24"/>
        </w:rPr>
        <w:t>,</w:t>
      </w:r>
      <w:r w:rsidR="00864A8F">
        <w:rPr>
          <w:rFonts w:ascii="Times New Roman" w:hAnsi="Times New Roman" w:cs="Times New Roman"/>
          <w:sz w:val="24"/>
          <w:szCs w:val="24"/>
        </w:rPr>
        <w:t xml:space="preserve"> </w:t>
      </w:r>
      <w:r w:rsidR="000E08F4">
        <w:rPr>
          <w:rFonts w:ascii="Times New Roman" w:hAnsi="Times New Roman" w:cs="Times New Roman"/>
          <w:sz w:val="24"/>
          <w:szCs w:val="24"/>
        </w:rPr>
        <w:t>since</w:t>
      </w:r>
      <w:r w:rsidR="00864A8F">
        <w:rPr>
          <w:rFonts w:ascii="Times New Roman" w:hAnsi="Times New Roman" w:cs="Times New Roman"/>
          <w:sz w:val="24"/>
          <w:szCs w:val="24"/>
        </w:rPr>
        <w:t xml:space="preserve"> </w:t>
      </w:r>
      <w:r w:rsidR="00AE088A">
        <w:rPr>
          <w:rFonts w:ascii="Times New Roman" w:hAnsi="Times New Roman" w:cs="Times New Roman"/>
          <w:sz w:val="24"/>
          <w:szCs w:val="24"/>
        </w:rPr>
        <w:t>these actors</w:t>
      </w:r>
      <w:r w:rsidR="002A4232">
        <w:rPr>
          <w:rFonts w:ascii="Times New Roman" w:hAnsi="Times New Roman" w:cs="Times New Roman"/>
          <w:sz w:val="24"/>
          <w:szCs w:val="24"/>
        </w:rPr>
        <w:t xml:space="preserve"> </w:t>
      </w:r>
      <w:r w:rsidR="00941922">
        <w:rPr>
          <w:rFonts w:ascii="Times New Roman" w:hAnsi="Times New Roman" w:cs="Times New Roman"/>
          <w:sz w:val="24"/>
          <w:szCs w:val="24"/>
        </w:rPr>
        <w:t>do</w:t>
      </w:r>
      <w:r w:rsidR="002A4232">
        <w:rPr>
          <w:rFonts w:ascii="Times New Roman" w:hAnsi="Times New Roman" w:cs="Times New Roman"/>
          <w:sz w:val="24"/>
          <w:szCs w:val="24"/>
        </w:rPr>
        <w:t xml:space="preserve"> not necessarily operate on a multi-sided platform</w:t>
      </w:r>
      <w:r w:rsidR="00AE088A">
        <w:rPr>
          <w:rFonts w:ascii="Times New Roman" w:hAnsi="Times New Roman" w:cs="Times New Roman"/>
          <w:sz w:val="24"/>
          <w:szCs w:val="24"/>
        </w:rPr>
        <w:t xml:space="preserve"> or network</w:t>
      </w:r>
      <w:r w:rsidR="002A4232">
        <w:rPr>
          <w:rFonts w:ascii="Times New Roman" w:hAnsi="Times New Roman" w:cs="Times New Roman"/>
          <w:sz w:val="24"/>
          <w:szCs w:val="24"/>
        </w:rPr>
        <w:t>. Rather</w:t>
      </w:r>
      <w:r w:rsidR="00941922">
        <w:rPr>
          <w:rFonts w:ascii="Times New Roman" w:hAnsi="Times New Roman" w:cs="Times New Roman"/>
          <w:sz w:val="24"/>
          <w:szCs w:val="24"/>
        </w:rPr>
        <w:t>,</w:t>
      </w:r>
      <w:r w:rsidR="002A4232">
        <w:rPr>
          <w:rFonts w:ascii="Times New Roman" w:hAnsi="Times New Roman" w:cs="Times New Roman"/>
          <w:sz w:val="24"/>
          <w:szCs w:val="24"/>
        </w:rPr>
        <w:t xml:space="preserve"> their </w:t>
      </w:r>
      <w:r w:rsidR="00864A8F">
        <w:rPr>
          <w:rFonts w:ascii="Times New Roman" w:hAnsi="Times New Roman" w:cs="Times New Roman"/>
          <w:sz w:val="24"/>
          <w:szCs w:val="24"/>
        </w:rPr>
        <w:t>exploit</w:t>
      </w:r>
      <w:r w:rsidR="000E08F4">
        <w:rPr>
          <w:rFonts w:ascii="Times New Roman" w:hAnsi="Times New Roman" w:cs="Times New Roman"/>
          <w:sz w:val="24"/>
          <w:szCs w:val="24"/>
        </w:rPr>
        <w:t>ing</w:t>
      </w:r>
      <w:r w:rsidR="00864A8F">
        <w:rPr>
          <w:rFonts w:ascii="Times New Roman" w:hAnsi="Times New Roman" w:cs="Times New Roman"/>
          <w:sz w:val="24"/>
          <w:szCs w:val="24"/>
        </w:rPr>
        <w:t xml:space="preserve"> the so called ‘gates’ as a controlling mechanism</w:t>
      </w:r>
      <w:r w:rsidR="000E08F4">
        <w:rPr>
          <w:rFonts w:ascii="Times New Roman" w:hAnsi="Times New Roman" w:cs="Times New Roman"/>
          <w:sz w:val="24"/>
          <w:szCs w:val="24"/>
        </w:rPr>
        <w:t xml:space="preserve"> </w:t>
      </w:r>
      <w:r w:rsidR="006F321A">
        <w:rPr>
          <w:rFonts w:ascii="Times New Roman" w:hAnsi="Times New Roman" w:cs="Times New Roman"/>
          <w:sz w:val="24"/>
          <w:szCs w:val="24"/>
        </w:rPr>
        <w:t xml:space="preserve">is </w:t>
      </w:r>
      <w:r w:rsidR="00941922">
        <w:rPr>
          <w:rFonts w:ascii="Times New Roman" w:hAnsi="Times New Roman" w:cs="Times New Roman"/>
          <w:sz w:val="24"/>
          <w:szCs w:val="24"/>
        </w:rPr>
        <w:t>crucial</w:t>
      </w:r>
      <w:r w:rsidR="006F321A">
        <w:rPr>
          <w:rFonts w:ascii="Times New Roman" w:hAnsi="Times New Roman" w:cs="Times New Roman"/>
          <w:sz w:val="24"/>
          <w:szCs w:val="24"/>
        </w:rPr>
        <w:t xml:space="preserve"> to understand this concept</w:t>
      </w:r>
      <w:r w:rsidR="00864A8F">
        <w:rPr>
          <w:rFonts w:ascii="Times New Roman" w:hAnsi="Times New Roman" w:cs="Times New Roman"/>
          <w:sz w:val="24"/>
          <w:szCs w:val="24"/>
        </w:rPr>
        <w:t>.</w:t>
      </w:r>
    </w:p>
    <w:p w14:paraId="5830E200" w14:textId="77777777" w:rsidR="00655539" w:rsidRDefault="00655539" w:rsidP="00865523">
      <w:pPr>
        <w:jc w:val="both"/>
        <w:rPr>
          <w:rFonts w:ascii="Times New Roman" w:hAnsi="Times New Roman" w:cs="Times New Roman"/>
          <w:sz w:val="24"/>
          <w:szCs w:val="24"/>
        </w:rPr>
      </w:pPr>
    </w:p>
    <w:p w14:paraId="63715C10" w14:textId="51ED613F" w:rsidR="0083320F" w:rsidRDefault="00941922" w:rsidP="00865523">
      <w:pPr>
        <w:jc w:val="both"/>
        <w:rPr>
          <w:rFonts w:ascii="Times New Roman" w:hAnsi="Times New Roman" w:cs="Times New Roman"/>
          <w:sz w:val="24"/>
          <w:szCs w:val="24"/>
        </w:rPr>
      </w:pPr>
      <w:bookmarkStart w:id="225" w:name="_Hlk52758225"/>
      <w:r>
        <w:rPr>
          <w:rFonts w:ascii="Times New Roman" w:hAnsi="Times New Roman" w:cs="Times New Roman"/>
          <w:sz w:val="24"/>
          <w:szCs w:val="24"/>
        </w:rPr>
        <w:lastRenderedPageBreak/>
        <w:t xml:space="preserve">This notion of ‘gated’ and controlling access to it seems to </w:t>
      </w:r>
      <w:r w:rsidR="00655539">
        <w:rPr>
          <w:rFonts w:ascii="Times New Roman" w:hAnsi="Times New Roman" w:cs="Times New Roman"/>
          <w:sz w:val="24"/>
          <w:szCs w:val="24"/>
        </w:rPr>
        <w:t xml:space="preserve">be key also </w:t>
      </w:r>
      <w:r>
        <w:rPr>
          <w:rFonts w:ascii="Times New Roman" w:hAnsi="Times New Roman" w:cs="Times New Roman"/>
          <w:sz w:val="24"/>
          <w:szCs w:val="24"/>
        </w:rPr>
        <w:t>in view of the ‘network gatekeeper theory’ developed by Barzilai-Kahon</w:t>
      </w:r>
      <w:r w:rsidR="00655539">
        <w:rPr>
          <w:rFonts w:ascii="Times New Roman" w:hAnsi="Times New Roman" w:cs="Times New Roman"/>
          <w:sz w:val="24"/>
          <w:szCs w:val="24"/>
        </w:rPr>
        <w:t xml:space="preserve">, who introduces his theory </w:t>
      </w:r>
      <w:r w:rsidR="00AB0247">
        <w:rPr>
          <w:rFonts w:ascii="Times New Roman" w:hAnsi="Times New Roman" w:cs="Times New Roman"/>
          <w:sz w:val="24"/>
          <w:szCs w:val="24"/>
        </w:rPr>
        <w:t xml:space="preserve">of ‘network gatekeeping’ </w:t>
      </w:r>
      <w:r w:rsidR="00655539">
        <w:rPr>
          <w:rFonts w:ascii="Times New Roman" w:hAnsi="Times New Roman" w:cs="Times New Roman"/>
          <w:sz w:val="24"/>
          <w:szCs w:val="24"/>
        </w:rPr>
        <w:t>based on the concept of ‘information control’.</w:t>
      </w:r>
      <w:r w:rsidR="00AB0247">
        <w:rPr>
          <w:rStyle w:val="FootnoteReference"/>
          <w:rFonts w:ascii="Times New Roman" w:hAnsi="Times New Roman" w:cs="Times New Roman"/>
          <w:sz w:val="24"/>
          <w:szCs w:val="24"/>
        </w:rPr>
        <w:footnoteReference w:id="184"/>
      </w:r>
      <w:r w:rsidR="00655539">
        <w:rPr>
          <w:rFonts w:ascii="Times New Roman" w:hAnsi="Times New Roman" w:cs="Times New Roman"/>
          <w:sz w:val="24"/>
          <w:szCs w:val="24"/>
        </w:rPr>
        <w:t xml:space="preserve"> According to her, </w:t>
      </w:r>
      <w:r w:rsidR="00655539" w:rsidRPr="00655539">
        <w:rPr>
          <w:rFonts w:ascii="Times New Roman" w:hAnsi="Times New Roman" w:cs="Times New Roman"/>
          <w:sz w:val="24"/>
          <w:szCs w:val="24"/>
        </w:rPr>
        <w:t>network gatekeeping is best conceptualized</w:t>
      </w:r>
      <w:r w:rsidR="00655539">
        <w:rPr>
          <w:rFonts w:ascii="Times New Roman" w:hAnsi="Times New Roman" w:cs="Times New Roman"/>
          <w:sz w:val="24"/>
          <w:szCs w:val="24"/>
        </w:rPr>
        <w:t xml:space="preserve"> </w:t>
      </w:r>
      <w:r w:rsidR="00655539" w:rsidRPr="00655539">
        <w:rPr>
          <w:rFonts w:ascii="Times New Roman" w:hAnsi="Times New Roman" w:cs="Times New Roman"/>
          <w:sz w:val="24"/>
          <w:szCs w:val="24"/>
        </w:rPr>
        <w:t>through information</w:t>
      </w:r>
      <w:r w:rsidR="00655539">
        <w:rPr>
          <w:rFonts w:ascii="Times New Roman" w:hAnsi="Times New Roman" w:cs="Times New Roman"/>
          <w:sz w:val="24"/>
          <w:szCs w:val="24"/>
        </w:rPr>
        <w:t xml:space="preserve"> </w:t>
      </w:r>
      <w:r w:rsidR="00655539" w:rsidRPr="00655539">
        <w:rPr>
          <w:rFonts w:ascii="Times New Roman" w:hAnsi="Times New Roman" w:cs="Times New Roman"/>
          <w:sz w:val="24"/>
          <w:szCs w:val="24"/>
        </w:rPr>
        <w:t>control lenses, and carries</w:t>
      </w:r>
      <w:r w:rsidR="00655539">
        <w:rPr>
          <w:rFonts w:ascii="Times New Roman" w:hAnsi="Times New Roman" w:cs="Times New Roman"/>
          <w:sz w:val="24"/>
          <w:szCs w:val="24"/>
        </w:rPr>
        <w:t xml:space="preserve"> </w:t>
      </w:r>
      <w:r w:rsidR="00655539" w:rsidRPr="00655539">
        <w:rPr>
          <w:rFonts w:ascii="Times New Roman" w:hAnsi="Times New Roman" w:cs="Times New Roman"/>
          <w:sz w:val="24"/>
          <w:szCs w:val="24"/>
        </w:rPr>
        <w:t>three main goals: (a) a “locking-in” of gated inside the gatekeeper’s</w:t>
      </w:r>
      <w:r w:rsidR="00655539">
        <w:rPr>
          <w:rFonts w:ascii="Times New Roman" w:hAnsi="Times New Roman" w:cs="Times New Roman"/>
          <w:sz w:val="24"/>
          <w:szCs w:val="24"/>
        </w:rPr>
        <w:t xml:space="preserve"> </w:t>
      </w:r>
      <w:r w:rsidR="00655539" w:rsidRPr="00655539">
        <w:rPr>
          <w:rFonts w:ascii="Times New Roman" w:hAnsi="Times New Roman" w:cs="Times New Roman"/>
          <w:sz w:val="24"/>
          <w:szCs w:val="24"/>
        </w:rPr>
        <w:t>network; (b) protecting norms, information, gated,</w:t>
      </w:r>
      <w:r w:rsidR="00655539">
        <w:rPr>
          <w:rFonts w:ascii="Times New Roman" w:hAnsi="Times New Roman" w:cs="Times New Roman"/>
          <w:sz w:val="24"/>
          <w:szCs w:val="24"/>
        </w:rPr>
        <w:t xml:space="preserve"> </w:t>
      </w:r>
      <w:r w:rsidR="00655539" w:rsidRPr="00655539">
        <w:rPr>
          <w:rFonts w:ascii="Times New Roman" w:hAnsi="Times New Roman" w:cs="Times New Roman"/>
          <w:sz w:val="24"/>
          <w:szCs w:val="24"/>
        </w:rPr>
        <w:t>and communities from unwanted entry from outside; and</w:t>
      </w:r>
      <w:r w:rsidR="00655539">
        <w:rPr>
          <w:rFonts w:ascii="Times New Roman" w:hAnsi="Times New Roman" w:cs="Times New Roman"/>
          <w:sz w:val="24"/>
          <w:szCs w:val="24"/>
        </w:rPr>
        <w:t xml:space="preserve"> </w:t>
      </w:r>
      <w:r w:rsidR="00655539" w:rsidRPr="00655539">
        <w:rPr>
          <w:rFonts w:ascii="Times New Roman" w:hAnsi="Times New Roman" w:cs="Times New Roman"/>
          <w:sz w:val="24"/>
          <w:szCs w:val="24"/>
        </w:rPr>
        <w:t>(c) maintaining ongoing activities within network boundaries</w:t>
      </w:r>
      <w:r w:rsidR="00655539">
        <w:rPr>
          <w:rFonts w:ascii="Times New Roman" w:hAnsi="Times New Roman" w:cs="Times New Roman"/>
          <w:sz w:val="24"/>
          <w:szCs w:val="24"/>
        </w:rPr>
        <w:t xml:space="preserve"> </w:t>
      </w:r>
      <w:r w:rsidR="00655539" w:rsidRPr="00655539">
        <w:rPr>
          <w:rFonts w:ascii="Times New Roman" w:hAnsi="Times New Roman" w:cs="Times New Roman"/>
          <w:sz w:val="24"/>
          <w:szCs w:val="24"/>
        </w:rPr>
        <w:t>without disturbances.</w:t>
      </w:r>
      <w:r w:rsidR="00655539">
        <w:rPr>
          <w:rStyle w:val="FootnoteReference"/>
          <w:rFonts w:ascii="Times New Roman" w:hAnsi="Times New Roman" w:cs="Times New Roman"/>
          <w:sz w:val="24"/>
          <w:szCs w:val="24"/>
        </w:rPr>
        <w:footnoteReference w:id="185"/>
      </w:r>
      <w:r w:rsidR="0083320F">
        <w:rPr>
          <w:rFonts w:ascii="Times New Roman" w:hAnsi="Times New Roman" w:cs="Times New Roman"/>
          <w:sz w:val="24"/>
          <w:szCs w:val="24"/>
        </w:rPr>
        <w:t xml:space="preserve"> Based on this premise, g</w:t>
      </w:r>
      <w:r w:rsidR="0083320F" w:rsidRPr="0083320F">
        <w:rPr>
          <w:rFonts w:ascii="Times New Roman" w:hAnsi="Times New Roman" w:cs="Times New Roman"/>
          <w:sz w:val="24"/>
          <w:szCs w:val="24"/>
        </w:rPr>
        <w:t xml:space="preserve">atekeeping </w:t>
      </w:r>
      <w:r w:rsidR="0083320F">
        <w:rPr>
          <w:rFonts w:ascii="Times New Roman" w:hAnsi="Times New Roman" w:cs="Times New Roman"/>
          <w:sz w:val="24"/>
          <w:szCs w:val="24"/>
        </w:rPr>
        <w:t>a</w:t>
      </w:r>
      <w:r w:rsidR="0083320F" w:rsidRPr="0083320F">
        <w:rPr>
          <w:rFonts w:ascii="Times New Roman" w:hAnsi="Times New Roman" w:cs="Times New Roman"/>
          <w:sz w:val="24"/>
          <w:szCs w:val="24"/>
        </w:rPr>
        <w:t>ctivities</w:t>
      </w:r>
      <w:r w:rsidR="0083320F">
        <w:rPr>
          <w:rFonts w:ascii="Times New Roman" w:hAnsi="Times New Roman" w:cs="Times New Roman"/>
          <w:sz w:val="24"/>
          <w:szCs w:val="24"/>
        </w:rPr>
        <w:t>, according to Barzilai-Kahon,</w:t>
      </w:r>
      <w:r w:rsidR="0083320F" w:rsidRPr="0083320F">
        <w:rPr>
          <w:rFonts w:ascii="Times New Roman" w:hAnsi="Times New Roman" w:cs="Times New Roman"/>
          <w:sz w:val="24"/>
          <w:szCs w:val="24"/>
        </w:rPr>
        <w:t xml:space="preserve"> include,</w:t>
      </w:r>
      <w:r w:rsidR="0083320F">
        <w:rPr>
          <w:rFonts w:ascii="Times New Roman" w:hAnsi="Times New Roman" w:cs="Times New Roman"/>
          <w:sz w:val="24"/>
          <w:szCs w:val="24"/>
        </w:rPr>
        <w:t xml:space="preserve"> </w:t>
      </w:r>
      <w:r w:rsidR="0083320F" w:rsidRPr="0083320F">
        <w:rPr>
          <w:rFonts w:ascii="Times New Roman" w:hAnsi="Times New Roman" w:cs="Times New Roman"/>
          <w:sz w:val="24"/>
          <w:szCs w:val="24"/>
        </w:rPr>
        <w:t xml:space="preserve">among others, selection, addition, withholding, display, </w:t>
      </w:r>
      <w:r w:rsidR="00395F26" w:rsidRPr="0083320F">
        <w:rPr>
          <w:rFonts w:ascii="Times New Roman" w:hAnsi="Times New Roman" w:cs="Times New Roman"/>
          <w:sz w:val="24"/>
          <w:szCs w:val="24"/>
        </w:rPr>
        <w:t>channelling</w:t>
      </w:r>
      <w:r w:rsidR="0083320F" w:rsidRPr="0083320F">
        <w:rPr>
          <w:rFonts w:ascii="Times New Roman" w:hAnsi="Times New Roman" w:cs="Times New Roman"/>
          <w:sz w:val="24"/>
          <w:szCs w:val="24"/>
        </w:rPr>
        <w:t>,</w:t>
      </w:r>
      <w:r w:rsidR="0083320F">
        <w:rPr>
          <w:rFonts w:ascii="Times New Roman" w:hAnsi="Times New Roman" w:cs="Times New Roman"/>
          <w:sz w:val="24"/>
          <w:szCs w:val="24"/>
        </w:rPr>
        <w:t xml:space="preserve"> </w:t>
      </w:r>
      <w:r w:rsidR="0083320F" w:rsidRPr="0083320F">
        <w:rPr>
          <w:rFonts w:ascii="Times New Roman" w:hAnsi="Times New Roman" w:cs="Times New Roman"/>
          <w:sz w:val="24"/>
          <w:szCs w:val="24"/>
        </w:rPr>
        <w:t>shaping, manipulation, repetition, timing, localization,</w:t>
      </w:r>
      <w:r w:rsidR="0083320F">
        <w:rPr>
          <w:rFonts w:ascii="Times New Roman" w:hAnsi="Times New Roman" w:cs="Times New Roman"/>
          <w:sz w:val="24"/>
          <w:szCs w:val="24"/>
        </w:rPr>
        <w:t xml:space="preserve"> </w:t>
      </w:r>
      <w:r w:rsidR="0083320F" w:rsidRPr="0083320F">
        <w:rPr>
          <w:rFonts w:ascii="Times New Roman" w:hAnsi="Times New Roman" w:cs="Times New Roman"/>
          <w:sz w:val="24"/>
          <w:szCs w:val="24"/>
        </w:rPr>
        <w:t>integration, disregard, and deletion of information.</w:t>
      </w:r>
      <w:r w:rsidR="0083320F">
        <w:rPr>
          <w:rStyle w:val="FootnoteReference"/>
          <w:rFonts w:ascii="Times New Roman" w:hAnsi="Times New Roman" w:cs="Times New Roman"/>
          <w:sz w:val="24"/>
          <w:szCs w:val="24"/>
        </w:rPr>
        <w:footnoteReference w:id="186"/>
      </w:r>
      <w:bookmarkEnd w:id="225"/>
    </w:p>
    <w:p w14:paraId="04A6418A" w14:textId="792D0221" w:rsidR="005C646B" w:rsidRDefault="005C646B" w:rsidP="00865523">
      <w:pPr>
        <w:jc w:val="both"/>
        <w:rPr>
          <w:rFonts w:ascii="Times New Roman" w:hAnsi="Times New Roman" w:cs="Times New Roman"/>
          <w:sz w:val="24"/>
          <w:szCs w:val="24"/>
        </w:rPr>
      </w:pPr>
    </w:p>
    <w:p w14:paraId="01848870" w14:textId="4423D71E" w:rsidR="000A6D03" w:rsidRDefault="005C646B" w:rsidP="00865523">
      <w:pPr>
        <w:jc w:val="both"/>
        <w:rPr>
          <w:rFonts w:ascii="Times New Roman" w:hAnsi="Times New Roman" w:cs="Times New Roman"/>
          <w:sz w:val="24"/>
          <w:szCs w:val="24"/>
        </w:rPr>
      </w:pPr>
      <w:bookmarkStart w:id="228" w:name="_Hlk52759806"/>
      <w:r>
        <w:rPr>
          <w:rFonts w:ascii="Times New Roman" w:hAnsi="Times New Roman" w:cs="Times New Roman"/>
          <w:sz w:val="24"/>
          <w:szCs w:val="24"/>
        </w:rPr>
        <w:t xml:space="preserve">In view of the human rights to be used by the gated and the emerging impact on the </w:t>
      </w:r>
      <w:r w:rsidR="001560BE">
        <w:rPr>
          <w:rFonts w:ascii="Times New Roman" w:hAnsi="Times New Roman" w:cs="Times New Roman"/>
          <w:sz w:val="24"/>
          <w:szCs w:val="24"/>
        </w:rPr>
        <w:t>‘</w:t>
      </w:r>
      <w:r>
        <w:rPr>
          <w:rFonts w:ascii="Times New Roman" w:hAnsi="Times New Roman" w:cs="Times New Roman"/>
          <w:sz w:val="24"/>
          <w:szCs w:val="24"/>
        </w:rPr>
        <w:t>democratic culture</w:t>
      </w:r>
      <w:r w:rsidR="001560BE">
        <w:rPr>
          <w:rFonts w:ascii="Times New Roman" w:hAnsi="Times New Roman" w:cs="Times New Roman"/>
          <w:sz w:val="24"/>
          <w:szCs w:val="24"/>
        </w:rPr>
        <w:t>’</w:t>
      </w:r>
      <w:r>
        <w:rPr>
          <w:rFonts w:ascii="Times New Roman" w:hAnsi="Times New Roman" w:cs="Times New Roman"/>
          <w:sz w:val="24"/>
          <w:szCs w:val="24"/>
        </w:rPr>
        <w:t xml:space="preserve">, Laidlaw constructs a new definition of gatekeeping </w:t>
      </w:r>
      <w:r w:rsidR="001560BE">
        <w:rPr>
          <w:rFonts w:ascii="Times New Roman" w:hAnsi="Times New Roman" w:cs="Times New Roman"/>
          <w:sz w:val="24"/>
          <w:szCs w:val="24"/>
        </w:rPr>
        <w:t>resulting in a model of</w:t>
      </w:r>
      <w:r>
        <w:rPr>
          <w:rFonts w:ascii="Times New Roman" w:hAnsi="Times New Roman" w:cs="Times New Roman"/>
          <w:sz w:val="24"/>
          <w:szCs w:val="24"/>
        </w:rPr>
        <w:t xml:space="preserve"> ‘internet information gatekeep</w:t>
      </w:r>
      <w:r w:rsidR="001560BE">
        <w:rPr>
          <w:rFonts w:ascii="Times New Roman" w:hAnsi="Times New Roman" w:cs="Times New Roman"/>
          <w:sz w:val="24"/>
          <w:szCs w:val="24"/>
        </w:rPr>
        <w:t>ers</w:t>
      </w:r>
      <w:r>
        <w:rPr>
          <w:rFonts w:ascii="Times New Roman" w:hAnsi="Times New Roman" w:cs="Times New Roman"/>
          <w:sz w:val="24"/>
          <w:szCs w:val="24"/>
        </w:rPr>
        <w:t>’.</w:t>
      </w:r>
      <w:r>
        <w:rPr>
          <w:rStyle w:val="FootnoteReference"/>
          <w:rFonts w:ascii="Times New Roman" w:hAnsi="Times New Roman" w:cs="Times New Roman"/>
          <w:sz w:val="24"/>
          <w:szCs w:val="24"/>
        </w:rPr>
        <w:footnoteReference w:id="187"/>
      </w:r>
      <w:r>
        <w:rPr>
          <w:rFonts w:ascii="Times New Roman" w:hAnsi="Times New Roman" w:cs="Times New Roman"/>
          <w:sz w:val="24"/>
          <w:szCs w:val="24"/>
        </w:rPr>
        <w:t xml:space="preserve"> This rights-oriented notion of </w:t>
      </w:r>
      <w:r w:rsidR="001560BE">
        <w:rPr>
          <w:rFonts w:ascii="Times New Roman" w:hAnsi="Times New Roman" w:cs="Times New Roman"/>
          <w:sz w:val="24"/>
          <w:szCs w:val="24"/>
        </w:rPr>
        <w:t xml:space="preserve">gatekeeping </w:t>
      </w:r>
      <w:r>
        <w:rPr>
          <w:rFonts w:ascii="Times New Roman" w:hAnsi="Times New Roman" w:cs="Times New Roman"/>
          <w:sz w:val="24"/>
          <w:szCs w:val="24"/>
        </w:rPr>
        <w:t xml:space="preserve">builds upon the traditional gatekeeping concept, </w:t>
      </w:r>
      <w:r w:rsidR="004D7425">
        <w:rPr>
          <w:rFonts w:ascii="Times New Roman" w:hAnsi="Times New Roman"/>
          <w:sz w:val="24"/>
          <w:szCs w:val="24"/>
        </w:rPr>
        <w:t>together</w:t>
      </w:r>
      <w:r w:rsidR="004D7425">
        <w:rPr>
          <w:rFonts w:ascii="Times New Roman" w:hAnsi="Times New Roman" w:cs="Times New Roman"/>
          <w:sz w:val="24"/>
          <w:szCs w:val="24"/>
        </w:rPr>
        <w:t xml:space="preserve"> </w:t>
      </w:r>
      <w:r>
        <w:rPr>
          <w:rFonts w:ascii="Times New Roman" w:hAnsi="Times New Roman" w:cs="Times New Roman"/>
          <w:sz w:val="24"/>
          <w:szCs w:val="24"/>
        </w:rPr>
        <w:t xml:space="preserve">with </w:t>
      </w:r>
      <w:r w:rsidR="004D7425">
        <w:rPr>
          <w:rFonts w:ascii="Times New Roman" w:hAnsi="Times New Roman" w:cs="Times New Roman"/>
          <w:sz w:val="24"/>
          <w:szCs w:val="24"/>
        </w:rPr>
        <w:t xml:space="preserve">a </w:t>
      </w:r>
      <w:r>
        <w:rPr>
          <w:rFonts w:ascii="Times New Roman" w:hAnsi="Times New Roman" w:cs="Times New Roman"/>
          <w:sz w:val="24"/>
          <w:szCs w:val="24"/>
        </w:rPr>
        <w:t xml:space="preserve">classification of micro and macro gatekeepers, to be determined </w:t>
      </w:r>
      <w:r w:rsidR="001560BE">
        <w:rPr>
          <w:rFonts w:ascii="Times New Roman" w:hAnsi="Times New Roman" w:cs="Times New Roman"/>
          <w:sz w:val="24"/>
          <w:szCs w:val="24"/>
        </w:rPr>
        <w:t>according to</w:t>
      </w:r>
      <w:r>
        <w:rPr>
          <w:rFonts w:ascii="Times New Roman" w:hAnsi="Times New Roman" w:cs="Times New Roman"/>
          <w:sz w:val="24"/>
          <w:szCs w:val="24"/>
        </w:rPr>
        <w:t xml:space="preserve"> the extent to which (i) the information has democratic significance and (ii) the reach or structure </w:t>
      </w:r>
      <w:r>
        <w:rPr>
          <w:rFonts w:ascii="Times New Roman" w:hAnsi="Times New Roman" w:cs="Times New Roman"/>
          <w:sz w:val="24"/>
          <w:szCs w:val="24"/>
        </w:rPr>
        <w:lastRenderedPageBreak/>
        <w:t>of the communicative space.</w:t>
      </w:r>
      <w:r>
        <w:rPr>
          <w:rStyle w:val="FootnoteReference"/>
          <w:rFonts w:ascii="Times New Roman" w:hAnsi="Times New Roman" w:cs="Times New Roman"/>
          <w:sz w:val="24"/>
          <w:szCs w:val="24"/>
        </w:rPr>
        <w:footnoteReference w:id="188"/>
      </w:r>
      <w:bookmarkEnd w:id="228"/>
      <w:r w:rsidR="00467D4F">
        <w:rPr>
          <w:rFonts w:ascii="Times New Roman" w:hAnsi="Times New Roman" w:cs="Times New Roman"/>
          <w:sz w:val="24"/>
          <w:szCs w:val="24"/>
        </w:rPr>
        <w:t xml:space="preserve"> </w:t>
      </w:r>
      <w:r>
        <w:rPr>
          <w:rFonts w:ascii="Times New Roman" w:hAnsi="Times New Roman" w:cs="Times New Roman"/>
          <w:sz w:val="24"/>
          <w:szCs w:val="24"/>
        </w:rPr>
        <w:t>While this definition and classification would serve reinvigoration of the concept against the far-reaching consequences</w:t>
      </w:r>
      <w:r w:rsidR="00BF277F">
        <w:rPr>
          <w:rFonts w:ascii="Times New Roman" w:hAnsi="Times New Roman" w:cs="Times New Roman"/>
          <w:sz w:val="24"/>
          <w:szCs w:val="24"/>
        </w:rPr>
        <w:t>, particularly in relation to protection of human rights</w:t>
      </w:r>
      <w:r>
        <w:rPr>
          <w:rFonts w:ascii="Times New Roman" w:hAnsi="Times New Roman" w:cs="Times New Roman"/>
          <w:sz w:val="24"/>
          <w:szCs w:val="24"/>
        </w:rPr>
        <w:t xml:space="preserve">, </w:t>
      </w:r>
      <w:r w:rsidR="00D16092">
        <w:rPr>
          <w:rFonts w:ascii="Times New Roman" w:hAnsi="Times New Roman" w:cs="Times New Roman"/>
          <w:sz w:val="24"/>
          <w:szCs w:val="24"/>
        </w:rPr>
        <w:t xml:space="preserve">subtle differences </w:t>
      </w:r>
      <w:r>
        <w:rPr>
          <w:rFonts w:ascii="Times New Roman" w:hAnsi="Times New Roman" w:cs="Times New Roman"/>
          <w:sz w:val="24"/>
          <w:szCs w:val="24"/>
        </w:rPr>
        <w:t xml:space="preserve">seem </w:t>
      </w:r>
      <w:r w:rsidR="00D16092">
        <w:rPr>
          <w:rFonts w:ascii="Times New Roman" w:hAnsi="Times New Roman" w:cs="Times New Roman"/>
          <w:sz w:val="24"/>
          <w:szCs w:val="24"/>
        </w:rPr>
        <w:t xml:space="preserve">to exist </w:t>
      </w:r>
      <w:r>
        <w:rPr>
          <w:rFonts w:ascii="Times New Roman" w:hAnsi="Times New Roman" w:cs="Times New Roman"/>
          <w:sz w:val="24"/>
          <w:szCs w:val="24"/>
        </w:rPr>
        <w:t>between the traditional gatekeeping concept</w:t>
      </w:r>
      <w:r w:rsidR="00BF277F">
        <w:rPr>
          <w:rFonts w:ascii="Times New Roman" w:hAnsi="Times New Roman" w:cs="Times New Roman"/>
          <w:sz w:val="24"/>
          <w:szCs w:val="24"/>
        </w:rPr>
        <w:t xml:space="preserve"> or the network gatekeeping concept theorised by </w:t>
      </w:r>
      <w:r w:rsidR="00BF277F" w:rsidRPr="00BF277F">
        <w:rPr>
          <w:rFonts w:ascii="Times New Roman" w:hAnsi="Times New Roman" w:cs="Times New Roman"/>
          <w:sz w:val="24"/>
          <w:szCs w:val="24"/>
        </w:rPr>
        <w:t>Barzilai-Nahon</w:t>
      </w:r>
      <w:r>
        <w:rPr>
          <w:rFonts w:ascii="Times New Roman" w:hAnsi="Times New Roman" w:cs="Times New Roman"/>
          <w:sz w:val="24"/>
          <w:szCs w:val="24"/>
        </w:rPr>
        <w:t xml:space="preserve"> and the one developed by La</w:t>
      </w:r>
      <w:r w:rsidR="00BF277F">
        <w:rPr>
          <w:rFonts w:ascii="Times New Roman" w:hAnsi="Times New Roman" w:cs="Times New Roman"/>
          <w:sz w:val="24"/>
          <w:szCs w:val="24"/>
        </w:rPr>
        <w:t>i</w:t>
      </w:r>
      <w:r>
        <w:rPr>
          <w:rFonts w:ascii="Times New Roman" w:hAnsi="Times New Roman" w:cs="Times New Roman"/>
          <w:sz w:val="24"/>
          <w:szCs w:val="24"/>
        </w:rPr>
        <w:t xml:space="preserve">dlaw in terms of their approach to the access </w:t>
      </w:r>
      <w:r w:rsidR="00D16092">
        <w:rPr>
          <w:rFonts w:ascii="Times New Roman" w:hAnsi="Times New Roman" w:cs="Times New Roman"/>
          <w:sz w:val="24"/>
          <w:szCs w:val="24"/>
        </w:rPr>
        <w:t xml:space="preserve">and information </w:t>
      </w:r>
      <w:r>
        <w:rPr>
          <w:rFonts w:ascii="Times New Roman" w:hAnsi="Times New Roman" w:cs="Times New Roman"/>
          <w:sz w:val="24"/>
          <w:szCs w:val="24"/>
        </w:rPr>
        <w:t>controls</w:t>
      </w:r>
      <w:r w:rsidR="00BF277F">
        <w:rPr>
          <w:rFonts w:ascii="Times New Roman" w:hAnsi="Times New Roman" w:cs="Times New Roman"/>
          <w:sz w:val="24"/>
          <w:szCs w:val="24"/>
        </w:rPr>
        <w:t xml:space="preserve"> employed by the gatekeeping firms</w:t>
      </w:r>
      <w:r>
        <w:rPr>
          <w:rFonts w:ascii="Times New Roman" w:hAnsi="Times New Roman" w:cs="Times New Roman"/>
          <w:sz w:val="24"/>
          <w:szCs w:val="24"/>
        </w:rPr>
        <w:t>.</w:t>
      </w:r>
      <w:r w:rsidR="00CA0E6B">
        <w:rPr>
          <w:rFonts w:ascii="Times New Roman" w:hAnsi="Times New Roman" w:cs="Times New Roman"/>
          <w:sz w:val="24"/>
          <w:szCs w:val="24"/>
        </w:rPr>
        <w:t xml:space="preserve"> </w:t>
      </w:r>
      <w:r w:rsidR="00D16092">
        <w:rPr>
          <w:rFonts w:ascii="Times New Roman" w:hAnsi="Times New Roman" w:cs="Times New Roman"/>
          <w:sz w:val="24"/>
          <w:szCs w:val="24"/>
        </w:rPr>
        <w:t xml:space="preserve">Among these, </w:t>
      </w:r>
      <w:r w:rsidR="00467D4F" w:rsidRPr="00BF277F">
        <w:rPr>
          <w:rFonts w:ascii="Times New Roman" w:hAnsi="Times New Roman" w:cs="Times New Roman"/>
          <w:sz w:val="24"/>
          <w:szCs w:val="24"/>
        </w:rPr>
        <w:t>Barzilai-Nahon</w:t>
      </w:r>
      <w:r w:rsidR="00467D4F">
        <w:rPr>
          <w:rFonts w:ascii="Times New Roman" w:hAnsi="Times New Roman" w:cs="Times New Roman"/>
          <w:sz w:val="24"/>
          <w:szCs w:val="24"/>
        </w:rPr>
        <w:t xml:space="preserve">’s theory comes to the forefront </w:t>
      </w:r>
      <w:r w:rsidR="00467D4F" w:rsidRPr="00467D4F">
        <w:rPr>
          <w:rFonts w:ascii="Times New Roman" w:hAnsi="Times New Roman" w:cs="Times New Roman"/>
          <w:sz w:val="24"/>
          <w:szCs w:val="24"/>
        </w:rPr>
        <w:t>provid</w:t>
      </w:r>
      <w:r w:rsidR="00467D4F">
        <w:rPr>
          <w:rFonts w:ascii="Times New Roman" w:hAnsi="Times New Roman" w:cs="Times New Roman"/>
          <w:sz w:val="24"/>
          <w:szCs w:val="24"/>
        </w:rPr>
        <w:t>ing</w:t>
      </w:r>
      <w:r w:rsidR="00467D4F" w:rsidRPr="00467D4F">
        <w:rPr>
          <w:rFonts w:ascii="Times New Roman" w:hAnsi="Times New Roman" w:cs="Times New Roman"/>
          <w:sz w:val="24"/>
          <w:szCs w:val="24"/>
        </w:rPr>
        <w:t xml:space="preserve"> an interdisciplinary </w:t>
      </w:r>
      <w:r w:rsidR="00467D4F">
        <w:rPr>
          <w:rFonts w:ascii="Times New Roman" w:hAnsi="Times New Roman" w:cs="Times New Roman"/>
          <w:sz w:val="24"/>
          <w:szCs w:val="24"/>
        </w:rPr>
        <w:t xml:space="preserve">layout and perspective as to the information controls, also laying the foundation for Laidlaw’s model. </w:t>
      </w:r>
      <w:bookmarkStart w:id="229" w:name="_Hlk52760059"/>
      <w:r w:rsidR="00467D4F">
        <w:rPr>
          <w:rFonts w:ascii="Times New Roman" w:hAnsi="Times New Roman" w:cs="Times New Roman"/>
          <w:sz w:val="24"/>
          <w:szCs w:val="24"/>
        </w:rPr>
        <w:t xml:space="preserve">On the other hand, Laidlaw’s attempt to create a socio-legal framework governing the gatekeepers and their activities is notable, although </w:t>
      </w:r>
      <w:r w:rsidR="002124A9">
        <w:rPr>
          <w:rFonts w:ascii="Times New Roman" w:hAnsi="Times New Roman" w:cs="Times New Roman"/>
          <w:sz w:val="24"/>
          <w:szCs w:val="24"/>
        </w:rPr>
        <w:t>open to</w:t>
      </w:r>
      <w:r w:rsidR="00467D4F">
        <w:rPr>
          <w:rFonts w:ascii="Times New Roman" w:hAnsi="Times New Roman" w:cs="Times New Roman"/>
          <w:sz w:val="24"/>
          <w:szCs w:val="24"/>
        </w:rPr>
        <w:t xml:space="preserve"> criti</w:t>
      </w:r>
      <w:r w:rsidR="002124A9">
        <w:rPr>
          <w:rFonts w:ascii="Times New Roman" w:hAnsi="Times New Roman" w:cs="Times New Roman"/>
          <w:sz w:val="24"/>
          <w:szCs w:val="24"/>
        </w:rPr>
        <w:t>que</w:t>
      </w:r>
      <w:r w:rsidR="00467D4F">
        <w:rPr>
          <w:rFonts w:ascii="Times New Roman" w:hAnsi="Times New Roman" w:cs="Times New Roman"/>
          <w:sz w:val="24"/>
          <w:szCs w:val="24"/>
        </w:rPr>
        <w:t xml:space="preserve"> for the </w:t>
      </w:r>
      <w:r w:rsidR="00AE09EC">
        <w:rPr>
          <w:rFonts w:ascii="Times New Roman" w:hAnsi="Times New Roman" w:cs="Times New Roman"/>
          <w:sz w:val="24"/>
          <w:szCs w:val="24"/>
        </w:rPr>
        <w:t>featured remedial mechanisms conflated with the extra-legal tools and their complicated interplay</w:t>
      </w:r>
      <w:bookmarkEnd w:id="229"/>
      <w:r w:rsidR="00AE09EC">
        <w:rPr>
          <w:rFonts w:ascii="Times New Roman" w:hAnsi="Times New Roman" w:cs="Times New Roman"/>
          <w:sz w:val="24"/>
          <w:szCs w:val="24"/>
        </w:rPr>
        <w:t>.</w:t>
      </w:r>
      <w:r w:rsidR="00AE09EC">
        <w:rPr>
          <w:rStyle w:val="FootnoteReference"/>
          <w:rFonts w:ascii="Times New Roman" w:hAnsi="Times New Roman" w:cs="Times New Roman"/>
          <w:sz w:val="24"/>
          <w:szCs w:val="24"/>
        </w:rPr>
        <w:footnoteReference w:id="189"/>
      </w:r>
    </w:p>
    <w:p w14:paraId="18EC9DD9" w14:textId="77777777" w:rsidR="005C646B" w:rsidRDefault="005C646B" w:rsidP="00CC6810">
      <w:pPr>
        <w:jc w:val="both"/>
        <w:rPr>
          <w:rFonts w:ascii="Times New Roman" w:hAnsi="Times New Roman" w:cs="Times New Roman"/>
          <w:sz w:val="24"/>
          <w:szCs w:val="24"/>
        </w:rPr>
      </w:pPr>
    </w:p>
    <w:p w14:paraId="050C5057" w14:textId="5394AAA4" w:rsidR="00C413EF" w:rsidRDefault="00C413EF" w:rsidP="00C413EF">
      <w:pPr>
        <w:jc w:val="both"/>
        <w:rPr>
          <w:rFonts w:ascii="Times New Roman" w:hAnsi="Times New Roman" w:cs="Times New Roman"/>
          <w:sz w:val="24"/>
          <w:szCs w:val="24"/>
        </w:rPr>
      </w:pPr>
      <w:r>
        <w:rPr>
          <w:rFonts w:ascii="Times New Roman" w:hAnsi="Times New Roman" w:cs="Times New Roman"/>
          <w:sz w:val="24"/>
          <w:szCs w:val="24"/>
        </w:rPr>
        <w:t xml:space="preserve">As </w:t>
      </w:r>
      <w:r w:rsidR="004A3C5F">
        <w:rPr>
          <w:rFonts w:ascii="Times New Roman" w:hAnsi="Times New Roman" w:cs="Times New Roman"/>
          <w:sz w:val="24"/>
          <w:szCs w:val="24"/>
        </w:rPr>
        <w:t xml:space="preserve">the above analysis suggests and </w:t>
      </w:r>
      <w:r>
        <w:rPr>
          <w:rFonts w:ascii="Times New Roman" w:hAnsi="Times New Roman" w:cs="Times New Roman"/>
          <w:sz w:val="24"/>
          <w:szCs w:val="24"/>
        </w:rPr>
        <w:t xml:space="preserve">summarised by </w:t>
      </w:r>
      <w:r w:rsidRPr="00C413EF">
        <w:rPr>
          <w:rFonts w:ascii="Times New Roman" w:hAnsi="Times New Roman" w:cs="Times New Roman"/>
          <w:sz w:val="24"/>
          <w:szCs w:val="24"/>
        </w:rPr>
        <w:t>Helberger</w:t>
      </w:r>
      <w:r w:rsidR="00433749">
        <w:rPr>
          <w:rFonts w:ascii="Times New Roman" w:hAnsi="Times New Roman" w:cs="Times New Roman"/>
          <w:sz w:val="24"/>
          <w:szCs w:val="24"/>
        </w:rPr>
        <w:t xml:space="preserve"> et al.</w:t>
      </w:r>
      <w:r>
        <w:rPr>
          <w:rFonts w:ascii="Times New Roman" w:hAnsi="Times New Roman" w:cs="Times New Roman"/>
          <w:sz w:val="24"/>
          <w:szCs w:val="24"/>
        </w:rPr>
        <w:t xml:space="preserve">, </w:t>
      </w:r>
      <w:r w:rsidR="00E67A5E" w:rsidRPr="00774EDB">
        <w:rPr>
          <w:rFonts w:ascii="Times New Roman" w:hAnsi="Times New Roman" w:cs="Times New Roman"/>
          <w:sz w:val="24"/>
          <w:szCs w:val="24"/>
        </w:rPr>
        <w:t>two major types of gatekeepers can be roughly distinguished: (i) gatekeepers which control access to information and (ii) gatekeepers which have a facilitating role through control of critical intermediary resources or services that are necessary to link users and content, to mediate between the different players in the information chain, to produce, transport and distribute content, etc.</w:t>
      </w:r>
      <w:r w:rsidR="00E67A5E" w:rsidRPr="00774EDB">
        <w:rPr>
          <w:rStyle w:val="FootnoteReference"/>
          <w:rFonts w:ascii="Times New Roman" w:hAnsi="Times New Roman" w:cs="Times New Roman"/>
          <w:sz w:val="24"/>
          <w:szCs w:val="24"/>
        </w:rPr>
        <w:footnoteReference w:id="190"/>
      </w:r>
      <w:r w:rsidR="00CC6810">
        <w:rPr>
          <w:rFonts w:ascii="Times New Roman" w:hAnsi="Times New Roman" w:cs="Times New Roman"/>
          <w:sz w:val="24"/>
          <w:szCs w:val="24"/>
        </w:rPr>
        <w:t xml:space="preserve"> </w:t>
      </w:r>
      <w:r w:rsidR="00E67A5E" w:rsidRPr="00774EDB">
        <w:rPr>
          <w:rFonts w:ascii="Times New Roman" w:hAnsi="Times New Roman" w:cs="Times New Roman"/>
          <w:sz w:val="24"/>
          <w:szCs w:val="24"/>
        </w:rPr>
        <w:t xml:space="preserve">While the former </w:t>
      </w:r>
      <w:r w:rsidR="00A56407">
        <w:rPr>
          <w:rFonts w:ascii="Times New Roman" w:hAnsi="Times New Roman" w:cs="Times New Roman"/>
          <w:sz w:val="24"/>
          <w:szCs w:val="24"/>
        </w:rPr>
        <w:t>aspect is</w:t>
      </w:r>
      <w:r w:rsidR="00E67A5E" w:rsidRPr="00774EDB">
        <w:rPr>
          <w:rFonts w:ascii="Times New Roman" w:hAnsi="Times New Roman" w:cs="Times New Roman"/>
          <w:sz w:val="24"/>
          <w:szCs w:val="24"/>
        </w:rPr>
        <w:t xml:space="preserve"> represented by those who are in the position to have an editorial control over the information to be published either </w:t>
      </w:r>
      <w:r w:rsidR="00E67A5E" w:rsidRPr="00774EDB">
        <w:rPr>
          <w:rFonts w:ascii="Times New Roman" w:hAnsi="Times New Roman" w:cs="Times New Roman"/>
          <w:sz w:val="24"/>
          <w:szCs w:val="24"/>
        </w:rPr>
        <w:lastRenderedPageBreak/>
        <w:t>online or offline</w:t>
      </w:r>
      <w:r>
        <w:rPr>
          <w:rFonts w:ascii="Times New Roman" w:hAnsi="Times New Roman" w:cs="Times New Roman"/>
          <w:sz w:val="24"/>
          <w:szCs w:val="24"/>
        </w:rPr>
        <w:t xml:space="preserve"> (traditional </w:t>
      </w:r>
      <w:r w:rsidR="00433749">
        <w:rPr>
          <w:rFonts w:ascii="Times New Roman" w:hAnsi="Times New Roman" w:cs="Times New Roman"/>
          <w:sz w:val="24"/>
          <w:szCs w:val="24"/>
        </w:rPr>
        <w:t xml:space="preserve">gatekeeping </w:t>
      </w:r>
      <w:r>
        <w:rPr>
          <w:rFonts w:ascii="Times New Roman" w:hAnsi="Times New Roman" w:cs="Times New Roman"/>
          <w:sz w:val="24"/>
          <w:szCs w:val="24"/>
        </w:rPr>
        <w:t>concept)</w:t>
      </w:r>
      <w:r w:rsidR="00E67A5E" w:rsidRPr="00774EDB">
        <w:rPr>
          <w:rFonts w:ascii="Times New Roman" w:hAnsi="Times New Roman" w:cs="Times New Roman"/>
          <w:sz w:val="24"/>
          <w:szCs w:val="24"/>
        </w:rPr>
        <w:t>, the latter mat</w:t>
      </w:r>
      <w:r w:rsidR="00E67A5E" w:rsidRPr="003D1726">
        <w:rPr>
          <w:rFonts w:ascii="Times New Roman" w:hAnsi="Times New Roman" w:cs="Times New Roman"/>
          <w:sz w:val="24"/>
          <w:szCs w:val="24"/>
        </w:rPr>
        <w:t>ches the more structural network gatekeepers like CAS</w:t>
      </w:r>
      <w:r w:rsidR="00A56407" w:rsidRPr="00692824">
        <w:rPr>
          <w:rFonts w:ascii="Times New Roman" w:hAnsi="Times New Roman" w:cs="Times New Roman"/>
          <w:sz w:val="24"/>
          <w:szCs w:val="24"/>
        </w:rPr>
        <w:t xml:space="preserve"> provider</w:t>
      </w:r>
      <w:r w:rsidR="00E67A5E" w:rsidRPr="003D1726">
        <w:rPr>
          <w:rFonts w:ascii="Times New Roman" w:hAnsi="Times New Roman" w:cs="Times New Roman"/>
          <w:sz w:val="24"/>
          <w:szCs w:val="24"/>
        </w:rPr>
        <w:t xml:space="preserve">s i.e. cable or pay-TV </w:t>
      </w:r>
      <w:r w:rsidR="00E67A5E" w:rsidRPr="00774EDB">
        <w:rPr>
          <w:rFonts w:ascii="Times New Roman" w:hAnsi="Times New Roman" w:cs="Times New Roman"/>
          <w:sz w:val="24"/>
          <w:szCs w:val="24"/>
        </w:rPr>
        <w:t xml:space="preserve">platform </w:t>
      </w:r>
      <w:r w:rsidR="00A56407">
        <w:rPr>
          <w:rFonts w:ascii="Times New Roman" w:hAnsi="Times New Roman" w:cs="Times New Roman"/>
          <w:sz w:val="24"/>
          <w:szCs w:val="24"/>
        </w:rPr>
        <w:t>own</w:t>
      </w:r>
      <w:r w:rsidR="00E67A5E" w:rsidRPr="00774EDB">
        <w:rPr>
          <w:rFonts w:ascii="Times New Roman" w:hAnsi="Times New Roman" w:cs="Times New Roman"/>
          <w:sz w:val="24"/>
          <w:szCs w:val="24"/>
        </w:rPr>
        <w:t>ers, or the ISPs that control the means of access to the information.</w:t>
      </w:r>
      <w:r>
        <w:rPr>
          <w:rFonts w:ascii="Times New Roman" w:hAnsi="Times New Roman" w:cs="Times New Roman"/>
          <w:sz w:val="24"/>
          <w:szCs w:val="24"/>
        </w:rPr>
        <w:t xml:space="preserve"> </w:t>
      </w:r>
      <w:r w:rsidR="00433749">
        <w:rPr>
          <w:rFonts w:ascii="Times New Roman" w:hAnsi="Times New Roman" w:cs="Times New Roman"/>
          <w:sz w:val="24"/>
          <w:szCs w:val="24"/>
        </w:rPr>
        <w:t>Remarkably, a</w:t>
      </w:r>
      <w:r>
        <w:rPr>
          <w:rFonts w:ascii="Times New Roman" w:hAnsi="Times New Roman" w:cs="Times New Roman"/>
          <w:sz w:val="24"/>
          <w:szCs w:val="24"/>
        </w:rPr>
        <w:t>s the recent literature emphasizes,</w:t>
      </w:r>
      <w:r>
        <w:rPr>
          <w:rStyle w:val="FootnoteReference"/>
          <w:rFonts w:ascii="Times New Roman" w:hAnsi="Times New Roman" w:cs="Times New Roman"/>
          <w:sz w:val="24"/>
          <w:szCs w:val="24"/>
        </w:rPr>
        <w:footnoteReference w:id="191"/>
      </w:r>
      <w:r>
        <w:rPr>
          <w:rFonts w:ascii="Times New Roman" w:hAnsi="Times New Roman" w:cs="Times New Roman"/>
          <w:sz w:val="24"/>
          <w:szCs w:val="24"/>
        </w:rPr>
        <w:t xml:space="preserve"> gatekeeping activities are more visibly seen through the digital platforms which maintain control over ‘</w:t>
      </w:r>
      <w:r w:rsidRPr="006F321A">
        <w:rPr>
          <w:rFonts w:ascii="Times New Roman" w:hAnsi="Times New Roman" w:cs="Times New Roman"/>
          <w:sz w:val="24"/>
          <w:szCs w:val="24"/>
        </w:rPr>
        <w:t>access by third-party firms to its users</w:t>
      </w:r>
      <w:r>
        <w:rPr>
          <w:rFonts w:ascii="Times New Roman" w:hAnsi="Times New Roman" w:cs="Times New Roman"/>
          <w:sz w:val="24"/>
          <w:szCs w:val="24"/>
        </w:rPr>
        <w:t>’ or ‘</w:t>
      </w:r>
      <w:r w:rsidRPr="006F321A">
        <w:rPr>
          <w:rFonts w:ascii="Times New Roman" w:hAnsi="Times New Roman" w:cs="Times New Roman"/>
          <w:sz w:val="24"/>
          <w:szCs w:val="24"/>
        </w:rPr>
        <w:t>access to content, products and/or services</w:t>
      </w:r>
      <w:r>
        <w:rPr>
          <w:rFonts w:ascii="Times New Roman" w:hAnsi="Times New Roman" w:cs="Times New Roman"/>
          <w:sz w:val="24"/>
          <w:szCs w:val="24"/>
        </w:rPr>
        <w:t>’</w:t>
      </w:r>
      <w:r w:rsidR="005B357E">
        <w:rPr>
          <w:rFonts w:ascii="Times New Roman" w:hAnsi="Times New Roman" w:cs="Times New Roman"/>
          <w:sz w:val="24"/>
          <w:szCs w:val="24"/>
        </w:rPr>
        <w:t>.</w:t>
      </w:r>
      <w:r>
        <w:rPr>
          <w:rStyle w:val="FootnoteReference"/>
          <w:rFonts w:ascii="Times New Roman" w:hAnsi="Times New Roman" w:cs="Times New Roman"/>
          <w:sz w:val="24"/>
          <w:szCs w:val="24"/>
        </w:rPr>
        <w:footnoteReference w:id="192"/>
      </w:r>
      <w:r w:rsidR="00433749">
        <w:rPr>
          <w:rFonts w:ascii="Times New Roman" w:hAnsi="Times New Roman" w:cs="Times New Roman"/>
          <w:sz w:val="24"/>
          <w:szCs w:val="24"/>
        </w:rPr>
        <w:t xml:space="preserve"> </w:t>
      </w:r>
    </w:p>
    <w:p w14:paraId="0307523F" w14:textId="77777777" w:rsidR="00C413EF" w:rsidRDefault="00C413EF" w:rsidP="00C413EF">
      <w:pPr>
        <w:jc w:val="both"/>
        <w:rPr>
          <w:rFonts w:ascii="Times New Roman" w:hAnsi="Times New Roman" w:cs="Times New Roman"/>
          <w:sz w:val="24"/>
          <w:szCs w:val="24"/>
        </w:rPr>
      </w:pPr>
    </w:p>
    <w:p w14:paraId="525E88FB" w14:textId="170B3425" w:rsidR="00C413EF" w:rsidRDefault="00433749" w:rsidP="00CC6810">
      <w:pPr>
        <w:jc w:val="both"/>
        <w:rPr>
          <w:rFonts w:ascii="Times New Roman" w:hAnsi="Times New Roman" w:cs="Times New Roman"/>
          <w:sz w:val="24"/>
          <w:szCs w:val="24"/>
        </w:rPr>
      </w:pPr>
      <w:r>
        <w:rPr>
          <w:rFonts w:ascii="Times New Roman" w:hAnsi="Times New Roman" w:cs="Times New Roman"/>
          <w:sz w:val="24"/>
          <w:szCs w:val="24"/>
        </w:rPr>
        <w:t>From a broader viewpoint, t</w:t>
      </w:r>
      <w:r w:rsidR="00C413EF">
        <w:rPr>
          <w:rFonts w:ascii="Times New Roman" w:hAnsi="Times New Roman" w:cs="Times New Roman"/>
          <w:sz w:val="24"/>
          <w:szCs w:val="24"/>
        </w:rPr>
        <w:t xml:space="preserve">his gatekeeping notion which also surfaces in </w:t>
      </w:r>
      <w:r>
        <w:rPr>
          <w:rFonts w:ascii="Times New Roman" w:hAnsi="Times New Roman" w:cs="Times New Roman"/>
          <w:sz w:val="24"/>
          <w:szCs w:val="24"/>
        </w:rPr>
        <w:t>a</w:t>
      </w:r>
      <w:r w:rsidR="00C413EF">
        <w:rPr>
          <w:rFonts w:ascii="Times New Roman" w:hAnsi="Times New Roman" w:cs="Times New Roman"/>
          <w:sz w:val="24"/>
          <w:szCs w:val="24"/>
        </w:rPr>
        <w:t xml:space="preserve"> recent EU consultation </w:t>
      </w:r>
      <w:r>
        <w:rPr>
          <w:rFonts w:ascii="Times New Roman" w:hAnsi="Times New Roman" w:cs="Times New Roman"/>
          <w:sz w:val="24"/>
          <w:szCs w:val="24"/>
        </w:rPr>
        <w:t>paper</w:t>
      </w:r>
      <w:r w:rsidR="00C413EF">
        <w:rPr>
          <w:rFonts w:ascii="Times New Roman" w:hAnsi="Times New Roman" w:cs="Times New Roman"/>
          <w:sz w:val="24"/>
          <w:szCs w:val="24"/>
        </w:rPr>
        <w:t>,</w:t>
      </w:r>
      <w:r>
        <w:rPr>
          <w:rStyle w:val="FootnoteReference"/>
          <w:rFonts w:ascii="Times New Roman" w:hAnsi="Times New Roman" w:cs="Times New Roman"/>
          <w:sz w:val="24"/>
          <w:szCs w:val="24"/>
        </w:rPr>
        <w:footnoteReference w:id="193"/>
      </w:r>
      <w:r w:rsidR="00C413EF">
        <w:rPr>
          <w:rFonts w:ascii="Times New Roman" w:hAnsi="Times New Roman" w:cs="Times New Roman"/>
          <w:sz w:val="24"/>
          <w:szCs w:val="24"/>
        </w:rPr>
        <w:t xml:space="preserve"> needs to be expanded to all across the IP layers and the networks, services, applications and content provided through them. In this regard, not only video streaming platforms, e.g. Netflix, Amazon Prime, YouTube, social media platforms, e.g. Facebook, Twitter, search engine/app store/browser providers, e.g. Google’s </w:t>
      </w:r>
      <w:r w:rsidR="00C413EF">
        <w:rPr>
          <w:rFonts w:ascii="Times New Roman" w:hAnsi="Times New Roman" w:cs="Times New Roman"/>
          <w:sz w:val="24"/>
          <w:szCs w:val="24"/>
        </w:rPr>
        <w:lastRenderedPageBreak/>
        <w:t xml:space="preserve">Chrome, Apple’s iTunes, Microsoft’s Edge, but also content distribution networks, e.g. Akamai, </w:t>
      </w:r>
      <w:r w:rsidR="00C413EF" w:rsidRPr="002A4232">
        <w:rPr>
          <w:rFonts w:ascii="Times New Roman" w:hAnsi="Times New Roman" w:cs="Times New Roman"/>
          <w:sz w:val="24"/>
          <w:szCs w:val="24"/>
        </w:rPr>
        <w:t>Cloudflare Polish</w:t>
      </w:r>
      <w:r w:rsidR="00C413EF">
        <w:rPr>
          <w:rFonts w:ascii="Times New Roman" w:hAnsi="Times New Roman" w:cs="Times New Roman"/>
          <w:sz w:val="24"/>
          <w:szCs w:val="24"/>
        </w:rPr>
        <w:t>, and connectivity providers, e.g. Virgin, BT, Three, need to be considered.</w:t>
      </w:r>
    </w:p>
    <w:p w14:paraId="521B5549" w14:textId="42E7CCFD" w:rsidR="00CC6810" w:rsidRDefault="00CC6810" w:rsidP="00CC6810">
      <w:pPr>
        <w:jc w:val="both"/>
        <w:rPr>
          <w:rFonts w:ascii="Times New Roman" w:hAnsi="Times New Roman" w:cs="Times New Roman"/>
          <w:sz w:val="24"/>
          <w:szCs w:val="24"/>
        </w:rPr>
      </w:pPr>
    </w:p>
    <w:p w14:paraId="735EB9BF" w14:textId="27CA1A2B" w:rsidR="00433749" w:rsidRDefault="00CC6810" w:rsidP="00CC6810">
      <w:pPr>
        <w:jc w:val="both"/>
        <w:rPr>
          <w:rFonts w:ascii="Times New Roman" w:hAnsi="Times New Roman" w:cs="Times New Roman"/>
          <w:sz w:val="24"/>
          <w:szCs w:val="24"/>
        </w:rPr>
      </w:pPr>
      <w:bookmarkStart w:id="233" w:name="_Hlk52753573"/>
      <w:r>
        <w:rPr>
          <w:rFonts w:ascii="Times New Roman" w:hAnsi="Times New Roman" w:cs="Times New Roman"/>
          <w:sz w:val="24"/>
          <w:szCs w:val="24"/>
        </w:rPr>
        <w:t>For the purpose of this study, ‘g</w:t>
      </w:r>
      <w:r w:rsidRPr="00355A5D">
        <w:rPr>
          <w:rFonts w:ascii="Times New Roman" w:hAnsi="Times New Roman" w:cs="Times New Roman"/>
          <w:sz w:val="24"/>
          <w:szCs w:val="24"/>
        </w:rPr>
        <w:t>atekeeping</w:t>
      </w:r>
      <w:r>
        <w:rPr>
          <w:rFonts w:ascii="Times New Roman" w:hAnsi="Times New Roman" w:cs="Times New Roman"/>
          <w:sz w:val="24"/>
          <w:szCs w:val="24"/>
        </w:rPr>
        <w:t>’</w:t>
      </w:r>
      <w:r w:rsidRPr="00355A5D">
        <w:rPr>
          <w:rFonts w:ascii="Times New Roman" w:hAnsi="Times New Roman" w:cs="Times New Roman"/>
          <w:sz w:val="24"/>
          <w:szCs w:val="24"/>
        </w:rPr>
        <w:t xml:space="preserve"> or </w:t>
      </w:r>
      <w:r>
        <w:rPr>
          <w:rFonts w:ascii="Times New Roman" w:hAnsi="Times New Roman" w:cs="Times New Roman"/>
          <w:sz w:val="24"/>
          <w:szCs w:val="24"/>
        </w:rPr>
        <w:t>‘</w:t>
      </w:r>
      <w:r w:rsidRPr="00355A5D">
        <w:rPr>
          <w:rFonts w:ascii="Times New Roman" w:hAnsi="Times New Roman" w:cs="Times New Roman"/>
          <w:sz w:val="24"/>
          <w:szCs w:val="24"/>
        </w:rPr>
        <w:t xml:space="preserve">network </w:t>
      </w:r>
      <w:r w:rsidRPr="003203CF">
        <w:rPr>
          <w:rFonts w:ascii="Times New Roman" w:hAnsi="Times New Roman" w:cs="Times New Roman"/>
          <w:sz w:val="24"/>
          <w:szCs w:val="24"/>
        </w:rPr>
        <w:t xml:space="preserve">gatekeeping’ </w:t>
      </w:r>
      <w:r w:rsidRPr="00CC6810">
        <w:rPr>
          <w:rFonts w:ascii="Times New Roman" w:hAnsi="Times New Roman" w:cs="Times New Roman"/>
          <w:sz w:val="24"/>
          <w:szCs w:val="24"/>
        </w:rPr>
        <w:t>is used to describe the digital gateways</w:t>
      </w:r>
      <w:r w:rsidR="00B23F66">
        <w:rPr>
          <w:rFonts w:ascii="Times New Roman" w:hAnsi="Times New Roman" w:cs="Times New Roman"/>
          <w:sz w:val="24"/>
          <w:szCs w:val="24"/>
        </w:rPr>
        <w:t xml:space="preserve"> employed across the IP layer</w:t>
      </w:r>
      <w:r w:rsidR="005B357E">
        <w:rPr>
          <w:rFonts w:ascii="Times New Roman" w:hAnsi="Times New Roman" w:cs="Times New Roman"/>
          <w:sz w:val="24"/>
          <w:szCs w:val="24"/>
        </w:rPr>
        <w:t>s</w:t>
      </w:r>
      <w:r w:rsidRPr="00CC6810">
        <w:rPr>
          <w:rFonts w:ascii="Times New Roman" w:hAnsi="Times New Roman" w:cs="Times New Roman"/>
          <w:sz w:val="24"/>
          <w:szCs w:val="24"/>
        </w:rPr>
        <w:t xml:space="preserve"> through which </w:t>
      </w:r>
      <w:r w:rsidR="00095B0C">
        <w:rPr>
          <w:rFonts w:ascii="Times New Roman" w:hAnsi="Times New Roman" w:cs="Times New Roman"/>
          <w:sz w:val="24"/>
          <w:szCs w:val="24"/>
        </w:rPr>
        <w:t xml:space="preserve">information flows and </w:t>
      </w:r>
      <w:r w:rsidR="00C81B71">
        <w:rPr>
          <w:rFonts w:ascii="Times New Roman" w:hAnsi="Times New Roman" w:cs="Times New Roman"/>
          <w:sz w:val="24"/>
          <w:szCs w:val="24"/>
        </w:rPr>
        <w:t>user</w:t>
      </w:r>
      <w:r w:rsidRPr="00CC6810">
        <w:rPr>
          <w:rFonts w:ascii="Times New Roman" w:hAnsi="Times New Roman" w:cs="Times New Roman"/>
          <w:sz w:val="24"/>
          <w:szCs w:val="24"/>
        </w:rPr>
        <w:t>s’</w:t>
      </w:r>
      <w:r w:rsidRPr="00B1768D">
        <w:rPr>
          <w:rFonts w:ascii="Times New Roman" w:hAnsi="Times New Roman" w:cs="Times New Roman"/>
          <w:color w:val="FF0000"/>
          <w:sz w:val="24"/>
          <w:szCs w:val="24"/>
        </w:rPr>
        <w:t xml:space="preserve"> </w:t>
      </w:r>
      <w:r w:rsidRPr="00355A5D">
        <w:rPr>
          <w:rFonts w:ascii="Times New Roman" w:hAnsi="Times New Roman" w:cs="Times New Roman"/>
          <w:sz w:val="24"/>
          <w:szCs w:val="24"/>
        </w:rPr>
        <w:t xml:space="preserve">access to informational </w:t>
      </w:r>
      <w:r w:rsidR="00095B0C">
        <w:rPr>
          <w:rFonts w:ascii="Times New Roman" w:hAnsi="Times New Roman" w:cs="Times New Roman"/>
          <w:sz w:val="24"/>
          <w:szCs w:val="24"/>
        </w:rPr>
        <w:t xml:space="preserve">or infrastructural </w:t>
      </w:r>
      <w:r w:rsidRPr="00355A5D">
        <w:rPr>
          <w:rFonts w:ascii="Times New Roman" w:hAnsi="Times New Roman" w:cs="Times New Roman"/>
          <w:sz w:val="24"/>
          <w:szCs w:val="24"/>
        </w:rPr>
        <w:t xml:space="preserve">resources </w:t>
      </w:r>
      <w:r w:rsidR="00095B0C">
        <w:rPr>
          <w:rFonts w:ascii="Times New Roman" w:hAnsi="Times New Roman" w:cs="Times New Roman"/>
          <w:sz w:val="24"/>
          <w:szCs w:val="24"/>
        </w:rPr>
        <w:t>are</w:t>
      </w:r>
      <w:r w:rsidR="00C81B71">
        <w:rPr>
          <w:rFonts w:ascii="Times New Roman" w:hAnsi="Times New Roman" w:cs="Times New Roman"/>
          <w:sz w:val="24"/>
          <w:szCs w:val="24"/>
        </w:rPr>
        <w:t xml:space="preserve"> </w:t>
      </w:r>
      <w:r w:rsidRPr="00355A5D">
        <w:rPr>
          <w:rFonts w:ascii="Times New Roman" w:hAnsi="Times New Roman" w:cs="Times New Roman"/>
          <w:sz w:val="24"/>
          <w:szCs w:val="24"/>
        </w:rPr>
        <w:t>controlled.</w:t>
      </w:r>
      <w:r w:rsidR="00433749">
        <w:rPr>
          <w:rFonts w:ascii="Times New Roman" w:hAnsi="Times New Roman" w:cs="Times New Roman"/>
          <w:sz w:val="24"/>
          <w:szCs w:val="24"/>
        </w:rPr>
        <w:t xml:space="preserve"> </w:t>
      </w:r>
      <w:bookmarkEnd w:id="233"/>
      <w:r w:rsidR="00433749">
        <w:rPr>
          <w:rFonts w:ascii="Times New Roman" w:hAnsi="Times New Roman" w:cs="Times New Roman"/>
          <w:sz w:val="24"/>
          <w:szCs w:val="24"/>
        </w:rPr>
        <w:t xml:space="preserve">Most remarkably, this study invokes and relies on this concept with a view to address all the underlying concerns on the basis of access and interoperability constraints. In so doing, this study not only </w:t>
      </w:r>
      <w:r w:rsidR="00433749" w:rsidRPr="00433749">
        <w:rPr>
          <w:rFonts w:ascii="Times New Roman" w:hAnsi="Times New Roman" w:cs="Times New Roman"/>
          <w:sz w:val="24"/>
          <w:szCs w:val="24"/>
        </w:rPr>
        <w:t>highlight</w:t>
      </w:r>
      <w:r w:rsidR="00433749">
        <w:rPr>
          <w:rFonts w:ascii="Times New Roman" w:hAnsi="Times New Roman" w:cs="Times New Roman"/>
          <w:sz w:val="24"/>
          <w:szCs w:val="24"/>
        </w:rPr>
        <w:t xml:space="preserve">s </w:t>
      </w:r>
      <w:r w:rsidR="00C81B71">
        <w:rPr>
          <w:rFonts w:ascii="Times New Roman" w:hAnsi="Times New Roman" w:cs="Times New Roman"/>
          <w:sz w:val="24"/>
          <w:szCs w:val="24"/>
        </w:rPr>
        <w:t>well</w:t>
      </w:r>
      <w:r w:rsidR="004A3C5F">
        <w:rPr>
          <w:rFonts w:ascii="Times New Roman" w:hAnsi="Times New Roman" w:cs="Times New Roman"/>
          <w:sz w:val="24"/>
          <w:szCs w:val="24"/>
        </w:rPr>
        <w:t>-</w:t>
      </w:r>
      <w:r w:rsidR="00C81B71">
        <w:rPr>
          <w:rFonts w:ascii="Times New Roman" w:hAnsi="Times New Roman" w:cs="Times New Roman"/>
          <w:sz w:val="24"/>
          <w:szCs w:val="24"/>
        </w:rPr>
        <w:t>known</w:t>
      </w:r>
      <w:r w:rsidR="00433749" w:rsidRPr="00433749">
        <w:rPr>
          <w:rFonts w:ascii="Times New Roman" w:hAnsi="Times New Roman" w:cs="Times New Roman"/>
          <w:sz w:val="24"/>
          <w:szCs w:val="24"/>
        </w:rPr>
        <w:t xml:space="preserve"> problems </w:t>
      </w:r>
      <w:r w:rsidR="00C81B71">
        <w:rPr>
          <w:rFonts w:ascii="Times New Roman" w:hAnsi="Times New Roman" w:cs="Times New Roman"/>
          <w:sz w:val="24"/>
          <w:szCs w:val="24"/>
        </w:rPr>
        <w:t>of</w:t>
      </w:r>
      <w:r w:rsidR="00433749" w:rsidRPr="00433749">
        <w:rPr>
          <w:rFonts w:ascii="Times New Roman" w:hAnsi="Times New Roman" w:cs="Times New Roman"/>
          <w:sz w:val="24"/>
          <w:szCs w:val="24"/>
        </w:rPr>
        <w:t xml:space="preserve"> network effects, </w:t>
      </w:r>
      <w:r w:rsidR="00433749">
        <w:rPr>
          <w:rFonts w:ascii="Times New Roman" w:hAnsi="Times New Roman" w:cs="Times New Roman"/>
          <w:sz w:val="24"/>
          <w:szCs w:val="24"/>
        </w:rPr>
        <w:t>vendor</w:t>
      </w:r>
      <w:r w:rsidR="00433749" w:rsidRPr="00433749">
        <w:rPr>
          <w:rFonts w:ascii="Times New Roman" w:hAnsi="Times New Roman" w:cs="Times New Roman"/>
          <w:sz w:val="24"/>
          <w:szCs w:val="24"/>
        </w:rPr>
        <w:t xml:space="preserve"> lock-in, </w:t>
      </w:r>
      <w:r w:rsidR="00C81B71">
        <w:rPr>
          <w:rFonts w:ascii="Times New Roman" w:hAnsi="Times New Roman" w:cs="Times New Roman"/>
          <w:sz w:val="24"/>
          <w:szCs w:val="24"/>
        </w:rPr>
        <w:t>market foreclosure</w:t>
      </w:r>
      <w:r w:rsidR="004A3C5F">
        <w:rPr>
          <w:rFonts w:ascii="Times New Roman" w:hAnsi="Times New Roman" w:cs="Times New Roman"/>
          <w:sz w:val="24"/>
          <w:szCs w:val="24"/>
        </w:rPr>
        <w:t>, etc.</w:t>
      </w:r>
      <w:r w:rsidR="00433749">
        <w:rPr>
          <w:rFonts w:ascii="Times New Roman" w:hAnsi="Times New Roman" w:cs="Times New Roman"/>
          <w:sz w:val="24"/>
          <w:szCs w:val="24"/>
        </w:rPr>
        <w:t xml:space="preserve"> but also indicates that this term could be a component of a wider normative framework</w:t>
      </w:r>
      <w:r w:rsidR="00C81B71">
        <w:rPr>
          <w:rFonts w:ascii="Times New Roman" w:hAnsi="Times New Roman" w:cs="Times New Roman"/>
          <w:sz w:val="24"/>
          <w:szCs w:val="24"/>
        </w:rPr>
        <w:t>.</w:t>
      </w:r>
      <w:r w:rsidR="00C81B71">
        <w:rPr>
          <w:rStyle w:val="FootnoteReference"/>
          <w:rFonts w:ascii="Times New Roman" w:hAnsi="Times New Roman" w:cs="Times New Roman"/>
          <w:sz w:val="24"/>
          <w:szCs w:val="24"/>
        </w:rPr>
        <w:footnoteReference w:id="194"/>
      </w:r>
    </w:p>
    <w:p w14:paraId="2BAB68CE" w14:textId="77777777" w:rsidR="005B357E" w:rsidRDefault="005B357E" w:rsidP="00CC6810">
      <w:pPr>
        <w:jc w:val="both"/>
        <w:rPr>
          <w:rFonts w:ascii="Times New Roman" w:hAnsi="Times New Roman" w:cs="Times New Roman"/>
          <w:sz w:val="24"/>
          <w:szCs w:val="24"/>
        </w:rPr>
      </w:pPr>
    </w:p>
    <w:p w14:paraId="6901EA4F" w14:textId="29121F7D" w:rsidR="00433749" w:rsidRDefault="005B357E" w:rsidP="00CC6810">
      <w:pPr>
        <w:jc w:val="both"/>
        <w:rPr>
          <w:rFonts w:ascii="Times New Roman" w:hAnsi="Times New Roman" w:cs="Times New Roman"/>
          <w:sz w:val="24"/>
          <w:szCs w:val="24"/>
        </w:rPr>
      </w:pPr>
      <w:r>
        <w:rPr>
          <w:rFonts w:ascii="Times New Roman" w:hAnsi="Times New Roman" w:cs="Times New Roman"/>
          <w:sz w:val="24"/>
          <w:szCs w:val="24"/>
        </w:rPr>
        <w:t>W</w:t>
      </w:r>
      <w:r w:rsidRPr="00355A5D">
        <w:rPr>
          <w:rFonts w:ascii="Times New Roman" w:hAnsi="Times New Roman" w:cs="Times New Roman"/>
          <w:sz w:val="24"/>
          <w:szCs w:val="24"/>
        </w:rPr>
        <w:t xml:space="preserve">hile gatekeeping or network gatekeeping is not </w:t>
      </w:r>
      <w:r>
        <w:rPr>
          <w:rFonts w:ascii="Times New Roman" w:hAnsi="Times New Roman" w:cs="Times New Roman"/>
          <w:sz w:val="24"/>
          <w:szCs w:val="24"/>
        </w:rPr>
        <w:t>acknowledg</w:t>
      </w:r>
      <w:r w:rsidRPr="00355A5D">
        <w:rPr>
          <w:rFonts w:ascii="Times New Roman" w:hAnsi="Times New Roman" w:cs="Times New Roman"/>
          <w:sz w:val="24"/>
          <w:szCs w:val="24"/>
        </w:rPr>
        <w:t>ed as a technical term within the EU legislation or precedents,</w:t>
      </w:r>
      <w:r>
        <w:rPr>
          <w:rStyle w:val="FootnoteReference"/>
          <w:rFonts w:ascii="Times New Roman" w:hAnsi="Times New Roman" w:cs="Times New Roman"/>
          <w:sz w:val="24"/>
          <w:szCs w:val="24"/>
        </w:rPr>
        <w:footnoteReference w:id="195"/>
      </w:r>
      <w:r w:rsidRPr="00355A5D">
        <w:rPr>
          <w:rFonts w:ascii="Times New Roman" w:hAnsi="Times New Roman" w:cs="Times New Roman"/>
          <w:sz w:val="24"/>
          <w:szCs w:val="24"/>
        </w:rPr>
        <w:t xml:space="preserve"> th</w:t>
      </w:r>
      <w:r>
        <w:rPr>
          <w:rFonts w:ascii="Times New Roman" w:hAnsi="Times New Roman" w:cs="Times New Roman"/>
          <w:sz w:val="24"/>
          <w:szCs w:val="24"/>
        </w:rPr>
        <w:t xml:space="preserve">e recent EU proposal could change the </w:t>
      </w:r>
      <w:r w:rsidRPr="00CC4675">
        <w:rPr>
          <w:rFonts w:ascii="Times New Roman" w:hAnsi="Times New Roman" w:cs="Times New Roman"/>
          <w:i/>
          <w:iCs/>
          <w:sz w:val="24"/>
          <w:szCs w:val="24"/>
        </w:rPr>
        <w:t>status quo</w:t>
      </w:r>
      <w:r>
        <w:rPr>
          <w:rFonts w:ascii="Times New Roman" w:hAnsi="Times New Roman" w:cs="Times New Roman"/>
          <w:sz w:val="24"/>
          <w:szCs w:val="24"/>
        </w:rPr>
        <w:t xml:space="preserve">, conferring this </w:t>
      </w:r>
      <w:r w:rsidRPr="00355A5D">
        <w:rPr>
          <w:rFonts w:ascii="Times New Roman" w:hAnsi="Times New Roman" w:cs="Times New Roman"/>
          <w:sz w:val="24"/>
          <w:szCs w:val="24"/>
        </w:rPr>
        <w:t xml:space="preserve">term </w:t>
      </w:r>
      <w:r>
        <w:rPr>
          <w:rFonts w:ascii="Times New Roman" w:hAnsi="Times New Roman" w:cs="Times New Roman"/>
          <w:sz w:val="24"/>
          <w:szCs w:val="24"/>
        </w:rPr>
        <w:t xml:space="preserve">a statutory meaning </w:t>
      </w:r>
      <w:r w:rsidRPr="00355A5D">
        <w:rPr>
          <w:rFonts w:ascii="Times New Roman" w:hAnsi="Times New Roman" w:cs="Times New Roman"/>
          <w:sz w:val="24"/>
          <w:szCs w:val="24"/>
        </w:rPr>
        <w:t>to approach a range of controlling powers in the ICT landscape.</w:t>
      </w:r>
      <w:r>
        <w:rPr>
          <w:rFonts w:ascii="Times New Roman" w:hAnsi="Times New Roman" w:cs="Times New Roman"/>
          <w:sz w:val="24"/>
          <w:szCs w:val="24"/>
        </w:rPr>
        <w:t xml:space="preserve"> Marking a more distinctive path, this study invokes this term as one of the key concepts around which interoperability is revitalised along with a normative framework in the end.</w:t>
      </w:r>
    </w:p>
    <w:p w14:paraId="194A543B" w14:textId="77777777" w:rsidR="00D33FCD" w:rsidRPr="00774EDB" w:rsidRDefault="00D33FCD" w:rsidP="00A70042">
      <w:pPr>
        <w:pStyle w:val="Heading2"/>
        <w:numPr>
          <w:ilvl w:val="1"/>
          <w:numId w:val="5"/>
        </w:numPr>
        <w:spacing w:before="360"/>
        <w:ind w:left="0" w:firstLine="0"/>
        <w:jc w:val="both"/>
        <w:rPr>
          <w:rFonts w:ascii="Times New Roman" w:hAnsi="Times New Roman" w:cs="Times New Roman"/>
          <w:b/>
          <w:color w:val="auto"/>
          <w:sz w:val="24"/>
          <w:szCs w:val="24"/>
        </w:rPr>
      </w:pPr>
      <w:bookmarkStart w:id="234" w:name="_Toc17611372"/>
      <w:bookmarkStart w:id="235" w:name="_Toc17611589"/>
      <w:bookmarkStart w:id="236" w:name="_Toc17611801"/>
      <w:bookmarkStart w:id="237" w:name="_Toc17612015"/>
      <w:bookmarkStart w:id="238" w:name="_Toc17612228"/>
      <w:bookmarkStart w:id="239" w:name="_Toc11400631"/>
      <w:bookmarkStart w:id="240" w:name="_Toc17611373"/>
      <w:bookmarkStart w:id="241" w:name="_Toc53576040"/>
      <w:bookmarkEnd w:id="234"/>
      <w:bookmarkEnd w:id="235"/>
      <w:bookmarkEnd w:id="236"/>
      <w:bookmarkEnd w:id="237"/>
      <w:bookmarkEnd w:id="238"/>
      <w:r w:rsidRPr="00774EDB">
        <w:rPr>
          <w:rFonts w:ascii="Times New Roman" w:hAnsi="Times New Roman" w:cs="Times New Roman"/>
          <w:b/>
          <w:color w:val="auto"/>
          <w:sz w:val="24"/>
          <w:szCs w:val="24"/>
        </w:rPr>
        <w:lastRenderedPageBreak/>
        <w:t>Pertinent legal regimes and rules</w:t>
      </w:r>
      <w:bookmarkEnd w:id="239"/>
      <w:bookmarkEnd w:id="240"/>
      <w:bookmarkEnd w:id="241"/>
    </w:p>
    <w:p w14:paraId="0F85084A" w14:textId="77777777" w:rsidR="00D33FCD" w:rsidRPr="00774EDB" w:rsidRDefault="00D33FCD" w:rsidP="00A70042">
      <w:pPr>
        <w:pStyle w:val="Heading3"/>
        <w:numPr>
          <w:ilvl w:val="2"/>
          <w:numId w:val="5"/>
        </w:numPr>
        <w:spacing w:before="360"/>
        <w:ind w:left="0" w:firstLine="0"/>
        <w:jc w:val="both"/>
        <w:rPr>
          <w:rFonts w:ascii="Times New Roman" w:hAnsi="Times New Roman" w:cs="Times New Roman"/>
          <w:b/>
          <w:color w:val="auto"/>
        </w:rPr>
      </w:pPr>
      <w:bookmarkStart w:id="242" w:name="_Toc17611374"/>
      <w:bookmarkStart w:id="243" w:name="_Toc17611591"/>
      <w:bookmarkStart w:id="244" w:name="_Toc17611803"/>
      <w:bookmarkStart w:id="245" w:name="_Toc17612017"/>
      <w:bookmarkStart w:id="246" w:name="_Toc17612230"/>
      <w:bookmarkStart w:id="247" w:name="_Toc11400632"/>
      <w:bookmarkStart w:id="248" w:name="_Toc17611375"/>
      <w:bookmarkStart w:id="249" w:name="_Toc53576041"/>
      <w:bookmarkEnd w:id="242"/>
      <w:bookmarkEnd w:id="243"/>
      <w:bookmarkEnd w:id="244"/>
      <w:bookmarkEnd w:id="245"/>
      <w:bookmarkEnd w:id="246"/>
      <w:r w:rsidRPr="00774EDB">
        <w:rPr>
          <w:rFonts w:ascii="Times New Roman" w:hAnsi="Times New Roman" w:cs="Times New Roman"/>
          <w:b/>
          <w:color w:val="auto"/>
        </w:rPr>
        <w:t>Intellectual property rights (IPRs)</w:t>
      </w:r>
      <w:bookmarkEnd w:id="247"/>
      <w:r w:rsidR="00091782" w:rsidRPr="00774EDB">
        <w:rPr>
          <w:rFonts w:ascii="Times New Roman" w:hAnsi="Times New Roman" w:cs="Times New Roman"/>
          <w:b/>
          <w:color w:val="auto"/>
        </w:rPr>
        <w:t xml:space="preserve"> and legislation</w:t>
      </w:r>
      <w:bookmarkEnd w:id="248"/>
      <w:bookmarkEnd w:id="249"/>
    </w:p>
    <w:p w14:paraId="5986600C" w14:textId="77777777" w:rsidR="00D33FCD" w:rsidRPr="00A70042" w:rsidRDefault="00D33FCD"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In the 1970s, the arrival of computer products for mass markets – notably personal computers and computer games – put paid to “first generation” notions that functioning elements and above all “computer programs”,</w:t>
      </w:r>
      <w:r w:rsidRPr="00A70042">
        <w:rPr>
          <w:rStyle w:val="FootnoteReference"/>
          <w:rFonts w:ascii="Times New Roman" w:hAnsi="Times New Roman" w:cs="Times New Roman"/>
          <w:spacing w:val="-2"/>
          <w:sz w:val="24"/>
          <w:szCs w:val="24"/>
        </w:rPr>
        <w:footnoteReference w:id="196"/>
      </w:r>
      <w:r w:rsidRPr="00A70042">
        <w:rPr>
          <w:rFonts w:ascii="Times New Roman" w:hAnsi="Times New Roman" w:cs="Times New Roman"/>
          <w:spacing w:val="-2"/>
          <w:sz w:val="24"/>
          <w:szCs w:val="24"/>
        </w:rPr>
        <w:t xml:space="preserve"> could be adequately protected within the framework of IPRs.</w:t>
      </w:r>
      <w:r w:rsidRPr="00A70042">
        <w:rPr>
          <w:rStyle w:val="FootnoteReference"/>
          <w:rFonts w:ascii="Times New Roman" w:hAnsi="Times New Roman" w:cs="Times New Roman"/>
          <w:spacing w:val="-2"/>
          <w:sz w:val="24"/>
          <w:szCs w:val="24"/>
        </w:rPr>
        <w:footnoteReference w:id="197"/>
      </w:r>
      <w:r w:rsidRPr="00A70042">
        <w:rPr>
          <w:rFonts w:ascii="Times New Roman" w:hAnsi="Times New Roman" w:cs="Times New Roman"/>
          <w:spacing w:val="-2"/>
          <w:sz w:val="24"/>
          <w:szCs w:val="24"/>
        </w:rPr>
        <w:t xml:space="preserve"> While these legal mechanisms have remained vital, they have come to be underpinned, first by copyright in software and, to an increasing extent, also by patents on inventive techniques associated with programming.</w:t>
      </w:r>
      <w:r w:rsidRPr="00A70042">
        <w:rPr>
          <w:rStyle w:val="FootnoteReference"/>
          <w:rFonts w:ascii="Times New Roman" w:hAnsi="Times New Roman" w:cs="Times New Roman"/>
          <w:spacing w:val="-2"/>
          <w:sz w:val="24"/>
          <w:szCs w:val="24"/>
        </w:rPr>
        <w:footnoteReference w:id="198"/>
      </w:r>
      <w:r w:rsidRPr="00A70042">
        <w:rPr>
          <w:rFonts w:ascii="Times New Roman" w:hAnsi="Times New Roman" w:cs="Times New Roman"/>
          <w:spacing w:val="-2"/>
          <w:sz w:val="24"/>
          <w:szCs w:val="24"/>
        </w:rPr>
        <w:t xml:space="preserve"> This trend has become an overarching reality following the mass production of computer hardware and software and the accompanying pressure coming from the manufacturers.</w:t>
      </w:r>
      <w:r w:rsidRPr="00A70042">
        <w:rPr>
          <w:rStyle w:val="FootnoteReference"/>
          <w:rFonts w:ascii="Times New Roman" w:hAnsi="Times New Roman" w:cs="Times New Roman"/>
          <w:spacing w:val="-2"/>
          <w:sz w:val="24"/>
          <w:szCs w:val="24"/>
        </w:rPr>
        <w:footnoteReference w:id="199"/>
      </w:r>
      <w:r w:rsidRPr="00A70042">
        <w:rPr>
          <w:rFonts w:ascii="Times New Roman" w:hAnsi="Times New Roman" w:cs="Times New Roman"/>
          <w:spacing w:val="-2"/>
          <w:sz w:val="24"/>
          <w:szCs w:val="24"/>
        </w:rPr>
        <w:t xml:space="preserve">    </w:t>
      </w:r>
    </w:p>
    <w:p w14:paraId="4006AF2D" w14:textId="3D7AE968"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Accordingly, computer programs were regarded and protected as ‘literary works’</w:t>
      </w:r>
      <w:r w:rsidRPr="00774EDB">
        <w:rPr>
          <w:rStyle w:val="FootnoteReference"/>
          <w:rFonts w:ascii="Times New Roman" w:hAnsi="Times New Roman" w:cs="Times New Roman"/>
          <w:sz w:val="24"/>
          <w:szCs w:val="24"/>
        </w:rPr>
        <w:footnoteReference w:id="200"/>
      </w:r>
      <w:r w:rsidRPr="00774EDB">
        <w:rPr>
          <w:rFonts w:ascii="Times New Roman" w:hAnsi="Times New Roman" w:cs="Times New Roman"/>
          <w:sz w:val="24"/>
          <w:szCs w:val="24"/>
        </w:rPr>
        <w:t xml:space="preserve"> under international copyright law, particularly within the context of the 1979 </w:t>
      </w:r>
      <w:r w:rsidRPr="00774EDB">
        <w:rPr>
          <w:rFonts w:ascii="Times New Roman" w:hAnsi="Times New Roman" w:cs="Times New Roman"/>
          <w:sz w:val="24"/>
          <w:szCs w:val="24"/>
        </w:rPr>
        <w:lastRenderedPageBreak/>
        <w:t>International Berne Convention for the Protection of Literary and Artistic Works.</w:t>
      </w:r>
      <w:r w:rsidRPr="00774EDB">
        <w:rPr>
          <w:rStyle w:val="FootnoteReference"/>
          <w:rFonts w:ascii="Times New Roman" w:hAnsi="Times New Roman" w:cs="Times New Roman"/>
          <w:sz w:val="24"/>
          <w:szCs w:val="24"/>
        </w:rPr>
        <w:footnoteReference w:id="201"/>
      </w:r>
      <w:r w:rsidRPr="00774EDB">
        <w:rPr>
          <w:rFonts w:ascii="Times New Roman" w:hAnsi="Times New Roman" w:cs="Times New Roman"/>
          <w:sz w:val="24"/>
          <w:szCs w:val="24"/>
        </w:rPr>
        <w:t xml:space="preserve"> This was also embraced by the </w:t>
      </w:r>
      <w:r w:rsidR="00DD3FB6" w:rsidRPr="00774EDB">
        <w:rPr>
          <w:rFonts w:ascii="Times New Roman" w:hAnsi="Times New Roman" w:cs="Times New Roman"/>
          <w:sz w:val="24"/>
          <w:szCs w:val="24"/>
        </w:rPr>
        <w:t>World Trade Organization (</w:t>
      </w:r>
      <w:r w:rsidRPr="00774EDB">
        <w:rPr>
          <w:rFonts w:ascii="Times New Roman" w:hAnsi="Times New Roman" w:cs="Times New Roman"/>
          <w:sz w:val="24"/>
          <w:szCs w:val="24"/>
        </w:rPr>
        <w:t>WTO</w:t>
      </w:r>
      <w:r w:rsidR="00DD3FB6" w:rsidRPr="00774EDB">
        <w:rPr>
          <w:rFonts w:ascii="Times New Roman" w:hAnsi="Times New Roman" w:cs="Times New Roman"/>
          <w:sz w:val="24"/>
          <w:szCs w:val="24"/>
        </w:rPr>
        <w:t>)</w:t>
      </w:r>
      <w:r w:rsidRPr="00774EDB">
        <w:rPr>
          <w:rFonts w:ascii="Times New Roman" w:hAnsi="Times New Roman" w:cs="Times New Roman"/>
          <w:sz w:val="24"/>
          <w:szCs w:val="24"/>
        </w:rPr>
        <w:t xml:space="preserve"> </w:t>
      </w:r>
      <w:r w:rsidR="00391E79" w:rsidRPr="00A70042">
        <w:rPr>
          <w:rFonts w:ascii="Times New Roman" w:hAnsi="Times New Roman" w:cs="Times New Roman"/>
          <w:color w:val="000000"/>
          <w:sz w:val="24"/>
          <w:szCs w:val="24"/>
        </w:rPr>
        <w:t xml:space="preserve">Trade-Related Aspect of Intellectual Property Rights </w:t>
      </w:r>
      <w:r w:rsidRPr="00774EDB">
        <w:rPr>
          <w:rFonts w:ascii="Times New Roman" w:hAnsi="Times New Roman" w:cs="Times New Roman"/>
          <w:sz w:val="24"/>
          <w:szCs w:val="24"/>
        </w:rPr>
        <w:t>(TRIPS) Agreement</w:t>
      </w:r>
      <w:r w:rsidRPr="00774EDB">
        <w:rPr>
          <w:rStyle w:val="FootnoteReference"/>
          <w:rFonts w:ascii="Times New Roman" w:hAnsi="Times New Roman" w:cs="Times New Roman"/>
          <w:sz w:val="24"/>
          <w:szCs w:val="24"/>
        </w:rPr>
        <w:footnoteReference w:id="202"/>
      </w:r>
      <w:r w:rsidRPr="00774EDB">
        <w:rPr>
          <w:rFonts w:ascii="Times New Roman" w:hAnsi="Times New Roman" w:cs="Times New Roman"/>
          <w:sz w:val="24"/>
          <w:szCs w:val="24"/>
        </w:rPr>
        <w:t xml:space="preserve"> which entered into force as of 1</w:t>
      </w:r>
      <w:r w:rsidRPr="00774EDB">
        <w:rPr>
          <w:rFonts w:ascii="Times New Roman" w:hAnsi="Times New Roman" w:cs="Times New Roman"/>
          <w:sz w:val="24"/>
          <w:szCs w:val="24"/>
          <w:vertAlign w:val="superscript"/>
        </w:rPr>
        <w:t>st</w:t>
      </w:r>
      <w:r w:rsidRPr="00774EDB">
        <w:rPr>
          <w:rFonts w:ascii="Times New Roman" w:hAnsi="Times New Roman" w:cs="Times New Roman"/>
          <w:sz w:val="24"/>
          <w:szCs w:val="24"/>
        </w:rPr>
        <w:t xml:space="preserve"> January 1995. The written program code, both object and source codes, is thus protected under copyright law by analogy with other literary works, such as the text of a novel or poem.</w:t>
      </w:r>
      <w:r w:rsidRPr="00774EDB">
        <w:rPr>
          <w:rStyle w:val="FootnoteReference"/>
          <w:rFonts w:ascii="Times New Roman" w:hAnsi="Times New Roman" w:cs="Times New Roman"/>
          <w:sz w:val="24"/>
          <w:szCs w:val="24"/>
        </w:rPr>
        <w:footnoteReference w:id="203"/>
      </w:r>
      <w:r w:rsidR="00974B7E" w:rsidRPr="00774EDB">
        <w:rPr>
          <w:rFonts w:ascii="Times New Roman" w:hAnsi="Times New Roman" w:cs="Times New Roman"/>
          <w:sz w:val="24"/>
          <w:szCs w:val="24"/>
        </w:rPr>
        <w:t xml:space="preserve"> </w:t>
      </w:r>
      <w:r w:rsidRPr="00774EDB">
        <w:rPr>
          <w:rFonts w:ascii="Times New Roman" w:hAnsi="Times New Roman" w:cs="Times New Roman"/>
          <w:sz w:val="24"/>
          <w:szCs w:val="24"/>
        </w:rPr>
        <w:t>As interfaces denote the occurrence of transferring data or instructions repetitively between elements of a computer system,</w:t>
      </w:r>
      <w:r w:rsidRPr="00774EDB">
        <w:rPr>
          <w:rStyle w:val="FootnoteReference"/>
          <w:rFonts w:ascii="Times New Roman" w:hAnsi="Times New Roman" w:cs="Times New Roman"/>
          <w:sz w:val="24"/>
          <w:szCs w:val="24"/>
        </w:rPr>
        <w:footnoteReference w:id="204"/>
      </w:r>
      <w:r w:rsidRPr="00774EDB">
        <w:rPr>
          <w:rFonts w:ascii="Times New Roman" w:hAnsi="Times New Roman" w:cs="Times New Roman"/>
          <w:sz w:val="24"/>
          <w:szCs w:val="24"/>
        </w:rPr>
        <w:t xml:space="preserve"> they could normally be considered as part of software or computer programs, subject to the same copyright protection. However, this is still questionable given the EU legislation that favours interoperability and creates exceptional rights along the same lines. The Software Directive (2009/21/EC) represent</w:t>
      </w:r>
      <w:r w:rsidR="002A6F98" w:rsidRPr="00774EDB">
        <w:rPr>
          <w:rFonts w:ascii="Times New Roman" w:hAnsi="Times New Roman" w:cs="Times New Roman"/>
          <w:sz w:val="24"/>
          <w:szCs w:val="24"/>
        </w:rPr>
        <w:t>s</w:t>
      </w:r>
      <w:r w:rsidRPr="00774EDB">
        <w:rPr>
          <w:rFonts w:ascii="Times New Roman" w:hAnsi="Times New Roman" w:cs="Times New Roman"/>
          <w:sz w:val="24"/>
          <w:szCs w:val="24"/>
        </w:rPr>
        <w:t xml:space="preserve"> the most significant means to ensure interoperability in association with the software related copyrights</w:t>
      </w:r>
      <w:r w:rsidR="002A6F98" w:rsidRPr="00774EDB">
        <w:rPr>
          <w:rFonts w:ascii="Times New Roman" w:hAnsi="Times New Roman" w:cs="Times New Roman"/>
          <w:sz w:val="24"/>
          <w:szCs w:val="24"/>
        </w:rPr>
        <w:t>,</w:t>
      </w:r>
      <w:r w:rsidR="00974B7E" w:rsidRPr="00774EDB">
        <w:rPr>
          <w:rFonts w:ascii="Times New Roman" w:hAnsi="Times New Roman" w:cs="Times New Roman"/>
          <w:sz w:val="24"/>
          <w:szCs w:val="24"/>
        </w:rPr>
        <w:t xml:space="preserve"> at the EU level</w:t>
      </w:r>
      <w:r w:rsidRPr="00774EDB">
        <w:rPr>
          <w:rFonts w:ascii="Times New Roman" w:hAnsi="Times New Roman" w:cs="Times New Roman"/>
          <w:sz w:val="24"/>
          <w:szCs w:val="24"/>
        </w:rPr>
        <w:t>.</w:t>
      </w:r>
    </w:p>
    <w:p w14:paraId="1EE425BC" w14:textId="2F590363"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Software Directive grants copyright protection to the “</w:t>
      </w:r>
      <w:r w:rsidRPr="00774EDB">
        <w:rPr>
          <w:rFonts w:ascii="Times New Roman" w:hAnsi="Times New Roman" w:cs="Times New Roman"/>
          <w:i/>
          <w:sz w:val="24"/>
          <w:szCs w:val="24"/>
        </w:rPr>
        <w:t>expression</w:t>
      </w:r>
      <w:r w:rsidRPr="00774EDB">
        <w:rPr>
          <w:rFonts w:ascii="Times New Roman" w:hAnsi="Times New Roman" w:cs="Times New Roman"/>
          <w:sz w:val="24"/>
          <w:szCs w:val="24"/>
        </w:rPr>
        <w:t xml:space="preserve"> in any form of a computer program”, whereas “ideas and principles which underlie any element of a computer program, including those which underlie its interface, are not protected”.</w:t>
      </w:r>
      <w:r w:rsidRPr="00774EDB">
        <w:rPr>
          <w:rStyle w:val="FootnoteReference"/>
          <w:rFonts w:ascii="Times New Roman" w:hAnsi="Times New Roman" w:cs="Times New Roman"/>
          <w:sz w:val="24"/>
          <w:szCs w:val="24"/>
        </w:rPr>
        <w:footnoteReference w:id="205"/>
      </w:r>
      <w:r w:rsidRPr="00774EDB">
        <w:rPr>
          <w:rFonts w:ascii="Times New Roman" w:hAnsi="Times New Roman" w:cs="Times New Roman"/>
          <w:sz w:val="24"/>
          <w:szCs w:val="24"/>
        </w:rPr>
        <w:t xml:space="preserve"> Based on the legal doctrine known as the idea</w:t>
      </w:r>
      <w:r w:rsidR="004409F0">
        <w:rPr>
          <w:rFonts w:ascii="Times New Roman" w:hAnsi="Times New Roman" w:cs="Times New Roman"/>
          <w:sz w:val="24"/>
          <w:szCs w:val="24"/>
        </w:rPr>
        <w:t xml:space="preserve"> </w:t>
      </w:r>
      <w:r w:rsidRPr="00774EDB">
        <w:rPr>
          <w:rFonts w:ascii="Times New Roman" w:hAnsi="Times New Roman" w:cs="Times New Roman"/>
          <w:sz w:val="24"/>
          <w:szCs w:val="24"/>
        </w:rPr>
        <w:t>expression dichotomy,</w:t>
      </w:r>
      <w:r w:rsidRPr="00774EDB">
        <w:rPr>
          <w:rStyle w:val="FootnoteReference"/>
          <w:rFonts w:ascii="Times New Roman" w:hAnsi="Times New Roman" w:cs="Times New Roman"/>
          <w:sz w:val="24"/>
          <w:szCs w:val="24"/>
        </w:rPr>
        <w:footnoteReference w:id="206"/>
      </w:r>
      <w:r w:rsidRPr="00774EDB">
        <w:rPr>
          <w:rFonts w:ascii="Times New Roman" w:hAnsi="Times New Roman" w:cs="Times New Roman"/>
          <w:sz w:val="24"/>
          <w:szCs w:val="24"/>
        </w:rPr>
        <w:t xml:space="preserve"> the written program code, both source and object codes, could be categorised under the latter and considered as protected under EU copyright law. Along the same lines, APIs are </w:t>
      </w:r>
      <w:r w:rsidRPr="00774EDB">
        <w:rPr>
          <w:rFonts w:ascii="Times New Roman" w:hAnsi="Times New Roman" w:cs="Times New Roman"/>
          <w:sz w:val="24"/>
          <w:szCs w:val="24"/>
        </w:rPr>
        <w:lastRenderedPageBreak/>
        <w:t>expected to be covered by this copyright regime as they represent the expressive elements of a computer program which are supposedly “original” within the meaning of the Software Directive.</w:t>
      </w:r>
      <w:r w:rsidRPr="00774EDB">
        <w:rPr>
          <w:rStyle w:val="FootnoteReference"/>
          <w:rFonts w:ascii="Times New Roman" w:hAnsi="Times New Roman" w:cs="Times New Roman"/>
          <w:sz w:val="24"/>
          <w:szCs w:val="24"/>
        </w:rPr>
        <w:footnoteReference w:id="207"/>
      </w:r>
    </w:p>
    <w:p w14:paraId="5589CDDC" w14:textId="77777777"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this general standpoint, the so-called idea/expression dichotomy and the exclusion of functional/expressive elements from copyright protection would apply to the methods in APIs as well as the kernels of the computer programs. Yet software interoperability is underscored in the Software Directive, which grants an exception to the codes that are indispensable for the achievement of interoperability:</w:t>
      </w:r>
    </w:p>
    <w:p w14:paraId="218ADF10" w14:textId="108F58B7" w:rsidR="00D33FCD" w:rsidRPr="00774EDB" w:rsidRDefault="00D33FCD" w:rsidP="00A70042">
      <w:pPr>
        <w:spacing w:before="360"/>
        <w:ind w:left="680" w:right="680"/>
        <w:jc w:val="both"/>
        <w:rPr>
          <w:rFonts w:ascii="Times New Roman" w:hAnsi="Times New Roman" w:cs="Times New Roman"/>
          <w:sz w:val="24"/>
          <w:szCs w:val="24"/>
        </w:rPr>
      </w:pPr>
      <w:r w:rsidRPr="00774EDB">
        <w:rPr>
          <w:rFonts w:ascii="Times New Roman" w:hAnsi="Times New Roman" w:cs="Times New Roman"/>
          <w:sz w:val="24"/>
          <w:szCs w:val="24"/>
        </w:rPr>
        <w:t xml:space="preserve">The unauthorised reproduction, translation, adaptation or transformation of the form of the code in which a copy of a computer program has been made available constitutes an infringement of the exclusive rights of the author. </w:t>
      </w:r>
      <w:r w:rsidRPr="00774EDB">
        <w:rPr>
          <w:rFonts w:ascii="Times New Roman" w:hAnsi="Times New Roman" w:cs="Times New Roman"/>
          <w:iCs/>
          <w:sz w:val="24"/>
          <w:szCs w:val="24"/>
        </w:rPr>
        <w:t>Nevertheless, circumstances may exist when such a reproduction of the code and translation of its form are indispensable to obtain the necessary information to achieve the interoperability of an independently created program with other programs</w:t>
      </w:r>
      <w:r w:rsidRPr="00774EDB">
        <w:rPr>
          <w:rFonts w:ascii="Times New Roman" w:hAnsi="Times New Roman" w:cs="Times New Roman"/>
          <w:sz w:val="24"/>
          <w:szCs w:val="24"/>
        </w:rPr>
        <w:t>. It has therefore to be considered that, in these limited circumstances only, performance of the acts of reproduction and translation by or on behalf of a person having a right to use a copy of the program is legitimate and compatible with fair practice and must therefore be deemed not to require the authorisation of the rights holder.</w:t>
      </w:r>
      <w:r w:rsidRPr="00774EDB">
        <w:rPr>
          <w:rStyle w:val="FootnoteReference"/>
          <w:rFonts w:ascii="Times New Roman" w:hAnsi="Times New Roman" w:cs="Times New Roman"/>
          <w:sz w:val="24"/>
          <w:szCs w:val="24"/>
        </w:rPr>
        <w:footnoteReference w:id="208"/>
      </w:r>
      <w:r w:rsidRPr="00774EDB">
        <w:rPr>
          <w:rFonts w:ascii="Times New Roman" w:hAnsi="Times New Roman" w:cs="Times New Roman"/>
          <w:sz w:val="24"/>
          <w:szCs w:val="24"/>
        </w:rPr>
        <w:t xml:space="preserve">  </w:t>
      </w:r>
    </w:p>
    <w:p w14:paraId="6FA79E7E" w14:textId="77777777"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The given emphasis and the exceptional situation concerning interoperability is reflected in Article 6(1) of the Software Directive, titled ‘Decompilation’. Article 6(1) limits the application of the so-called exceptional decompilation right to ‘reverse engineering’ with the aim of ensuring mutual</w:t>
      </w:r>
      <w:r w:rsidR="002A6F98"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functionality of non-interoperable computer programs. According to this provision, authorisation from the rights holder of a computer program is not required for </w:t>
      </w:r>
      <w:r w:rsidRPr="00774EDB">
        <w:rPr>
          <w:rFonts w:ascii="Times New Roman" w:hAnsi="Times New Roman" w:cs="Times New Roman"/>
          <w:i/>
          <w:sz w:val="24"/>
          <w:szCs w:val="24"/>
        </w:rPr>
        <w:t>reproduction</w:t>
      </w:r>
      <w:r w:rsidRPr="00774EDB">
        <w:rPr>
          <w:rFonts w:ascii="Times New Roman" w:hAnsi="Times New Roman" w:cs="Times New Roman"/>
          <w:sz w:val="24"/>
          <w:szCs w:val="24"/>
        </w:rPr>
        <w:t xml:space="preserve"> or </w:t>
      </w:r>
      <w:r w:rsidRPr="00774EDB">
        <w:rPr>
          <w:rFonts w:ascii="Times New Roman" w:hAnsi="Times New Roman" w:cs="Times New Roman"/>
          <w:i/>
          <w:sz w:val="24"/>
          <w:szCs w:val="24"/>
        </w:rPr>
        <w:t>translation</w:t>
      </w:r>
      <w:r w:rsidRPr="00774EDB">
        <w:rPr>
          <w:rFonts w:ascii="Times New Roman" w:hAnsi="Times New Roman" w:cs="Times New Roman"/>
          <w:sz w:val="24"/>
          <w:szCs w:val="24"/>
        </w:rPr>
        <w:t xml:space="preserve"> of the program in question, provided that these acts are “indispensable to obtain the information necessary to achieve the interoperability of an independently created computer program with other programs”.</w:t>
      </w:r>
      <w:r w:rsidRPr="00774EDB">
        <w:rPr>
          <w:rStyle w:val="FootnoteReference"/>
          <w:rFonts w:ascii="Times New Roman" w:hAnsi="Times New Roman" w:cs="Times New Roman"/>
          <w:sz w:val="24"/>
          <w:szCs w:val="24"/>
        </w:rPr>
        <w:footnoteReference w:id="209"/>
      </w:r>
      <w:r w:rsidRPr="00774EDB">
        <w:rPr>
          <w:rFonts w:ascii="Times New Roman" w:hAnsi="Times New Roman" w:cs="Times New Roman"/>
          <w:sz w:val="24"/>
          <w:szCs w:val="24"/>
        </w:rPr>
        <w:t xml:space="preserve"> It is acknowledged that the issue of ‘functionality’, which ensures the compatibility of computer programs, lies at the core of the Directive’s rationale to set out the decompilation right.</w:t>
      </w:r>
      <w:r w:rsidRPr="00774EDB">
        <w:rPr>
          <w:rStyle w:val="FootnoteReference"/>
          <w:rFonts w:ascii="Times New Roman" w:hAnsi="Times New Roman" w:cs="Times New Roman"/>
          <w:sz w:val="24"/>
          <w:szCs w:val="24"/>
        </w:rPr>
        <w:footnoteReference w:id="210"/>
      </w:r>
    </w:p>
    <w:p w14:paraId="7DEC8DE0" w14:textId="04E3C72F" w:rsidR="00D33FCD"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On the other hand, there is an ongoing debate over the so-called functional behaviours of a computer program that covers the APIs and whether such interfaces could be deemed as an exception, as ideas and/or principles underlying the computer program in question. This question is remarkably important as APIs would then be imitated or reproduced, if not copied, by third parties who could create </w:t>
      </w:r>
      <w:r w:rsidR="005B6868">
        <w:rPr>
          <w:rFonts w:ascii="Times New Roman" w:hAnsi="Times New Roman" w:cs="Times New Roman"/>
          <w:sz w:val="24"/>
          <w:szCs w:val="24"/>
        </w:rPr>
        <w:t>deri</w:t>
      </w:r>
      <w:r w:rsidRPr="00774EDB">
        <w:rPr>
          <w:rFonts w:ascii="Times New Roman" w:hAnsi="Times New Roman" w:cs="Times New Roman"/>
          <w:sz w:val="24"/>
          <w:szCs w:val="24"/>
        </w:rPr>
        <w:t>vative software on top of the existing products. On the other hand, the Court of Justice</w:t>
      </w:r>
      <w:r w:rsidR="00982C52" w:rsidRPr="00774EDB">
        <w:rPr>
          <w:rFonts w:ascii="Times New Roman" w:hAnsi="Times New Roman" w:cs="Times New Roman"/>
          <w:sz w:val="24"/>
          <w:szCs w:val="24"/>
        </w:rPr>
        <w:t xml:space="preserve"> (CoJ)</w:t>
      </w:r>
      <w:r w:rsidRPr="00774EDB">
        <w:rPr>
          <w:rFonts w:ascii="Times New Roman" w:hAnsi="Times New Roman" w:cs="Times New Roman"/>
          <w:sz w:val="24"/>
          <w:szCs w:val="24"/>
        </w:rPr>
        <w:t xml:space="preserve">’s ruling in </w:t>
      </w:r>
      <w:r w:rsidRPr="00774EDB">
        <w:rPr>
          <w:rFonts w:ascii="Times New Roman" w:hAnsi="Times New Roman" w:cs="Times New Roman"/>
          <w:i/>
          <w:sz w:val="24"/>
          <w:szCs w:val="24"/>
        </w:rPr>
        <w:t>SAS Institute</w:t>
      </w:r>
      <w:r w:rsidRPr="00774EDB">
        <w:rPr>
          <w:rFonts w:ascii="Times New Roman" w:hAnsi="Times New Roman" w:cs="Times New Roman"/>
          <w:sz w:val="24"/>
          <w:szCs w:val="24"/>
        </w:rPr>
        <w:t xml:space="preserve"> </w:t>
      </w:r>
      <w:r w:rsidRPr="00774EDB">
        <w:rPr>
          <w:rFonts w:ascii="Times New Roman" w:hAnsi="Times New Roman" w:cs="Times New Roman"/>
          <w:i/>
          <w:sz w:val="24"/>
          <w:szCs w:val="24"/>
        </w:rPr>
        <w:t>Inc v World Programming Ltd</w:t>
      </w:r>
      <w:r w:rsidRPr="00774EDB">
        <w:rPr>
          <w:rFonts w:ascii="Times New Roman" w:hAnsi="Times New Roman" w:cs="Times New Roman"/>
          <w:sz w:val="24"/>
          <w:szCs w:val="24"/>
        </w:rPr>
        <w:t xml:space="preserve"> </w:t>
      </w:r>
      <w:r w:rsidR="0088383B" w:rsidRPr="00774EDB">
        <w:rPr>
          <w:rFonts w:ascii="Times New Roman" w:hAnsi="Times New Roman" w:cs="Times New Roman"/>
          <w:i/>
          <w:iCs/>
          <w:sz w:val="24"/>
          <w:szCs w:val="24"/>
        </w:rPr>
        <w:t>(SAS v WPL)</w:t>
      </w:r>
      <w:r w:rsidR="0088383B"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affirmed that either the functionality of a computer program, or the programming language and the format of data files used in a computer program, do not constitute a form of expression and </w:t>
      </w:r>
      <w:r w:rsidRPr="00774EDB">
        <w:rPr>
          <w:rFonts w:ascii="Times New Roman" w:hAnsi="Times New Roman" w:cs="Times New Roman"/>
          <w:sz w:val="24"/>
          <w:szCs w:val="24"/>
        </w:rPr>
        <w:lastRenderedPageBreak/>
        <w:t xml:space="preserve">accordingly do not enjoy copyright protection under the Software Directive, yet </w:t>
      </w:r>
      <w:r w:rsidR="00197242">
        <w:rPr>
          <w:rFonts w:ascii="Times New Roman" w:hAnsi="Times New Roman" w:cs="Times New Roman"/>
          <w:sz w:val="24"/>
          <w:szCs w:val="24"/>
        </w:rPr>
        <w:t xml:space="preserve">the Court </w:t>
      </w:r>
      <w:r w:rsidRPr="00774EDB">
        <w:rPr>
          <w:rFonts w:ascii="Times New Roman" w:hAnsi="Times New Roman" w:cs="Times New Roman"/>
          <w:sz w:val="24"/>
          <w:szCs w:val="24"/>
        </w:rPr>
        <w:t>did not touch on the APIs within the same category.</w:t>
      </w:r>
      <w:r w:rsidRPr="00774EDB">
        <w:rPr>
          <w:rStyle w:val="FootnoteReference"/>
          <w:rFonts w:ascii="Times New Roman" w:hAnsi="Times New Roman" w:cs="Times New Roman"/>
          <w:sz w:val="24"/>
          <w:szCs w:val="24"/>
        </w:rPr>
        <w:footnoteReference w:id="211"/>
      </w:r>
    </w:p>
    <w:p w14:paraId="17342673" w14:textId="2C9CCA74" w:rsidR="006305AB" w:rsidRPr="00774EDB" w:rsidRDefault="00D33FC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While the EU copyright regime is blurry in terms of ensuring a safe harbour for the APIs, patentability of software, including interfaces, is less controversial in view of the European patent regime. Patents are granted for “any inventions which are susceptible of industrial application, which are new and which involve an inventive step”</w:t>
      </w:r>
      <w:r w:rsidRPr="00774EDB">
        <w:rPr>
          <w:rStyle w:val="FootnoteReference"/>
          <w:rFonts w:ascii="Times New Roman" w:hAnsi="Times New Roman" w:cs="Times New Roman"/>
          <w:sz w:val="24"/>
          <w:szCs w:val="24"/>
        </w:rPr>
        <w:footnoteReference w:id="212"/>
      </w:r>
      <w:r w:rsidRPr="00774EDB">
        <w:rPr>
          <w:rFonts w:ascii="Times New Roman" w:hAnsi="Times New Roman" w:cs="Times New Roman"/>
          <w:sz w:val="24"/>
          <w:szCs w:val="24"/>
        </w:rPr>
        <w:t xml:space="preserve"> and software products could be covered under this via a broad interpretation. However, ‘programs for computers’ are in the list of the subject matter or activities which are explicitly excluded from patent protection under the European Patent Convention (EPC).</w:t>
      </w:r>
      <w:r w:rsidRPr="00774EDB">
        <w:rPr>
          <w:rStyle w:val="FootnoteReference"/>
          <w:rFonts w:ascii="Times New Roman" w:hAnsi="Times New Roman" w:cs="Times New Roman"/>
          <w:sz w:val="24"/>
          <w:szCs w:val="24"/>
        </w:rPr>
        <w:footnoteReference w:id="213"/>
      </w:r>
      <w:r w:rsidRPr="00774EDB">
        <w:rPr>
          <w:rFonts w:ascii="Times New Roman" w:hAnsi="Times New Roman" w:cs="Times New Roman"/>
          <w:sz w:val="24"/>
          <w:szCs w:val="24"/>
        </w:rPr>
        <w:t xml:space="preserve"> As this exclusion applies “</w:t>
      </w:r>
      <w:bookmarkStart w:id="250" w:name="_Hlk11199975"/>
      <w:r w:rsidRPr="00774EDB">
        <w:rPr>
          <w:rFonts w:ascii="Times New Roman" w:hAnsi="Times New Roman" w:cs="Times New Roman"/>
          <w:sz w:val="24"/>
          <w:szCs w:val="24"/>
        </w:rPr>
        <w:t xml:space="preserve">only to the extent to which a European patent application or European patent relates to such subject-matter or activities </w:t>
      </w:r>
      <w:r w:rsidRPr="00774EDB">
        <w:rPr>
          <w:rFonts w:ascii="Times New Roman" w:hAnsi="Times New Roman" w:cs="Times New Roman"/>
          <w:i/>
          <w:sz w:val="24"/>
          <w:szCs w:val="24"/>
        </w:rPr>
        <w:t>as such</w:t>
      </w:r>
      <w:bookmarkEnd w:id="250"/>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214"/>
      </w:r>
      <w:r w:rsidRPr="00774EDB">
        <w:rPr>
          <w:rFonts w:ascii="Times New Roman" w:hAnsi="Times New Roman" w:cs="Times New Roman"/>
          <w:sz w:val="24"/>
          <w:szCs w:val="24"/>
        </w:rPr>
        <w:t xml:space="preserve"> computer programs that are claimed ‘as such’</w:t>
      </w:r>
      <w:r w:rsidRPr="00774EDB">
        <w:rPr>
          <w:rFonts w:ascii="Times New Roman" w:hAnsi="Times New Roman" w:cs="Times New Roman"/>
          <w:i/>
          <w:sz w:val="24"/>
          <w:szCs w:val="24"/>
        </w:rPr>
        <w:t xml:space="preserve"> </w:t>
      </w:r>
      <w:r w:rsidRPr="00774EDB">
        <w:rPr>
          <w:rFonts w:ascii="Times New Roman" w:hAnsi="Times New Roman" w:cs="Times New Roman"/>
          <w:sz w:val="24"/>
          <w:szCs w:val="24"/>
        </w:rPr>
        <w:t>would not be a patentable invention. Overall, the reading of “as such” made by the Board of Appeal of the European Patent Office</w:t>
      </w:r>
      <w:r w:rsidR="003A6B99" w:rsidRPr="00774EDB">
        <w:rPr>
          <w:rFonts w:ascii="Times New Roman" w:hAnsi="Times New Roman" w:cs="Times New Roman"/>
          <w:sz w:val="24"/>
          <w:szCs w:val="24"/>
        </w:rPr>
        <w:t xml:space="preserve"> (EPO)</w:t>
      </w:r>
      <w:r w:rsidRPr="00774EDB">
        <w:rPr>
          <w:rFonts w:ascii="Times New Roman" w:hAnsi="Times New Roman" w:cs="Times New Roman"/>
          <w:sz w:val="24"/>
          <w:szCs w:val="24"/>
        </w:rPr>
        <w:t xml:space="preserve"> is in the sense that a patent cannot be granted if the software is a mere implementation of an invention with no technical teaching. However, there will be no bar to patent protection for those inventions that are implemented through computer programs, if that implementation represents the solution to a technical problem.</w:t>
      </w:r>
      <w:r w:rsidRPr="00774EDB">
        <w:rPr>
          <w:rStyle w:val="FootnoteReference"/>
          <w:rFonts w:ascii="Times New Roman" w:hAnsi="Times New Roman" w:cs="Times New Roman"/>
          <w:sz w:val="24"/>
          <w:szCs w:val="24"/>
        </w:rPr>
        <w:footnoteReference w:id="215"/>
      </w:r>
      <w:r w:rsidRPr="00774EDB">
        <w:rPr>
          <w:rFonts w:ascii="Times New Roman" w:hAnsi="Times New Roman" w:cs="Times New Roman"/>
          <w:sz w:val="24"/>
          <w:szCs w:val="24"/>
        </w:rPr>
        <w:t xml:space="preserve"> From this point of view, the application of software architecture to a specific technical invention, of a technical character, may be </w:t>
      </w:r>
      <w:r w:rsidRPr="00774EDB">
        <w:rPr>
          <w:rFonts w:ascii="Times New Roman" w:hAnsi="Times New Roman" w:cs="Times New Roman"/>
          <w:sz w:val="24"/>
          <w:szCs w:val="24"/>
        </w:rPr>
        <w:lastRenderedPageBreak/>
        <w:t>patentable as part of a bigger patentable concept, but the scope of protection is limited to this specific application.</w:t>
      </w:r>
      <w:r w:rsidRPr="00774EDB">
        <w:rPr>
          <w:rStyle w:val="FootnoteReference"/>
          <w:rFonts w:ascii="Times New Roman" w:hAnsi="Times New Roman" w:cs="Times New Roman"/>
          <w:sz w:val="24"/>
          <w:szCs w:val="24"/>
        </w:rPr>
        <w:footnoteReference w:id="216"/>
      </w:r>
    </w:p>
    <w:p w14:paraId="78423A5A" w14:textId="752AB3B8" w:rsidR="006305AB" w:rsidRPr="00A70042" w:rsidRDefault="009B71D5" w:rsidP="00A70042">
      <w:pPr>
        <w:spacing w:before="360" w:line="468" w:lineRule="auto"/>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Given the fact that patents are application-specific</w:t>
      </w:r>
      <w:r w:rsidR="008C17C0" w:rsidRPr="00A70042">
        <w:rPr>
          <w:rFonts w:ascii="Times New Roman" w:hAnsi="Times New Roman" w:cs="Times New Roman"/>
          <w:spacing w:val="-2"/>
          <w:sz w:val="24"/>
          <w:szCs w:val="24"/>
        </w:rPr>
        <w:t xml:space="preserve">, when access to the information contained in the interfaces does not imply the “making” or the “using” of the patented invention, there </w:t>
      </w:r>
      <w:r w:rsidRPr="00A70042">
        <w:rPr>
          <w:rFonts w:ascii="Times New Roman" w:hAnsi="Times New Roman" w:cs="Times New Roman"/>
          <w:spacing w:val="-2"/>
          <w:sz w:val="24"/>
          <w:szCs w:val="24"/>
        </w:rPr>
        <w:t>would be</w:t>
      </w:r>
      <w:r w:rsidR="008C17C0" w:rsidRPr="00A70042">
        <w:rPr>
          <w:rFonts w:ascii="Times New Roman" w:hAnsi="Times New Roman" w:cs="Times New Roman"/>
          <w:spacing w:val="-2"/>
          <w:sz w:val="24"/>
          <w:szCs w:val="24"/>
        </w:rPr>
        <w:t xml:space="preserve"> no patent infringement.</w:t>
      </w:r>
      <w:r w:rsidR="008C17C0" w:rsidRPr="00A70042">
        <w:rPr>
          <w:rStyle w:val="FootnoteReference"/>
          <w:rFonts w:ascii="Times New Roman" w:hAnsi="Times New Roman" w:cs="Times New Roman"/>
          <w:spacing w:val="-2"/>
          <w:sz w:val="24"/>
          <w:szCs w:val="24"/>
        </w:rPr>
        <w:footnoteReference w:id="217"/>
      </w:r>
      <w:r w:rsidR="002226DB" w:rsidRPr="00A70042">
        <w:rPr>
          <w:rFonts w:ascii="Times New Roman" w:hAnsi="Times New Roman" w:cs="Times New Roman"/>
          <w:spacing w:val="-2"/>
          <w:sz w:val="24"/>
          <w:szCs w:val="24"/>
        </w:rPr>
        <w:t xml:space="preserve"> On the other hand, patent protection for a single software component could prevent the ‘making’  or ‘using’ of the whole of a complex program including the temporary uses required for decompilation</w:t>
      </w:r>
      <w:r w:rsidRPr="00A70042">
        <w:rPr>
          <w:rFonts w:ascii="Times New Roman" w:hAnsi="Times New Roman" w:cs="Times New Roman"/>
          <w:spacing w:val="-2"/>
          <w:sz w:val="24"/>
          <w:szCs w:val="24"/>
        </w:rPr>
        <w:t xml:space="preserve"> </w:t>
      </w:r>
      <w:r w:rsidR="006305AB" w:rsidRPr="00A70042">
        <w:rPr>
          <w:rFonts w:ascii="Times New Roman" w:hAnsi="Times New Roman" w:cs="Times New Roman"/>
          <w:spacing w:val="-2"/>
          <w:sz w:val="24"/>
          <w:szCs w:val="24"/>
        </w:rPr>
        <w:t xml:space="preserve">or </w:t>
      </w:r>
      <w:r w:rsidRPr="00A70042">
        <w:rPr>
          <w:rFonts w:ascii="Times New Roman" w:hAnsi="Times New Roman" w:cs="Times New Roman"/>
          <w:spacing w:val="-2"/>
          <w:sz w:val="24"/>
          <w:szCs w:val="24"/>
        </w:rPr>
        <w:t>reverse engineering</w:t>
      </w:r>
      <w:r w:rsidR="002226DB" w:rsidRPr="00A70042">
        <w:rPr>
          <w:rFonts w:ascii="Times New Roman" w:hAnsi="Times New Roman" w:cs="Times New Roman"/>
          <w:spacing w:val="-2"/>
          <w:sz w:val="24"/>
          <w:szCs w:val="24"/>
        </w:rPr>
        <w:t>.</w:t>
      </w:r>
      <w:r w:rsidR="002226DB" w:rsidRPr="00A70042">
        <w:rPr>
          <w:rStyle w:val="FootnoteReference"/>
          <w:rFonts w:ascii="Times New Roman" w:hAnsi="Times New Roman" w:cs="Times New Roman"/>
          <w:spacing w:val="-2"/>
          <w:sz w:val="24"/>
          <w:szCs w:val="24"/>
        </w:rPr>
        <w:footnoteReference w:id="218"/>
      </w:r>
      <w:r w:rsidR="002226DB" w:rsidRPr="00A70042">
        <w:rPr>
          <w:rFonts w:ascii="Times New Roman" w:hAnsi="Times New Roman" w:cs="Times New Roman"/>
          <w:spacing w:val="-2"/>
          <w:sz w:val="24"/>
          <w:szCs w:val="24"/>
        </w:rPr>
        <w:t xml:space="preserve"> </w:t>
      </w:r>
      <w:r w:rsidR="00D62BE6" w:rsidRPr="00A70042">
        <w:rPr>
          <w:rFonts w:ascii="Times New Roman" w:hAnsi="Times New Roman" w:cs="Times New Roman"/>
          <w:spacing w:val="-2"/>
          <w:sz w:val="24"/>
          <w:szCs w:val="24"/>
        </w:rPr>
        <w:t xml:space="preserve">Given this fact, patentability of computer programs would have unpredictable effects </w:t>
      </w:r>
      <w:r w:rsidR="006305AB" w:rsidRPr="00A70042">
        <w:rPr>
          <w:rFonts w:ascii="Times New Roman" w:hAnsi="Times New Roman" w:cs="Times New Roman"/>
          <w:spacing w:val="-2"/>
          <w:sz w:val="24"/>
          <w:szCs w:val="24"/>
        </w:rPr>
        <w:t xml:space="preserve">in </w:t>
      </w:r>
      <w:r w:rsidR="00D62BE6" w:rsidRPr="00A70042">
        <w:rPr>
          <w:rFonts w:ascii="Times New Roman" w:hAnsi="Times New Roman" w:cs="Times New Roman"/>
          <w:spacing w:val="-2"/>
          <w:sz w:val="24"/>
          <w:szCs w:val="24"/>
        </w:rPr>
        <w:t>hindering interoperability</w:t>
      </w:r>
      <w:r w:rsidR="00B65234" w:rsidRPr="00A70042">
        <w:rPr>
          <w:rFonts w:ascii="Times New Roman" w:hAnsi="Times New Roman" w:cs="Times New Roman"/>
          <w:spacing w:val="-2"/>
          <w:sz w:val="24"/>
          <w:szCs w:val="24"/>
        </w:rPr>
        <w:t>.</w:t>
      </w:r>
      <w:r w:rsidR="00BD1609" w:rsidRPr="00A70042">
        <w:rPr>
          <w:rFonts w:ascii="Times New Roman" w:hAnsi="Times New Roman" w:cs="Times New Roman"/>
          <w:spacing w:val="-2"/>
          <w:sz w:val="24"/>
          <w:szCs w:val="24"/>
        </w:rPr>
        <w:t xml:space="preserve"> </w:t>
      </w:r>
      <w:r w:rsidR="00B65234" w:rsidRPr="00A70042">
        <w:rPr>
          <w:rFonts w:ascii="Times New Roman" w:hAnsi="Times New Roman" w:cs="Times New Roman"/>
          <w:spacing w:val="-2"/>
          <w:sz w:val="24"/>
          <w:szCs w:val="24"/>
        </w:rPr>
        <w:t>Moreover,</w:t>
      </w:r>
      <w:r w:rsidR="00BD1609" w:rsidRPr="00A70042">
        <w:rPr>
          <w:rFonts w:ascii="Times New Roman" w:hAnsi="Times New Roman" w:cs="Times New Roman"/>
          <w:spacing w:val="-2"/>
          <w:sz w:val="24"/>
          <w:szCs w:val="24"/>
        </w:rPr>
        <w:t xml:space="preserve"> </w:t>
      </w:r>
      <w:r w:rsidR="006305AB" w:rsidRPr="00A70042">
        <w:rPr>
          <w:rFonts w:ascii="Times New Roman" w:hAnsi="Times New Roman" w:cs="Times New Roman"/>
          <w:spacing w:val="-2"/>
          <w:sz w:val="24"/>
          <w:szCs w:val="24"/>
        </w:rPr>
        <w:t>with</w:t>
      </w:r>
      <w:r w:rsidR="00BD1609" w:rsidRPr="00A70042">
        <w:rPr>
          <w:rFonts w:ascii="Times New Roman" w:hAnsi="Times New Roman" w:cs="Times New Roman"/>
          <w:spacing w:val="-2"/>
          <w:sz w:val="24"/>
          <w:szCs w:val="24"/>
        </w:rPr>
        <w:t xml:space="preserve">in </w:t>
      </w:r>
      <w:r w:rsidR="00072F71" w:rsidRPr="00A70042">
        <w:rPr>
          <w:rFonts w:ascii="Times New Roman" w:hAnsi="Times New Roman" w:cs="Times New Roman"/>
          <w:spacing w:val="-2"/>
          <w:sz w:val="24"/>
          <w:szCs w:val="24"/>
        </w:rPr>
        <w:t>a</w:t>
      </w:r>
      <w:r w:rsidR="00652A38" w:rsidRPr="00A70042">
        <w:rPr>
          <w:rFonts w:ascii="Times New Roman" w:hAnsi="Times New Roman" w:cs="Times New Roman"/>
          <w:spacing w:val="-2"/>
          <w:sz w:val="24"/>
          <w:szCs w:val="24"/>
        </w:rPr>
        <w:t xml:space="preserve"> computer program</w:t>
      </w:r>
      <w:r w:rsidR="00BD1609" w:rsidRPr="00A70042">
        <w:rPr>
          <w:rFonts w:ascii="Times New Roman" w:hAnsi="Times New Roman" w:cs="Times New Roman"/>
          <w:spacing w:val="-2"/>
          <w:sz w:val="24"/>
          <w:szCs w:val="24"/>
        </w:rPr>
        <w:t xml:space="preserve"> </w:t>
      </w:r>
      <w:r w:rsidR="006305AB" w:rsidRPr="00A70042">
        <w:rPr>
          <w:rFonts w:ascii="Times New Roman" w:hAnsi="Times New Roman" w:cs="Times New Roman"/>
          <w:spacing w:val="-2"/>
          <w:sz w:val="24"/>
          <w:szCs w:val="24"/>
        </w:rPr>
        <w:t xml:space="preserve">there </w:t>
      </w:r>
      <w:r w:rsidRPr="00A70042">
        <w:rPr>
          <w:rFonts w:ascii="Times New Roman" w:hAnsi="Times New Roman" w:cs="Times New Roman"/>
          <w:spacing w:val="-2"/>
          <w:sz w:val="24"/>
          <w:szCs w:val="24"/>
        </w:rPr>
        <w:t xml:space="preserve">often </w:t>
      </w:r>
      <w:r w:rsidR="00072F71" w:rsidRPr="00A70042">
        <w:rPr>
          <w:rFonts w:ascii="Times New Roman" w:hAnsi="Times New Roman" w:cs="Times New Roman"/>
          <w:spacing w:val="-2"/>
          <w:sz w:val="24"/>
          <w:szCs w:val="24"/>
        </w:rPr>
        <w:t>exists</w:t>
      </w:r>
      <w:r w:rsidR="00AB10CC" w:rsidRPr="00A70042">
        <w:rPr>
          <w:rFonts w:ascii="Times New Roman" w:hAnsi="Times New Roman" w:cs="Times New Roman"/>
          <w:spacing w:val="-2"/>
          <w:sz w:val="24"/>
          <w:szCs w:val="24"/>
        </w:rPr>
        <w:t xml:space="preserve"> </w:t>
      </w:r>
      <w:r w:rsidR="00BD1609" w:rsidRPr="00A70042">
        <w:rPr>
          <w:rFonts w:ascii="Times New Roman" w:hAnsi="Times New Roman" w:cs="Times New Roman"/>
          <w:spacing w:val="-2"/>
          <w:sz w:val="24"/>
          <w:szCs w:val="24"/>
        </w:rPr>
        <w:t xml:space="preserve">patented </w:t>
      </w:r>
      <w:r w:rsidR="005A1C7F" w:rsidRPr="00A70042">
        <w:rPr>
          <w:rFonts w:ascii="Times New Roman" w:hAnsi="Times New Roman" w:cs="Times New Roman"/>
          <w:spacing w:val="-2"/>
          <w:sz w:val="24"/>
          <w:szCs w:val="24"/>
        </w:rPr>
        <w:t>applications</w:t>
      </w:r>
      <w:r w:rsidR="00652A38" w:rsidRPr="00A70042">
        <w:rPr>
          <w:rFonts w:ascii="Times New Roman" w:hAnsi="Times New Roman" w:cs="Times New Roman"/>
          <w:spacing w:val="-2"/>
          <w:sz w:val="24"/>
          <w:szCs w:val="24"/>
        </w:rPr>
        <w:t>/</w:t>
      </w:r>
      <w:r w:rsidRPr="00A70042">
        <w:rPr>
          <w:rFonts w:ascii="Times New Roman" w:hAnsi="Times New Roman" w:cs="Times New Roman"/>
          <w:spacing w:val="-2"/>
          <w:sz w:val="24"/>
          <w:szCs w:val="24"/>
        </w:rPr>
        <w:t xml:space="preserve">inventions </w:t>
      </w:r>
      <w:r w:rsidR="00B65234" w:rsidRPr="00A70042">
        <w:rPr>
          <w:rFonts w:ascii="Times New Roman" w:hAnsi="Times New Roman" w:cs="Times New Roman"/>
          <w:spacing w:val="-2"/>
          <w:sz w:val="24"/>
          <w:szCs w:val="24"/>
        </w:rPr>
        <w:t>and</w:t>
      </w:r>
      <w:r w:rsidRPr="00A70042">
        <w:rPr>
          <w:rFonts w:ascii="Times New Roman" w:hAnsi="Times New Roman" w:cs="Times New Roman"/>
          <w:spacing w:val="-2"/>
          <w:sz w:val="24"/>
          <w:szCs w:val="24"/>
        </w:rPr>
        <w:t xml:space="preserve"> </w:t>
      </w:r>
      <w:r w:rsidR="00652A38" w:rsidRPr="00A70042">
        <w:rPr>
          <w:rFonts w:ascii="Times New Roman" w:hAnsi="Times New Roman" w:cs="Times New Roman"/>
          <w:spacing w:val="-2"/>
          <w:sz w:val="24"/>
          <w:szCs w:val="24"/>
        </w:rPr>
        <w:t>copyrighted software elements</w:t>
      </w:r>
      <w:r w:rsidR="00A50478" w:rsidRPr="00A70042">
        <w:rPr>
          <w:rFonts w:ascii="Times New Roman" w:hAnsi="Times New Roman" w:cs="Times New Roman"/>
          <w:spacing w:val="-2"/>
          <w:sz w:val="24"/>
          <w:szCs w:val="24"/>
        </w:rPr>
        <w:t xml:space="preserve">. </w:t>
      </w:r>
      <w:r w:rsidR="00430526" w:rsidRPr="00A70042">
        <w:rPr>
          <w:rFonts w:ascii="Times New Roman" w:hAnsi="Times New Roman" w:cs="Times New Roman"/>
          <w:spacing w:val="-2"/>
          <w:sz w:val="24"/>
          <w:szCs w:val="24"/>
        </w:rPr>
        <w:t>The more complex a program is, the more difficult it will be to access interfaces through reverse engineering.</w:t>
      </w:r>
      <w:r w:rsidR="00430526" w:rsidRPr="00A70042">
        <w:rPr>
          <w:rStyle w:val="FootnoteReference"/>
          <w:rFonts w:ascii="Times New Roman" w:hAnsi="Times New Roman" w:cs="Times New Roman"/>
          <w:spacing w:val="-2"/>
          <w:sz w:val="24"/>
          <w:szCs w:val="24"/>
        </w:rPr>
        <w:footnoteReference w:id="219"/>
      </w:r>
      <w:r w:rsidR="00430526" w:rsidRPr="00A70042">
        <w:rPr>
          <w:rFonts w:ascii="Times New Roman" w:hAnsi="Times New Roman" w:cs="Times New Roman"/>
          <w:spacing w:val="-2"/>
          <w:sz w:val="24"/>
          <w:szCs w:val="24"/>
        </w:rPr>
        <w:t xml:space="preserve"> </w:t>
      </w:r>
      <w:r w:rsidR="0075157F" w:rsidRPr="00A70042">
        <w:rPr>
          <w:rFonts w:ascii="Times New Roman" w:hAnsi="Times New Roman" w:cs="Times New Roman"/>
          <w:spacing w:val="-2"/>
          <w:sz w:val="24"/>
          <w:szCs w:val="24"/>
        </w:rPr>
        <w:t xml:space="preserve">This complexity is augmented by </w:t>
      </w:r>
      <w:r w:rsidR="007C0F22">
        <w:rPr>
          <w:rFonts w:ascii="Times New Roman" w:hAnsi="Times New Roman" w:cs="Times New Roman"/>
          <w:spacing w:val="-2"/>
          <w:sz w:val="24"/>
          <w:szCs w:val="24"/>
        </w:rPr>
        <w:t>other</w:t>
      </w:r>
      <w:r w:rsidR="007C0F22" w:rsidRPr="00A70042">
        <w:rPr>
          <w:rFonts w:ascii="Times New Roman" w:hAnsi="Times New Roman" w:cs="Times New Roman"/>
          <w:spacing w:val="-2"/>
          <w:sz w:val="24"/>
          <w:szCs w:val="24"/>
        </w:rPr>
        <w:t xml:space="preserve"> </w:t>
      </w:r>
      <w:r w:rsidR="0075157F" w:rsidRPr="00A70042">
        <w:rPr>
          <w:rFonts w:ascii="Times New Roman" w:hAnsi="Times New Roman" w:cs="Times New Roman"/>
          <w:spacing w:val="-2"/>
          <w:sz w:val="24"/>
          <w:szCs w:val="24"/>
        </w:rPr>
        <w:t xml:space="preserve">IPRs such as trade secrets, </w:t>
      </w:r>
      <w:r w:rsidR="007C0F22" w:rsidRPr="00A70042">
        <w:rPr>
          <w:rFonts w:ascii="Times New Roman" w:hAnsi="Times New Roman" w:cs="Times New Roman"/>
          <w:i/>
          <w:iCs/>
          <w:spacing w:val="-2"/>
          <w:sz w:val="24"/>
          <w:szCs w:val="24"/>
        </w:rPr>
        <w:t>sui generis</w:t>
      </w:r>
      <w:r w:rsidR="007C0F22" w:rsidRPr="00A70042">
        <w:rPr>
          <w:rFonts w:ascii="Times New Roman" w:hAnsi="Times New Roman" w:cs="Times New Roman"/>
          <w:spacing w:val="-2"/>
          <w:sz w:val="24"/>
          <w:szCs w:val="24"/>
        </w:rPr>
        <w:t xml:space="preserve"> databases, </w:t>
      </w:r>
      <w:r w:rsidR="0075157F" w:rsidRPr="00A70042">
        <w:rPr>
          <w:rFonts w:ascii="Times New Roman" w:hAnsi="Times New Roman" w:cs="Times New Roman"/>
          <w:spacing w:val="-2"/>
          <w:sz w:val="24"/>
          <w:szCs w:val="24"/>
        </w:rPr>
        <w:t xml:space="preserve">etc. which reside and operate collectively in </w:t>
      </w:r>
      <w:r w:rsidR="006305AB" w:rsidRPr="00A70042">
        <w:rPr>
          <w:rFonts w:ascii="Times New Roman" w:hAnsi="Times New Roman" w:cs="Times New Roman"/>
          <w:spacing w:val="-2"/>
          <w:sz w:val="24"/>
          <w:szCs w:val="24"/>
        </w:rPr>
        <w:t xml:space="preserve">the </w:t>
      </w:r>
      <w:r w:rsidR="0075157F" w:rsidRPr="00A70042">
        <w:rPr>
          <w:rFonts w:ascii="Times New Roman" w:hAnsi="Times New Roman" w:cs="Times New Roman"/>
          <w:spacing w:val="-2"/>
          <w:sz w:val="24"/>
          <w:szCs w:val="24"/>
        </w:rPr>
        <w:t>creation and implementation of the software.</w:t>
      </w:r>
      <w:r w:rsidR="0075157F" w:rsidRPr="00A70042">
        <w:rPr>
          <w:rStyle w:val="FootnoteReference"/>
          <w:rFonts w:ascii="Times New Roman" w:hAnsi="Times New Roman" w:cs="Times New Roman"/>
          <w:spacing w:val="-2"/>
          <w:sz w:val="24"/>
          <w:szCs w:val="24"/>
        </w:rPr>
        <w:footnoteReference w:id="220"/>
      </w:r>
      <w:r w:rsidR="0075157F" w:rsidRPr="00A70042">
        <w:rPr>
          <w:rFonts w:ascii="Times New Roman" w:hAnsi="Times New Roman" w:cs="Times New Roman"/>
          <w:spacing w:val="-2"/>
          <w:sz w:val="24"/>
          <w:szCs w:val="24"/>
        </w:rPr>
        <w:t xml:space="preserve"> </w:t>
      </w:r>
    </w:p>
    <w:p w14:paraId="20CC61BC" w14:textId="6927F029" w:rsidR="001E07DE" w:rsidRPr="00774EDB" w:rsidRDefault="009D1378"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 xml:space="preserve">From </w:t>
      </w:r>
      <w:r w:rsidR="00301ACA" w:rsidRPr="00774EDB">
        <w:rPr>
          <w:rFonts w:ascii="Times New Roman" w:hAnsi="Times New Roman" w:cs="Times New Roman"/>
          <w:sz w:val="24"/>
          <w:szCs w:val="24"/>
        </w:rPr>
        <w:t>this</w:t>
      </w:r>
      <w:r w:rsidRPr="00774EDB">
        <w:rPr>
          <w:rFonts w:ascii="Times New Roman" w:hAnsi="Times New Roman" w:cs="Times New Roman"/>
          <w:sz w:val="24"/>
          <w:szCs w:val="24"/>
        </w:rPr>
        <w:t xml:space="preserve"> p</w:t>
      </w:r>
      <w:r w:rsidR="00301ACA" w:rsidRPr="00774EDB">
        <w:rPr>
          <w:rFonts w:ascii="Times New Roman" w:hAnsi="Times New Roman" w:cs="Times New Roman"/>
          <w:sz w:val="24"/>
          <w:szCs w:val="24"/>
        </w:rPr>
        <w:t>oint of view</w:t>
      </w:r>
      <w:r w:rsidR="009967A3" w:rsidRPr="00774EDB">
        <w:rPr>
          <w:rFonts w:ascii="Times New Roman" w:hAnsi="Times New Roman" w:cs="Times New Roman"/>
          <w:sz w:val="24"/>
          <w:szCs w:val="24"/>
        </w:rPr>
        <w:t>,</w:t>
      </w:r>
      <w:r w:rsidR="003D23FD" w:rsidRPr="00774EDB">
        <w:rPr>
          <w:rFonts w:ascii="Times New Roman" w:hAnsi="Times New Roman" w:cs="Times New Roman"/>
          <w:sz w:val="24"/>
          <w:szCs w:val="24"/>
        </w:rPr>
        <w:t xml:space="preserve"> </w:t>
      </w:r>
      <w:r w:rsidR="00301ACA" w:rsidRPr="00774EDB">
        <w:rPr>
          <w:rFonts w:ascii="Times New Roman" w:hAnsi="Times New Roman" w:cs="Times New Roman"/>
          <w:sz w:val="24"/>
          <w:szCs w:val="24"/>
        </w:rPr>
        <w:t xml:space="preserve">overuse of </w:t>
      </w:r>
      <w:r w:rsidR="003D23FD" w:rsidRPr="00774EDB">
        <w:rPr>
          <w:rFonts w:ascii="Times New Roman" w:hAnsi="Times New Roman" w:cs="Times New Roman"/>
          <w:sz w:val="24"/>
          <w:szCs w:val="24"/>
        </w:rPr>
        <w:t>copyright, patents and other IPRs might have hazardous effect</w:t>
      </w:r>
      <w:r w:rsidR="006305AB" w:rsidRPr="00774EDB">
        <w:rPr>
          <w:rFonts w:ascii="Times New Roman" w:hAnsi="Times New Roman" w:cs="Times New Roman"/>
          <w:sz w:val="24"/>
          <w:szCs w:val="24"/>
        </w:rPr>
        <w:t>s</w:t>
      </w:r>
      <w:r w:rsidR="003D23FD" w:rsidRPr="00774EDB">
        <w:rPr>
          <w:rFonts w:ascii="Times New Roman" w:hAnsi="Times New Roman" w:cs="Times New Roman"/>
          <w:sz w:val="24"/>
          <w:szCs w:val="24"/>
        </w:rPr>
        <w:t xml:space="preserve"> o</w:t>
      </w:r>
      <w:r w:rsidR="006305AB" w:rsidRPr="00774EDB">
        <w:rPr>
          <w:rFonts w:ascii="Times New Roman" w:hAnsi="Times New Roman" w:cs="Times New Roman"/>
          <w:sz w:val="24"/>
          <w:szCs w:val="24"/>
        </w:rPr>
        <w:t xml:space="preserve">n </w:t>
      </w:r>
      <w:r w:rsidR="003D23FD" w:rsidRPr="00774EDB">
        <w:rPr>
          <w:rFonts w:ascii="Times New Roman" w:hAnsi="Times New Roman" w:cs="Times New Roman"/>
          <w:sz w:val="24"/>
          <w:szCs w:val="24"/>
        </w:rPr>
        <w:t xml:space="preserve">market competition and innovation, resulting </w:t>
      </w:r>
      <w:r w:rsidR="006305AB" w:rsidRPr="00774EDB">
        <w:rPr>
          <w:rFonts w:ascii="Times New Roman" w:hAnsi="Times New Roman" w:cs="Times New Roman"/>
          <w:sz w:val="24"/>
          <w:szCs w:val="24"/>
        </w:rPr>
        <w:t>in</w:t>
      </w:r>
      <w:r w:rsidR="003D23FD" w:rsidRPr="00774EDB">
        <w:rPr>
          <w:rFonts w:ascii="Times New Roman" w:hAnsi="Times New Roman" w:cs="Times New Roman"/>
          <w:sz w:val="24"/>
          <w:szCs w:val="24"/>
        </w:rPr>
        <w:t xml:space="preserve"> </w:t>
      </w:r>
      <w:r w:rsidR="004C6C93" w:rsidRPr="00774EDB">
        <w:rPr>
          <w:rFonts w:ascii="Times New Roman" w:hAnsi="Times New Roman" w:cs="Times New Roman"/>
          <w:sz w:val="24"/>
          <w:szCs w:val="24"/>
        </w:rPr>
        <w:t xml:space="preserve">the </w:t>
      </w:r>
      <w:r w:rsidR="003D23FD" w:rsidRPr="00774EDB">
        <w:rPr>
          <w:rFonts w:ascii="Times New Roman" w:hAnsi="Times New Roman" w:cs="Times New Roman"/>
          <w:sz w:val="24"/>
          <w:szCs w:val="24"/>
        </w:rPr>
        <w:t xml:space="preserve">aggravated concerns surrounding lacking interoperability. While IPRs might be over-protectionist </w:t>
      </w:r>
      <w:r w:rsidR="004C6C93" w:rsidRPr="00774EDB">
        <w:rPr>
          <w:rFonts w:ascii="Times New Roman" w:hAnsi="Times New Roman" w:cs="Times New Roman"/>
          <w:sz w:val="24"/>
          <w:szCs w:val="24"/>
        </w:rPr>
        <w:lastRenderedPageBreak/>
        <w:t>and have</w:t>
      </w:r>
      <w:r w:rsidR="003D23FD" w:rsidRPr="00774EDB">
        <w:rPr>
          <w:rFonts w:ascii="Times New Roman" w:hAnsi="Times New Roman" w:cs="Times New Roman"/>
          <w:sz w:val="24"/>
          <w:szCs w:val="24"/>
        </w:rPr>
        <w:t xml:space="preserve"> </w:t>
      </w:r>
      <w:r w:rsidR="007476B2" w:rsidRPr="00774EDB">
        <w:rPr>
          <w:rFonts w:ascii="Times New Roman" w:hAnsi="Times New Roman" w:cs="Times New Roman"/>
          <w:sz w:val="24"/>
          <w:szCs w:val="24"/>
        </w:rPr>
        <w:t xml:space="preserve">potentially </w:t>
      </w:r>
      <w:r w:rsidR="003D23FD" w:rsidRPr="00774EDB">
        <w:rPr>
          <w:rFonts w:ascii="Times New Roman" w:hAnsi="Times New Roman" w:cs="Times New Roman"/>
          <w:sz w:val="24"/>
          <w:szCs w:val="24"/>
        </w:rPr>
        <w:t xml:space="preserve">negative </w:t>
      </w:r>
      <w:r w:rsidR="00BD7C42" w:rsidRPr="00774EDB">
        <w:rPr>
          <w:rFonts w:ascii="Times New Roman" w:hAnsi="Times New Roman" w:cs="Times New Roman"/>
          <w:sz w:val="24"/>
          <w:szCs w:val="24"/>
        </w:rPr>
        <w:t>outcomes</w:t>
      </w:r>
      <w:r w:rsidR="004C6C93" w:rsidRPr="00774EDB">
        <w:rPr>
          <w:rFonts w:ascii="Times New Roman" w:hAnsi="Times New Roman" w:cs="Times New Roman"/>
          <w:sz w:val="24"/>
          <w:szCs w:val="24"/>
        </w:rPr>
        <w:t xml:space="preserve"> </w:t>
      </w:r>
      <w:r w:rsidR="00BD7C42" w:rsidRPr="00774EDB">
        <w:rPr>
          <w:rFonts w:ascii="Times New Roman" w:hAnsi="Times New Roman" w:cs="Times New Roman"/>
          <w:sz w:val="24"/>
          <w:szCs w:val="24"/>
        </w:rPr>
        <w:t>along with</w:t>
      </w:r>
      <w:r w:rsidR="004C6C93" w:rsidRPr="00774EDB">
        <w:rPr>
          <w:rFonts w:ascii="Times New Roman" w:hAnsi="Times New Roman" w:cs="Times New Roman"/>
          <w:sz w:val="24"/>
          <w:szCs w:val="24"/>
        </w:rPr>
        <w:t xml:space="preserve"> </w:t>
      </w:r>
      <w:r w:rsidR="00025394" w:rsidRPr="00774EDB">
        <w:rPr>
          <w:rFonts w:ascii="Times New Roman" w:hAnsi="Times New Roman" w:cs="Times New Roman"/>
          <w:sz w:val="24"/>
          <w:szCs w:val="24"/>
        </w:rPr>
        <w:t xml:space="preserve">the </w:t>
      </w:r>
      <w:r w:rsidR="003D23FD" w:rsidRPr="00774EDB">
        <w:rPr>
          <w:rFonts w:ascii="Times New Roman" w:hAnsi="Times New Roman" w:cs="Times New Roman"/>
          <w:sz w:val="24"/>
          <w:szCs w:val="24"/>
        </w:rPr>
        <w:t xml:space="preserve">interoperability-based </w:t>
      </w:r>
      <w:r w:rsidR="00BD7C42" w:rsidRPr="00774EDB">
        <w:rPr>
          <w:rFonts w:ascii="Times New Roman" w:hAnsi="Times New Roman" w:cs="Times New Roman"/>
          <w:sz w:val="24"/>
          <w:szCs w:val="24"/>
        </w:rPr>
        <w:t>concerns</w:t>
      </w:r>
      <w:r w:rsidR="003D23FD" w:rsidRPr="00774EDB">
        <w:rPr>
          <w:rFonts w:ascii="Times New Roman" w:hAnsi="Times New Roman" w:cs="Times New Roman"/>
          <w:sz w:val="24"/>
          <w:szCs w:val="24"/>
        </w:rPr>
        <w:t xml:space="preserve">, </w:t>
      </w:r>
      <w:r w:rsidR="004C6C93" w:rsidRPr="00774EDB">
        <w:rPr>
          <w:rFonts w:ascii="Times New Roman" w:hAnsi="Times New Roman" w:cs="Times New Roman"/>
          <w:sz w:val="24"/>
          <w:szCs w:val="24"/>
        </w:rPr>
        <w:t>a suspicion is valid as to</w:t>
      </w:r>
      <w:r w:rsidR="003D23FD" w:rsidRPr="00774EDB">
        <w:rPr>
          <w:rFonts w:ascii="Times New Roman" w:hAnsi="Times New Roman" w:cs="Times New Roman"/>
          <w:sz w:val="24"/>
          <w:szCs w:val="24"/>
        </w:rPr>
        <w:t xml:space="preserve"> whether statutory rules respond well to such concerns. </w:t>
      </w:r>
      <w:r w:rsidR="006305AB" w:rsidRPr="00774EDB">
        <w:rPr>
          <w:rFonts w:ascii="Times New Roman" w:hAnsi="Times New Roman" w:cs="Times New Roman"/>
          <w:sz w:val="24"/>
          <w:szCs w:val="24"/>
        </w:rPr>
        <w:t xml:space="preserve">Generally, interface IPRs e.g. patents might be considered as posing a serious risk for competition and follow-on innovation; when they are held by established firms with market power, </w:t>
      </w:r>
      <w:r w:rsidR="007476B2">
        <w:rPr>
          <w:rFonts w:ascii="Times New Roman" w:hAnsi="Times New Roman" w:cs="Times New Roman"/>
          <w:sz w:val="24"/>
          <w:szCs w:val="24"/>
        </w:rPr>
        <w:t>and/</w:t>
      </w:r>
      <w:r w:rsidR="006305AB" w:rsidRPr="00774EDB">
        <w:rPr>
          <w:rFonts w:ascii="Times New Roman" w:hAnsi="Times New Roman" w:cs="Times New Roman"/>
          <w:sz w:val="24"/>
          <w:szCs w:val="24"/>
        </w:rPr>
        <w:t>or when there are incentives for firms to enforce interface patents, or copyrights, trade secrets, etc. in a manner that provides the opportunity for leveraging a dominant firm’s power in one market into that of an adjacent market, or last but not least, when exercise of such IPRs are essential to interoperability.</w:t>
      </w:r>
      <w:r w:rsidR="006305AB" w:rsidRPr="00774EDB">
        <w:rPr>
          <w:rStyle w:val="FootnoteReference"/>
          <w:rFonts w:ascii="Times New Roman" w:hAnsi="Times New Roman" w:cs="Times New Roman"/>
          <w:sz w:val="24"/>
          <w:szCs w:val="24"/>
        </w:rPr>
        <w:footnoteReference w:id="221"/>
      </w:r>
      <w:r w:rsidR="006305AB" w:rsidRPr="00774EDB">
        <w:rPr>
          <w:rFonts w:ascii="Times New Roman" w:hAnsi="Times New Roman" w:cs="Times New Roman"/>
          <w:sz w:val="24"/>
          <w:szCs w:val="24"/>
        </w:rPr>
        <w:t xml:space="preserve"> The following Chapter 4 is dedicated to a comprehensive analysis </w:t>
      </w:r>
      <w:r w:rsidR="007476B2">
        <w:rPr>
          <w:rFonts w:ascii="Times New Roman" w:hAnsi="Times New Roman" w:cs="Times New Roman"/>
          <w:sz w:val="24"/>
          <w:szCs w:val="24"/>
        </w:rPr>
        <w:t xml:space="preserve">of interoperability </w:t>
      </w:r>
      <w:r w:rsidR="000B3121">
        <w:rPr>
          <w:rFonts w:ascii="Times New Roman" w:hAnsi="Times New Roman" w:cs="Times New Roman"/>
          <w:sz w:val="24"/>
          <w:szCs w:val="24"/>
        </w:rPr>
        <w:t>related IPR tools and safeguards within the meaning of the EU law</w:t>
      </w:r>
      <w:r w:rsidR="006305AB" w:rsidRPr="00774EDB">
        <w:rPr>
          <w:rFonts w:ascii="Times New Roman" w:hAnsi="Times New Roman" w:cs="Times New Roman"/>
          <w:sz w:val="24"/>
          <w:szCs w:val="24"/>
        </w:rPr>
        <w:t xml:space="preserve">. </w:t>
      </w:r>
      <w:r w:rsidR="00BD7C42" w:rsidRPr="00774EDB">
        <w:rPr>
          <w:rFonts w:ascii="Times New Roman" w:hAnsi="Times New Roman" w:cs="Times New Roman"/>
          <w:sz w:val="24"/>
          <w:szCs w:val="24"/>
        </w:rPr>
        <w:t xml:space="preserve"> </w:t>
      </w:r>
      <w:r w:rsidR="005F369E" w:rsidRPr="00774EDB">
        <w:rPr>
          <w:rFonts w:ascii="Times New Roman" w:hAnsi="Times New Roman" w:cs="Times New Roman"/>
          <w:b/>
          <w:sz w:val="24"/>
          <w:szCs w:val="24"/>
        </w:rPr>
        <w:t xml:space="preserve">     </w:t>
      </w:r>
      <w:r w:rsidR="00F85A09" w:rsidRPr="00774EDB">
        <w:rPr>
          <w:rFonts w:ascii="Times New Roman" w:hAnsi="Times New Roman" w:cs="Times New Roman"/>
          <w:b/>
          <w:sz w:val="24"/>
          <w:szCs w:val="24"/>
        </w:rPr>
        <w:t xml:space="preserve">   </w:t>
      </w:r>
    </w:p>
    <w:p w14:paraId="5BCE2191" w14:textId="77777777" w:rsidR="006D4C7B" w:rsidRPr="00774EDB" w:rsidRDefault="00972206" w:rsidP="00A70042">
      <w:pPr>
        <w:pStyle w:val="Heading3"/>
        <w:numPr>
          <w:ilvl w:val="2"/>
          <w:numId w:val="5"/>
        </w:numPr>
        <w:spacing w:before="360"/>
        <w:ind w:left="0" w:firstLine="0"/>
        <w:jc w:val="both"/>
        <w:rPr>
          <w:rFonts w:ascii="Times New Roman" w:hAnsi="Times New Roman" w:cs="Times New Roman"/>
          <w:b/>
          <w:color w:val="auto"/>
        </w:rPr>
      </w:pPr>
      <w:bookmarkStart w:id="251" w:name="_Toc17611376"/>
      <w:bookmarkStart w:id="252" w:name="_Toc53576042"/>
      <w:r w:rsidRPr="00774EDB">
        <w:rPr>
          <w:rFonts w:ascii="Times New Roman" w:hAnsi="Times New Roman" w:cs="Times New Roman"/>
          <w:b/>
          <w:color w:val="auto"/>
        </w:rPr>
        <w:t>Competition law</w:t>
      </w:r>
      <w:bookmarkEnd w:id="251"/>
      <w:bookmarkEnd w:id="252"/>
    </w:p>
    <w:p w14:paraId="7D3BCB55" w14:textId="6E9CAAE2" w:rsidR="004C4699" w:rsidRPr="00774EDB" w:rsidRDefault="00423BC4"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Competition law is concerned with promoting consumer welfare by stimulating and balancing static efficiency i.e. service and price based competition and dynamic efficiency i.e. innovation and facilities based competition.</w:t>
      </w:r>
      <w:r w:rsidRPr="00774EDB">
        <w:rPr>
          <w:rStyle w:val="FootnoteReference"/>
          <w:rFonts w:ascii="Times New Roman" w:hAnsi="Times New Roman" w:cs="Times New Roman"/>
          <w:sz w:val="24"/>
          <w:szCs w:val="24"/>
        </w:rPr>
        <w:footnoteReference w:id="222"/>
      </w:r>
      <w:r w:rsidRPr="00774EDB">
        <w:rPr>
          <w:rFonts w:ascii="Times New Roman" w:hAnsi="Times New Roman" w:cs="Times New Roman"/>
          <w:sz w:val="24"/>
          <w:szCs w:val="24"/>
        </w:rPr>
        <w:t xml:space="preserve"> Competition law has a remedial concept regarding the monopolistic behaviours and surrounding hazards towards consumers by means of prohibition, prevention and punishment, where necessary. EU competition rules, having a central role for the functioning of the EU, are laid down in the Articles 101-109 of the TFEU. Article 101 prohibits anti-competitive agreements, decisions and concerted practices, such as joint ventures, cartels or tacit collusions that impede effective competition in the relevant markets. On the other hand, Article 102 prohibits abuse of dominant position, whether through exclusionary practices, such as predatory pricing, refusal to deal and exclusive dealing, </w:t>
      </w:r>
      <w:r w:rsidRPr="00774EDB">
        <w:rPr>
          <w:rFonts w:ascii="Times New Roman" w:hAnsi="Times New Roman" w:cs="Times New Roman"/>
          <w:sz w:val="24"/>
          <w:szCs w:val="24"/>
        </w:rPr>
        <w:lastRenderedPageBreak/>
        <w:t xml:space="preserve">or exploitative conducts e.g. unfair prices and degrading service quality. While these aim at protecting competition and enhancing consumer welfare predominantly through ex post remedies, the EU merger regime envisages ex-ante measures and procedures to pre-empt </w:t>
      </w:r>
      <w:r w:rsidR="00567A35">
        <w:rPr>
          <w:rFonts w:ascii="Times New Roman" w:hAnsi="Times New Roman" w:cs="Times New Roman"/>
          <w:sz w:val="24"/>
          <w:szCs w:val="24"/>
        </w:rPr>
        <w:t xml:space="preserve">likely </w:t>
      </w:r>
      <w:r w:rsidRPr="00774EDB">
        <w:rPr>
          <w:rFonts w:ascii="Times New Roman" w:hAnsi="Times New Roman" w:cs="Times New Roman"/>
          <w:sz w:val="24"/>
          <w:szCs w:val="24"/>
        </w:rPr>
        <w:t>anti-competitive effects that would arise from mergers and acquisitions.</w:t>
      </w:r>
      <w:r w:rsidRPr="00774EDB">
        <w:rPr>
          <w:rStyle w:val="FootnoteReference"/>
          <w:rFonts w:ascii="Times New Roman" w:hAnsi="Times New Roman" w:cs="Times New Roman"/>
          <w:sz w:val="24"/>
          <w:szCs w:val="24"/>
        </w:rPr>
        <w:footnoteReference w:id="223"/>
      </w:r>
      <w:r w:rsidRPr="00774EDB">
        <w:rPr>
          <w:rFonts w:ascii="Times New Roman" w:hAnsi="Times New Roman" w:cs="Times New Roman"/>
          <w:sz w:val="24"/>
          <w:szCs w:val="24"/>
          <w:lang w:eastAsia="en-GB"/>
        </w:rPr>
        <w:t xml:space="preserve"> </w:t>
      </w:r>
      <w:r w:rsidR="004C4699" w:rsidRPr="00774EDB">
        <w:rPr>
          <w:rFonts w:ascii="Times New Roman" w:hAnsi="Times New Roman" w:cs="Times New Roman"/>
          <w:sz w:val="24"/>
          <w:szCs w:val="24"/>
          <w:lang w:eastAsia="en-GB"/>
        </w:rPr>
        <w:t xml:space="preserve"> </w:t>
      </w:r>
    </w:p>
    <w:p w14:paraId="25A4D82A" w14:textId="27EB2407" w:rsidR="00567A35" w:rsidRDefault="00423BC4"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primary purpose of Articles 101 and 102 of the TFEU on the one hand, and the 2004 Merger Regulation on the other, is to preserve the competitive constraints to which firms are subject.</w:t>
      </w:r>
      <w:r w:rsidRPr="00774EDB">
        <w:rPr>
          <w:rStyle w:val="FootnoteReference"/>
          <w:rFonts w:ascii="Times New Roman" w:hAnsi="Times New Roman" w:cs="Times New Roman"/>
          <w:sz w:val="24"/>
          <w:szCs w:val="24"/>
        </w:rPr>
        <w:footnoteReference w:id="224"/>
      </w:r>
      <w:r w:rsidRPr="00774EDB">
        <w:rPr>
          <w:rFonts w:ascii="Times New Roman" w:hAnsi="Times New Roman" w:cs="Times New Roman"/>
          <w:sz w:val="24"/>
          <w:szCs w:val="24"/>
        </w:rPr>
        <w:t xml:space="preserve"> Within the given context, national competition authorities and the European Commission at the EU level are equipped with a number of powers and tools aiming at supervising firms’ exercise of proprietary control over their resources, </w:t>
      </w:r>
      <w:r w:rsidR="00567A35">
        <w:rPr>
          <w:rFonts w:ascii="Times New Roman" w:hAnsi="Times New Roman" w:cs="Times New Roman"/>
          <w:sz w:val="24"/>
          <w:szCs w:val="24"/>
        </w:rPr>
        <w:t xml:space="preserve">whereby </w:t>
      </w:r>
      <w:r w:rsidRPr="00774EDB">
        <w:rPr>
          <w:rFonts w:ascii="Times New Roman" w:hAnsi="Times New Roman" w:cs="Times New Roman"/>
          <w:sz w:val="24"/>
          <w:szCs w:val="24"/>
        </w:rPr>
        <w:t>the negative effects of overzealous exercise of IPRs</w:t>
      </w:r>
      <w:r w:rsidR="00F66E89">
        <w:rPr>
          <w:rFonts w:ascii="Times New Roman" w:hAnsi="Times New Roman" w:cs="Times New Roman"/>
          <w:sz w:val="24"/>
          <w:szCs w:val="24"/>
        </w:rPr>
        <w:t xml:space="preserve"> </w:t>
      </w:r>
      <w:r w:rsidR="00567A35">
        <w:rPr>
          <w:rFonts w:ascii="Times New Roman" w:hAnsi="Times New Roman" w:cs="Times New Roman"/>
          <w:sz w:val="24"/>
          <w:szCs w:val="24"/>
        </w:rPr>
        <w:t>are also considered</w:t>
      </w:r>
      <w:r w:rsidRPr="00774EDB">
        <w:rPr>
          <w:rFonts w:ascii="Times New Roman" w:hAnsi="Times New Roman" w:cs="Times New Roman"/>
          <w:sz w:val="24"/>
          <w:szCs w:val="24"/>
        </w:rPr>
        <w:t>.</w:t>
      </w:r>
      <w:r w:rsidR="00F66E89" w:rsidRPr="00774EDB">
        <w:rPr>
          <w:rStyle w:val="FootnoteReference"/>
          <w:rFonts w:ascii="Times New Roman" w:hAnsi="Times New Roman" w:cs="Times New Roman"/>
          <w:sz w:val="24"/>
          <w:szCs w:val="24"/>
        </w:rPr>
        <w:footnoteReference w:id="225"/>
      </w:r>
      <w:r w:rsidR="00567A35">
        <w:rPr>
          <w:rFonts w:ascii="Times New Roman" w:hAnsi="Times New Roman" w:cs="Times New Roman"/>
          <w:sz w:val="24"/>
          <w:szCs w:val="24"/>
        </w:rPr>
        <w:t xml:space="preserve"> </w:t>
      </w:r>
      <w:r w:rsidR="00F66E89">
        <w:rPr>
          <w:rFonts w:ascii="Times New Roman" w:hAnsi="Times New Roman" w:cs="Times New Roman"/>
          <w:sz w:val="24"/>
          <w:szCs w:val="24"/>
        </w:rPr>
        <w:t>T</w:t>
      </w:r>
      <w:r w:rsidR="00567A35">
        <w:rPr>
          <w:rFonts w:ascii="Times New Roman" w:hAnsi="Times New Roman" w:cs="Times New Roman"/>
          <w:sz w:val="24"/>
          <w:szCs w:val="24"/>
        </w:rPr>
        <w:t xml:space="preserve">his </w:t>
      </w:r>
      <w:r w:rsidR="00A30BB3">
        <w:rPr>
          <w:rFonts w:ascii="Times New Roman" w:hAnsi="Times New Roman" w:cs="Times New Roman"/>
          <w:sz w:val="24"/>
          <w:szCs w:val="24"/>
        </w:rPr>
        <w:t>prevailing</w:t>
      </w:r>
      <w:r w:rsidR="00567A35">
        <w:rPr>
          <w:rFonts w:ascii="Times New Roman" w:hAnsi="Times New Roman" w:cs="Times New Roman"/>
          <w:sz w:val="24"/>
          <w:szCs w:val="24"/>
        </w:rPr>
        <w:t xml:space="preserve"> </w:t>
      </w:r>
      <w:r w:rsidR="00F66E89">
        <w:rPr>
          <w:rFonts w:ascii="Times New Roman" w:hAnsi="Times New Roman" w:cs="Times New Roman"/>
          <w:sz w:val="24"/>
          <w:szCs w:val="24"/>
        </w:rPr>
        <w:t xml:space="preserve">role of </w:t>
      </w:r>
      <w:r w:rsidR="00A30BB3">
        <w:rPr>
          <w:rFonts w:ascii="Times New Roman" w:hAnsi="Times New Roman" w:cs="Times New Roman"/>
          <w:sz w:val="24"/>
          <w:szCs w:val="24"/>
        </w:rPr>
        <w:t xml:space="preserve">the </w:t>
      </w:r>
      <w:r w:rsidR="00F66E89">
        <w:rPr>
          <w:rFonts w:ascii="Times New Roman" w:hAnsi="Times New Roman" w:cs="Times New Roman"/>
          <w:sz w:val="24"/>
          <w:szCs w:val="24"/>
        </w:rPr>
        <w:t>EU competition law</w:t>
      </w:r>
      <w:r w:rsidR="00567A35">
        <w:rPr>
          <w:rFonts w:ascii="Times New Roman" w:hAnsi="Times New Roman" w:cs="Times New Roman"/>
          <w:sz w:val="24"/>
          <w:szCs w:val="24"/>
        </w:rPr>
        <w:t xml:space="preserve"> </w:t>
      </w:r>
      <w:r w:rsidR="00F66E89">
        <w:rPr>
          <w:rFonts w:ascii="Times New Roman" w:hAnsi="Times New Roman" w:cs="Times New Roman"/>
          <w:sz w:val="24"/>
          <w:szCs w:val="24"/>
        </w:rPr>
        <w:t>could also be read through the TFEU provisions and foundational basis of the EU which relies on the freedom of persons, goods, services and capital.</w:t>
      </w:r>
      <w:r w:rsidR="003A3A6B">
        <w:rPr>
          <w:rStyle w:val="FootnoteReference"/>
          <w:rFonts w:ascii="Times New Roman" w:hAnsi="Times New Roman" w:cs="Times New Roman"/>
          <w:sz w:val="24"/>
          <w:szCs w:val="24"/>
        </w:rPr>
        <w:footnoteReference w:id="226"/>
      </w:r>
    </w:p>
    <w:p w14:paraId="35234DF7" w14:textId="25FCF685" w:rsidR="005207A2" w:rsidRPr="00774EDB" w:rsidRDefault="00F66E89" w:rsidP="00A70042">
      <w:pPr>
        <w:spacing w:before="360"/>
        <w:jc w:val="both"/>
        <w:rPr>
          <w:rFonts w:ascii="Times New Roman" w:hAnsi="Times New Roman" w:cs="Times New Roman"/>
          <w:sz w:val="24"/>
          <w:szCs w:val="24"/>
        </w:rPr>
      </w:pPr>
      <w:r>
        <w:rPr>
          <w:rFonts w:ascii="Times New Roman" w:hAnsi="Times New Roman" w:cs="Times New Roman"/>
          <w:sz w:val="24"/>
          <w:szCs w:val="24"/>
        </w:rPr>
        <w:t>From this point of view</w:t>
      </w:r>
      <w:r w:rsidR="00423BC4" w:rsidRPr="00774EDB">
        <w:rPr>
          <w:rFonts w:ascii="Times New Roman" w:hAnsi="Times New Roman" w:cs="Times New Roman"/>
          <w:sz w:val="24"/>
          <w:szCs w:val="24"/>
        </w:rPr>
        <w:t xml:space="preserve">, </w:t>
      </w:r>
      <w:r>
        <w:rPr>
          <w:rFonts w:ascii="Times New Roman" w:hAnsi="Times New Roman" w:cs="Times New Roman"/>
          <w:sz w:val="24"/>
          <w:szCs w:val="24"/>
        </w:rPr>
        <w:t xml:space="preserve">it is acknowledged </w:t>
      </w:r>
      <w:r w:rsidR="00423BC4" w:rsidRPr="00774EDB">
        <w:rPr>
          <w:rFonts w:ascii="Times New Roman" w:hAnsi="Times New Roman" w:cs="Times New Roman"/>
          <w:sz w:val="24"/>
          <w:szCs w:val="24"/>
        </w:rPr>
        <w:t xml:space="preserve">exclusionary conducts driven by hindered interoperability would harm competitive forces or </w:t>
      </w:r>
      <w:r w:rsidR="00B4123F" w:rsidRPr="00774EDB">
        <w:rPr>
          <w:rFonts w:ascii="Times New Roman" w:hAnsi="Times New Roman" w:cs="Times New Roman"/>
          <w:sz w:val="24"/>
          <w:szCs w:val="24"/>
        </w:rPr>
        <w:t>re</w:t>
      </w:r>
      <w:r w:rsidR="00423BC4" w:rsidRPr="00774EDB">
        <w:rPr>
          <w:rFonts w:ascii="Times New Roman" w:hAnsi="Times New Roman" w:cs="Times New Roman"/>
          <w:sz w:val="24"/>
          <w:szCs w:val="24"/>
        </w:rPr>
        <w:t xml:space="preserve">straints residing in the relevant market. </w:t>
      </w:r>
      <w:r w:rsidR="00F76A5A" w:rsidRPr="00774EDB">
        <w:rPr>
          <w:rFonts w:ascii="Times New Roman" w:hAnsi="Times New Roman" w:cs="Times New Roman"/>
          <w:sz w:val="24"/>
          <w:szCs w:val="24"/>
        </w:rPr>
        <w:t>W</w:t>
      </w:r>
      <w:r w:rsidR="00423BC4" w:rsidRPr="00774EDB">
        <w:rPr>
          <w:rFonts w:ascii="Times New Roman" w:hAnsi="Times New Roman" w:cs="Times New Roman"/>
          <w:sz w:val="24"/>
          <w:szCs w:val="24"/>
        </w:rPr>
        <w:t>hen interface</w:t>
      </w:r>
      <w:r w:rsidR="006969BA" w:rsidRPr="00774EDB">
        <w:rPr>
          <w:rFonts w:ascii="Times New Roman" w:hAnsi="Times New Roman" w:cs="Times New Roman"/>
          <w:sz w:val="24"/>
          <w:szCs w:val="24"/>
        </w:rPr>
        <w:t>s</w:t>
      </w:r>
      <w:r w:rsidR="00423BC4" w:rsidRPr="00774EDB">
        <w:rPr>
          <w:rFonts w:ascii="Times New Roman" w:hAnsi="Times New Roman" w:cs="Times New Roman"/>
          <w:sz w:val="24"/>
          <w:szCs w:val="24"/>
        </w:rPr>
        <w:t xml:space="preserve"> are </w:t>
      </w:r>
      <w:r w:rsidR="006969BA" w:rsidRPr="00774EDB">
        <w:rPr>
          <w:rFonts w:ascii="Times New Roman" w:hAnsi="Times New Roman" w:cs="Times New Roman"/>
          <w:sz w:val="24"/>
          <w:szCs w:val="24"/>
        </w:rPr>
        <w:t>concealed</w:t>
      </w:r>
      <w:r w:rsidR="00423BC4" w:rsidRPr="00774EDB">
        <w:rPr>
          <w:rFonts w:ascii="Times New Roman" w:hAnsi="Times New Roman" w:cs="Times New Roman"/>
          <w:sz w:val="24"/>
          <w:szCs w:val="24"/>
        </w:rPr>
        <w:t xml:space="preserve"> by IPRs or TPMs, an overzealous exercise of </w:t>
      </w:r>
      <w:r w:rsidR="00423BC4" w:rsidRPr="00774EDB">
        <w:rPr>
          <w:rFonts w:ascii="Times New Roman" w:hAnsi="Times New Roman" w:cs="Times New Roman"/>
          <w:sz w:val="24"/>
          <w:szCs w:val="24"/>
        </w:rPr>
        <w:lastRenderedPageBreak/>
        <w:t xml:space="preserve">the rights granted to the parties e.g. dominant undertakings, </w:t>
      </w:r>
      <w:r w:rsidR="00D54F5A" w:rsidRPr="00774EDB">
        <w:rPr>
          <w:rFonts w:ascii="Times New Roman" w:hAnsi="Times New Roman" w:cs="Times New Roman"/>
          <w:sz w:val="24"/>
          <w:szCs w:val="24"/>
        </w:rPr>
        <w:t>might</w:t>
      </w:r>
      <w:r w:rsidR="00423BC4" w:rsidRPr="00774EDB">
        <w:rPr>
          <w:rFonts w:ascii="Times New Roman" w:hAnsi="Times New Roman" w:cs="Times New Roman"/>
          <w:sz w:val="24"/>
          <w:szCs w:val="24"/>
        </w:rPr>
        <w:t xml:space="preserve"> be at stake</w:t>
      </w:r>
      <w:r>
        <w:rPr>
          <w:rFonts w:ascii="Times New Roman" w:hAnsi="Times New Roman" w:cs="Times New Roman"/>
          <w:sz w:val="24"/>
          <w:szCs w:val="24"/>
        </w:rPr>
        <w:t xml:space="preserve"> making the competition authorities or the Commission concerned</w:t>
      </w:r>
      <w:r w:rsidR="00423BC4" w:rsidRPr="00774EDB">
        <w:rPr>
          <w:rFonts w:ascii="Times New Roman" w:hAnsi="Times New Roman" w:cs="Times New Roman"/>
          <w:sz w:val="24"/>
          <w:szCs w:val="24"/>
        </w:rPr>
        <w:t xml:space="preserve">. This is more relevant in a case where </w:t>
      </w:r>
      <w:r w:rsidR="00F76A5A" w:rsidRPr="00774EDB">
        <w:rPr>
          <w:rFonts w:ascii="Times New Roman" w:hAnsi="Times New Roman" w:cs="Times New Roman"/>
          <w:sz w:val="24"/>
          <w:szCs w:val="24"/>
        </w:rPr>
        <w:t>distortion of competition happens such as in vendor lock-in following misuse of market power</w:t>
      </w:r>
      <w:r w:rsidR="00D54F5A" w:rsidRPr="00774EDB">
        <w:rPr>
          <w:rFonts w:ascii="Times New Roman" w:hAnsi="Times New Roman" w:cs="Times New Roman"/>
          <w:sz w:val="24"/>
          <w:szCs w:val="24"/>
        </w:rPr>
        <w:t xml:space="preserve"> and/or network effects</w:t>
      </w:r>
      <w:r w:rsidR="00423BC4" w:rsidRPr="00774EDB">
        <w:rPr>
          <w:rFonts w:ascii="Times New Roman" w:hAnsi="Times New Roman" w:cs="Times New Roman"/>
          <w:sz w:val="24"/>
          <w:szCs w:val="24"/>
        </w:rPr>
        <w:t xml:space="preserve">, along with the likelihood of lessened consumer surplus. Clearly, </w:t>
      </w:r>
      <w:r>
        <w:rPr>
          <w:rFonts w:ascii="Times New Roman" w:hAnsi="Times New Roman" w:cs="Times New Roman"/>
          <w:sz w:val="24"/>
          <w:szCs w:val="24"/>
        </w:rPr>
        <w:t xml:space="preserve">although </w:t>
      </w:r>
      <w:r w:rsidR="00423BC4" w:rsidRPr="00774EDB">
        <w:rPr>
          <w:rFonts w:ascii="Times New Roman" w:hAnsi="Times New Roman" w:cs="Times New Roman"/>
          <w:sz w:val="24"/>
          <w:szCs w:val="24"/>
        </w:rPr>
        <w:t>not an aim of EU competition law itself</w:t>
      </w:r>
      <w:r w:rsidR="00F469DB">
        <w:rPr>
          <w:rFonts w:ascii="Times New Roman" w:hAnsi="Times New Roman" w:cs="Times New Roman"/>
          <w:sz w:val="24"/>
          <w:szCs w:val="24"/>
        </w:rPr>
        <w:t>,</w:t>
      </w:r>
      <w:r w:rsidR="00423BC4" w:rsidRPr="00774EDB">
        <w:rPr>
          <w:rFonts w:ascii="Times New Roman" w:hAnsi="Times New Roman" w:cs="Times New Roman"/>
          <w:sz w:val="24"/>
          <w:szCs w:val="24"/>
        </w:rPr>
        <w:t xml:space="preserve"> </w:t>
      </w:r>
      <w:r w:rsidR="00F469DB" w:rsidRPr="00774EDB">
        <w:rPr>
          <w:rFonts w:ascii="Times New Roman" w:hAnsi="Times New Roman" w:cs="Times New Roman"/>
          <w:sz w:val="24"/>
          <w:szCs w:val="24"/>
        </w:rPr>
        <w:t xml:space="preserve">achieving interoperability </w:t>
      </w:r>
      <w:r w:rsidR="00423BC4" w:rsidRPr="00774EDB">
        <w:rPr>
          <w:rFonts w:ascii="Times New Roman" w:hAnsi="Times New Roman" w:cs="Times New Roman"/>
          <w:sz w:val="24"/>
          <w:szCs w:val="24"/>
        </w:rPr>
        <w:t xml:space="preserve">has thus far emerged as an important means to </w:t>
      </w:r>
      <w:r w:rsidR="00D54F5A" w:rsidRPr="00774EDB">
        <w:rPr>
          <w:rFonts w:ascii="Times New Roman" w:hAnsi="Times New Roman" w:cs="Times New Roman"/>
          <w:sz w:val="24"/>
          <w:szCs w:val="24"/>
        </w:rPr>
        <w:t xml:space="preserve">break off lock-ins and to </w:t>
      </w:r>
      <w:r w:rsidR="00423BC4" w:rsidRPr="00774EDB">
        <w:rPr>
          <w:rFonts w:ascii="Times New Roman" w:hAnsi="Times New Roman" w:cs="Times New Roman"/>
          <w:sz w:val="24"/>
          <w:szCs w:val="24"/>
        </w:rPr>
        <w:t>eliminate anti-competitive effects under the TFEU.</w:t>
      </w:r>
    </w:p>
    <w:p w14:paraId="1A65A157" w14:textId="41364F09" w:rsidR="006969BA" w:rsidRPr="00774EDB" w:rsidRDefault="00F469DB" w:rsidP="00A70042">
      <w:pPr>
        <w:spacing w:before="360"/>
        <w:jc w:val="both"/>
        <w:rPr>
          <w:rFonts w:ascii="Times New Roman" w:hAnsi="Times New Roman" w:cs="Times New Roman"/>
          <w:sz w:val="24"/>
          <w:szCs w:val="24"/>
        </w:rPr>
      </w:pPr>
      <w:r>
        <w:rPr>
          <w:rFonts w:ascii="Times New Roman" w:hAnsi="Times New Roman" w:cs="Times New Roman"/>
          <w:sz w:val="24"/>
          <w:szCs w:val="24"/>
        </w:rPr>
        <w:t>Under this light, l</w:t>
      </w:r>
      <w:r w:rsidR="006969BA" w:rsidRPr="00774EDB">
        <w:rPr>
          <w:rFonts w:ascii="Times New Roman" w:hAnsi="Times New Roman" w:cs="Times New Roman"/>
          <w:sz w:val="24"/>
          <w:szCs w:val="24"/>
        </w:rPr>
        <w:t xml:space="preserve">ack of interoperability between competing platforms, networks and services </w:t>
      </w:r>
      <w:r>
        <w:rPr>
          <w:rFonts w:ascii="Times New Roman" w:hAnsi="Times New Roman" w:cs="Times New Roman"/>
          <w:sz w:val="24"/>
          <w:szCs w:val="24"/>
        </w:rPr>
        <w:t xml:space="preserve">could </w:t>
      </w:r>
      <w:r w:rsidR="006969BA" w:rsidRPr="00774EDB">
        <w:rPr>
          <w:rFonts w:ascii="Times New Roman" w:hAnsi="Times New Roman" w:cs="Times New Roman"/>
          <w:sz w:val="24"/>
          <w:szCs w:val="24"/>
        </w:rPr>
        <w:t xml:space="preserve">become a source of concern particularly because of the potential network effects and the risk of exclusion in the relevant market(s). This situation might be aggravated by making use of IPRs over APIs which often function as a gatekeeper for the upstream ICT markets. If secondary (downstream) markets are locked into a proprietary platform particularly by means of using IPR-protected interfaces, the ultimate goals of IPR rules </w:t>
      </w:r>
      <w:r w:rsidR="007C205A">
        <w:rPr>
          <w:rFonts w:ascii="Times New Roman" w:hAnsi="Times New Roman" w:cs="Times New Roman"/>
          <w:sz w:val="24"/>
          <w:szCs w:val="24"/>
        </w:rPr>
        <w:t>such as</w:t>
      </w:r>
      <w:r w:rsidR="006969BA" w:rsidRPr="00774EDB">
        <w:rPr>
          <w:rFonts w:ascii="Times New Roman" w:hAnsi="Times New Roman" w:cs="Times New Roman"/>
          <w:sz w:val="24"/>
          <w:szCs w:val="24"/>
        </w:rPr>
        <w:t xml:space="preserve"> stimulation of follow-on innovation or original products becomes compromised, leaving </w:t>
      </w:r>
      <w:r w:rsidR="007C205A">
        <w:rPr>
          <w:rFonts w:ascii="Times New Roman" w:hAnsi="Times New Roman" w:cs="Times New Roman"/>
          <w:sz w:val="24"/>
          <w:szCs w:val="24"/>
        </w:rPr>
        <w:t xml:space="preserve">a bigger </w:t>
      </w:r>
      <w:r w:rsidR="006969BA" w:rsidRPr="00774EDB">
        <w:rPr>
          <w:rFonts w:ascii="Times New Roman" w:hAnsi="Times New Roman" w:cs="Times New Roman"/>
          <w:sz w:val="24"/>
          <w:szCs w:val="24"/>
        </w:rPr>
        <w:t>room for competition law remedies.</w:t>
      </w:r>
    </w:p>
    <w:p w14:paraId="284DB037" w14:textId="46EDDB6A" w:rsidR="006969BA" w:rsidRPr="00774EDB" w:rsidRDefault="00232BA9" w:rsidP="00A70042">
      <w:pPr>
        <w:spacing w:before="360"/>
        <w:jc w:val="both"/>
        <w:rPr>
          <w:rFonts w:ascii="Times New Roman" w:hAnsi="Times New Roman" w:cs="Times New Roman"/>
          <w:sz w:val="24"/>
          <w:szCs w:val="24"/>
        </w:rPr>
      </w:pPr>
      <w:r>
        <w:rPr>
          <w:rFonts w:ascii="Times New Roman" w:hAnsi="Times New Roman" w:cs="Times New Roman"/>
          <w:sz w:val="24"/>
          <w:szCs w:val="24"/>
        </w:rPr>
        <w:t>Following this spirit</w:t>
      </w:r>
      <w:r w:rsidR="006969BA" w:rsidRPr="00774EDB">
        <w:rPr>
          <w:rFonts w:ascii="Times New Roman" w:hAnsi="Times New Roman" w:cs="Times New Roman"/>
          <w:sz w:val="24"/>
          <w:szCs w:val="24"/>
        </w:rPr>
        <w:t xml:space="preserve">, Article 102 of the TFEU, which prohibits abuse of dominant position, has effectively been invoked against ‘exclusionary’ abuses e.g. involving hindered interoperability information. While </w:t>
      </w:r>
      <w:r w:rsidR="006969BA" w:rsidRPr="00774EDB">
        <w:rPr>
          <w:rFonts w:ascii="Times New Roman" w:hAnsi="Times New Roman" w:cs="Times New Roman"/>
          <w:i/>
          <w:sz w:val="24"/>
          <w:szCs w:val="24"/>
        </w:rPr>
        <w:t>Microsoft</w:t>
      </w:r>
      <w:r w:rsidR="006969BA" w:rsidRPr="00774EDB">
        <w:rPr>
          <w:rFonts w:ascii="Times New Roman" w:hAnsi="Times New Roman" w:cs="Times New Roman"/>
          <w:sz w:val="24"/>
          <w:szCs w:val="24"/>
        </w:rPr>
        <w:t xml:space="preserve"> is known as the leading case regarding ‘refusal to supply interoperability information’, the precedents involving refusal to license practices trace back to the cases, </w:t>
      </w:r>
      <w:r w:rsidR="006969BA" w:rsidRPr="00774EDB">
        <w:rPr>
          <w:rFonts w:ascii="Times New Roman" w:hAnsi="Times New Roman" w:cs="Times New Roman"/>
          <w:i/>
          <w:sz w:val="24"/>
          <w:szCs w:val="24"/>
        </w:rPr>
        <w:t>Magill</w:t>
      </w:r>
      <w:r w:rsidR="006969BA" w:rsidRPr="00774EDB">
        <w:rPr>
          <w:rStyle w:val="FootnoteReference"/>
          <w:rFonts w:ascii="Times New Roman" w:hAnsi="Times New Roman" w:cs="Times New Roman"/>
          <w:sz w:val="24"/>
          <w:szCs w:val="24"/>
        </w:rPr>
        <w:footnoteReference w:id="227"/>
      </w:r>
      <w:r w:rsidR="006969BA" w:rsidRPr="00774EDB">
        <w:rPr>
          <w:rFonts w:ascii="Times New Roman" w:hAnsi="Times New Roman" w:cs="Times New Roman"/>
          <w:i/>
          <w:sz w:val="24"/>
          <w:szCs w:val="24"/>
        </w:rPr>
        <w:t xml:space="preserve"> </w:t>
      </w:r>
      <w:r w:rsidR="006969BA" w:rsidRPr="00774EDB">
        <w:rPr>
          <w:rFonts w:ascii="Times New Roman" w:hAnsi="Times New Roman" w:cs="Times New Roman"/>
          <w:sz w:val="24"/>
          <w:szCs w:val="24"/>
        </w:rPr>
        <w:t>and</w:t>
      </w:r>
      <w:r w:rsidR="006969BA" w:rsidRPr="00774EDB">
        <w:rPr>
          <w:rFonts w:ascii="Times New Roman" w:hAnsi="Times New Roman" w:cs="Times New Roman"/>
          <w:i/>
          <w:sz w:val="24"/>
          <w:szCs w:val="24"/>
        </w:rPr>
        <w:t xml:space="preserve"> IMS Health</w:t>
      </w:r>
      <w:r w:rsidR="006969BA" w:rsidRPr="00774EDB">
        <w:rPr>
          <w:rFonts w:ascii="Times New Roman" w:hAnsi="Times New Roman" w:cs="Times New Roman"/>
          <w:sz w:val="24"/>
          <w:szCs w:val="24"/>
        </w:rPr>
        <w:t>,</w:t>
      </w:r>
      <w:r w:rsidR="006969BA" w:rsidRPr="00774EDB">
        <w:rPr>
          <w:rStyle w:val="FootnoteReference"/>
          <w:rFonts w:ascii="Times New Roman" w:hAnsi="Times New Roman" w:cs="Times New Roman"/>
          <w:sz w:val="24"/>
          <w:szCs w:val="24"/>
        </w:rPr>
        <w:footnoteReference w:id="228"/>
      </w:r>
      <w:r w:rsidR="006969BA" w:rsidRPr="00774EDB">
        <w:rPr>
          <w:rFonts w:ascii="Times New Roman" w:hAnsi="Times New Roman" w:cs="Times New Roman"/>
          <w:sz w:val="24"/>
          <w:szCs w:val="24"/>
        </w:rPr>
        <w:t xml:space="preserve"> where </w:t>
      </w:r>
      <w:r w:rsidR="006969BA" w:rsidRPr="00774EDB">
        <w:rPr>
          <w:rFonts w:ascii="Times New Roman" w:hAnsi="Times New Roman" w:cs="Times New Roman"/>
          <w:sz w:val="24"/>
          <w:szCs w:val="24"/>
        </w:rPr>
        <w:lastRenderedPageBreak/>
        <w:t>we see distinct criteria based on deterrence of new products, foreclosure of secondary markets, etc.</w:t>
      </w:r>
    </w:p>
    <w:p w14:paraId="5E498D58" w14:textId="2E0748F3" w:rsidR="00260072" w:rsidRPr="00774EDB" w:rsidRDefault="006969B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referred EU antitrust cases represent the cornerstone decisions setting out the </w:t>
      </w:r>
      <w:r w:rsidRPr="00774EDB">
        <w:rPr>
          <w:rFonts w:ascii="Times New Roman" w:hAnsi="Times New Roman" w:cs="Times New Roman"/>
          <w:i/>
          <w:sz w:val="24"/>
          <w:szCs w:val="24"/>
        </w:rPr>
        <w:t>“exceptional circumstances”</w:t>
      </w:r>
      <w:r w:rsidRPr="00774EDB">
        <w:rPr>
          <w:rFonts w:ascii="Times New Roman" w:hAnsi="Times New Roman" w:cs="Times New Roman"/>
          <w:sz w:val="24"/>
          <w:szCs w:val="24"/>
        </w:rPr>
        <w:t xml:space="preserve"> that define abusive ‘refusal to license’ acts within the meaning of the Article 102 of the TFEU. According to the case law, refusal to license a dominant product that is protected by IPRs may amount to a finding of an abusive behaviour, providing that the ‘exceptional circumstances’ exist in the </w:t>
      </w:r>
      <w:r w:rsidR="002911CB">
        <w:rPr>
          <w:rFonts w:ascii="Times New Roman" w:hAnsi="Times New Roman" w:cs="Times New Roman"/>
          <w:sz w:val="24"/>
          <w:szCs w:val="24"/>
        </w:rPr>
        <w:t>particular</w:t>
      </w:r>
      <w:r w:rsidR="002911CB" w:rsidRPr="00774EDB">
        <w:rPr>
          <w:rFonts w:ascii="Times New Roman" w:hAnsi="Times New Roman" w:cs="Times New Roman"/>
          <w:sz w:val="24"/>
          <w:szCs w:val="24"/>
        </w:rPr>
        <w:t xml:space="preserve"> </w:t>
      </w:r>
      <w:r w:rsidRPr="00774EDB">
        <w:rPr>
          <w:rFonts w:ascii="Times New Roman" w:hAnsi="Times New Roman" w:cs="Times New Roman"/>
          <w:sz w:val="24"/>
          <w:szCs w:val="24"/>
        </w:rPr>
        <w:t>case. To reach such a conclusion, it needs to be established whether the following cumulative conditions have been met:</w:t>
      </w:r>
      <w:r w:rsidR="00260072" w:rsidRPr="00774EDB">
        <w:rPr>
          <w:rStyle w:val="FootnoteReference"/>
          <w:rFonts w:ascii="Times New Roman" w:hAnsi="Times New Roman" w:cs="Times New Roman"/>
          <w:sz w:val="24"/>
          <w:szCs w:val="24"/>
        </w:rPr>
        <w:footnoteReference w:id="229"/>
      </w:r>
    </w:p>
    <w:p w14:paraId="5D8CDA4B" w14:textId="77777777" w:rsidR="00260072" w:rsidRPr="00774EDB" w:rsidRDefault="00260072" w:rsidP="00A70042">
      <w:pPr>
        <w:pStyle w:val="ListParagraph"/>
        <w:numPr>
          <w:ilvl w:val="0"/>
          <w:numId w:val="3"/>
        </w:numPr>
        <w:spacing w:before="120"/>
        <w:contextualSpacing w:val="0"/>
        <w:jc w:val="both"/>
        <w:rPr>
          <w:rFonts w:ascii="Times New Roman" w:hAnsi="Times New Roman" w:cs="Times New Roman"/>
          <w:sz w:val="24"/>
          <w:szCs w:val="24"/>
          <w:lang w:val="tr-TR"/>
        </w:rPr>
      </w:pPr>
      <w:r w:rsidRPr="00774EDB">
        <w:rPr>
          <w:rFonts w:ascii="Times New Roman" w:hAnsi="Times New Roman" w:cs="Times New Roman"/>
          <w:sz w:val="24"/>
          <w:szCs w:val="24"/>
        </w:rPr>
        <w:t>t</w:t>
      </w:r>
      <w:r w:rsidRPr="00774EDB">
        <w:rPr>
          <w:rFonts w:ascii="Times New Roman" w:hAnsi="Times New Roman" w:cs="Times New Roman"/>
          <w:sz w:val="24"/>
          <w:szCs w:val="24"/>
          <w:lang w:val="tr-TR"/>
        </w:rPr>
        <w:t xml:space="preserve">he refusal relates to a product or service that is </w:t>
      </w:r>
      <w:r w:rsidRPr="00774EDB">
        <w:rPr>
          <w:rFonts w:ascii="Times New Roman" w:hAnsi="Times New Roman" w:cs="Times New Roman"/>
          <w:i/>
          <w:sz w:val="24"/>
          <w:szCs w:val="24"/>
          <w:lang w:val="tr-TR"/>
        </w:rPr>
        <w:t>objectively necessary to be able to compete effectively</w:t>
      </w:r>
      <w:r w:rsidRPr="00774EDB">
        <w:rPr>
          <w:rFonts w:ascii="Times New Roman" w:hAnsi="Times New Roman" w:cs="Times New Roman"/>
          <w:sz w:val="24"/>
          <w:szCs w:val="24"/>
          <w:lang w:val="tr-TR"/>
        </w:rPr>
        <w:t xml:space="preserve"> on a downstream market;</w:t>
      </w:r>
    </w:p>
    <w:p w14:paraId="7F9F6242" w14:textId="5B4C253E" w:rsidR="00260072" w:rsidRPr="00774EDB" w:rsidRDefault="00F669A3" w:rsidP="00A70042">
      <w:pPr>
        <w:numPr>
          <w:ilvl w:val="0"/>
          <w:numId w:val="3"/>
        </w:numPr>
        <w:autoSpaceDE w:val="0"/>
        <w:autoSpaceDN w:val="0"/>
        <w:adjustRightInd w:val="0"/>
        <w:spacing w:before="120"/>
        <w:ind w:left="714" w:hanging="357"/>
        <w:jc w:val="both"/>
        <w:rPr>
          <w:rFonts w:ascii="Times New Roman" w:hAnsi="Times New Roman" w:cs="Times New Roman"/>
          <w:sz w:val="24"/>
          <w:szCs w:val="24"/>
          <w:lang w:val="tr-TR"/>
        </w:rPr>
      </w:pPr>
      <w:r w:rsidRPr="00774EDB">
        <w:rPr>
          <w:rFonts w:ascii="Times New Roman" w:hAnsi="Times New Roman" w:cs="Times New Roman"/>
          <w:sz w:val="24"/>
          <w:szCs w:val="24"/>
          <w:lang w:val="tr-TR"/>
        </w:rPr>
        <w:t xml:space="preserve">the </w:t>
      </w:r>
      <w:r w:rsidR="00260072" w:rsidRPr="00774EDB">
        <w:rPr>
          <w:rFonts w:ascii="Times New Roman" w:hAnsi="Times New Roman" w:cs="Times New Roman"/>
          <w:sz w:val="24"/>
          <w:szCs w:val="24"/>
          <w:lang w:val="tr-TR"/>
        </w:rPr>
        <w:t xml:space="preserve">refusal is </w:t>
      </w:r>
      <w:r w:rsidR="00260072" w:rsidRPr="00774EDB">
        <w:rPr>
          <w:rFonts w:ascii="Times New Roman" w:hAnsi="Times New Roman" w:cs="Times New Roman"/>
          <w:i/>
          <w:sz w:val="24"/>
          <w:szCs w:val="24"/>
          <w:lang w:val="tr-TR"/>
        </w:rPr>
        <w:t>likely to lead to the elimination of effective competition</w:t>
      </w:r>
      <w:r w:rsidR="00260072" w:rsidRPr="00774EDB">
        <w:rPr>
          <w:rFonts w:ascii="Times New Roman" w:hAnsi="Times New Roman" w:cs="Times New Roman"/>
          <w:sz w:val="24"/>
          <w:szCs w:val="24"/>
          <w:lang w:val="tr-TR"/>
        </w:rPr>
        <w:t xml:space="preserve"> on the downstream market; and</w:t>
      </w:r>
    </w:p>
    <w:p w14:paraId="20897736" w14:textId="77777777" w:rsidR="005B6F02" w:rsidRPr="00774EDB" w:rsidRDefault="00260072" w:rsidP="00A70042">
      <w:pPr>
        <w:pStyle w:val="ListParagraph"/>
        <w:numPr>
          <w:ilvl w:val="0"/>
          <w:numId w:val="3"/>
        </w:numPr>
        <w:spacing w:before="120"/>
        <w:contextualSpacing w:val="0"/>
        <w:jc w:val="both"/>
        <w:rPr>
          <w:rFonts w:ascii="Times New Roman" w:hAnsi="Times New Roman" w:cs="Times New Roman"/>
          <w:sz w:val="24"/>
          <w:szCs w:val="24"/>
          <w:lang w:val="tr-TR"/>
        </w:rPr>
      </w:pPr>
      <w:r w:rsidRPr="00774EDB">
        <w:rPr>
          <w:rFonts w:ascii="Times New Roman" w:hAnsi="Times New Roman" w:cs="Times New Roman"/>
          <w:sz w:val="24"/>
          <w:szCs w:val="24"/>
          <w:lang w:val="tr-TR"/>
        </w:rPr>
        <w:t xml:space="preserve">the refusal is </w:t>
      </w:r>
      <w:r w:rsidRPr="00774EDB">
        <w:rPr>
          <w:rFonts w:ascii="Times New Roman" w:hAnsi="Times New Roman" w:cs="Times New Roman"/>
          <w:i/>
          <w:sz w:val="24"/>
          <w:szCs w:val="24"/>
          <w:lang w:val="tr-TR"/>
        </w:rPr>
        <w:t>likely to lead to consumer harm</w:t>
      </w:r>
      <w:r w:rsidRPr="00774EDB">
        <w:rPr>
          <w:rFonts w:ascii="Times New Roman" w:hAnsi="Times New Roman" w:cs="Times New Roman"/>
          <w:sz w:val="24"/>
          <w:szCs w:val="24"/>
          <w:lang w:val="tr-TR"/>
        </w:rPr>
        <w:t>.</w:t>
      </w:r>
    </w:p>
    <w:p w14:paraId="5EB3DCE6" w14:textId="68E3E1D2" w:rsidR="007D741F" w:rsidRPr="00774EDB" w:rsidRDefault="001068EB"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 xml:space="preserve">As </w:t>
      </w:r>
      <w:r w:rsidR="00C91AA9" w:rsidRPr="00774EDB">
        <w:rPr>
          <w:rFonts w:ascii="Times New Roman" w:hAnsi="Times New Roman" w:cs="Times New Roman"/>
          <w:sz w:val="24"/>
          <w:szCs w:val="24"/>
        </w:rPr>
        <w:t>hindered</w:t>
      </w:r>
      <w:r w:rsidRPr="00774EDB">
        <w:rPr>
          <w:rFonts w:ascii="Times New Roman" w:hAnsi="Times New Roman" w:cs="Times New Roman"/>
          <w:sz w:val="24"/>
          <w:szCs w:val="24"/>
        </w:rPr>
        <w:t xml:space="preserve"> interoperability </w:t>
      </w:r>
      <w:r w:rsidR="00482D76" w:rsidRPr="00774EDB">
        <w:rPr>
          <w:rFonts w:ascii="Times New Roman" w:hAnsi="Times New Roman" w:cs="Times New Roman"/>
          <w:sz w:val="24"/>
          <w:szCs w:val="24"/>
        </w:rPr>
        <w:t>is meant to be the</w:t>
      </w:r>
      <w:r w:rsidR="00DD5336" w:rsidRPr="00774EDB">
        <w:rPr>
          <w:rFonts w:ascii="Times New Roman" w:hAnsi="Times New Roman" w:cs="Times New Roman"/>
          <w:sz w:val="24"/>
          <w:szCs w:val="24"/>
        </w:rPr>
        <w:t xml:space="preserve"> </w:t>
      </w:r>
      <w:r w:rsidR="00EA53DD" w:rsidRPr="00774EDB">
        <w:rPr>
          <w:rFonts w:ascii="Times New Roman" w:hAnsi="Times New Roman" w:cs="Times New Roman"/>
          <w:sz w:val="24"/>
          <w:szCs w:val="24"/>
        </w:rPr>
        <w:t>result</w:t>
      </w:r>
      <w:r w:rsidR="00CD440B" w:rsidRPr="00774EDB">
        <w:rPr>
          <w:rFonts w:ascii="Times New Roman" w:hAnsi="Times New Roman" w:cs="Times New Roman"/>
          <w:sz w:val="24"/>
          <w:szCs w:val="24"/>
        </w:rPr>
        <w:t xml:space="preserve"> of </w:t>
      </w:r>
      <w:r w:rsidR="00975A40" w:rsidRPr="00774EDB">
        <w:rPr>
          <w:rFonts w:ascii="Times New Roman" w:hAnsi="Times New Roman" w:cs="Times New Roman"/>
          <w:sz w:val="24"/>
          <w:szCs w:val="24"/>
        </w:rPr>
        <w:t>‘</w:t>
      </w:r>
      <w:r w:rsidR="00C91AA9" w:rsidRPr="00774EDB">
        <w:rPr>
          <w:rFonts w:ascii="Times New Roman" w:hAnsi="Times New Roman" w:cs="Times New Roman"/>
          <w:sz w:val="24"/>
          <w:szCs w:val="24"/>
        </w:rPr>
        <w:t xml:space="preserve">refusal to licence </w:t>
      </w:r>
      <w:r w:rsidRPr="00774EDB">
        <w:rPr>
          <w:rFonts w:ascii="Times New Roman" w:hAnsi="Times New Roman" w:cs="Times New Roman"/>
          <w:sz w:val="24"/>
          <w:szCs w:val="24"/>
        </w:rPr>
        <w:t>or supply</w:t>
      </w:r>
      <w:r w:rsidR="00975A40" w:rsidRPr="00774EDB">
        <w:rPr>
          <w:rFonts w:ascii="Times New Roman" w:hAnsi="Times New Roman" w:cs="Times New Roman"/>
          <w:sz w:val="24"/>
          <w:szCs w:val="24"/>
        </w:rPr>
        <w:t>’</w:t>
      </w:r>
      <w:r w:rsidRPr="00774EDB">
        <w:rPr>
          <w:rFonts w:ascii="Times New Roman" w:hAnsi="Times New Roman" w:cs="Times New Roman"/>
          <w:sz w:val="24"/>
          <w:szCs w:val="24"/>
        </w:rPr>
        <w:t xml:space="preserve"> interfaces</w:t>
      </w:r>
      <w:r w:rsidR="000369F9" w:rsidRPr="00774EDB">
        <w:rPr>
          <w:rFonts w:ascii="Times New Roman" w:hAnsi="Times New Roman" w:cs="Times New Roman"/>
          <w:sz w:val="24"/>
          <w:szCs w:val="24"/>
        </w:rPr>
        <w:t xml:space="preserve">, the tripartite test stated above is of high importance in dealing with </w:t>
      </w:r>
      <w:r w:rsidR="00CD440B" w:rsidRPr="00774EDB">
        <w:rPr>
          <w:rFonts w:ascii="Times New Roman" w:hAnsi="Times New Roman" w:cs="Times New Roman"/>
          <w:sz w:val="24"/>
          <w:szCs w:val="24"/>
        </w:rPr>
        <w:t xml:space="preserve">the </w:t>
      </w:r>
      <w:r w:rsidR="00113257" w:rsidRPr="00774EDB">
        <w:rPr>
          <w:rFonts w:ascii="Times New Roman" w:hAnsi="Times New Roman" w:cs="Times New Roman"/>
          <w:sz w:val="24"/>
          <w:szCs w:val="24"/>
        </w:rPr>
        <w:t>abuses that involve interoperability information</w:t>
      </w:r>
      <w:r w:rsidR="000369F9" w:rsidRPr="00774EDB">
        <w:rPr>
          <w:rFonts w:ascii="Times New Roman" w:hAnsi="Times New Roman" w:cs="Times New Roman"/>
          <w:sz w:val="24"/>
          <w:szCs w:val="24"/>
        </w:rPr>
        <w:t xml:space="preserve">. </w:t>
      </w:r>
      <w:r w:rsidR="00032180" w:rsidRPr="00774EDB">
        <w:rPr>
          <w:rFonts w:ascii="Times New Roman" w:hAnsi="Times New Roman" w:cs="Times New Roman"/>
          <w:sz w:val="24"/>
          <w:szCs w:val="24"/>
        </w:rPr>
        <w:t>Having said th</w:t>
      </w:r>
      <w:r w:rsidR="007D741F" w:rsidRPr="00774EDB">
        <w:rPr>
          <w:rFonts w:ascii="Times New Roman" w:hAnsi="Times New Roman" w:cs="Times New Roman"/>
          <w:sz w:val="24"/>
          <w:szCs w:val="24"/>
        </w:rPr>
        <w:t>at</w:t>
      </w:r>
      <w:r w:rsidR="00032180" w:rsidRPr="00774EDB">
        <w:rPr>
          <w:rFonts w:ascii="Times New Roman" w:hAnsi="Times New Roman" w:cs="Times New Roman"/>
          <w:sz w:val="24"/>
          <w:szCs w:val="24"/>
        </w:rPr>
        <w:t xml:space="preserve">, </w:t>
      </w:r>
      <w:r w:rsidR="007D741F" w:rsidRPr="00774EDB">
        <w:rPr>
          <w:rFonts w:ascii="Times New Roman" w:hAnsi="Times New Roman" w:cs="Times New Roman"/>
          <w:sz w:val="24"/>
          <w:szCs w:val="24"/>
        </w:rPr>
        <w:t xml:space="preserve">tripartite </w:t>
      </w:r>
      <w:r w:rsidR="000369F9" w:rsidRPr="00774EDB">
        <w:rPr>
          <w:rFonts w:ascii="Times New Roman" w:hAnsi="Times New Roman" w:cs="Times New Roman"/>
          <w:sz w:val="24"/>
          <w:szCs w:val="24"/>
        </w:rPr>
        <w:t>‘</w:t>
      </w:r>
      <w:r w:rsidR="00032180" w:rsidRPr="00774EDB">
        <w:rPr>
          <w:rFonts w:ascii="Times New Roman" w:hAnsi="Times New Roman" w:cs="Times New Roman"/>
          <w:sz w:val="24"/>
          <w:szCs w:val="24"/>
        </w:rPr>
        <w:t>e</w:t>
      </w:r>
      <w:r w:rsidR="000369F9" w:rsidRPr="00774EDB">
        <w:rPr>
          <w:rFonts w:ascii="Times New Roman" w:hAnsi="Times New Roman" w:cs="Times New Roman"/>
          <w:sz w:val="24"/>
          <w:szCs w:val="24"/>
        </w:rPr>
        <w:t>xceptional circumstances’</w:t>
      </w:r>
      <w:r w:rsidR="00431301" w:rsidRPr="00774EDB">
        <w:rPr>
          <w:rFonts w:ascii="Times New Roman" w:hAnsi="Times New Roman" w:cs="Times New Roman"/>
          <w:sz w:val="24"/>
          <w:szCs w:val="24"/>
        </w:rPr>
        <w:t xml:space="preserve"> test</w:t>
      </w:r>
      <w:r w:rsidR="000369F9" w:rsidRPr="00774EDB">
        <w:rPr>
          <w:rFonts w:ascii="Times New Roman" w:hAnsi="Times New Roman" w:cs="Times New Roman"/>
          <w:sz w:val="24"/>
          <w:szCs w:val="24"/>
        </w:rPr>
        <w:t xml:space="preserve"> </w:t>
      </w:r>
      <w:r w:rsidR="00032180" w:rsidRPr="00774EDB">
        <w:rPr>
          <w:rFonts w:ascii="Times New Roman" w:hAnsi="Times New Roman" w:cs="Times New Roman"/>
          <w:sz w:val="24"/>
          <w:szCs w:val="24"/>
        </w:rPr>
        <w:t xml:space="preserve">needs to be emphasized </w:t>
      </w:r>
      <w:r w:rsidR="007D741F" w:rsidRPr="00774EDB">
        <w:rPr>
          <w:rFonts w:ascii="Times New Roman" w:hAnsi="Times New Roman" w:cs="Times New Roman"/>
          <w:sz w:val="24"/>
          <w:szCs w:val="24"/>
        </w:rPr>
        <w:t xml:space="preserve">in </w:t>
      </w:r>
      <w:r w:rsidR="00032180" w:rsidRPr="00774EDB">
        <w:rPr>
          <w:rFonts w:ascii="Times New Roman" w:hAnsi="Times New Roman" w:cs="Times New Roman"/>
          <w:sz w:val="24"/>
          <w:szCs w:val="24"/>
        </w:rPr>
        <w:t>find</w:t>
      </w:r>
      <w:r w:rsidR="007D741F" w:rsidRPr="00774EDB">
        <w:rPr>
          <w:rFonts w:ascii="Times New Roman" w:hAnsi="Times New Roman" w:cs="Times New Roman"/>
          <w:sz w:val="24"/>
          <w:szCs w:val="24"/>
        </w:rPr>
        <w:t>ing</w:t>
      </w:r>
      <w:r w:rsidR="00032180" w:rsidRPr="00774EDB">
        <w:rPr>
          <w:rFonts w:ascii="Times New Roman" w:hAnsi="Times New Roman" w:cs="Times New Roman"/>
          <w:sz w:val="24"/>
          <w:szCs w:val="24"/>
        </w:rPr>
        <w:t xml:space="preserve"> out </w:t>
      </w:r>
      <w:r w:rsidR="00113257" w:rsidRPr="00774EDB">
        <w:rPr>
          <w:rFonts w:ascii="Times New Roman" w:hAnsi="Times New Roman" w:cs="Times New Roman"/>
          <w:sz w:val="24"/>
          <w:szCs w:val="24"/>
        </w:rPr>
        <w:t>whe</w:t>
      </w:r>
      <w:r w:rsidR="007D741F" w:rsidRPr="00774EDB">
        <w:rPr>
          <w:rFonts w:ascii="Times New Roman" w:hAnsi="Times New Roman" w:cs="Times New Roman"/>
          <w:sz w:val="24"/>
          <w:szCs w:val="24"/>
        </w:rPr>
        <w:t>ther a dominant undertaking’s ‘</w:t>
      </w:r>
      <w:r w:rsidR="000369F9" w:rsidRPr="00774EDB">
        <w:rPr>
          <w:rFonts w:ascii="Times New Roman" w:hAnsi="Times New Roman" w:cs="Times New Roman"/>
          <w:sz w:val="24"/>
          <w:szCs w:val="24"/>
        </w:rPr>
        <w:t>refusal to licence or supply interoperability information</w:t>
      </w:r>
      <w:r w:rsidR="007D741F" w:rsidRPr="00774EDB">
        <w:rPr>
          <w:rFonts w:ascii="Times New Roman" w:hAnsi="Times New Roman" w:cs="Times New Roman"/>
          <w:sz w:val="24"/>
          <w:szCs w:val="24"/>
        </w:rPr>
        <w:t>’</w:t>
      </w:r>
      <w:r w:rsidR="00113257" w:rsidRPr="00774EDB">
        <w:rPr>
          <w:rFonts w:ascii="Times New Roman" w:hAnsi="Times New Roman" w:cs="Times New Roman"/>
          <w:sz w:val="24"/>
          <w:szCs w:val="24"/>
        </w:rPr>
        <w:t xml:space="preserve"> </w:t>
      </w:r>
      <w:r w:rsidR="00431301" w:rsidRPr="00774EDB">
        <w:rPr>
          <w:rFonts w:ascii="Times New Roman" w:hAnsi="Times New Roman" w:cs="Times New Roman"/>
          <w:sz w:val="24"/>
          <w:szCs w:val="24"/>
        </w:rPr>
        <w:t>amount</w:t>
      </w:r>
      <w:r w:rsidR="00032180" w:rsidRPr="00774EDB">
        <w:rPr>
          <w:rFonts w:ascii="Times New Roman" w:hAnsi="Times New Roman" w:cs="Times New Roman"/>
          <w:sz w:val="24"/>
          <w:szCs w:val="24"/>
        </w:rPr>
        <w:t>s</w:t>
      </w:r>
      <w:r w:rsidR="00431301" w:rsidRPr="00774EDB">
        <w:rPr>
          <w:rFonts w:ascii="Times New Roman" w:hAnsi="Times New Roman" w:cs="Times New Roman"/>
          <w:sz w:val="24"/>
          <w:szCs w:val="24"/>
        </w:rPr>
        <w:t xml:space="preserve"> </w:t>
      </w:r>
      <w:r w:rsidR="007D741F" w:rsidRPr="00774EDB">
        <w:rPr>
          <w:rFonts w:ascii="Times New Roman" w:hAnsi="Times New Roman" w:cs="Times New Roman"/>
          <w:sz w:val="24"/>
          <w:szCs w:val="24"/>
        </w:rPr>
        <w:t xml:space="preserve">to </w:t>
      </w:r>
      <w:r w:rsidR="00431301" w:rsidRPr="00774EDB">
        <w:rPr>
          <w:rFonts w:ascii="Times New Roman" w:hAnsi="Times New Roman" w:cs="Times New Roman"/>
          <w:sz w:val="24"/>
          <w:szCs w:val="24"/>
        </w:rPr>
        <w:t xml:space="preserve">a violation of Article </w:t>
      </w:r>
      <w:r w:rsidR="00482D76" w:rsidRPr="00774EDB">
        <w:rPr>
          <w:rFonts w:ascii="Times New Roman" w:hAnsi="Times New Roman" w:cs="Times New Roman"/>
          <w:sz w:val="24"/>
          <w:szCs w:val="24"/>
        </w:rPr>
        <w:t xml:space="preserve">102 of the </w:t>
      </w:r>
      <w:r w:rsidR="00431301" w:rsidRPr="00774EDB">
        <w:rPr>
          <w:rFonts w:ascii="Times New Roman" w:hAnsi="Times New Roman" w:cs="Times New Roman"/>
          <w:sz w:val="24"/>
          <w:szCs w:val="24"/>
        </w:rPr>
        <w:t>TFEU.</w:t>
      </w:r>
    </w:p>
    <w:p w14:paraId="4D433757" w14:textId="08E6CE0E" w:rsidR="008509E3" w:rsidRPr="00774EDB" w:rsidRDefault="007D741F"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lang w:val="tr-TR"/>
        </w:rPr>
        <w:lastRenderedPageBreak/>
        <w:t>W</w:t>
      </w:r>
      <w:r w:rsidRPr="00774EDB">
        <w:rPr>
          <w:rFonts w:ascii="Times New Roman" w:hAnsi="Times New Roman" w:cs="Times New Roman"/>
          <w:sz w:val="24"/>
          <w:szCs w:val="24"/>
        </w:rPr>
        <w:t xml:space="preserve">hile the concerns shift from abusive market foreclosure to more sophisticated merger-specific concerns, the applicable test based on ‘significant impediment to effective competition’  (SIEC) and the underlying harm theories, would have a more pro-active nature </w:t>
      </w:r>
      <w:r w:rsidR="002911CB">
        <w:rPr>
          <w:rFonts w:ascii="Times New Roman" w:hAnsi="Times New Roman" w:cs="Times New Roman"/>
          <w:sz w:val="24"/>
          <w:szCs w:val="24"/>
        </w:rPr>
        <w:t>focused on</w:t>
      </w:r>
      <w:r w:rsidRPr="00774EDB">
        <w:rPr>
          <w:rFonts w:ascii="Times New Roman" w:hAnsi="Times New Roman" w:cs="Times New Roman"/>
          <w:sz w:val="24"/>
          <w:szCs w:val="24"/>
        </w:rPr>
        <w:t xml:space="preserve"> likely negative impacts on the market dynamics e.g. on price and innovation. The resorted remedies also differ in merger cases, being not limited to behavioural remedies but also consisting in structural ones. For instance, divestiture of the IPR portfolio underlying the </w:t>
      </w:r>
      <w:r w:rsidRPr="00774EDB">
        <w:rPr>
          <w:rFonts w:ascii="Times New Roman" w:hAnsi="Times New Roman" w:cs="Times New Roman"/>
          <w:sz w:val="24"/>
          <w:szCs w:val="24"/>
          <w:lang w:val="en-US"/>
        </w:rPr>
        <w:t xml:space="preserve">videoconference communication services </w:t>
      </w:r>
      <w:r w:rsidRPr="00774EDB">
        <w:rPr>
          <w:rFonts w:ascii="Times New Roman" w:hAnsi="Times New Roman" w:cs="Times New Roman"/>
          <w:sz w:val="24"/>
          <w:szCs w:val="24"/>
        </w:rPr>
        <w:t xml:space="preserve">surfaced in the </w:t>
      </w:r>
      <w:r w:rsidRPr="00774EDB">
        <w:rPr>
          <w:rFonts w:ascii="Times New Roman" w:hAnsi="Times New Roman" w:cs="Times New Roman"/>
          <w:i/>
          <w:sz w:val="24"/>
          <w:szCs w:val="24"/>
        </w:rPr>
        <w:t>Cisco/Tandberg</w:t>
      </w:r>
      <w:r w:rsidRPr="00774EDB">
        <w:rPr>
          <w:rFonts w:ascii="Times New Roman" w:hAnsi="Times New Roman" w:cs="Times New Roman"/>
          <w:sz w:val="24"/>
          <w:szCs w:val="24"/>
        </w:rPr>
        <w:t xml:space="preserve"> case, whereas more typical behavioural remedies were invoked in the </w:t>
      </w:r>
      <w:r w:rsidRPr="00774EDB">
        <w:rPr>
          <w:rFonts w:ascii="Times New Roman" w:hAnsi="Times New Roman" w:cs="Times New Roman"/>
          <w:i/>
          <w:sz w:val="24"/>
          <w:szCs w:val="24"/>
        </w:rPr>
        <w:t>Intel/McAfee</w:t>
      </w:r>
      <w:r w:rsidRPr="00774EDB">
        <w:rPr>
          <w:rFonts w:ascii="Times New Roman" w:hAnsi="Times New Roman" w:cs="Times New Roman"/>
          <w:sz w:val="24"/>
          <w:szCs w:val="24"/>
        </w:rPr>
        <w:t xml:space="preserve">, </w:t>
      </w:r>
      <w:r w:rsidRPr="00774EDB">
        <w:rPr>
          <w:rFonts w:ascii="Times New Roman" w:hAnsi="Times New Roman" w:cs="Times New Roman"/>
          <w:i/>
          <w:sz w:val="24"/>
          <w:szCs w:val="24"/>
          <w:lang w:val="en-US"/>
        </w:rPr>
        <w:t>Microsoft/LinkedIn</w:t>
      </w:r>
      <w:r w:rsidRPr="00774EDB">
        <w:rPr>
          <w:rFonts w:ascii="Times New Roman" w:hAnsi="Times New Roman" w:cs="Times New Roman"/>
          <w:sz w:val="24"/>
          <w:szCs w:val="24"/>
          <w:lang w:val="en-US"/>
        </w:rPr>
        <w:t xml:space="preserve"> cases. While both structural and behavioural remedies aimed to enhance interoperability in the referred cases, one could not mention an ascertained and refined test with regards to the interoperability-based merger cases,</w:t>
      </w:r>
      <w:r w:rsidRPr="00774EDB">
        <w:rPr>
          <w:rStyle w:val="FootnoteReference"/>
          <w:rFonts w:ascii="Times New Roman" w:hAnsi="Times New Roman" w:cs="Times New Roman"/>
          <w:sz w:val="24"/>
          <w:szCs w:val="24"/>
          <w:lang w:val="en-US"/>
        </w:rPr>
        <w:footnoteReference w:id="230"/>
      </w:r>
      <w:r w:rsidRPr="00774EDB">
        <w:rPr>
          <w:rFonts w:ascii="Times New Roman" w:hAnsi="Times New Roman" w:cs="Times New Roman"/>
          <w:sz w:val="24"/>
          <w:szCs w:val="24"/>
          <w:lang w:val="en-US"/>
        </w:rPr>
        <w:t xml:space="preserve"> as opposed to the ‘exceptional circumstances’ test applied under Article 102. The same </w:t>
      </w:r>
      <w:r w:rsidR="005C3F50" w:rsidRPr="00774EDB">
        <w:rPr>
          <w:rFonts w:ascii="Times New Roman" w:hAnsi="Times New Roman" w:cs="Times New Roman"/>
          <w:sz w:val="24"/>
          <w:szCs w:val="24"/>
          <w:lang w:val="en-US"/>
        </w:rPr>
        <w:t>discrepancy</w:t>
      </w:r>
      <w:r w:rsidRPr="00774EDB">
        <w:rPr>
          <w:rFonts w:ascii="Times New Roman" w:hAnsi="Times New Roman" w:cs="Times New Roman"/>
          <w:sz w:val="24"/>
          <w:szCs w:val="24"/>
          <w:lang w:val="en-US"/>
        </w:rPr>
        <w:t xml:space="preserve"> </w:t>
      </w:r>
      <w:r w:rsidR="005C3F50" w:rsidRPr="00774EDB">
        <w:rPr>
          <w:rFonts w:ascii="Times New Roman" w:hAnsi="Times New Roman" w:cs="Times New Roman"/>
          <w:sz w:val="24"/>
          <w:szCs w:val="24"/>
          <w:lang w:val="en-US"/>
        </w:rPr>
        <w:t xml:space="preserve">could be upheld </w:t>
      </w:r>
      <w:r w:rsidR="00FE04A6" w:rsidRPr="00774EDB">
        <w:rPr>
          <w:rFonts w:ascii="Times New Roman" w:hAnsi="Times New Roman" w:cs="Times New Roman"/>
          <w:sz w:val="24"/>
          <w:szCs w:val="24"/>
          <w:lang w:val="en-US"/>
        </w:rPr>
        <w:t>for the cases of</w:t>
      </w:r>
      <w:r w:rsidRPr="00774EDB">
        <w:rPr>
          <w:rFonts w:ascii="Times New Roman" w:hAnsi="Times New Roman" w:cs="Times New Roman"/>
          <w:sz w:val="24"/>
          <w:szCs w:val="24"/>
          <w:lang w:val="en-US"/>
        </w:rPr>
        <w:t xml:space="preserve"> Article 101, which aims to </w:t>
      </w:r>
      <w:r w:rsidRPr="00774EDB">
        <w:rPr>
          <w:rFonts w:ascii="Times New Roman" w:hAnsi="Times New Roman" w:cs="Times New Roman"/>
          <w:sz w:val="24"/>
          <w:szCs w:val="24"/>
        </w:rPr>
        <w:t>assess the agreements, decisions and concerted practices that would have anti-competitive consequences, either by means of their object or effect.</w:t>
      </w:r>
      <w:r w:rsidRPr="00774EDB">
        <w:rPr>
          <w:rStyle w:val="FootnoteReference"/>
          <w:rFonts w:ascii="Times New Roman" w:hAnsi="Times New Roman" w:cs="Times New Roman"/>
          <w:sz w:val="24"/>
          <w:szCs w:val="24"/>
          <w:lang w:val="en-US"/>
        </w:rPr>
        <w:footnoteReference w:id="231"/>
      </w:r>
    </w:p>
    <w:p w14:paraId="1FEE7230" w14:textId="3978F57D" w:rsidR="008509E3" w:rsidRPr="00774EDB" w:rsidRDefault="001779B3"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Overall, a</w:t>
      </w:r>
      <w:r w:rsidR="006F2FC8" w:rsidRPr="00774EDB">
        <w:rPr>
          <w:rFonts w:ascii="Times New Roman" w:hAnsi="Times New Roman" w:cs="Times New Roman"/>
          <w:sz w:val="24"/>
          <w:szCs w:val="24"/>
        </w:rPr>
        <w:t>l</w:t>
      </w:r>
      <w:r w:rsidRPr="00774EDB">
        <w:rPr>
          <w:rFonts w:ascii="Times New Roman" w:hAnsi="Times New Roman" w:cs="Times New Roman"/>
          <w:sz w:val="24"/>
          <w:szCs w:val="24"/>
        </w:rPr>
        <w:t>beit with</w:t>
      </w:r>
      <w:r w:rsidR="006F2FC8" w:rsidRPr="00774EDB">
        <w:rPr>
          <w:rFonts w:ascii="Times New Roman" w:hAnsi="Times New Roman" w:cs="Times New Roman"/>
          <w:sz w:val="24"/>
          <w:szCs w:val="24"/>
        </w:rPr>
        <w:t xml:space="preserve"> some </w:t>
      </w:r>
      <w:r w:rsidRPr="00774EDB">
        <w:rPr>
          <w:rFonts w:ascii="Times New Roman" w:hAnsi="Times New Roman" w:cs="Times New Roman"/>
          <w:sz w:val="24"/>
          <w:szCs w:val="24"/>
        </w:rPr>
        <w:t xml:space="preserve">common </w:t>
      </w:r>
      <w:r w:rsidR="006F2FC8" w:rsidRPr="00774EDB">
        <w:rPr>
          <w:rFonts w:ascii="Times New Roman" w:hAnsi="Times New Roman" w:cs="Times New Roman"/>
          <w:sz w:val="24"/>
          <w:szCs w:val="24"/>
        </w:rPr>
        <w:t xml:space="preserve">elements </w:t>
      </w:r>
      <w:r w:rsidR="008509E3" w:rsidRPr="00774EDB">
        <w:rPr>
          <w:rFonts w:ascii="Times New Roman" w:hAnsi="Times New Roman" w:cs="Times New Roman"/>
          <w:sz w:val="24"/>
          <w:szCs w:val="24"/>
        </w:rPr>
        <w:t>i.</w:t>
      </w:r>
      <w:r w:rsidR="006F2FC8" w:rsidRPr="00774EDB">
        <w:rPr>
          <w:rFonts w:ascii="Times New Roman" w:hAnsi="Times New Roman" w:cs="Times New Roman"/>
          <w:sz w:val="24"/>
          <w:szCs w:val="24"/>
        </w:rPr>
        <w:t>e. market definition</w:t>
      </w:r>
      <w:r w:rsidRPr="00774EDB">
        <w:rPr>
          <w:rFonts w:ascii="Times New Roman" w:hAnsi="Times New Roman" w:cs="Times New Roman"/>
          <w:sz w:val="24"/>
          <w:szCs w:val="24"/>
        </w:rPr>
        <w:t>,</w:t>
      </w:r>
      <w:r w:rsidR="006F2FC8" w:rsidRPr="00774EDB">
        <w:rPr>
          <w:rFonts w:ascii="Times New Roman" w:hAnsi="Times New Roman" w:cs="Times New Roman"/>
          <w:sz w:val="24"/>
          <w:szCs w:val="24"/>
        </w:rPr>
        <w:t xml:space="preserve"> </w:t>
      </w:r>
      <w:r w:rsidR="008509E3" w:rsidRPr="00774EDB">
        <w:rPr>
          <w:rFonts w:ascii="Times New Roman" w:hAnsi="Times New Roman" w:cs="Times New Roman"/>
          <w:sz w:val="24"/>
          <w:szCs w:val="24"/>
        </w:rPr>
        <w:t>various contexts of EU</w:t>
      </w:r>
      <w:r w:rsidR="006F2FC8" w:rsidRPr="00774EDB">
        <w:rPr>
          <w:rFonts w:ascii="Times New Roman" w:hAnsi="Times New Roman" w:cs="Times New Roman"/>
          <w:sz w:val="24"/>
          <w:szCs w:val="24"/>
        </w:rPr>
        <w:t xml:space="preserve"> competition law </w:t>
      </w:r>
      <w:r w:rsidRPr="00774EDB">
        <w:rPr>
          <w:rFonts w:ascii="Times New Roman" w:hAnsi="Times New Roman" w:cs="Times New Roman"/>
          <w:sz w:val="24"/>
          <w:szCs w:val="24"/>
        </w:rPr>
        <w:t xml:space="preserve">e.g. </w:t>
      </w:r>
      <w:r w:rsidR="006F2FC8" w:rsidRPr="00774EDB">
        <w:rPr>
          <w:rFonts w:ascii="Times New Roman" w:hAnsi="Times New Roman" w:cs="Times New Roman"/>
          <w:sz w:val="24"/>
          <w:szCs w:val="24"/>
        </w:rPr>
        <w:t xml:space="preserve">Article 101, 102, </w:t>
      </w:r>
      <w:r w:rsidRPr="00774EDB">
        <w:rPr>
          <w:rFonts w:ascii="Times New Roman" w:hAnsi="Times New Roman" w:cs="Times New Roman"/>
          <w:sz w:val="24"/>
          <w:szCs w:val="24"/>
        </w:rPr>
        <w:t>have</w:t>
      </w:r>
      <w:r w:rsidR="006F2FC8" w:rsidRPr="00774EDB">
        <w:rPr>
          <w:rFonts w:ascii="Times New Roman" w:hAnsi="Times New Roman" w:cs="Times New Roman"/>
          <w:sz w:val="24"/>
          <w:szCs w:val="24"/>
        </w:rPr>
        <w:t xml:space="preserve"> distinctive elements </w:t>
      </w:r>
      <w:r w:rsidRPr="00774EDB">
        <w:rPr>
          <w:rFonts w:ascii="Times New Roman" w:hAnsi="Times New Roman" w:cs="Times New Roman"/>
          <w:sz w:val="24"/>
          <w:szCs w:val="24"/>
        </w:rPr>
        <w:t xml:space="preserve">that </w:t>
      </w:r>
      <w:r w:rsidR="006F2FC8" w:rsidRPr="00774EDB">
        <w:rPr>
          <w:rFonts w:ascii="Times New Roman" w:hAnsi="Times New Roman" w:cs="Times New Roman"/>
          <w:sz w:val="24"/>
          <w:szCs w:val="24"/>
        </w:rPr>
        <w:t>need to be underlined. A</w:t>
      </w:r>
      <w:r w:rsidR="00894D61" w:rsidRPr="00774EDB">
        <w:rPr>
          <w:rFonts w:ascii="Times New Roman" w:hAnsi="Times New Roman" w:cs="Times New Roman"/>
          <w:sz w:val="24"/>
          <w:szCs w:val="24"/>
        </w:rPr>
        <w:t xml:space="preserve"> detailed </w:t>
      </w:r>
      <w:r w:rsidR="00036209" w:rsidRPr="00774EDB">
        <w:rPr>
          <w:rFonts w:ascii="Times New Roman" w:hAnsi="Times New Roman" w:cs="Times New Roman"/>
          <w:sz w:val="24"/>
          <w:szCs w:val="24"/>
        </w:rPr>
        <w:t xml:space="preserve">and comprehensive </w:t>
      </w:r>
      <w:r w:rsidR="00894D61" w:rsidRPr="00774EDB">
        <w:rPr>
          <w:rFonts w:ascii="Times New Roman" w:hAnsi="Times New Roman" w:cs="Times New Roman"/>
          <w:sz w:val="24"/>
          <w:szCs w:val="24"/>
        </w:rPr>
        <w:t xml:space="preserve">analysis is </w:t>
      </w:r>
      <w:r w:rsidR="00400BCB" w:rsidRPr="00774EDB">
        <w:rPr>
          <w:rFonts w:ascii="Times New Roman" w:hAnsi="Times New Roman" w:cs="Times New Roman"/>
          <w:sz w:val="24"/>
          <w:szCs w:val="24"/>
        </w:rPr>
        <w:t>made</w:t>
      </w:r>
      <w:r w:rsidR="00894D61" w:rsidRPr="00774EDB">
        <w:rPr>
          <w:rFonts w:ascii="Times New Roman" w:hAnsi="Times New Roman" w:cs="Times New Roman"/>
          <w:sz w:val="24"/>
          <w:szCs w:val="24"/>
        </w:rPr>
        <w:t xml:space="preserve"> </w:t>
      </w:r>
      <w:r w:rsidR="00400BCB" w:rsidRPr="00774EDB">
        <w:rPr>
          <w:rFonts w:ascii="Times New Roman" w:hAnsi="Times New Roman" w:cs="Times New Roman"/>
          <w:sz w:val="24"/>
          <w:szCs w:val="24"/>
        </w:rPr>
        <w:t>in Chapter 5</w:t>
      </w:r>
      <w:r w:rsidR="00546F19" w:rsidRPr="00774EDB">
        <w:rPr>
          <w:rFonts w:ascii="Times New Roman" w:hAnsi="Times New Roman" w:cs="Times New Roman"/>
          <w:sz w:val="24"/>
          <w:szCs w:val="24"/>
        </w:rPr>
        <w:t>,</w:t>
      </w:r>
      <w:r w:rsidR="005664D4" w:rsidRPr="00774EDB">
        <w:rPr>
          <w:rFonts w:ascii="Times New Roman" w:hAnsi="Times New Roman" w:cs="Times New Roman"/>
          <w:sz w:val="24"/>
          <w:szCs w:val="24"/>
        </w:rPr>
        <w:t xml:space="preserve"> </w:t>
      </w:r>
      <w:r w:rsidR="00704985" w:rsidRPr="00774EDB">
        <w:rPr>
          <w:rFonts w:ascii="Times New Roman" w:hAnsi="Times New Roman" w:cs="Times New Roman"/>
          <w:sz w:val="24"/>
          <w:szCs w:val="24"/>
        </w:rPr>
        <w:t xml:space="preserve">particularly </w:t>
      </w:r>
      <w:r w:rsidR="00377ABE" w:rsidRPr="00774EDB">
        <w:rPr>
          <w:rFonts w:ascii="Times New Roman" w:hAnsi="Times New Roman" w:cs="Times New Roman"/>
          <w:sz w:val="24"/>
          <w:szCs w:val="24"/>
        </w:rPr>
        <w:t>deal</w:t>
      </w:r>
      <w:r w:rsidR="00546F19" w:rsidRPr="00774EDB">
        <w:rPr>
          <w:rFonts w:ascii="Times New Roman" w:hAnsi="Times New Roman" w:cs="Times New Roman"/>
          <w:sz w:val="24"/>
          <w:szCs w:val="24"/>
        </w:rPr>
        <w:t>ing</w:t>
      </w:r>
      <w:r w:rsidR="00377ABE" w:rsidRPr="00774EDB">
        <w:rPr>
          <w:rFonts w:ascii="Times New Roman" w:hAnsi="Times New Roman" w:cs="Times New Roman"/>
          <w:sz w:val="24"/>
          <w:szCs w:val="24"/>
        </w:rPr>
        <w:t xml:space="preserve"> with</w:t>
      </w:r>
      <w:r w:rsidR="00894D61" w:rsidRPr="00774EDB">
        <w:rPr>
          <w:rFonts w:ascii="Times New Roman" w:hAnsi="Times New Roman" w:cs="Times New Roman"/>
          <w:sz w:val="24"/>
          <w:szCs w:val="24"/>
        </w:rPr>
        <w:t xml:space="preserve"> </w:t>
      </w:r>
      <w:r w:rsidR="005664D4" w:rsidRPr="00774EDB">
        <w:rPr>
          <w:rFonts w:ascii="Times New Roman" w:hAnsi="Times New Roman" w:cs="Times New Roman"/>
          <w:sz w:val="24"/>
          <w:szCs w:val="24"/>
        </w:rPr>
        <w:t xml:space="preserve">the </w:t>
      </w:r>
      <w:r w:rsidR="00894D61" w:rsidRPr="00774EDB">
        <w:rPr>
          <w:rFonts w:ascii="Times New Roman" w:hAnsi="Times New Roman" w:cs="Times New Roman"/>
          <w:sz w:val="24"/>
          <w:szCs w:val="24"/>
        </w:rPr>
        <w:t xml:space="preserve">refusal to </w:t>
      </w:r>
      <w:r w:rsidRPr="00774EDB">
        <w:rPr>
          <w:rFonts w:ascii="Times New Roman" w:hAnsi="Times New Roman" w:cs="Times New Roman"/>
          <w:sz w:val="24"/>
          <w:szCs w:val="24"/>
        </w:rPr>
        <w:t xml:space="preserve">supply and </w:t>
      </w:r>
      <w:r w:rsidR="00894D61" w:rsidRPr="00774EDB">
        <w:rPr>
          <w:rFonts w:ascii="Times New Roman" w:hAnsi="Times New Roman" w:cs="Times New Roman"/>
          <w:sz w:val="24"/>
          <w:szCs w:val="24"/>
        </w:rPr>
        <w:t>license cases with an emphasis to lack of interoperability.</w:t>
      </w:r>
      <w:r w:rsidR="00003BD9" w:rsidRPr="00774EDB">
        <w:rPr>
          <w:rFonts w:ascii="Times New Roman" w:hAnsi="Times New Roman" w:cs="Times New Roman"/>
          <w:sz w:val="24"/>
          <w:szCs w:val="24"/>
        </w:rPr>
        <w:t xml:space="preserve"> </w:t>
      </w:r>
      <w:r w:rsidR="006773CC">
        <w:rPr>
          <w:rFonts w:ascii="Times New Roman" w:hAnsi="Times New Roman" w:cs="Times New Roman"/>
          <w:sz w:val="24"/>
          <w:szCs w:val="24"/>
        </w:rPr>
        <w:t>In this regard</w:t>
      </w:r>
      <w:r w:rsidR="00476CDE" w:rsidRPr="00774EDB">
        <w:rPr>
          <w:rFonts w:ascii="Times New Roman" w:hAnsi="Times New Roman" w:cs="Times New Roman"/>
          <w:sz w:val="24"/>
          <w:szCs w:val="24"/>
        </w:rPr>
        <w:t xml:space="preserve">, </w:t>
      </w:r>
      <w:r w:rsidR="006F2FC8" w:rsidRPr="00774EDB">
        <w:rPr>
          <w:rFonts w:ascii="Times New Roman" w:hAnsi="Times New Roman" w:cs="Times New Roman"/>
          <w:sz w:val="24"/>
          <w:szCs w:val="24"/>
        </w:rPr>
        <w:t xml:space="preserve">a particular attention </w:t>
      </w:r>
      <w:r w:rsidR="00476CDE" w:rsidRPr="00774EDB">
        <w:rPr>
          <w:rFonts w:ascii="Times New Roman" w:hAnsi="Times New Roman" w:cs="Times New Roman"/>
          <w:sz w:val="24"/>
          <w:szCs w:val="24"/>
        </w:rPr>
        <w:t xml:space="preserve">is </w:t>
      </w:r>
      <w:r w:rsidR="006F2FC8" w:rsidRPr="00774EDB">
        <w:rPr>
          <w:rFonts w:ascii="Times New Roman" w:hAnsi="Times New Roman" w:cs="Times New Roman"/>
          <w:sz w:val="24"/>
          <w:szCs w:val="24"/>
        </w:rPr>
        <w:t>pai</w:t>
      </w:r>
      <w:r w:rsidR="00476CDE" w:rsidRPr="00774EDB">
        <w:rPr>
          <w:rFonts w:ascii="Times New Roman" w:hAnsi="Times New Roman" w:cs="Times New Roman"/>
          <w:sz w:val="24"/>
          <w:szCs w:val="24"/>
        </w:rPr>
        <w:t xml:space="preserve">d to draw out the </w:t>
      </w:r>
      <w:r w:rsidR="006450A5" w:rsidRPr="00774EDB">
        <w:rPr>
          <w:rFonts w:ascii="Times New Roman" w:hAnsi="Times New Roman" w:cs="Times New Roman"/>
          <w:sz w:val="24"/>
          <w:szCs w:val="24"/>
        </w:rPr>
        <w:t>pitfall</w:t>
      </w:r>
      <w:r w:rsidR="00476CDE" w:rsidRPr="00774EDB">
        <w:rPr>
          <w:rFonts w:ascii="Times New Roman" w:hAnsi="Times New Roman" w:cs="Times New Roman"/>
          <w:sz w:val="24"/>
          <w:szCs w:val="24"/>
        </w:rPr>
        <w:t>s as well as the proven benefits of the criteria</w:t>
      </w:r>
      <w:r w:rsidRPr="00774EDB">
        <w:rPr>
          <w:rFonts w:ascii="Times New Roman" w:hAnsi="Times New Roman" w:cs="Times New Roman"/>
          <w:sz w:val="24"/>
          <w:szCs w:val="24"/>
        </w:rPr>
        <w:t>,</w:t>
      </w:r>
      <w:r w:rsidR="00476CDE" w:rsidRPr="00774EDB">
        <w:rPr>
          <w:rFonts w:ascii="Times New Roman" w:hAnsi="Times New Roman" w:cs="Times New Roman"/>
          <w:sz w:val="24"/>
          <w:szCs w:val="24"/>
        </w:rPr>
        <w:t xml:space="preserve"> and tests e.g. exceptional circumstances</w:t>
      </w:r>
      <w:r w:rsidRPr="00774EDB">
        <w:rPr>
          <w:rFonts w:ascii="Times New Roman" w:hAnsi="Times New Roman" w:cs="Times New Roman"/>
          <w:sz w:val="24"/>
          <w:szCs w:val="24"/>
        </w:rPr>
        <w:t>,</w:t>
      </w:r>
      <w:r w:rsidR="00476CDE" w:rsidRPr="00774EDB">
        <w:rPr>
          <w:rFonts w:ascii="Times New Roman" w:hAnsi="Times New Roman" w:cs="Times New Roman"/>
          <w:sz w:val="24"/>
          <w:szCs w:val="24"/>
        </w:rPr>
        <w:t xml:space="preserve"> applied </w:t>
      </w:r>
      <w:r w:rsidR="006F2FC8" w:rsidRPr="00774EDB">
        <w:rPr>
          <w:rFonts w:ascii="Times New Roman" w:hAnsi="Times New Roman" w:cs="Times New Roman"/>
          <w:sz w:val="24"/>
          <w:szCs w:val="24"/>
        </w:rPr>
        <w:t xml:space="preserve">under Article 102 </w:t>
      </w:r>
      <w:r w:rsidRPr="00774EDB">
        <w:rPr>
          <w:rFonts w:ascii="Times New Roman" w:hAnsi="Times New Roman" w:cs="Times New Roman"/>
          <w:sz w:val="24"/>
          <w:szCs w:val="24"/>
        </w:rPr>
        <w:t xml:space="preserve">of the </w:t>
      </w:r>
      <w:r w:rsidR="006F2FC8" w:rsidRPr="00774EDB">
        <w:rPr>
          <w:rFonts w:ascii="Times New Roman" w:hAnsi="Times New Roman" w:cs="Times New Roman"/>
          <w:sz w:val="24"/>
          <w:szCs w:val="24"/>
        </w:rPr>
        <w:t>TFEU</w:t>
      </w:r>
      <w:r w:rsidR="00476CDE" w:rsidRPr="00774EDB">
        <w:rPr>
          <w:rFonts w:ascii="Times New Roman" w:hAnsi="Times New Roman" w:cs="Times New Roman"/>
          <w:sz w:val="24"/>
          <w:szCs w:val="24"/>
        </w:rPr>
        <w:t>.</w:t>
      </w:r>
      <w:r w:rsidR="006450A5" w:rsidRPr="00774EDB">
        <w:rPr>
          <w:rFonts w:ascii="Times New Roman" w:hAnsi="Times New Roman" w:cs="Times New Roman"/>
          <w:sz w:val="24"/>
          <w:szCs w:val="24"/>
        </w:rPr>
        <w:t xml:space="preserve"> </w:t>
      </w:r>
      <w:r w:rsidR="00377ABE" w:rsidRPr="00774EDB">
        <w:rPr>
          <w:rFonts w:ascii="Times New Roman" w:hAnsi="Times New Roman" w:cs="Times New Roman"/>
          <w:sz w:val="24"/>
          <w:szCs w:val="24"/>
        </w:rPr>
        <w:t>In addition to</w:t>
      </w:r>
      <w:r w:rsidR="00546F19" w:rsidRPr="00774EDB">
        <w:rPr>
          <w:rFonts w:ascii="Times New Roman" w:hAnsi="Times New Roman" w:cs="Times New Roman"/>
          <w:sz w:val="24"/>
          <w:szCs w:val="24"/>
        </w:rPr>
        <w:t xml:space="preserve"> </w:t>
      </w:r>
      <w:r w:rsidR="006F2FC8" w:rsidRPr="00774EDB">
        <w:rPr>
          <w:rFonts w:ascii="Times New Roman" w:hAnsi="Times New Roman" w:cs="Times New Roman"/>
          <w:sz w:val="24"/>
          <w:szCs w:val="24"/>
        </w:rPr>
        <w:t>this</w:t>
      </w:r>
      <w:r w:rsidR="00377ABE" w:rsidRPr="00774EDB">
        <w:rPr>
          <w:rFonts w:ascii="Times New Roman" w:hAnsi="Times New Roman" w:cs="Times New Roman"/>
          <w:sz w:val="24"/>
          <w:szCs w:val="24"/>
        </w:rPr>
        <w:t xml:space="preserve">, </w:t>
      </w:r>
      <w:r w:rsidR="00546F19" w:rsidRPr="00774EDB">
        <w:rPr>
          <w:rFonts w:ascii="Times New Roman" w:hAnsi="Times New Roman" w:cs="Times New Roman"/>
          <w:sz w:val="24"/>
          <w:szCs w:val="24"/>
        </w:rPr>
        <w:t xml:space="preserve">Article 101 and merger </w:t>
      </w:r>
      <w:r w:rsidR="00546F19" w:rsidRPr="00774EDB">
        <w:rPr>
          <w:rFonts w:ascii="Times New Roman" w:hAnsi="Times New Roman" w:cs="Times New Roman"/>
          <w:sz w:val="24"/>
          <w:szCs w:val="24"/>
        </w:rPr>
        <w:lastRenderedPageBreak/>
        <w:t xml:space="preserve">cases are also incorporated </w:t>
      </w:r>
      <w:r w:rsidR="006F2FC8" w:rsidRPr="00774EDB">
        <w:rPr>
          <w:rFonts w:ascii="Times New Roman" w:hAnsi="Times New Roman" w:cs="Times New Roman"/>
          <w:sz w:val="24"/>
          <w:szCs w:val="24"/>
        </w:rPr>
        <w:t>with</w:t>
      </w:r>
      <w:r w:rsidR="00546F19" w:rsidRPr="00774EDB">
        <w:rPr>
          <w:rFonts w:ascii="Times New Roman" w:hAnsi="Times New Roman" w:cs="Times New Roman"/>
          <w:sz w:val="24"/>
          <w:szCs w:val="24"/>
        </w:rPr>
        <w:t>in th</w:t>
      </w:r>
      <w:r w:rsidR="006F2FC8" w:rsidRPr="00774EDB">
        <w:rPr>
          <w:rFonts w:ascii="Times New Roman" w:hAnsi="Times New Roman" w:cs="Times New Roman"/>
          <w:sz w:val="24"/>
          <w:szCs w:val="24"/>
        </w:rPr>
        <w:t>e overall</w:t>
      </w:r>
      <w:r w:rsidR="00546F19" w:rsidRPr="00774EDB">
        <w:rPr>
          <w:rFonts w:ascii="Times New Roman" w:hAnsi="Times New Roman" w:cs="Times New Roman"/>
          <w:sz w:val="24"/>
          <w:szCs w:val="24"/>
        </w:rPr>
        <w:t xml:space="preserve"> analysis, un</w:t>
      </w:r>
      <w:r w:rsidR="006F2FC8" w:rsidRPr="00774EDB">
        <w:rPr>
          <w:rFonts w:ascii="Times New Roman" w:hAnsi="Times New Roman" w:cs="Times New Roman"/>
          <w:sz w:val="24"/>
          <w:szCs w:val="24"/>
        </w:rPr>
        <w:t>cover</w:t>
      </w:r>
      <w:r w:rsidR="00546F19" w:rsidRPr="00774EDB">
        <w:rPr>
          <w:rFonts w:ascii="Times New Roman" w:hAnsi="Times New Roman" w:cs="Times New Roman"/>
          <w:sz w:val="24"/>
          <w:szCs w:val="24"/>
        </w:rPr>
        <w:t xml:space="preserve">ing </w:t>
      </w:r>
      <w:r w:rsidR="00CB4CAF" w:rsidRPr="00774EDB">
        <w:rPr>
          <w:rFonts w:ascii="Times New Roman" w:hAnsi="Times New Roman" w:cs="Times New Roman"/>
          <w:sz w:val="24"/>
          <w:szCs w:val="24"/>
        </w:rPr>
        <w:t xml:space="preserve">the </w:t>
      </w:r>
      <w:r w:rsidR="00BB27DC" w:rsidRPr="00774EDB">
        <w:rPr>
          <w:rFonts w:ascii="Times New Roman" w:hAnsi="Times New Roman" w:cs="Times New Roman"/>
          <w:sz w:val="24"/>
          <w:szCs w:val="24"/>
        </w:rPr>
        <w:t xml:space="preserve">reach and </w:t>
      </w:r>
      <w:r w:rsidR="00546F19" w:rsidRPr="00774EDB">
        <w:rPr>
          <w:rFonts w:ascii="Times New Roman" w:hAnsi="Times New Roman" w:cs="Times New Roman"/>
          <w:sz w:val="24"/>
          <w:szCs w:val="24"/>
        </w:rPr>
        <w:t>limit</w:t>
      </w:r>
      <w:r w:rsidRPr="00774EDB">
        <w:rPr>
          <w:rFonts w:ascii="Times New Roman" w:hAnsi="Times New Roman" w:cs="Times New Roman"/>
          <w:sz w:val="24"/>
          <w:szCs w:val="24"/>
        </w:rPr>
        <w:t>ation</w:t>
      </w:r>
      <w:r w:rsidR="00546F19" w:rsidRPr="00774EDB">
        <w:rPr>
          <w:rFonts w:ascii="Times New Roman" w:hAnsi="Times New Roman" w:cs="Times New Roman"/>
          <w:sz w:val="24"/>
          <w:szCs w:val="24"/>
        </w:rPr>
        <w:t>s</w:t>
      </w:r>
      <w:r w:rsidRPr="00774EDB">
        <w:rPr>
          <w:rFonts w:ascii="Times New Roman" w:hAnsi="Times New Roman" w:cs="Times New Roman"/>
          <w:sz w:val="24"/>
          <w:szCs w:val="24"/>
        </w:rPr>
        <w:t xml:space="preserve"> of EU competition law.</w:t>
      </w:r>
      <w:r w:rsidR="00546F19" w:rsidRPr="00774EDB">
        <w:rPr>
          <w:rFonts w:ascii="Times New Roman" w:hAnsi="Times New Roman" w:cs="Times New Roman"/>
          <w:sz w:val="24"/>
          <w:szCs w:val="24"/>
        </w:rPr>
        <w:t xml:space="preserve"> </w:t>
      </w:r>
    </w:p>
    <w:p w14:paraId="1357CE01" w14:textId="77777777" w:rsidR="006D4C7B" w:rsidRPr="00774EDB" w:rsidRDefault="006D4C7B" w:rsidP="00A70042">
      <w:pPr>
        <w:pStyle w:val="Heading3"/>
        <w:numPr>
          <w:ilvl w:val="2"/>
          <w:numId w:val="5"/>
        </w:numPr>
        <w:spacing w:before="360"/>
        <w:ind w:left="0" w:firstLine="0"/>
        <w:jc w:val="both"/>
        <w:rPr>
          <w:rFonts w:ascii="Times New Roman" w:hAnsi="Times New Roman" w:cs="Times New Roman"/>
          <w:b/>
          <w:color w:val="auto"/>
        </w:rPr>
      </w:pPr>
      <w:bookmarkStart w:id="253" w:name="_Toc17611377"/>
      <w:bookmarkStart w:id="254" w:name="_Toc17611594"/>
      <w:bookmarkStart w:id="255" w:name="_Toc17611806"/>
      <w:bookmarkStart w:id="256" w:name="_Toc17612020"/>
      <w:bookmarkStart w:id="257" w:name="_Toc17612233"/>
      <w:bookmarkStart w:id="258" w:name="_Toc17611378"/>
      <w:bookmarkStart w:id="259" w:name="_Toc53576043"/>
      <w:bookmarkEnd w:id="253"/>
      <w:bookmarkEnd w:id="254"/>
      <w:bookmarkEnd w:id="255"/>
      <w:bookmarkEnd w:id="256"/>
      <w:bookmarkEnd w:id="257"/>
      <w:r w:rsidRPr="00774EDB">
        <w:rPr>
          <w:rFonts w:ascii="Times New Roman" w:hAnsi="Times New Roman" w:cs="Times New Roman"/>
          <w:b/>
          <w:color w:val="auto"/>
        </w:rPr>
        <w:t>Sector-specific rules: Electronic communications law and regulations</w:t>
      </w:r>
      <w:bookmarkEnd w:id="258"/>
      <w:bookmarkEnd w:id="259"/>
      <w:r w:rsidRPr="00774EDB">
        <w:rPr>
          <w:rFonts w:ascii="Times New Roman" w:hAnsi="Times New Roman" w:cs="Times New Roman"/>
          <w:b/>
          <w:color w:val="auto"/>
        </w:rPr>
        <w:t xml:space="preserve"> </w:t>
      </w:r>
    </w:p>
    <w:p w14:paraId="3239AC16" w14:textId="01A6212B" w:rsidR="00D55C0B" w:rsidRPr="00A70042" w:rsidRDefault="00BB27DC"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“Electronic communications networks”</w:t>
      </w:r>
      <w:r w:rsidRPr="00A70042">
        <w:rPr>
          <w:rStyle w:val="FootnoteReference"/>
          <w:rFonts w:ascii="Times New Roman" w:hAnsi="Times New Roman" w:cs="Times New Roman"/>
          <w:spacing w:val="-2"/>
          <w:sz w:val="24"/>
          <w:szCs w:val="24"/>
        </w:rPr>
        <w:footnoteReference w:id="232"/>
      </w:r>
      <w:r w:rsidRPr="00A70042">
        <w:rPr>
          <w:rFonts w:ascii="Times New Roman" w:hAnsi="Times New Roman" w:cs="Times New Roman"/>
          <w:spacing w:val="-2"/>
          <w:sz w:val="24"/>
          <w:szCs w:val="24"/>
        </w:rPr>
        <w:t xml:space="preserve"> constitute the backdrop on which all kinds of ICT platforms, services and applications are run. In this scope are included all kinds of wired and wireless networks, like cable, mobile, etc., that enable end-to-end connectivity i.e. any-to-any communication, through transmission of voice, data and video. Through these networks are offered the “electronic communications services”, which </w:t>
      </w:r>
      <w:r w:rsidR="00D55C0B" w:rsidRPr="00A70042">
        <w:rPr>
          <w:rFonts w:ascii="Times New Roman" w:hAnsi="Times New Roman" w:cs="Times New Roman"/>
          <w:spacing w:val="-2"/>
          <w:sz w:val="24"/>
          <w:szCs w:val="24"/>
        </w:rPr>
        <w:t>we</w:t>
      </w:r>
      <w:r w:rsidRPr="00A70042">
        <w:rPr>
          <w:rFonts w:ascii="Times New Roman" w:hAnsi="Times New Roman" w:cs="Times New Roman"/>
          <w:spacing w:val="-2"/>
          <w:sz w:val="24"/>
          <w:szCs w:val="24"/>
        </w:rPr>
        <w:t>re originally defined as “</w:t>
      </w:r>
      <w:r w:rsidRPr="00A70042">
        <w:rPr>
          <w:rFonts w:ascii="Times New Roman" w:hAnsi="Times New Roman" w:cs="Times New Roman"/>
          <w:iCs/>
          <w:spacing w:val="-2"/>
          <w:sz w:val="24"/>
          <w:szCs w:val="24"/>
        </w:rPr>
        <w:t xml:space="preserve">a service normally provided for remuneration which consists wholly or mainly in the </w:t>
      </w:r>
      <w:r w:rsidRPr="00A70042">
        <w:rPr>
          <w:rFonts w:ascii="Times New Roman" w:hAnsi="Times New Roman" w:cs="Times New Roman"/>
          <w:i/>
          <w:spacing w:val="-2"/>
          <w:sz w:val="24"/>
          <w:szCs w:val="24"/>
        </w:rPr>
        <w:t>conveyance of signals on electronic communications networks</w:t>
      </w:r>
      <w:r w:rsidRPr="00A70042">
        <w:rPr>
          <w:rFonts w:ascii="Times New Roman" w:hAnsi="Times New Roman" w:cs="Times New Roman"/>
          <w:spacing w:val="-2"/>
          <w:sz w:val="24"/>
          <w:szCs w:val="24"/>
        </w:rPr>
        <w:t>, including telecommunications services and transmission services in networks used for broadcasting, but excludes services providing, or exercising editorial control over, content transmitted using electronic communications networks and service”.</w:t>
      </w:r>
      <w:r w:rsidRPr="00A70042">
        <w:rPr>
          <w:rStyle w:val="FootnoteReference"/>
          <w:rFonts w:ascii="Times New Roman" w:hAnsi="Times New Roman" w:cs="Times New Roman"/>
          <w:spacing w:val="-2"/>
          <w:sz w:val="24"/>
          <w:szCs w:val="24"/>
        </w:rPr>
        <w:footnoteReference w:id="233"/>
      </w:r>
    </w:p>
    <w:p w14:paraId="0F2DF916" w14:textId="698B9F82" w:rsidR="001E185A" w:rsidRPr="00A70042" w:rsidRDefault="00BB27DC" w:rsidP="00A70042">
      <w:pPr>
        <w:spacing w:before="360"/>
        <w:jc w:val="both"/>
        <w:rPr>
          <w:rFonts w:ascii="Times New Roman" w:hAnsi="Times New Roman" w:cs="Times New Roman"/>
          <w:spacing w:val="-4"/>
          <w:sz w:val="24"/>
          <w:szCs w:val="24"/>
        </w:rPr>
      </w:pPr>
      <w:r w:rsidRPr="00A70042">
        <w:rPr>
          <w:rFonts w:ascii="Times New Roman" w:hAnsi="Times New Roman" w:cs="Times New Roman"/>
          <w:spacing w:val="-4"/>
          <w:sz w:val="24"/>
          <w:szCs w:val="24"/>
        </w:rPr>
        <w:t xml:space="preserve">As can be seen, the core part of the ‘electronic communications services’ comes from the “conveyance of signals on electronic communications networks”, marking a distinction from the conveyance of the content via these networks/services. From this point of view, electronic communications law, or more specifically speaking the EU regulatory framework (ECRF), is built upon the idea of regulation of all transmission networks and services in a technology-neural and harmonised manner. While a significant overhaul of </w:t>
      </w:r>
      <w:r w:rsidRPr="00A70042">
        <w:rPr>
          <w:rFonts w:ascii="Times New Roman" w:hAnsi="Times New Roman" w:cs="Times New Roman"/>
          <w:spacing w:val="-4"/>
          <w:sz w:val="24"/>
          <w:szCs w:val="24"/>
        </w:rPr>
        <w:lastRenderedPageBreak/>
        <w:t>the ECRF has taken place recently with the EECC, this new consolidated Directive does not practically or radically change this main logic pursued so far.</w:t>
      </w:r>
      <w:r w:rsidRPr="00A70042">
        <w:rPr>
          <w:rStyle w:val="FootnoteReference"/>
          <w:rFonts w:ascii="Times New Roman" w:hAnsi="Times New Roman" w:cs="Times New Roman"/>
          <w:spacing w:val="-4"/>
          <w:sz w:val="24"/>
          <w:szCs w:val="24"/>
        </w:rPr>
        <w:footnoteReference w:id="234"/>
      </w:r>
    </w:p>
    <w:p w14:paraId="05CBB5F5" w14:textId="2455EB76" w:rsidR="00F93F98" w:rsidRDefault="00BB27DC" w:rsidP="00A70042">
      <w:pPr>
        <w:spacing w:before="360"/>
        <w:jc w:val="both"/>
        <w:rPr>
          <w:rFonts w:ascii="Times New Roman" w:hAnsi="Times New Roman" w:cs="Times New Roman"/>
          <w:snapToGrid w:val="0"/>
          <w:sz w:val="24"/>
          <w:szCs w:val="24"/>
          <w:lang w:eastAsia="tr-TR"/>
        </w:rPr>
      </w:pPr>
      <w:r w:rsidRPr="00774EDB">
        <w:rPr>
          <w:rFonts w:ascii="Times New Roman" w:hAnsi="Times New Roman" w:cs="Times New Roman"/>
          <w:sz w:val="24"/>
          <w:szCs w:val="24"/>
        </w:rPr>
        <w:t xml:space="preserve">The original ECRF, </w:t>
      </w:r>
      <w:r w:rsidR="00F93F98">
        <w:rPr>
          <w:rFonts w:ascii="Times New Roman" w:hAnsi="Times New Roman" w:cs="Times New Roman"/>
          <w:sz w:val="24"/>
          <w:szCs w:val="24"/>
        </w:rPr>
        <w:t>or</w:t>
      </w:r>
      <w:r w:rsidRPr="00774EDB">
        <w:rPr>
          <w:rFonts w:ascii="Times New Roman" w:hAnsi="Times New Roman" w:cs="Times New Roman"/>
          <w:sz w:val="24"/>
          <w:szCs w:val="24"/>
        </w:rPr>
        <w:t xml:space="preserve"> the ‘2002 regulatory framework’, has entered into force incorporating a number of </w:t>
      </w:r>
      <w:r w:rsidR="00F93F98">
        <w:rPr>
          <w:rFonts w:ascii="Times New Roman" w:hAnsi="Times New Roman" w:cs="Times New Roman"/>
          <w:sz w:val="24"/>
          <w:szCs w:val="24"/>
        </w:rPr>
        <w:t>d</w:t>
      </w:r>
      <w:r w:rsidRPr="00774EDB">
        <w:rPr>
          <w:rFonts w:ascii="Times New Roman" w:hAnsi="Times New Roman" w:cs="Times New Roman"/>
          <w:sz w:val="24"/>
          <w:szCs w:val="24"/>
        </w:rPr>
        <w:t xml:space="preserve">irectives, </w:t>
      </w:r>
      <w:r w:rsidR="00F93F98">
        <w:rPr>
          <w:rFonts w:ascii="Times New Roman" w:hAnsi="Times New Roman" w:cs="Times New Roman"/>
          <w:sz w:val="24"/>
          <w:szCs w:val="24"/>
        </w:rPr>
        <w:t>r</w:t>
      </w:r>
      <w:r w:rsidRPr="00774EDB">
        <w:rPr>
          <w:rFonts w:ascii="Times New Roman" w:hAnsi="Times New Roman" w:cs="Times New Roman"/>
          <w:sz w:val="24"/>
          <w:szCs w:val="24"/>
        </w:rPr>
        <w:t xml:space="preserve">egulations, Commission </w:t>
      </w:r>
      <w:r w:rsidR="00F93F98">
        <w:rPr>
          <w:rFonts w:ascii="Times New Roman" w:hAnsi="Times New Roman" w:cs="Times New Roman"/>
          <w:sz w:val="24"/>
          <w:szCs w:val="24"/>
        </w:rPr>
        <w:t>r</w:t>
      </w:r>
      <w:r w:rsidRPr="00774EDB">
        <w:rPr>
          <w:rFonts w:ascii="Times New Roman" w:hAnsi="Times New Roman" w:cs="Times New Roman"/>
          <w:sz w:val="24"/>
          <w:szCs w:val="24"/>
        </w:rPr>
        <w:t xml:space="preserve">ecommendations and </w:t>
      </w:r>
      <w:r w:rsidR="00F93F98">
        <w:rPr>
          <w:rFonts w:ascii="Times New Roman" w:hAnsi="Times New Roman" w:cs="Times New Roman"/>
          <w:sz w:val="24"/>
          <w:szCs w:val="24"/>
        </w:rPr>
        <w:t>d</w:t>
      </w:r>
      <w:r w:rsidRPr="00774EDB">
        <w:rPr>
          <w:rFonts w:ascii="Times New Roman" w:hAnsi="Times New Roman" w:cs="Times New Roman"/>
          <w:sz w:val="24"/>
          <w:szCs w:val="24"/>
        </w:rPr>
        <w:t>ecisions, to be applicable in the field of electronic communications.</w:t>
      </w:r>
      <w:r w:rsidRPr="00774EDB">
        <w:rPr>
          <w:rStyle w:val="FootnoteReference"/>
          <w:rFonts w:ascii="Times New Roman" w:hAnsi="Times New Roman" w:cs="Times New Roman"/>
          <w:sz w:val="24"/>
          <w:szCs w:val="24"/>
        </w:rPr>
        <w:footnoteReference w:id="235"/>
      </w:r>
      <w:r w:rsidRPr="00774EDB">
        <w:rPr>
          <w:rFonts w:ascii="Times New Roman" w:hAnsi="Times New Roman" w:cs="Times New Roman"/>
          <w:sz w:val="24"/>
          <w:szCs w:val="24"/>
        </w:rPr>
        <w:t xml:space="preserve"> Such pieces of hard and soft </w:t>
      </w:r>
      <w:r w:rsidR="00D55C0B" w:rsidRPr="00774EDB">
        <w:rPr>
          <w:rFonts w:ascii="Times New Roman" w:hAnsi="Times New Roman" w:cs="Times New Roman"/>
          <w:sz w:val="24"/>
          <w:szCs w:val="24"/>
        </w:rPr>
        <w:t>law</w:t>
      </w:r>
      <w:r w:rsidRPr="00774EDB">
        <w:rPr>
          <w:rFonts w:ascii="Times New Roman" w:hAnsi="Times New Roman" w:cs="Times New Roman"/>
          <w:sz w:val="24"/>
          <w:szCs w:val="24"/>
        </w:rPr>
        <w:t xml:space="preserve"> mean </w:t>
      </w:r>
      <w:r w:rsidRPr="00774EDB">
        <w:rPr>
          <w:rFonts w:ascii="Times New Roman" w:hAnsi="Times New Roman" w:cs="Times New Roman"/>
          <w:snapToGrid w:val="0"/>
          <w:sz w:val="24"/>
          <w:szCs w:val="24"/>
          <w:lang w:eastAsia="tr-TR"/>
        </w:rPr>
        <w:t xml:space="preserve">a toolbox delivering a number of regulatory tools and measures to cope with the structural, and to a lesser degree, behavioural market failures </w:t>
      </w:r>
      <w:r w:rsidR="00F93F98">
        <w:rPr>
          <w:rFonts w:ascii="Times New Roman" w:hAnsi="Times New Roman" w:cs="Times New Roman"/>
          <w:snapToGrid w:val="0"/>
          <w:sz w:val="24"/>
          <w:szCs w:val="24"/>
          <w:lang w:eastAsia="tr-TR"/>
        </w:rPr>
        <w:t>encountered in</w:t>
      </w:r>
      <w:r w:rsidRPr="00774EDB">
        <w:rPr>
          <w:rFonts w:ascii="Times New Roman" w:hAnsi="Times New Roman" w:cs="Times New Roman"/>
          <w:snapToGrid w:val="0"/>
          <w:sz w:val="24"/>
          <w:szCs w:val="24"/>
          <w:lang w:eastAsia="tr-TR"/>
        </w:rPr>
        <w:t xml:space="preserve"> electronic communications markets. While the mainstream idea is </w:t>
      </w:r>
      <w:r w:rsidR="00F93F98">
        <w:rPr>
          <w:rFonts w:ascii="Times New Roman" w:hAnsi="Times New Roman" w:cs="Times New Roman"/>
          <w:snapToGrid w:val="0"/>
          <w:sz w:val="24"/>
          <w:szCs w:val="24"/>
          <w:lang w:eastAsia="tr-TR"/>
        </w:rPr>
        <w:t xml:space="preserve">to </w:t>
      </w:r>
      <w:r w:rsidRPr="00774EDB">
        <w:rPr>
          <w:rFonts w:ascii="Times New Roman" w:hAnsi="Times New Roman" w:cs="Times New Roman"/>
          <w:snapToGrid w:val="0"/>
          <w:sz w:val="24"/>
          <w:szCs w:val="24"/>
          <w:lang w:eastAsia="tr-TR"/>
        </w:rPr>
        <w:t xml:space="preserve">pre-empt the market failures, this is extended by a more consumer-centric, protectionist perspective, encompassing the </w:t>
      </w:r>
      <w:r w:rsidR="00530327">
        <w:rPr>
          <w:rFonts w:ascii="Times New Roman" w:hAnsi="Times New Roman" w:cs="Times New Roman"/>
          <w:snapToGrid w:val="0"/>
          <w:sz w:val="24"/>
          <w:szCs w:val="24"/>
          <w:lang w:eastAsia="tr-TR"/>
        </w:rPr>
        <w:t xml:space="preserve">issues of </w:t>
      </w:r>
      <w:r w:rsidRPr="00774EDB">
        <w:rPr>
          <w:rFonts w:ascii="Times New Roman" w:hAnsi="Times New Roman" w:cs="Times New Roman"/>
          <w:snapToGrid w:val="0"/>
          <w:sz w:val="24"/>
          <w:szCs w:val="24"/>
          <w:lang w:eastAsia="tr-TR"/>
        </w:rPr>
        <w:t>universal rights and data privacy.</w:t>
      </w:r>
      <w:r w:rsidRPr="00774EDB">
        <w:rPr>
          <w:rStyle w:val="FootnoteReference"/>
          <w:rFonts w:ascii="Times New Roman" w:hAnsi="Times New Roman" w:cs="Times New Roman"/>
          <w:snapToGrid w:val="0"/>
          <w:sz w:val="24"/>
          <w:szCs w:val="24"/>
          <w:lang w:eastAsia="tr-TR"/>
        </w:rPr>
        <w:footnoteReference w:id="236"/>
      </w:r>
    </w:p>
    <w:p w14:paraId="74AA1AC3" w14:textId="5BEAB3BB" w:rsidR="009824CF" w:rsidRPr="00774EDB" w:rsidRDefault="00BB27DC" w:rsidP="00A70042">
      <w:pPr>
        <w:spacing w:before="360"/>
        <w:jc w:val="both"/>
        <w:rPr>
          <w:rFonts w:ascii="Times New Roman" w:hAnsi="Times New Roman" w:cs="Times New Roman"/>
          <w:sz w:val="24"/>
          <w:szCs w:val="24"/>
        </w:rPr>
      </w:pPr>
      <w:r w:rsidRPr="00774EDB">
        <w:rPr>
          <w:rFonts w:ascii="Times New Roman" w:hAnsi="Times New Roman" w:cs="Times New Roman"/>
          <w:snapToGrid w:val="0"/>
          <w:sz w:val="24"/>
          <w:szCs w:val="24"/>
          <w:lang w:eastAsia="tr-TR"/>
        </w:rPr>
        <w:t>From the competition policy point of view</w:t>
      </w:r>
      <w:r w:rsidR="00F93F98">
        <w:rPr>
          <w:rFonts w:ascii="Times New Roman" w:hAnsi="Times New Roman" w:cs="Times New Roman"/>
          <w:snapToGrid w:val="0"/>
          <w:sz w:val="24"/>
          <w:szCs w:val="24"/>
          <w:lang w:eastAsia="tr-TR"/>
        </w:rPr>
        <w:t xml:space="preserve"> embedded into the ECRF</w:t>
      </w:r>
      <w:r w:rsidRPr="00774EDB">
        <w:rPr>
          <w:rFonts w:ascii="Times New Roman" w:hAnsi="Times New Roman" w:cs="Times New Roman"/>
          <w:snapToGrid w:val="0"/>
          <w:sz w:val="24"/>
          <w:szCs w:val="24"/>
          <w:lang w:eastAsia="tr-TR"/>
        </w:rPr>
        <w:t xml:space="preserve">, </w:t>
      </w:r>
      <w:r w:rsidR="008212F9">
        <w:rPr>
          <w:rFonts w:ascii="Times New Roman" w:hAnsi="Times New Roman" w:cs="Times New Roman"/>
          <w:snapToGrid w:val="0"/>
          <w:sz w:val="24"/>
          <w:szCs w:val="24"/>
          <w:lang w:eastAsia="tr-TR"/>
        </w:rPr>
        <w:t>regulatory authorities (</w:t>
      </w:r>
      <w:r w:rsidRPr="00774EDB">
        <w:rPr>
          <w:rFonts w:ascii="Times New Roman" w:hAnsi="Times New Roman" w:cs="Times New Roman"/>
          <w:snapToGrid w:val="0"/>
          <w:sz w:val="24"/>
          <w:szCs w:val="24"/>
          <w:lang w:eastAsia="tr-TR"/>
        </w:rPr>
        <w:t>NRAs</w:t>
      </w:r>
      <w:r w:rsidR="008212F9">
        <w:rPr>
          <w:rFonts w:ascii="Times New Roman" w:hAnsi="Times New Roman" w:cs="Times New Roman"/>
          <w:snapToGrid w:val="0"/>
          <w:sz w:val="24"/>
          <w:szCs w:val="24"/>
          <w:lang w:eastAsia="tr-TR"/>
        </w:rPr>
        <w:t>)</w:t>
      </w:r>
      <w:r w:rsidRPr="00774EDB">
        <w:rPr>
          <w:rFonts w:ascii="Times New Roman" w:hAnsi="Times New Roman" w:cs="Times New Roman"/>
          <w:snapToGrid w:val="0"/>
          <w:sz w:val="24"/>
          <w:szCs w:val="24"/>
          <w:lang w:eastAsia="tr-TR"/>
        </w:rPr>
        <w:t xml:space="preserve"> define ex-ante markets in broader terms than their competition law counterparts,</w:t>
      </w:r>
      <w:r w:rsidRPr="00774EDB">
        <w:rPr>
          <w:rStyle w:val="FootnoteReference"/>
          <w:rFonts w:ascii="Times New Roman" w:hAnsi="Times New Roman" w:cs="Times New Roman"/>
          <w:snapToGrid w:val="0"/>
          <w:sz w:val="24"/>
          <w:szCs w:val="24"/>
          <w:lang w:eastAsia="tr-TR"/>
        </w:rPr>
        <w:footnoteReference w:id="237"/>
      </w:r>
      <w:r w:rsidRPr="00774EDB">
        <w:rPr>
          <w:rFonts w:ascii="Times New Roman" w:hAnsi="Times New Roman" w:cs="Times New Roman"/>
          <w:snapToGrid w:val="0"/>
          <w:sz w:val="24"/>
          <w:szCs w:val="24"/>
          <w:lang w:eastAsia="tr-TR"/>
        </w:rPr>
        <w:t xml:space="preserve"> </w:t>
      </w:r>
      <w:r w:rsidR="008212F9">
        <w:rPr>
          <w:rFonts w:ascii="Times New Roman" w:hAnsi="Times New Roman" w:cs="Times New Roman"/>
          <w:snapToGrid w:val="0"/>
          <w:sz w:val="24"/>
          <w:szCs w:val="24"/>
          <w:lang w:eastAsia="tr-TR"/>
        </w:rPr>
        <w:t>although</w:t>
      </w:r>
      <w:r w:rsidRPr="00774EDB">
        <w:rPr>
          <w:rFonts w:ascii="Times New Roman" w:hAnsi="Times New Roman" w:cs="Times New Roman"/>
          <w:snapToGrid w:val="0"/>
          <w:sz w:val="24"/>
          <w:szCs w:val="24"/>
          <w:lang w:eastAsia="tr-TR"/>
        </w:rPr>
        <w:t xml:space="preserve"> they </w:t>
      </w:r>
      <w:r w:rsidR="008212F9">
        <w:rPr>
          <w:rFonts w:ascii="Times New Roman" w:hAnsi="Times New Roman" w:cs="Times New Roman"/>
          <w:snapToGrid w:val="0"/>
          <w:sz w:val="24"/>
          <w:szCs w:val="24"/>
          <w:lang w:eastAsia="tr-TR"/>
        </w:rPr>
        <w:t xml:space="preserve">often </w:t>
      </w:r>
      <w:r w:rsidRPr="00774EDB">
        <w:rPr>
          <w:rFonts w:ascii="Times New Roman" w:hAnsi="Times New Roman" w:cs="Times New Roman"/>
          <w:snapToGrid w:val="0"/>
          <w:sz w:val="24"/>
          <w:szCs w:val="24"/>
          <w:lang w:eastAsia="tr-TR"/>
        </w:rPr>
        <w:t xml:space="preserve">use </w:t>
      </w:r>
      <w:r w:rsidR="008212F9">
        <w:rPr>
          <w:rFonts w:ascii="Times New Roman" w:hAnsi="Times New Roman" w:cs="Times New Roman"/>
          <w:snapToGrid w:val="0"/>
          <w:sz w:val="24"/>
          <w:szCs w:val="24"/>
          <w:lang w:eastAsia="tr-TR"/>
        </w:rPr>
        <w:t xml:space="preserve">the ex post </w:t>
      </w:r>
      <w:r w:rsidRPr="00774EDB">
        <w:rPr>
          <w:rFonts w:ascii="Times New Roman" w:hAnsi="Times New Roman" w:cs="Times New Roman"/>
          <w:snapToGrid w:val="0"/>
          <w:sz w:val="24"/>
          <w:szCs w:val="24"/>
          <w:lang w:eastAsia="tr-TR"/>
        </w:rPr>
        <w:t xml:space="preserve">competition law terms and instruments e.g. market analysis and dominance. Their market analyses </w:t>
      </w:r>
      <w:r w:rsidRPr="00774EDB">
        <w:rPr>
          <w:rFonts w:ascii="Times New Roman" w:hAnsi="Times New Roman" w:cs="Times New Roman"/>
          <w:sz w:val="24"/>
          <w:szCs w:val="24"/>
        </w:rPr>
        <w:t xml:space="preserve">give some signals as to the prospective market failures, signifying a forward-looking approach based on the existing market data. At the end of this process, a number of remedies are supposed to be imposed on the dominant players </w:t>
      </w:r>
      <w:r w:rsidR="00BA7FA9">
        <w:rPr>
          <w:rFonts w:ascii="Times New Roman" w:hAnsi="Times New Roman" w:cs="Times New Roman"/>
          <w:sz w:val="24"/>
          <w:szCs w:val="24"/>
        </w:rPr>
        <w:t xml:space="preserve">or technically speaking </w:t>
      </w:r>
      <w:r w:rsidRPr="00774EDB">
        <w:rPr>
          <w:rFonts w:ascii="Times New Roman" w:hAnsi="Times New Roman" w:cs="Times New Roman"/>
          <w:sz w:val="24"/>
          <w:szCs w:val="24"/>
        </w:rPr>
        <w:t>operators</w:t>
      </w:r>
      <w:r w:rsidR="00BA7FA9">
        <w:rPr>
          <w:rFonts w:ascii="Times New Roman" w:hAnsi="Times New Roman" w:cs="Times New Roman"/>
          <w:sz w:val="24"/>
          <w:szCs w:val="24"/>
        </w:rPr>
        <w:t xml:space="preserve"> </w:t>
      </w:r>
      <w:r w:rsidR="00BA7FA9" w:rsidRPr="00774EDB">
        <w:rPr>
          <w:rFonts w:ascii="Times New Roman" w:hAnsi="Times New Roman" w:cs="Times New Roman"/>
          <w:sz w:val="24"/>
          <w:szCs w:val="24"/>
        </w:rPr>
        <w:lastRenderedPageBreak/>
        <w:t>which enjoy ‘significant market power’ (SMP</w:t>
      </w:r>
      <w:r w:rsidRPr="00774EDB">
        <w:rPr>
          <w:rFonts w:ascii="Times New Roman" w:hAnsi="Times New Roman" w:cs="Times New Roman"/>
          <w:sz w:val="24"/>
          <w:szCs w:val="24"/>
        </w:rPr>
        <w:t xml:space="preserve">) to ensure an effectively competitive market functioning. </w:t>
      </w:r>
      <w:r w:rsidR="009824CF" w:rsidRPr="00820EF9">
        <w:rPr>
          <w:rFonts w:ascii="Times New Roman" w:hAnsi="Times New Roman" w:cs="Times New Roman"/>
          <w:sz w:val="24"/>
          <w:szCs w:val="24"/>
        </w:rPr>
        <w:t xml:space="preserve"> </w:t>
      </w:r>
    </w:p>
    <w:p w14:paraId="4E90C54D" w14:textId="45DA85FA" w:rsidR="006D3E0B" w:rsidRPr="00774EDB" w:rsidRDefault="00BB27DC" w:rsidP="00A70042">
      <w:pPr>
        <w:tabs>
          <w:tab w:val="left" w:pos="360"/>
          <w:tab w:val="left" w:pos="484"/>
        </w:tabs>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While interoperability </w:t>
      </w:r>
      <w:r w:rsidR="00BA7FA9">
        <w:rPr>
          <w:rFonts w:ascii="Times New Roman" w:hAnsi="Times New Roman" w:cs="Times New Roman"/>
          <w:sz w:val="24"/>
          <w:szCs w:val="24"/>
        </w:rPr>
        <w:t xml:space="preserve">might </w:t>
      </w:r>
      <w:r w:rsidRPr="00774EDB">
        <w:rPr>
          <w:rFonts w:ascii="Times New Roman" w:hAnsi="Times New Roman" w:cs="Times New Roman"/>
          <w:sz w:val="24"/>
          <w:szCs w:val="24"/>
        </w:rPr>
        <w:t>appear as an issue of competition policy echoed by the remedies directed towards the dominant</w:t>
      </w:r>
      <w:r w:rsidR="00BA7FA9">
        <w:rPr>
          <w:rFonts w:ascii="Times New Roman" w:hAnsi="Times New Roman" w:cs="Times New Roman"/>
          <w:sz w:val="24"/>
          <w:szCs w:val="24"/>
        </w:rPr>
        <w:t>/SMP</w:t>
      </w:r>
      <w:r w:rsidRPr="00774EDB">
        <w:rPr>
          <w:rFonts w:ascii="Times New Roman" w:hAnsi="Times New Roman" w:cs="Times New Roman"/>
          <w:sz w:val="24"/>
          <w:szCs w:val="24"/>
        </w:rPr>
        <w:t xml:space="preserve"> operators,</w:t>
      </w:r>
      <w:r w:rsidRPr="00774EDB">
        <w:rPr>
          <w:rStyle w:val="FootnoteReference"/>
          <w:rFonts w:ascii="Times New Roman" w:hAnsi="Times New Roman" w:cs="Times New Roman"/>
          <w:sz w:val="24"/>
          <w:szCs w:val="24"/>
        </w:rPr>
        <w:footnoteReference w:id="238"/>
      </w:r>
      <w:r w:rsidRPr="00774EDB">
        <w:rPr>
          <w:rFonts w:ascii="Times New Roman" w:hAnsi="Times New Roman" w:cs="Times New Roman"/>
          <w:sz w:val="24"/>
          <w:szCs w:val="24"/>
        </w:rPr>
        <w:t xml:space="preserve"> it </w:t>
      </w:r>
      <w:r w:rsidR="00BA7FA9">
        <w:rPr>
          <w:rFonts w:ascii="Times New Roman" w:hAnsi="Times New Roman" w:cs="Times New Roman"/>
          <w:sz w:val="24"/>
          <w:szCs w:val="24"/>
        </w:rPr>
        <w:t>could</w:t>
      </w:r>
      <w:r w:rsidRPr="00774EDB">
        <w:rPr>
          <w:rFonts w:ascii="Times New Roman" w:hAnsi="Times New Roman" w:cs="Times New Roman"/>
          <w:sz w:val="24"/>
          <w:szCs w:val="24"/>
        </w:rPr>
        <w:t xml:space="preserve"> also </w:t>
      </w:r>
      <w:r w:rsidR="00BA7FA9">
        <w:rPr>
          <w:rFonts w:ascii="Times New Roman" w:hAnsi="Times New Roman" w:cs="Times New Roman"/>
          <w:sz w:val="24"/>
          <w:szCs w:val="24"/>
        </w:rPr>
        <w:t xml:space="preserve">become </w:t>
      </w:r>
      <w:r w:rsidRPr="00774EDB">
        <w:rPr>
          <w:rFonts w:ascii="Times New Roman" w:hAnsi="Times New Roman" w:cs="Times New Roman"/>
          <w:sz w:val="24"/>
          <w:szCs w:val="24"/>
        </w:rPr>
        <w:t>a matter of standardisation policy aim</w:t>
      </w:r>
      <w:r w:rsidR="00BA7FA9">
        <w:rPr>
          <w:rFonts w:ascii="Times New Roman" w:hAnsi="Times New Roman" w:cs="Times New Roman"/>
          <w:sz w:val="24"/>
          <w:szCs w:val="24"/>
        </w:rPr>
        <w:t>ing</w:t>
      </w:r>
      <w:r w:rsidRPr="00774EDB">
        <w:rPr>
          <w:rFonts w:ascii="Times New Roman" w:hAnsi="Times New Roman" w:cs="Times New Roman"/>
          <w:sz w:val="24"/>
          <w:szCs w:val="24"/>
        </w:rPr>
        <w:t xml:space="preserve"> at promotion of common specifications and standards. For instance, Article </w:t>
      </w:r>
      <w:r w:rsidR="006F247B" w:rsidRPr="00774EDB">
        <w:rPr>
          <w:rFonts w:ascii="Times New Roman" w:hAnsi="Times New Roman" w:cs="Times New Roman"/>
          <w:sz w:val="24"/>
          <w:szCs w:val="24"/>
        </w:rPr>
        <w:t>39</w:t>
      </w:r>
      <w:r w:rsidRPr="00774EDB">
        <w:rPr>
          <w:rFonts w:ascii="Times New Roman" w:hAnsi="Times New Roman" w:cs="Times New Roman"/>
          <w:sz w:val="24"/>
          <w:szCs w:val="24"/>
        </w:rPr>
        <w:t xml:space="preserve"> of the </w:t>
      </w:r>
      <w:r w:rsidR="006F247B" w:rsidRPr="00774EDB">
        <w:rPr>
          <w:rFonts w:ascii="Times New Roman" w:hAnsi="Times New Roman" w:cs="Times New Roman"/>
          <w:sz w:val="24"/>
          <w:szCs w:val="24"/>
        </w:rPr>
        <w:t xml:space="preserve">EECC </w:t>
      </w:r>
      <w:r w:rsidRPr="00774EDB">
        <w:rPr>
          <w:rFonts w:ascii="Times New Roman" w:hAnsi="Times New Roman" w:cs="Times New Roman"/>
          <w:sz w:val="24"/>
          <w:szCs w:val="24"/>
        </w:rPr>
        <w:t xml:space="preserve">encourages the use of the standards and/or specifications adopted by the European SSOs and entitles the European Commission to mandate a standard </w:t>
      </w:r>
      <w:r w:rsidRPr="00774EDB">
        <w:rPr>
          <w:rFonts w:ascii="Times New Roman" w:hAnsi="Times New Roman" w:cs="Times New Roman"/>
          <w:i/>
          <w:sz w:val="24"/>
          <w:szCs w:val="24"/>
        </w:rPr>
        <w:t>to the extent strictly necessary to ensure such interoperability and to improve freedom of choice for users.</w:t>
      </w:r>
      <w:r w:rsidRPr="00774EDB">
        <w:rPr>
          <w:rStyle w:val="FootnoteReference"/>
          <w:rFonts w:ascii="Times New Roman" w:hAnsi="Times New Roman" w:cs="Times New Roman"/>
          <w:iCs/>
          <w:sz w:val="24"/>
          <w:szCs w:val="24"/>
        </w:rPr>
        <w:footnoteReference w:id="239"/>
      </w:r>
      <w:r w:rsidRPr="00774EDB">
        <w:rPr>
          <w:rFonts w:ascii="Times New Roman" w:hAnsi="Times New Roman" w:cs="Times New Roman"/>
          <w:iCs/>
          <w:sz w:val="24"/>
          <w:szCs w:val="24"/>
        </w:rPr>
        <w:t xml:space="preserve"> </w:t>
      </w:r>
    </w:p>
    <w:p w14:paraId="1CECCBB6" w14:textId="59E01B49" w:rsidR="00BB27DC" w:rsidRPr="00774EDB" w:rsidRDefault="00BB27DC" w:rsidP="00A70042">
      <w:pPr>
        <w:tabs>
          <w:tab w:val="left" w:pos="360"/>
          <w:tab w:val="left" w:pos="484"/>
        </w:tabs>
        <w:spacing w:before="360"/>
        <w:jc w:val="both"/>
        <w:rPr>
          <w:rFonts w:ascii="Times New Roman" w:hAnsi="Times New Roman" w:cs="Times New Roman"/>
          <w:sz w:val="24"/>
          <w:szCs w:val="24"/>
        </w:rPr>
      </w:pPr>
      <w:r w:rsidRPr="00774EDB">
        <w:rPr>
          <w:rFonts w:ascii="Times New Roman" w:hAnsi="Times New Roman" w:cs="Times New Roman"/>
          <w:sz w:val="24"/>
          <w:szCs w:val="24"/>
        </w:rPr>
        <w:t>Regardless of standards, some interoperability-centric obligations are remarkable within the context of the ECRF, particularly in two specific areas. Firstly, Article 6</w:t>
      </w:r>
      <w:r w:rsidR="008B5F44" w:rsidRPr="00774EDB">
        <w:rPr>
          <w:rFonts w:ascii="Times New Roman" w:hAnsi="Times New Roman" w:cs="Times New Roman"/>
          <w:sz w:val="24"/>
          <w:szCs w:val="24"/>
        </w:rPr>
        <w:t>2(1)</w:t>
      </w:r>
      <w:r w:rsidRPr="00774EDB">
        <w:rPr>
          <w:rFonts w:ascii="Times New Roman" w:hAnsi="Times New Roman" w:cs="Times New Roman"/>
          <w:sz w:val="24"/>
          <w:szCs w:val="24"/>
        </w:rPr>
        <w:t xml:space="preserve"> of the </w:t>
      </w:r>
      <w:r w:rsidR="008B5F44" w:rsidRPr="00774EDB">
        <w:rPr>
          <w:rFonts w:ascii="Times New Roman" w:hAnsi="Times New Roman" w:cs="Times New Roman"/>
          <w:sz w:val="24"/>
          <w:szCs w:val="24"/>
        </w:rPr>
        <w:t>EECC</w:t>
      </w:r>
      <w:r w:rsidRPr="00774EDB">
        <w:rPr>
          <w:rFonts w:ascii="Times New Roman" w:hAnsi="Times New Roman" w:cs="Times New Roman"/>
          <w:sz w:val="24"/>
          <w:szCs w:val="24"/>
        </w:rPr>
        <w:t xml:space="preserve"> Directive imposes an interoperability obligation on CAS (set-top box) providers to ensure that technical services e.g. conditional access that enable</w:t>
      </w:r>
      <w:r w:rsidRPr="00774EDB">
        <w:rPr>
          <w:rFonts w:ascii="Times New Roman" w:hAnsi="Times New Roman" w:cs="Times New Roman"/>
          <w:i/>
          <w:sz w:val="24"/>
          <w:szCs w:val="24"/>
        </w:rPr>
        <w:t xml:space="preserve"> digitally-transmitted services to be received by viewers, </w:t>
      </w:r>
      <w:r w:rsidRPr="00774EDB">
        <w:rPr>
          <w:rFonts w:ascii="Times New Roman" w:hAnsi="Times New Roman" w:cs="Times New Roman"/>
          <w:sz w:val="24"/>
          <w:szCs w:val="24"/>
        </w:rPr>
        <w:t>are given to all access seekers (broadcasters) in a non-discriminatory way</w:t>
      </w:r>
      <w:r w:rsidRPr="00774EDB">
        <w:rPr>
          <w:rFonts w:ascii="Times New Roman" w:hAnsi="Times New Roman" w:cs="Times New Roman"/>
          <w:i/>
          <w:sz w:val="24"/>
          <w:szCs w:val="24"/>
        </w:rPr>
        <w:t>.</w:t>
      </w:r>
      <w:r w:rsidRPr="00774EDB">
        <w:rPr>
          <w:rFonts w:ascii="Times New Roman" w:hAnsi="Times New Roman" w:cs="Times New Roman"/>
          <w:sz w:val="24"/>
          <w:szCs w:val="24"/>
        </w:rPr>
        <w:t xml:space="preserve"> Secondly, the interconnection obligation, which enables end-to-end connectivity as well as interoperable networks and services, is given special weight under various provisions e.g. Articles 3-5 of the Access Directive. While these are worth being elaborated, as reflected in Chapter 6,</w:t>
      </w:r>
      <w:r w:rsidRPr="00774EDB">
        <w:rPr>
          <w:rStyle w:val="FootnoteReference"/>
          <w:rFonts w:ascii="Times New Roman" w:hAnsi="Times New Roman" w:cs="Times New Roman"/>
          <w:sz w:val="24"/>
          <w:szCs w:val="24"/>
          <w:lang w:val="en-US"/>
        </w:rPr>
        <w:footnoteReference w:id="240"/>
      </w:r>
      <w:r w:rsidRPr="00774EDB">
        <w:rPr>
          <w:rFonts w:ascii="Times New Roman" w:hAnsi="Times New Roman" w:cs="Times New Roman"/>
          <w:sz w:val="24"/>
          <w:szCs w:val="24"/>
        </w:rPr>
        <w:t xml:space="preserve"> hereby suffice </w:t>
      </w:r>
      <w:r w:rsidR="008A3D1D">
        <w:rPr>
          <w:rFonts w:ascii="Times New Roman" w:hAnsi="Times New Roman" w:cs="Times New Roman"/>
          <w:sz w:val="24"/>
          <w:szCs w:val="24"/>
        </w:rPr>
        <w:t xml:space="preserve">it </w:t>
      </w:r>
      <w:r w:rsidRPr="00774EDB">
        <w:rPr>
          <w:rFonts w:ascii="Times New Roman" w:hAnsi="Times New Roman" w:cs="Times New Roman"/>
          <w:sz w:val="24"/>
          <w:szCs w:val="24"/>
        </w:rPr>
        <w:t xml:space="preserve">to say that interoperability is one of the central tenets in the ECRF. </w:t>
      </w:r>
      <w:r w:rsidR="0037400A" w:rsidRPr="00774EDB">
        <w:rPr>
          <w:rFonts w:ascii="Times New Roman" w:hAnsi="Times New Roman" w:cs="Times New Roman"/>
          <w:sz w:val="24"/>
          <w:szCs w:val="24"/>
        </w:rPr>
        <w:t>Therefore</w:t>
      </w:r>
      <w:r w:rsidRPr="00774EDB">
        <w:rPr>
          <w:rFonts w:ascii="Times New Roman" w:hAnsi="Times New Roman" w:cs="Times New Roman"/>
          <w:sz w:val="24"/>
          <w:szCs w:val="24"/>
        </w:rPr>
        <w:t xml:space="preserve">, interoperability </w:t>
      </w:r>
      <w:r w:rsidR="0037400A" w:rsidRPr="00774EDB">
        <w:rPr>
          <w:rFonts w:ascii="Times New Roman" w:hAnsi="Times New Roman" w:cs="Times New Roman"/>
          <w:sz w:val="24"/>
          <w:szCs w:val="24"/>
        </w:rPr>
        <w:t>could be considered as</w:t>
      </w:r>
      <w:r w:rsidRPr="00774EDB">
        <w:rPr>
          <w:rFonts w:ascii="Times New Roman" w:hAnsi="Times New Roman" w:cs="Times New Roman"/>
          <w:sz w:val="24"/>
          <w:szCs w:val="24"/>
        </w:rPr>
        <w:t xml:space="preserve"> one of the aims kept on by the ECRF from the </w:t>
      </w:r>
      <w:r w:rsidRPr="00774EDB">
        <w:rPr>
          <w:rFonts w:ascii="Times New Roman" w:hAnsi="Times New Roman" w:cs="Times New Roman"/>
          <w:sz w:val="24"/>
          <w:szCs w:val="24"/>
        </w:rPr>
        <w:lastRenderedPageBreak/>
        <w:t xml:space="preserve">beginning, which marks a distinction </w:t>
      </w:r>
      <w:r w:rsidR="007B550F">
        <w:rPr>
          <w:rFonts w:ascii="Times New Roman" w:hAnsi="Times New Roman" w:cs="Times New Roman"/>
          <w:sz w:val="24"/>
          <w:szCs w:val="24"/>
        </w:rPr>
        <w:t>against</w:t>
      </w:r>
      <w:r w:rsidRPr="00774EDB">
        <w:rPr>
          <w:rFonts w:ascii="Times New Roman" w:hAnsi="Times New Roman" w:cs="Times New Roman"/>
          <w:sz w:val="24"/>
          <w:szCs w:val="24"/>
        </w:rPr>
        <w:t xml:space="preserve"> other EU legal bodies e.g. IPR and competition law rules.</w:t>
      </w:r>
    </w:p>
    <w:p w14:paraId="6860233D" w14:textId="3C7BBD4A" w:rsidR="00FC2F87" w:rsidRPr="00774EDB" w:rsidRDefault="00BB27DC" w:rsidP="00A70042">
      <w:pPr>
        <w:tabs>
          <w:tab w:val="left" w:pos="360"/>
          <w:tab w:val="left" w:pos="484"/>
        </w:tabs>
        <w:spacing w:before="360"/>
        <w:jc w:val="both"/>
        <w:rPr>
          <w:rFonts w:ascii="Times New Roman" w:hAnsi="Times New Roman" w:cs="Times New Roman"/>
          <w:sz w:val="24"/>
          <w:szCs w:val="24"/>
        </w:rPr>
      </w:pPr>
      <w:r w:rsidRPr="00774EDB">
        <w:rPr>
          <w:rFonts w:ascii="Times New Roman" w:hAnsi="Times New Roman" w:cs="Times New Roman"/>
          <w:sz w:val="24"/>
          <w:szCs w:val="24"/>
        </w:rPr>
        <w:t>Against this background, it needs to be noted down that the existing ex-ante instruments placed under the ECRF for the achievement of interoperability,</w:t>
      </w:r>
      <w:r w:rsidRPr="00774EDB">
        <w:rPr>
          <w:rStyle w:val="FootnoteReference"/>
          <w:rFonts w:ascii="Times New Roman" w:hAnsi="Times New Roman" w:cs="Times New Roman"/>
          <w:sz w:val="24"/>
          <w:szCs w:val="24"/>
        </w:rPr>
        <w:footnoteReference w:id="241"/>
      </w:r>
      <w:r w:rsidRPr="00774EDB">
        <w:rPr>
          <w:rFonts w:ascii="Times New Roman" w:hAnsi="Times New Roman" w:cs="Times New Roman"/>
          <w:sz w:val="24"/>
          <w:szCs w:val="24"/>
        </w:rPr>
        <w:t xml:space="preserve"> add another </w:t>
      </w:r>
      <w:r w:rsidR="00A05C30" w:rsidRPr="00774EDB">
        <w:rPr>
          <w:rFonts w:ascii="Times New Roman" w:hAnsi="Times New Roman" w:cs="Times New Roman"/>
          <w:sz w:val="24"/>
          <w:szCs w:val="24"/>
        </w:rPr>
        <w:t xml:space="preserve">important </w:t>
      </w:r>
      <w:r w:rsidRPr="00774EDB">
        <w:rPr>
          <w:rFonts w:ascii="Times New Roman" w:hAnsi="Times New Roman" w:cs="Times New Roman"/>
          <w:sz w:val="24"/>
          <w:szCs w:val="24"/>
        </w:rPr>
        <w:t xml:space="preserve">dimension to the ICT interoperability. This dimension is of a central importance because of the very nature of the ECRF and its role for the ICT networks/services. Chapter 6 </w:t>
      </w:r>
      <w:r w:rsidR="007B550F">
        <w:rPr>
          <w:rFonts w:ascii="Times New Roman" w:hAnsi="Times New Roman" w:cs="Times New Roman"/>
          <w:sz w:val="24"/>
          <w:szCs w:val="24"/>
        </w:rPr>
        <w:t>offers</w:t>
      </w:r>
      <w:r w:rsidRPr="00774EDB">
        <w:rPr>
          <w:rFonts w:ascii="Times New Roman" w:hAnsi="Times New Roman" w:cs="Times New Roman"/>
          <w:sz w:val="24"/>
          <w:szCs w:val="24"/>
        </w:rPr>
        <w:t xml:space="preserve"> a </w:t>
      </w:r>
      <w:r w:rsidR="007B550F">
        <w:rPr>
          <w:rFonts w:ascii="Times New Roman" w:hAnsi="Times New Roman" w:cs="Times New Roman"/>
          <w:sz w:val="24"/>
          <w:szCs w:val="24"/>
        </w:rPr>
        <w:t xml:space="preserve">comprehensive analysis and </w:t>
      </w:r>
      <w:r w:rsidRPr="00774EDB">
        <w:rPr>
          <w:rFonts w:ascii="Times New Roman" w:hAnsi="Times New Roman" w:cs="Times New Roman"/>
          <w:sz w:val="24"/>
          <w:szCs w:val="24"/>
        </w:rPr>
        <w:t xml:space="preserve">enhanced </w:t>
      </w:r>
      <w:r w:rsidR="00E17E22" w:rsidRPr="00774EDB">
        <w:rPr>
          <w:rFonts w:ascii="Times New Roman" w:hAnsi="Times New Roman" w:cs="Times New Roman"/>
          <w:sz w:val="24"/>
          <w:szCs w:val="24"/>
        </w:rPr>
        <w:t>debate</w:t>
      </w:r>
      <w:r w:rsidRPr="00774EDB">
        <w:rPr>
          <w:rFonts w:ascii="Times New Roman" w:hAnsi="Times New Roman" w:cs="Times New Roman"/>
          <w:sz w:val="24"/>
          <w:szCs w:val="24"/>
        </w:rPr>
        <w:t xml:space="preserve"> </w:t>
      </w:r>
      <w:r w:rsidR="007B550F">
        <w:rPr>
          <w:rFonts w:ascii="Times New Roman" w:hAnsi="Times New Roman" w:cs="Times New Roman"/>
          <w:sz w:val="24"/>
          <w:szCs w:val="24"/>
        </w:rPr>
        <w:t xml:space="preserve">regarding this role played by the ECRF </w:t>
      </w:r>
      <w:r w:rsidRPr="00774EDB">
        <w:rPr>
          <w:rFonts w:ascii="Times New Roman" w:hAnsi="Times New Roman" w:cs="Times New Roman"/>
          <w:sz w:val="24"/>
          <w:szCs w:val="24"/>
        </w:rPr>
        <w:t xml:space="preserve">to </w:t>
      </w:r>
      <w:r w:rsidR="002467FF">
        <w:rPr>
          <w:rFonts w:ascii="Times New Roman" w:hAnsi="Times New Roman" w:cs="Times New Roman"/>
          <w:sz w:val="24"/>
          <w:szCs w:val="24"/>
        </w:rPr>
        <w:t xml:space="preserve">be </w:t>
      </w:r>
      <w:r w:rsidRPr="00774EDB">
        <w:rPr>
          <w:rFonts w:ascii="Times New Roman" w:hAnsi="Times New Roman" w:cs="Times New Roman"/>
          <w:sz w:val="24"/>
          <w:szCs w:val="24"/>
        </w:rPr>
        <w:t>follow</w:t>
      </w:r>
      <w:r w:rsidR="002467FF">
        <w:rPr>
          <w:rFonts w:ascii="Times New Roman" w:hAnsi="Times New Roman" w:cs="Times New Roman"/>
          <w:sz w:val="24"/>
          <w:szCs w:val="24"/>
        </w:rPr>
        <w:t>ed by</w:t>
      </w:r>
      <w:r w:rsidR="007B550F">
        <w:rPr>
          <w:rFonts w:ascii="Times New Roman" w:hAnsi="Times New Roman" w:cs="Times New Roman"/>
          <w:sz w:val="24"/>
          <w:szCs w:val="24"/>
        </w:rPr>
        <w:t xml:space="preserve"> further regulatory discussions</w:t>
      </w:r>
      <w:r w:rsidRPr="00774EDB">
        <w:rPr>
          <w:rFonts w:ascii="Times New Roman" w:hAnsi="Times New Roman" w:cs="Times New Roman"/>
          <w:sz w:val="24"/>
          <w:szCs w:val="24"/>
        </w:rPr>
        <w:t xml:space="preserve"> in the </w:t>
      </w:r>
      <w:r w:rsidR="00E17E22" w:rsidRPr="00774EDB">
        <w:rPr>
          <w:rFonts w:ascii="Times New Roman" w:hAnsi="Times New Roman" w:cs="Times New Roman"/>
          <w:sz w:val="24"/>
          <w:szCs w:val="24"/>
        </w:rPr>
        <w:t>subsequent</w:t>
      </w:r>
      <w:r w:rsidRPr="00774EDB">
        <w:rPr>
          <w:rFonts w:ascii="Times New Roman" w:hAnsi="Times New Roman" w:cs="Times New Roman"/>
          <w:sz w:val="24"/>
          <w:szCs w:val="24"/>
        </w:rPr>
        <w:t xml:space="preserve"> chapters.</w:t>
      </w:r>
    </w:p>
    <w:p w14:paraId="40752E25" w14:textId="77777777" w:rsidR="006D4C7B" w:rsidRPr="00774EDB" w:rsidRDefault="006D4C7B" w:rsidP="00A70042">
      <w:pPr>
        <w:pStyle w:val="Heading3"/>
        <w:numPr>
          <w:ilvl w:val="2"/>
          <w:numId w:val="5"/>
        </w:numPr>
        <w:spacing w:before="360"/>
        <w:ind w:left="0" w:firstLine="0"/>
        <w:jc w:val="both"/>
        <w:rPr>
          <w:rFonts w:ascii="Times New Roman" w:hAnsi="Times New Roman" w:cs="Times New Roman"/>
          <w:b/>
          <w:color w:val="auto"/>
        </w:rPr>
      </w:pPr>
      <w:bookmarkStart w:id="260" w:name="_Toc17611379"/>
      <w:bookmarkStart w:id="261" w:name="_Toc17611596"/>
      <w:bookmarkStart w:id="262" w:name="_Toc17611808"/>
      <w:bookmarkStart w:id="263" w:name="_Toc17612022"/>
      <w:bookmarkStart w:id="264" w:name="_Toc17612235"/>
      <w:bookmarkStart w:id="265" w:name="_Toc17611380"/>
      <w:bookmarkStart w:id="266" w:name="_Toc53576044"/>
      <w:bookmarkEnd w:id="260"/>
      <w:bookmarkEnd w:id="261"/>
      <w:bookmarkEnd w:id="262"/>
      <w:bookmarkEnd w:id="263"/>
      <w:bookmarkEnd w:id="264"/>
      <w:r w:rsidRPr="00774EDB">
        <w:rPr>
          <w:rFonts w:ascii="Times New Roman" w:hAnsi="Times New Roman" w:cs="Times New Roman"/>
          <w:b/>
          <w:color w:val="auto"/>
        </w:rPr>
        <w:t>Data protection</w:t>
      </w:r>
      <w:r w:rsidR="00D8184C" w:rsidRPr="00774EDB">
        <w:rPr>
          <w:rFonts w:ascii="Times New Roman" w:hAnsi="Times New Roman" w:cs="Times New Roman"/>
          <w:b/>
          <w:color w:val="auto"/>
        </w:rPr>
        <w:t xml:space="preserve"> rules</w:t>
      </w:r>
      <w:r w:rsidRPr="00774EDB">
        <w:rPr>
          <w:rFonts w:ascii="Times New Roman" w:hAnsi="Times New Roman" w:cs="Times New Roman"/>
          <w:b/>
          <w:color w:val="auto"/>
        </w:rPr>
        <w:t>: Right to data portability</w:t>
      </w:r>
      <w:bookmarkEnd w:id="265"/>
      <w:bookmarkEnd w:id="266"/>
    </w:p>
    <w:p w14:paraId="1E0BBBB3" w14:textId="0BA2344A" w:rsidR="00F27BA7" w:rsidRPr="00774EDB" w:rsidRDefault="000423AB" w:rsidP="00A70042">
      <w:pPr>
        <w:tabs>
          <w:tab w:val="left" w:pos="360"/>
          <w:tab w:val="left" w:pos="484"/>
        </w:tabs>
        <w:spacing w:before="360"/>
        <w:jc w:val="both"/>
        <w:rPr>
          <w:rFonts w:ascii="Times New Roman" w:hAnsi="Times New Roman" w:cs="Times New Roman"/>
          <w:sz w:val="24"/>
          <w:szCs w:val="24"/>
          <w:lang w:eastAsia="en-GB"/>
        </w:rPr>
      </w:pPr>
      <w:r w:rsidRPr="00774EDB">
        <w:rPr>
          <w:rFonts w:ascii="Times New Roman" w:hAnsi="Times New Roman" w:cs="Times New Roman"/>
          <w:sz w:val="24"/>
          <w:szCs w:val="24"/>
        </w:rPr>
        <w:t xml:space="preserve">EU data protection </w:t>
      </w:r>
      <w:r w:rsidR="002E4642">
        <w:rPr>
          <w:rFonts w:ascii="Times New Roman" w:hAnsi="Times New Roman" w:cs="Times New Roman"/>
          <w:sz w:val="24"/>
          <w:szCs w:val="24"/>
        </w:rPr>
        <w:t xml:space="preserve">framework </w:t>
      </w:r>
      <w:r w:rsidRPr="00774EDB">
        <w:rPr>
          <w:rFonts w:ascii="Times New Roman" w:hAnsi="Times New Roman" w:cs="Times New Roman"/>
          <w:sz w:val="24"/>
          <w:szCs w:val="24"/>
        </w:rPr>
        <w:t>has undergone a</w:t>
      </w:r>
      <w:r w:rsidR="002E4642">
        <w:rPr>
          <w:rFonts w:ascii="Times New Roman" w:hAnsi="Times New Roman" w:cs="Times New Roman"/>
          <w:sz w:val="24"/>
          <w:szCs w:val="24"/>
        </w:rPr>
        <w:t xml:space="preserve"> big</w:t>
      </w:r>
      <w:r w:rsidRPr="00774EDB">
        <w:rPr>
          <w:rFonts w:ascii="Times New Roman" w:hAnsi="Times New Roman" w:cs="Times New Roman"/>
          <w:sz w:val="24"/>
          <w:szCs w:val="24"/>
        </w:rPr>
        <w:t xml:space="preserve"> re</w:t>
      </w:r>
      <w:r w:rsidR="002E4642">
        <w:rPr>
          <w:rFonts w:ascii="Times New Roman" w:hAnsi="Times New Roman" w:cs="Times New Roman"/>
          <w:sz w:val="24"/>
          <w:szCs w:val="24"/>
        </w:rPr>
        <w:t>vision</w:t>
      </w:r>
      <w:r w:rsidRPr="00774EDB">
        <w:rPr>
          <w:rFonts w:ascii="Times New Roman" w:hAnsi="Times New Roman" w:cs="Times New Roman"/>
          <w:sz w:val="24"/>
          <w:szCs w:val="24"/>
        </w:rPr>
        <w:t xml:space="preserve"> through the General Data Protection Regulation (GDPR) which entered into force on 25</w:t>
      </w:r>
      <w:r w:rsidRPr="00774EDB">
        <w:rPr>
          <w:rFonts w:ascii="Times New Roman" w:hAnsi="Times New Roman" w:cs="Times New Roman"/>
          <w:sz w:val="24"/>
          <w:szCs w:val="24"/>
          <w:vertAlign w:val="superscript"/>
        </w:rPr>
        <w:t>th</w:t>
      </w:r>
      <w:r w:rsidRPr="00774EDB">
        <w:rPr>
          <w:rFonts w:ascii="Times New Roman" w:hAnsi="Times New Roman" w:cs="Times New Roman"/>
          <w:sz w:val="24"/>
          <w:szCs w:val="24"/>
        </w:rPr>
        <w:t xml:space="preserve"> May 2018</w:t>
      </w:r>
      <w:r w:rsidR="002E4642">
        <w:rPr>
          <w:rFonts w:ascii="Times New Roman" w:hAnsi="Times New Roman" w:cs="Times New Roman"/>
          <w:sz w:val="24"/>
          <w:szCs w:val="24"/>
        </w:rPr>
        <w:t>. This Regulation</w:t>
      </w:r>
      <w:r w:rsidRPr="00774EDB">
        <w:rPr>
          <w:rFonts w:ascii="Times New Roman" w:hAnsi="Times New Roman" w:cs="Times New Roman"/>
          <w:sz w:val="24"/>
          <w:szCs w:val="24"/>
        </w:rPr>
        <w:t xml:space="preserve"> </w:t>
      </w:r>
      <w:r w:rsidR="002E4642">
        <w:rPr>
          <w:rFonts w:ascii="Times New Roman" w:hAnsi="Times New Roman" w:cs="Times New Roman"/>
          <w:sz w:val="24"/>
          <w:szCs w:val="24"/>
        </w:rPr>
        <w:t xml:space="preserve">introduced </w:t>
      </w:r>
      <w:r w:rsidRPr="00774EDB">
        <w:rPr>
          <w:rFonts w:ascii="Times New Roman" w:hAnsi="Times New Roman" w:cs="Times New Roman"/>
          <w:sz w:val="24"/>
          <w:szCs w:val="24"/>
        </w:rPr>
        <w:t xml:space="preserve">significant improvements </w:t>
      </w:r>
      <w:r w:rsidR="002E4642">
        <w:rPr>
          <w:rFonts w:ascii="Times New Roman" w:hAnsi="Times New Roman" w:cs="Times New Roman"/>
          <w:sz w:val="24"/>
          <w:szCs w:val="24"/>
        </w:rPr>
        <w:t>concerning</w:t>
      </w:r>
      <w:r w:rsidR="002E4642"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the rights </w:t>
      </w:r>
      <w:r w:rsidR="002E4642">
        <w:rPr>
          <w:rFonts w:ascii="Times New Roman" w:hAnsi="Times New Roman" w:cs="Times New Roman"/>
          <w:sz w:val="24"/>
          <w:szCs w:val="24"/>
        </w:rPr>
        <w:t>of</w:t>
      </w:r>
      <w:r w:rsidRPr="00774EDB">
        <w:rPr>
          <w:rFonts w:ascii="Times New Roman" w:hAnsi="Times New Roman" w:cs="Times New Roman"/>
          <w:sz w:val="24"/>
          <w:szCs w:val="24"/>
        </w:rPr>
        <w:t xml:space="preserve"> the individual users, namely ‘data subjects’</w:t>
      </w:r>
      <w:r w:rsidR="002E4642">
        <w:rPr>
          <w:rFonts w:ascii="Times New Roman" w:hAnsi="Times New Roman" w:cs="Times New Roman"/>
          <w:sz w:val="24"/>
          <w:szCs w:val="24"/>
        </w:rPr>
        <w:t xml:space="preserve">, and the obligations of the </w:t>
      </w:r>
      <w:r w:rsidR="002359D6">
        <w:rPr>
          <w:rFonts w:ascii="Times New Roman" w:hAnsi="Times New Roman" w:cs="Times New Roman"/>
          <w:sz w:val="24"/>
          <w:szCs w:val="24"/>
        </w:rPr>
        <w:t xml:space="preserve">entities that have the role of </w:t>
      </w:r>
      <w:r w:rsidR="002E4642">
        <w:rPr>
          <w:rFonts w:ascii="Times New Roman" w:hAnsi="Times New Roman" w:cs="Times New Roman"/>
          <w:sz w:val="24"/>
          <w:szCs w:val="24"/>
        </w:rPr>
        <w:t>‘data controller’</w:t>
      </w:r>
      <w:r w:rsidR="002359D6">
        <w:rPr>
          <w:rFonts w:ascii="Times New Roman" w:hAnsi="Times New Roman" w:cs="Times New Roman"/>
          <w:sz w:val="24"/>
          <w:szCs w:val="24"/>
        </w:rPr>
        <w:t xml:space="preserve"> or ‘data processor’</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242"/>
      </w:r>
      <w:r w:rsidRPr="00774EDB">
        <w:rPr>
          <w:rFonts w:ascii="Times New Roman" w:hAnsi="Times New Roman" w:cs="Times New Roman"/>
          <w:sz w:val="24"/>
          <w:szCs w:val="24"/>
        </w:rPr>
        <w:t xml:space="preserve"> The intention appears as not only protecting personal data</w:t>
      </w:r>
      <w:r w:rsidRPr="00774EDB">
        <w:rPr>
          <w:rStyle w:val="FootnoteReference"/>
          <w:rFonts w:ascii="Times New Roman" w:hAnsi="Times New Roman" w:cs="Times New Roman"/>
          <w:sz w:val="24"/>
          <w:szCs w:val="24"/>
        </w:rPr>
        <w:footnoteReference w:id="243"/>
      </w:r>
      <w:r w:rsidRPr="00774EDB">
        <w:rPr>
          <w:rFonts w:ascii="Times New Roman" w:hAnsi="Times New Roman" w:cs="Times New Roman"/>
          <w:sz w:val="24"/>
          <w:szCs w:val="24"/>
        </w:rPr>
        <w:t xml:space="preserve"> but also boosting the data-driven economy, particularly to </w:t>
      </w:r>
      <w:r w:rsidRPr="00774EDB">
        <w:rPr>
          <w:rFonts w:ascii="Times New Roman" w:hAnsi="Times New Roman" w:cs="Times New Roman"/>
          <w:sz w:val="24"/>
          <w:szCs w:val="24"/>
        </w:rPr>
        <w:lastRenderedPageBreak/>
        <w:t>allow a modernised data protection regime for all the parties.</w:t>
      </w:r>
      <w:r w:rsidRPr="00774EDB">
        <w:rPr>
          <w:rStyle w:val="FootnoteAnchor"/>
          <w:rFonts w:ascii="Times New Roman" w:hAnsi="Times New Roman" w:cs="Times New Roman"/>
          <w:sz w:val="24"/>
          <w:szCs w:val="24"/>
        </w:rPr>
        <w:footnoteReference w:id="244"/>
      </w:r>
      <w:r w:rsidRPr="00774EDB">
        <w:rPr>
          <w:rFonts w:ascii="Times New Roman" w:hAnsi="Times New Roman" w:cs="Times New Roman"/>
          <w:sz w:val="24"/>
          <w:szCs w:val="24"/>
        </w:rPr>
        <w:t xml:space="preserve"> </w:t>
      </w:r>
      <w:r w:rsidR="002359D6">
        <w:rPr>
          <w:rFonts w:ascii="Times New Roman" w:hAnsi="Times New Roman" w:cs="Times New Roman"/>
          <w:sz w:val="24"/>
          <w:szCs w:val="24"/>
        </w:rPr>
        <w:t>Given this fact</w:t>
      </w:r>
      <w:r w:rsidRPr="00774EDB">
        <w:rPr>
          <w:rFonts w:ascii="Times New Roman" w:hAnsi="Times New Roman" w:cs="Times New Roman"/>
          <w:sz w:val="24"/>
          <w:szCs w:val="24"/>
        </w:rPr>
        <w:t xml:space="preserve">, one of the initiatives under the Digital Single Market (DSM) Strategy for Europe was the enactment of the GDPR, through which a wide-range of new statutory rights are created, including the </w:t>
      </w:r>
      <w:r w:rsidRPr="00774EDB">
        <w:rPr>
          <w:rFonts w:ascii="Times New Roman" w:hAnsi="Times New Roman" w:cs="Times New Roman"/>
          <w:sz w:val="24"/>
          <w:szCs w:val="24"/>
          <w:lang w:eastAsia="en-GB"/>
        </w:rPr>
        <w:t xml:space="preserve">‘right to data portability’ (RtDP). This right, regulated under Article 20 of the GDPR, has potential effects to reduce the switching costs. Not only </w:t>
      </w:r>
      <w:r w:rsidR="002359D6">
        <w:rPr>
          <w:rFonts w:ascii="Times New Roman" w:hAnsi="Times New Roman" w:cs="Times New Roman"/>
          <w:sz w:val="24"/>
          <w:szCs w:val="24"/>
          <w:lang w:eastAsia="en-GB"/>
        </w:rPr>
        <w:t>this fact</w:t>
      </w:r>
      <w:r w:rsidRPr="00774EDB">
        <w:rPr>
          <w:rFonts w:ascii="Times New Roman" w:hAnsi="Times New Roman" w:cs="Times New Roman"/>
          <w:sz w:val="24"/>
          <w:szCs w:val="24"/>
          <w:lang w:eastAsia="en-GB"/>
        </w:rPr>
        <w:t xml:space="preserve">, but also the close link between the RtDP and interoperability makes this new-born right important for </w:t>
      </w:r>
      <w:r w:rsidR="002359D6">
        <w:rPr>
          <w:rFonts w:ascii="Times New Roman" w:hAnsi="Times New Roman" w:cs="Times New Roman"/>
          <w:sz w:val="24"/>
          <w:szCs w:val="24"/>
          <w:lang w:eastAsia="en-GB"/>
        </w:rPr>
        <w:t>the competitive supply of the data-driven ICT services</w:t>
      </w:r>
      <w:r w:rsidRPr="00774EDB">
        <w:rPr>
          <w:rFonts w:ascii="Times New Roman" w:hAnsi="Times New Roman" w:cs="Times New Roman"/>
          <w:sz w:val="24"/>
          <w:szCs w:val="24"/>
          <w:lang w:eastAsia="en-GB"/>
        </w:rPr>
        <w:t>.</w:t>
      </w:r>
    </w:p>
    <w:p w14:paraId="1F1753A9" w14:textId="77777777" w:rsidR="002359D6" w:rsidRDefault="000423AB" w:rsidP="00A70042">
      <w:pPr>
        <w:tabs>
          <w:tab w:val="left" w:pos="360"/>
          <w:tab w:val="left" w:pos="484"/>
        </w:tabs>
        <w:spacing w:before="360"/>
        <w:jc w:val="both"/>
        <w:rPr>
          <w:rFonts w:ascii="Times New Roman" w:hAnsi="Times New Roman" w:cs="Times New Roman"/>
          <w:sz w:val="24"/>
          <w:szCs w:val="24"/>
        </w:rPr>
      </w:pPr>
      <w:r w:rsidRPr="00774EDB">
        <w:rPr>
          <w:rFonts w:ascii="Times New Roman" w:hAnsi="Times New Roman" w:cs="Times New Roman"/>
          <w:sz w:val="24"/>
          <w:szCs w:val="24"/>
        </w:rPr>
        <w:t>RtDP has two key elements: (1) the right of the data subject to obtain a copy of personal data from the data controller; and (2) the right to transfer that data from one data controller to another.</w:t>
      </w:r>
      <w:r w:rsidRPr="00774EDB">
        <w:rPr>
          <w:rStyle w:val="FootnoteReference"/>
          <w:rFonts w:ascii="Times New Roman" w:hAnsi="Times New Roman" w:cs="Times New Roman"/>
          <w:sz w:val="24"/>
          <w:szCs w:val="24"/>
        </w:rPr>
        <w:footnoteReference w:id="245"/>
      </w:r>
      <w:r w:rsidRPr="00774EDB">
        <w:rPr>
          <w:rFonts w:ascii="Times New Roman" w:hAnsi="Times New Roman" w:cs="Times New Roman"/>
          <w:sz w:val="24"/>
          <w:szCs w:val="24"/>
        </w:rPr>
        <w:t xml:space="preserve"> Although aiming to enhance the data subjects’ controlling power vis-à-vis data controllers, the GDPR delimits the scope of the RtDP by adding that the controller would only transfer the data to another controller, where such a transfer is “technically feasible”.</w:t>
      </w:r>
      <w:r w:rsidRPr="00774EDB">
        <w:rPr>
          <w:rStyle w:val="FootnoteReference"/>
          <w:rFonts w:ascii="Times New Roman" w:hAnsi="Times New Roman" w:cs="Times New Roman"/>
          <w:sz w:val="24"/>
          <w:szCs w:val="24"/>
        </w:rPr>
        <w:footnoteReference w:id="246"/>
      </w:r>
      <w:r w:rsidRPr="00774EDB">
        <w:rPr>
          <w:rFonts w:ascii="Times New Roman" w:hAnsi="Times New Roman" w:cs="Times New Roman"/>
          <w:sz w:val="24"/>
          <w:szCs w:val="24"/>
        </w:rPr>
        <w:t xml:space="preserve"> Another limitation relating to the RtDP is the restraint on the ‘personal data’. More explicitly, RtDP could be applied “where the data subject has provided the personal data on the basis of his or her consent or the processing is necessary for the performance of a contract”.</w:t>
      </w:r>
      <w:r w:rsidRPr="00774EDB">
        <w:rPr>
          <w:rStyle w:val="FootnoteReference"/>
          <w:rFonts w:ascii="Times New Roman" w:hAnsi="Times New Roman" w:cs="Times New Roman"/>
          <w:sz w:val="24"/>
          <w:szCs w:val="24"/>
        </w:rPr>
        <w:footnoteReference w:id="247"/>
      </w:r>
    </w:p>
    <w:p w14:paraId="1E0EABBC" w14:textId="5922F8BB" w:rsidR="0072440C" w:rsidRPr="00774EDB" w:rsidRDefault="000423AB" w:rsidP="00A70042">
      <w:pPr>
        <w:tabs>
          <w:tab w:val="left" w:pos="360"/>
          <w:tab w:val="left" w:pos="484"/>
        </w:tabs>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Thus, the RtDP has a limited reach as non-personal data e.g. data created for the purposes of management, analytics and/or advertising, is excluded from the scope of the Regulation. Last but not least, while the GDPR encourages “to develop </w:t>
      </w:r>
      <w:r w:rsidRPr="00774EDB">
        <w:rPr>
          <w:rFonts w:ascii="Times New Roman" w:hAnsi="Times New Roman" w:cs="Times New Roman"/>
          <w:sz w:val="24"/>
          <w:szCs w:val="24"/>
        </w:rPr>
        <w:lastRenderedPageBreak/>
        <w:t>interoperable formats that enable data portability”,</w:t>
      </w:r>
      <w:r w:rsidRPr="00774EDB">
        <w:rPr>
          <w:rStyle w:val="FootnoteReference"/>
          <w:rFonts w:ascii="Times New Roman" w:hAnsi="Times New Roman" w:cs="Times New Roman"/>
          <w:sz w:val="24"/>
          <w:szCs w:val="24"/>
        </w:rPr>
        <w:footnoteReference w:id="248"/>
      </w:r>
      <w:r w:rsidRPr="00774EDB">
        <w:rPr>
          <w:rFonts w:ascii="Times New Roman" w:hAnsi="Times New Roman" w:cs="Times New Roman"/>
          <w:sz w:val="24"/>
          <w:szCs w:val="24"/>
        </w:rPr>
        <w:t xml:space="preserve"> no obligation exists to secure ‘interoperability’ for the transfers of data across different platforms under the GDPR. </w:t>
      </w:r>
      <w:r w:rsidR="000D13E9">
        <w:rPr>
          <w:rFonts w:ascii="Times New Roman" w:hAnsi="Times New Roman" w:cs="Times New Roman"/>
          <w:sz w:val="24"/>
          <w:szCs w:val="24"/>
        </w:rPr>
        <w:t>E</w:t>
      </w:r>
      <w:r w:rsidRPr="00774EDB">
        <w:rPr>
          <w:rFonts w:ascii="Times New Roman" w:hAnsi="Times New Roman" w:cs="Times New Roman"/>
          <w:sz w:val="24"/>
          <w:szCs w:val="24"/>
        </w:rPr>
        <w:t>ven with standardised data formats, ‘interoperability’ could not be fully achieved via ‘data portability’, as the former entails a higher requirement of technical, syntactic and semantic compatibility, going beyond the latter, namely the RtDP.</w:t>
      </w:r>
      <w:r w:rsidRPr="00774EDB">
        <w:rPr>
          <w:rStyle w:val="FootnoteReference"/>
          <w:rFonts w:ascii="Times New Roman" w:hAnsi="Times New Roman" w:cs="Times New Roman"/>
          <w:sz w:val="24"/>
          <w:szCs w:val="24"/>
        </w:rPr>
        <w:footnoteReference w:id="249"/>
      </w:r>
    </w:p>
    <w:p w14:paraId="0C42AAB8" w14:textId="5EBBA356" w:rsidR="000423AB" w:rsidRPr="00774EDB" w:rsidRDefault="000D13E9" w:rsidP="00A70042">
      <w:pPr>
        <w:tabs>
          <w:tab w:val="left" w:pos="360"/>
          <w:tab w:val="left" w:pos="484"/>
        </w:tabs>
        <w:spacing w:before="360"/>
        <w:jc w:val="both"/>
        <w:rPr>
          <w:rFonts w:ascii="Times New Roman" w:hAnsi="Times New Roman" w:cs="Times New Roman"/>
          <w:sz w:val="24"/>
          <w:szCs w:val="24"/>
        </w:rPr>
      </w:pPr>
      <w:r>
        <w:rPr>
          <w:rFonts w:ascii="Times New Roman" w:hAnsi="Times New Roman" w:cs="Times New Roman"/>
          <w:sz w:val="24"/>
          <w:szCs w:val="24"/>
        </w:rPr>
        <w:t>G</w:t>
      </w:r>
      <w:r w:rsidR="000423AB" w:rsidRPr="00774EDB">
        <w:rPr>
          <w:rFonts w:ascii="Times New Roman" w:hAnsi="Times New Roman" w:cs="Times New Roman"/>
          <w:sz w:val="24"/>
          <w:szCs w:val="24"/>
        </w:rPr>
        <w:t>rant</w:t>
      </w:r>
      <w:r>
        <w:rPr>
          <w:rFonts w:ascii="Times New Roman" w:hAnsi="Times New Roman" w:cs="Times New Roman"/>
          <w:sz w:val="24"/>
          <w:szCs w:val="24"/>
        </w:rPr>
        <w:t>ing</w:t>
      </w:r>
      <w:r w:rsidR="000423AB" w:rsidRPr="00774EDB">
        <w:rPr>
          <w:rFonts w:ascii="Times New Roman" w:hAnsi="Times New Roman" w:cs="Times New Roman"/>
          <w:sz w:val="24"/>
          <w:szCs w:val="24"/>
        </w:rPr>
        <w:t xml:space="preserve"> enhanced control to the data subjects, the GDPR addresses the issue of data portability from the perspective of the end-user. Given this fact, the RtDP does not fully resolve vendor lock-in particularly in ICT markets where data hosting, processing and analytics is not just related to personal data.</w:t>
      </w:r>
      <w:r w:rsidR="000423AB" w:rsidRPr="00774EDB">
        <w:rPr>
          <w:rStyle w:val="FootnoteReference"/>
          <w:rFonts w:ascii="Times New Roman" w:hAnsi="Times New Roman" w:cs="Times New Roman"/>
          <w:sz w:val="24"/>
          <w:szCs w:val="24"/>
        </w:rPr>
        <w:footnoteReference w:id="250"/>
      </w:r>
      <w:r w:rsidR="000423AB" w:rsidRPr="00774EDB">
        <w:rPr>
          <w:rFonts w:ascii="Times New Roman" w:hAnsi="Times New Roman" w:cs="Times New Roman"/>
          <w:sz w:val="24"/>
          <w:szCs w:val="24"/>
        </w:rPr>
        <w:t xml:space="preserve"> In fact, all the IoT-embedded information is not covered by the definition of ‘personal data’, and the non-personal data flowing through the IoT systems could have a strategic management purpose and cause a serious risk for lock-in unless the data at hand is portable across different platforms.</w:t>
      </w:r>
      <w:r w:rsidR="003B3821" w:rsidRPr="00774EDB">
        <w:rPr>
          <w:rStyle w:val="FootnoteReference"/>
          <w:rFonts w:ascii="Times New Roman" w:hAnsi="Times New Roman" w:cs="Times New Roman"/>
          <w:sz w:val="24"/>
          <w:szCs w:val="24"/>
        </w:rPr>
        <w:footnoteReference w:id="251"/>
      </w:r>
    </w:p>
    <w:p w14:paraId="205FAA51" w14:textId="509926BA" w:rsidR="00432417" w:rsidRPr="00774EDB" w:rsidRDefault="000423AB" w:rsidP="00A70042">
      <w:pPr>
        <w:tabs>
          <w:tab w:val="left" w:pos="360"/>
          <w:tab w:val="left" w:pos="484"/>
        </w:tabs>
        <w:spacing w:before="360"/>
        <w:jc w:val="both"/>
        <w:rPr>
          <w:rFonts w:ascii="Times New Roman" w:hAnsi="Times New Roman" w:cs="Times New Roman"/>
          <w:sz w:val="24"/>
          <w:szCs w:val="24"/>
        </w:rPr>
      </w:pPr>
      <w:r w:rsidRPr="00774EDB">
        <w:rPr>
          <w:rFonts w:ascii="Times New Roman" w:hAnsi="Times New Roman" w:cs="Times New Roman"/>
          <w:sz w:val="24"/>
          <w:szCs w:val="24"/>
        </w:rPr>
        <w:t>Vendor or technological lock-in would particularly take place in the case of two affiliated markets which affect each other.</w:t>
      </w:r>
      <w:r w:rsidRPr="00774EDB">
        <w:rPr>
          <w:rStyle w:val="FootnoteReference"/>
          <w:rFonts w:ascii="Times New Roman" w:hAnsi="Times New Roman" w:cs="Times New Roman"/>
          <w:sz w:val="24"/>
          <w:szCs w:val="24"/>
        </w:rPr>
        <w:footnoteReference w:id="252"/>
      </w:r>
      <w:r w:rsidRPr="00774EDB">
        <w:rPr>
          <w:rFonts w:ascii="Times New Roman" w:hAnsi="Times New Roman" w:cs="Times New Roman"/>
          <w:sz w:val="24"/>
          <w:szCs w:val="24"/>
        </w:rPr>
        <w:t xml:space="preserve"> For example, some IoT products may operate in a two-markets setting where suppliers use free or low cost pricing to build a network or installed base of IoT products – perhaps at significant cost to the supplier – with the intention of monetizing the network through data analytics that are directed to customers on another side of the market.</w:t>
      </w:r>
      <w:r w:rsidRPr="00774EDB">
        <w:rPr>
          <w:rStyle w:val="FootnoteReference"/>
          <w:rFonts w:ascii="Times New Roman" w:hAnsi="Times New Roman" w:cs="Times New Roman"/>
          <w:sz w:val="24"/>
          <w:szCs w:val="24"/>
        </w:rPr>
        <w:footnoteReference w:id="253"/>
      </w:r>
      <w:r w:rsidRPr="00774EDB">
        <w:rPr>
          <w:rFonts w:ascii="Times New Roman" w:hAnsi="Times New Roman" w:cs="Times New Roman"/>
          <w:sz w:val="24"/>
          <w:szCs w:val="24"/>
        </w:rPr>
        <w:t xml:space="preserve"> In such cases, hindering data portability by restricting data transfers via technical tools such as restricted APIs, imposed on </w:t>
      </w:r>
      <w:r w:rsidRPr="00774EDB">
        <w:rPr>
          <w:rFonts w:ascii="Times New Roman" w:hAnsi="Times New Roman" w:cs="Times New Roman"/>
          <w:sz w:val="24"/>
          <w:szCs w:val="24"/>
        </w:rPr>
        <w:lastRenderedPageBreak/>
        <w:t xml:space="preserve">collaborators and advertisers, could result in aggravation of the related concerns. </w:t>
      </w:r>
      <w:r w:rsidR="000D13E9">
        <w:rPr>
          <w:rFonts w:ascii="Times New Roman" w:hAnsi="Times New Roman" w:cs="Times New Roman"/>
          <w:sz w:val="24"/>
          <w:szCs w:val="24"/>
        </w:rPr>
        <w:t>Mandated</w:t>
      </w:r>
      <w:r w:rsidR="000D13E9" w:rsidRPr="00774EDB">
        <w:rPr>
          <w:rFonts w:ascii="Times New Roman" w:hAnsi="Times New Roman" w:cs="Times New Roman"/>
          <w:sz w:val="24"/>
          <w:szCs w:val="24"/>
        </w:rPr>
        <w:t xml:space="preserve"> data portability</w:t>
      </w:r>
      <w:r w:rsidR="000D13E9" w:rsidRPr="00774EDB">
        <w:rPr>
          <w:rFonts w:ascii="Times New Roman" w:hAnsi="Times New Roman" w:cs="Times New Roman"/>
          <w:snapToGrid w:val="0"/>
          <w:sz w:val="24"/>
          <w:szCs w:val="24"/>
          <w:lang w:eastAsia="tr-TR"/>
        </w:rPr>
        <w:t xml:space="preserve"> </w:t>
      </w:r>
      <w:r w:rsidR="000D13E9">
        <w:rPr>
          <w:rFonts w:ascii="Times New Roman" w:hAnsi="Times New Roman" w:cs="Times New Roman"/>
          <w:snapToGrid w:val="0"/>
          <w:sz w:val="24"/>
          <w:szCs w:val="24"/>
          <w:lang w:eastAsia="tr-TR"/>
        </w:rPr>
        <w:t>under the GDPR serves pre-emption of such potential problems at the outset</w:t>
      </w:r>
      <w:r w:rsidRPr="00774EDB">
        <w:rPr>
          <w:rFonts w:ascii="Times New Roman" w:hAnsi="Times New Roman" w:cs="Times New Roman"/>
          <w:snapToGrid w:val="0"/>
          <w:sz w:val="24"/>
          <w:szCs w:val="24"/>
          <w:lang w:eastAsia="tr-TR"/>
        </w:rPr>
        <w:t xml:space="preserve">. </w:t>
      </w:r>
      <w:r w:rsidR="000D13E9">
        <w:rPr>
          <w:rFonts w:ascii="Times New Roman" w:hAnsi="Times New Roman" w:cs="Times New Roman"/>
          <w:snapToGrid w:val="0"/>
          <w:sz w:val="24"/>
          <w:szCs w:val="24"/>
          <w:lang w:eastAsia="tr-TR"/>
        </w:rPr>
        <w:t>Nevertheless</w:t>
      </w:r>
      <w:r w:rsidRPr="00774EDB">
        <w:rPr>
          <w:rFonts w:ascii="Times New Roman" w:hAnsi="Times New Roman" w:cs="Times New Roman"/>
          <w:snapToGrid w:val="0"/>
          <w:sz w:val="24"/>
          <w:szCs w:val="24"/>
          <w:lang w:eastAsia="tr-TR"/>
        </w:rPr>
        <w:t xml:space="preserve">, the portability constraints relating to the non-personal data, when considered and coupled with the </w:t>
      </w:r>
      <w:r w:rsidR="000D13E9">
        <w:rPr>
          <w:rFonts w:ascii="Times New Roman" w:hAnsi="Times New Roman" w:cs="Times New Roman"/>
          <w:snapToGrid w:val="0"/>
          <w:sz w:val="24"/>
          <w:szCs w:val="24"/>
          <w:lang w:eastAsia="tr-TR"/>
        </w:rPr>
        <w:t xml:space="preserve">broader </w:t>
      </w:r>
      <w:r w:rsidRPr="00774EDB">
        <w:rPr>
          <w:rFonts w:ascii="Times New Roman" w:hAnsi="Times New Roman" w:cs="Times New Roman"/>
          <w:snapToGrid w:val="0"/>
          <w:sz w:val="24"/>
          <w:szCs w:val="24"/>
          <w:lang w:eastAsia="tr-TR"/>
        </w:rPr>
        <w:t>interoperability</w:t>
      </w:r>
      <w:r w:rsidR="000D13E9">
        <w:rPr>
          <w:rFonts w:ascii="Times New Roman" w:hAnsi="Times New Roman" w:cs="Times New Roman"/>
          <w:snapToGrid w:val="0"/>
          <w:sz w:val="24"/>
          <w:szCs w:val="24"/>
          <w:lang w:eastAsia="tr-TR"/>
        </w:rPr>
        <w:t xml:space="preserve"> concerns</w:t>
      </w:r>
      <w:r w:rsidRPr="00774EDB">
        <w:rPr>
          <w:rFonts w:ascii="Times New Roman" w:hAnsi="Times New Roman" w:cs="Times New Roman"/>
          <w:snapToGrid w:val="0"/>
          <w:sz w:val="24"/>
          <w:szCs w:val="24"/>
          <w:lang w:eastAsia="tr-TR"/>
        </w:rPr>
        <w:t>, would need to be handled from a broader competition and/or regulatory perspective.</w:t>
      </w:r>
      <w:r w:rsidRPr="00774EDB">
        <w:rPr>
          <w:rStyle w:val="FootnoteReference"/>
          <w:rFonts w:ascii="Times New Roman" w:hAnsi="Times New Roman" w:cs="Times New Roman"/>
          <w:snapToGrid w:val="0"/>
          <w:sz w:val="24"/>
          <w:szCs w:val="24"/>
          <w:lang w:eastAsia="tr-TR"/>
        </w:rPr>
        <w:footnoteReference w:id="254"/>
      </w:r>
      <w:r w:rsidR="000D13E9">
        <w:rPr>
          <w:rFonts w:ascii="Times New Roman" w:hAnsi="Times New Roman" w:cs="Times New Roman"/>
          <w:snapToGrid w:val="0"/>
          <w:sz w:val="24"/>
          <w:szCs w:val="24"/>
          <w:lang w:eastAsia="tr-TR"/>
        </w:rPr>
        <w:t xml:space="preserve"> </w:t>
      </w:r>
    </w:p>
    <w:p w14:paraId="0885BA54" w14:textId="77777777" w:rsidR="0037117A" w:rsidRPr="00774EDB" w:rsidRDefault="005A3379" w:rsidP="00A70042">
      <w:pPr>
        <w:pStyle w:val="Heading1"/>
        <w:spacing w:before="360"/>
        <w:jc w:val="both"/>
        <w:rPr>
          <w:rFonts w:ascii="Times New Roman" w:hAnsi="Times New Roman" w:cs="Times New Roman"/>
          <w:b/>
          <w:color w:val="auto"/>
          <w:sz w:val="24"/>
          <w:szCs w:val="24"/>
        </w:rPr>
      </w:pPr>
      <w:bookmarkStart w:id="267" w:name="_Toc17611381"/>
      <w:bookmarkStart w:id="268" w:name="_Toc53576045"/>
      <w:bookmarkStart w:id="269" w:name="_Hlk519215581"/>
      <w:r w:rsidRPr="00774EDB">
        <w:rPr>
          <w:rFonts w:ascii="Times New Roman" w:hAnsi="Times New Roman" w:cs="Times New Roman"/>
          <w:b/>
          <w:color w:val="auto"/>
          <w:sz w:val="24"/>
          <w:szCs w:val="24"/>
        </w:rPr>
        <w:t xml:space="preserve">4. </w:t>
      </w:r>
      <w:r w:rsidR="002A2A79" w:rsidRPr="00774EDB">
        <w:rPr>
          <w:rFonts w:ascii="Times New Roman" w:hAnsi="Times New Roman" w:cs="Times New Roman"/>
          <w:b/>
          <w:color w:val="auto"/>
          <w:sz w:val="24"/>
          <w:szCs w:val="24"/>
        </w:rPr>
        <w:t>Intellectual property right</w:t>
      </w:r>
      <w:r w:rsidR="00A50B13" w:rsidRPr="00774EDB">
        <w:rPr>
          <w:rFonts w:ascii="Times New Roman" w:hAnsi="Times New Roman" w:cs="Times New Roman"/>
          <w:b/>
          <w:color w:val="auto"/>
          <w:sz w:val="24"/>
          <w:szCs w:val="24"/>
        </w:rPr>
        <w:t>s: European IPR regime</w:t>
      </w:r>
      <w:bookmarkEnd w:id="267"/>
      <w:bookmarkEnd w:id="268"/>
    </w:p>
    <w:p w14:paraId="67C85714" w14:textId="77777777" w:rsidR="00D0740D" w:rsidRPr="00774EDB" w:rsidRDefault="0072675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Intellectual property relates to information or knowledge which can be incorporated into tangible objects in an unlimited number of copies at different locations anywhere in the world.</w:t>
      </w:r>
      <w:r w:rsidRPr="00774EDB">
        <w:rPr>
          <w:rStyle w:val="FootnoteReference"/>
          <w:rFonts w:ascii="Times New Roman" w:hAnsi="Times New Roman" w:cs="Times New Roman"/>
          <w:sz w:val="24"/>
          <w:szCs w:val="24"/>
        </w:rPr>
        <w:footnoteReference w:id="255"/>
      </w:r>
      <w:r w:rsidRPr="00774EDB">
        <w:rPr>
          <w:rFonts w:ascii="Times New Roman" w:hAnsi="Times New Roman" w:cs="Times New Roman"/>
          <w:sz w:val="24"/>
          <w:szCs w:val="24"/>
        </w:rPr>
        <w:t xml:space="preserve"> </w:t>
      </w:r>
      <w:r w:rsidR="00305D37" w:rsidRPr="00774EDB">
        <w:rPr>
          <w:rFonts w:ascii="Times New Roman" w:hAnsi="Times New Roman" w:cs="Times New Roman"/>
          <w:sz w:val="24"/>
          <w:szCs w:val="24"/>
        </w:rPr>
        <w:t>IPRs are rights “</w:t>
      </w:r>
      <w:r w:rsidR="00942981" w:rsidRPr="00774EDB">
        <w:rPr>
          <w:rFonts w:ascii="Times New Roman" w:hAnsi="Times New Roman" w:cs="Times New Roman"/>
          <w:sz w:val="24"/>
          <w:szCs w:val="24"/>
        </w:rPr>
        <w:t>that exclude non-owners for a specific duration and over a specified breadth from commercially exploiting the IPR without the owner’s permission</w:t>
      </w:r>
      <w:r w:rsidR="004F48CA" w:rsidRPr="00774EDB">
        <w:rPr>
          <w:rFonts w:ascii="Times New Roman" w:hAnsi="Times New Roman" w:cs="Times New Roman"/>
          <w:sz w:val="24"/>
          <w:szCs w:val="24"/>
        </w:rPr>
        <w:t>”</w:t>
      </w:r>
      <w:r w:rsidR="00942981" w:rsidRPr="00774EDB">
        <w:rPr>
          <w:rFonts w:ascii="Times New Roman" w:hAnsi="Times New Roman" w:cs="Times New Roman"/>
          <w:sz w:val="24"/>
          <w:szCs w:val="24"/>
        </w:rPr>
        <w:t>.</w:t>
      </w:r>
      <w:r w:rsidR="00305D37" w:rsidRPr="00774EDB">
        <w:rPr>
          <w:rStyle w:val="FootnoteReference"/>
          <w:rFonts w:ascii="Times New Roman" w:hAnsi="Times New Roman" w:cs="Times New Roman"/>
          <w:sz w:val="24"/>
          <w:szCs w:val="24"/>
        </w:rPr>
        <w:footnoteReference w:id="256"/>
      </w:r>
      <w:r w:rsidR="00942981" w:rsidRPr="00774EDB">
        <w:rPr>
          <w:rFonts w:ascii="Times New Roman" w:hAnsi="Times New Roman" w:cs="Times New Roman"/>
          <w:sz w:val="24"/>
          <w:szCs w:val="24"/>
        </w:rPr>
        <w:t xml:space="preserve"> </w:t>
      </w:r>
      <w:r w:rsidR="00C618B4" w:rsidRPr="00774EDB">
        <w:rPr>
          <w:rFonts w:ascii="Times New Roman" w:hAnsi="Times New Roman" w:cs="Times New Roman"/>
          <w:sz w:val="24"/>
          <w:szCs w:val="24"/>
        </w:rPr>
        <w:t>Intellectual property protects applications of ideas and information that are of commercial value.</w:t>
      </w:r>
      <w:r w:rsidR="00C618B4" w:rsidRPr="00774EDB">
        <w:rPr>
          <w:rStyle w:val="FootnoteReference"/>
          <w:rFonts w:ascii="Times New Roman" w:hAnsi="Times New Roman" w:cs="Times New Roman"/>
          <w:sz w:val="24"/>
          <w:szCs w:val="24"/>
        </w:rPr>
        <w:footnoteReference w:id="257"/>
      </w:r>
      <w:r w:rsidR="00C618B4" w:rsidRPr="00774EDB">
        <w:rPr>
          <w:rFonts w:ascii="Times New Roman" w:hAnsi="Times New Roman" w:cs="Times New Roman"/>
          <w:sz w:val="24"/>
          <w:szCs w:val="24"/>
        </w:rPr>
        <w:t xml:space="preserve"> </w:t>
      </w:r>
      <w:r w:rsidR="00A624DD" w:rsidRPr="00774EDB">
        <w:rPr>
          <w:rFonts w:ascii="Times New Roman" w:hAnsi="Times New Roman" w:cs="Times New Roman"/>
          <w:sz w:val="24"/>
          <w:szCs w:val="24"/>
        </w:rPr>
        <w:t xml:space="preserve">There </w:t>
      </w:r>
      <w:r w:rsidR="00BB02C6" w:rsidRPr="00774EDB">
        <w:rPr>
          <w:rFonts w:ascii="Times New Roman" w:hAnsi="Times New Roman" w:cs="Times New Roman"/>
          <w:sz w:val="24"/>
          <w:szCs w:val="24"/>
        </w:rPr>
        <w:t>exist</w:t>
      </w:r>
      <w:r w:rsidR="00A624DD" w:rsidRPr="00774EDB">
        <w:rPr>
          <w:rFonts w:ascii="Times New Roman" w:hAnsi="Times New Roman" w:cs="Times New Roman"/>
          <w:sz w:val="24"/>
          <w:szCs w:val="24"/>
        </w:rPr>
        <w:t xml:space="preserve"> a variety of IPRs, stretching across a wide range of generis and sui generis rights</w:t>
      </w:r>
      <w:r w:rsidR="00E80FD6" w:rsidRPr="00774EDB">
        <w:rPr>
          <w:rFonts w:ascii="Times New Roman" w:hAnsi="Times New Roman" w:cs="Times New Roman"/>
          <w:sz w:val="24"/>
          <w:szCs w:val="24"/>
        </w:rPr>
        <w:t>,</w:t>
      </w:r>
      <w:r w:rsidR="00A624DD" w:rsidRPr="00774EDB">
        <w:rPr>
          <w:rFonts w:ascii="Times New Roman" w:hAnsi="Times New Roman" w:cs="Times New Roman"/>
          <w:sz w:val="24"/>
          <w:szCs w:val="24"/>
        </w:rPr>
        <w:t xml:space="preserve"> including copyrights, patents, trade</w:t>
      </w:r>
      <w:r w:rsidR="00B33789" w:rsidRPr="00774EDB">
        <w:rPr>
          <w:rFonts w:ascii="Times New Roman" w:hAnsi="Times New Roman" w:cs="Times New Roman"/>
          <w:sz w:val="24"/>
          <w:szCs w:val="24"/>
        </w:rPr>
        <w:t xml:space="preserve"> secret</w:t>
      </w:r>
      <w:r w:rsidR="00A624DD" w:rsidRPr="00774EDB">
        <w:rPr>
          <w:rFonts w:ascii="Times New Roman" w:hAnsi="Times New Roman" w:cs="Times New Roman"/>
          <w:sz w:val="24"/>
          <w:szCs w:val="24"/>
        </w:rPr>
        <w:t>s, databases, etc. Patents give a temporary protection to technological inventions and design rights to the appearance of mass-produced goods; copyright gives longer-</w:t>
      </w:r>
      <w:r w:rsidR="00A624DD" w:rsidRPr="00774EDB">
        <w:rPr>
          <w:rFonts w:ascii="Times New Roman" w:hAnsi="Times New Roman" w:cs="Times New Roman"/>
          <w:sz w:val="24"/>
          <w:szCs w:val="24"/>
        </w:rPr>
        <w:lastRenderedPageBreak/>
        <w:t xml:space="preserve">lasting rights in, for instance, literary, artistic and musical </w:t>
      </w:r>
      <w:r w:rsidR="00A624DD" w:rsidRPr="00BE0F30">
        <w:rPr>
          <w:rFonts w:ascii="Times New Roman" w:hAnsi="Times New Roman" w:cs="Times New Roman"/>
          <w:sz w:val="24"/>
          <w:szCs w:val="24"/>
        </w:rPr>
        <w:t>creations</w:t>
      </w:r>
      <w:r w:rsidR="00D0740D" w:rsidRPr="00BE0F30">
        <w:rPr>
          <w:rFonts w:ascii="Times New Roman" w:hAnsi="Times New Roman" w:cs="Times New Roman"/>
          <w:sz w:val="24"/>
          <w:szCs w:val="24"/>
        </w:rPr>
        <w:t>,</w:t>
      </w:r>
      <w:r w:rsidR="00B33789" w:rsidRPr="00BE0F30">
        <w:rPr>
          <w:rStyle w:val="FootnoteReference"/>
          <w:rFonts w:ascii="Times New Roman" w:hAnsi="Times New Roman" w:cs="Times New Roman"/>
          <w:sz w:val="24"/>
          <w:szCs w:val="24"/>
        </w:rPr>
        <w:footnoteReference w:id="258"/>
      </w:r>
      <w:r w:rsidR="00D0740D" w:rsidRPr="00BE0F30">
        <w:rPr>
          <w:rFonts w:ascii="Times New Roman" w:hAnsi="Times New Roman" w:cs="Times New Roman"/>
          <w:sz w:val="24"/>
          <w:szCs w:val="24"/>
        </w:rPr>
        <w:t xml:space="preserve"> trade </w:t>
      </w:r>
      <w:r w:rsidR="00D0740D" w:rsidRPr="00774EDB">
        <w:rPr>
          <w:rFonts w:ascii="Times New Roman" w:hAnsi="Times New Roman" w:cs="Times New Roman"/>
          <w:sz w:val="24"/>
          <w:szCs w:val="24"/>
        </w:rPr>
        <w:t>secrets encompass manufacturing or industrial secrets and commercial secrets against unauthorized use of such information.</w:t>
      </w:r>
      <w:r w:rsidR="00D0740D" w:rsidRPr="00774EDB">
        <w:rPr>
          <w:rStyle w:val="FootnoteReference"/>
          <w:rFonts w:ascii="Times New Roman" w:hAnsi="Times New Roman" w:cs="Times New Roman"/>
          <w:sz w:val="24"/>
          <w:szCs w:val="24"/>
        </w:rPr>
        <w:footnoteReference w:id="259"/>
      </w:r>
      <w:r w:rsidR="00D0740D" w:rsidRPr="00774EDB">
        <w:rPr>
          <w:rFonts w:ascii="Times New Roman" w:hAnsi="Times New Roman" w:cs="Times New Roman"/>
          <w:sz w:val="24"/>
          <w:szCs w:val="24"/>
        </w:rPr>
        <w:t xml:space="preserve"> Databases, representing a sui generis right,</w:t>
      </w:r>
      <w:r w:rsidR="00AE0309" w:rsidRPr="00774EDB">
        <w:rPr>
          <w:rFonts w:ascii="Times New Roman" w:hAnsi="Times New Roman" w:cs="Times New Roman"/>
          <w:sz w:val="24"/>
          <w:szCs w:val="24"/>
        </w:rPr>
        <w:t xml:space="preserve"> are </w:t>
      </w:r>
      <w:r w:rsidR="000E7D8E" w:rsidRPr="00774EDB">
        <w:rPr>
          <w:rFonts w:ascii="Times New Roman" w:hAnsi="Times New Roman" w:cs="Times New Roman"/>
          <w:sz w:val="24"/>
          <w:szCs w:val="24"/>
        </w:rPr>
        <w:t>compared to copyrights, yet have distinctive features based on recognition of the investment done for compiling data in the form of databases</w:t>
      </w:r>
      <w:r w:rsidR="00D0740D" w:rsidRPr="00774EDB">
        <w:rPr>
          <w:rFonts w:ascii="Times New Roman" w:hAnsi="Times New Roman" w:cs="Times New Roman"/>
          <w:sz w:val="24"/>
          <w:szCs w:val="24"/>
        </w:rPr>
        <w:t>.</w:t>
      </w:r>
    </w:p>
    <w:p w14:paraId="1A75A01E" w14:textId="1A48843C" w:rsidR="00F37073" w:rsidRDefault="001A6061"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 xml:space="preserve">The benefits attributable to IPRs, </w:t>
      </w:r>
      <w:r w:rsidR="00086A6A" w:rsidRPr="00A70042">
        <w:rPr>
          <w:rFonts w:ascii="Times New Roman" w:hAnsi="Times New Roman" w:cs="Times New Roman"/>
          <w:spacing w:val="-2"/>
          <w:sz w:val="24"/>
          <w:szCs w:val="24"/>
        </w:rPr>
        <w:t xml:space="preserve">are </w:t>
      </w:r>
      <w:r w:rsidRPr="00A70042">
        <w:rPr>
          <w:rFonts w:ascii="Times New Roman" w:hAnsi="Times New Roman" w:cs="Times New Roman"/>
          <w:spacing w:val="-2"/>
          <w:sz w:val="24"/>
          <w:szCs w:val="24"/>
        </w:rPr>
        <w:t>not limited to, but include encouragement of (1) innovation by increasing the returns from research and development, (2) dissemination and (3) the further development of those inventions which have little value or are not commercially viable until improvements are made.</w:t>
      </w:r>
      <w:r w:rsidRPr="00A70042">
        <w:rPr>
          <w:rStyle w:val="FootnoteReference"/>
          <w:rFonts w:ascii="Times New Roman" w:hAnsi="Times New Roman" w:cs="Times New Roman"/>
          <w:spacing w:val="-2"/>
          <w:sz w:val="24"/>
          <w:szCs w:val="24"/>
        </w:rPr>
        <w:footnoteReference w:id="260"/>
      </w:r>
      <w:r w:rsidRPr="00A70042">
        <w:rPr>
          <w:rFonts w:ascii="Times New Roman" w:hAnsi="Times New Roman" w:cs="Times New Roman"/>
          <w:spacing w:val="-2"/>
          <w:sz w:val="24"/>
          <w:szCs w:val="24"/>
        </w:rPr>
        <w:t xml:space="preserve"> </w:t>
      </w:r>
      <w:r w:rsidR="00C618B4" w:rsidRPr="00A70042">
        <w:rPr>
          <w:rFonts w:ascii="Times New Roman" w:hAnsi="Times New Roman" w:cs="Times New Roman"/>
          <w:spacing w:val="-2"/>
          <w:sz w:val="24"/>
          <w:szCs w:val="24"/>
        </w:rPr>
        <w:t xml:space="preserve">One characteristic shared </w:t>
      </w:r>
      <w:r w:rsidR="00507797" w:rsidRPr="00A70042">
        <w:rPr>
          <w:rFonts w:ascii="Times New Roman" w:hAnsi="Times New Roman" w:cs="Times New Roman"/>
          <w:spacing w:val="-2"/>
          <w:sz w:val="24"/>
          <w:szCs w:val="24"/>
        </w:rPr>
        <w:t>by all types of IPR is that they are essentially negative: they are rights to stop others doing certain things – rights, in other words, to stop pirates, counterfeiters, imitators and even in some cases third parties who have independently reached the same ideas, from exploiting them without the licence of the right</w:t>
      </w:r>
      <w:r w:rsidR="00086A6A" w:rsidRPr="00A70042">
        <w:rPr>
          <w:rFonts w:ascii="Times New Roman" w:hAnsi="Times New Roman" w:cs="Times New Roman"/>
          <w:spacing w:val="-2"/>
          <w:sz w:val="24"/>
          <w:szCs w:val="24"/>
        </w:rPr>
        <w:t xml:space="preserve">s </w:t>
      </w:r>
      <w:r w:rsidR="00507797" w:rsidRPr="00A70042">
        <w:rPr>
          <w:rFonts w:ascii="Times New Roman" w:hAnsi="Times New Roman" w:cs="Times New Roman"/>
          <w:spacing w:val="-2"/>
          <w:sz w:val="24"/>
          <w:szCs w:val="24"/>
        </w:rPr>
        <w:t>holder.</w:t>
      </w:r>
      <w:r w:rsidR="00507797" w:rsidRPr="00A70042">
        <w:rPr>
          <w:rStyle w:val="FootnoteReference"/>
          <w:rFonts w:ascii="Times New Roman" w:hAnsi="Times New Roman" w:cs="Times New Roman"/>
          <w:spacing w:val="-2"/>
          <w:sz w:val="24"/>
          <w:szCs w:val="24"/>
        </w:rPr>
        <w:footnoteReference w:id="261"/>
      </w:r>
      <w:r w:rsidR="00507797" w:rsidRPr="00A70042">
        <w:rPr>
          <w:rFonts w:ascii="Times New Roman" w:hAnsi="Times New Roman" w:cs="Times New Roman"/>
          <w:spacing w:val="-2"/>
          <w:sz w:val="24"/>
          <w:szCs w:val="24"/>
        </w:rPr>
        <w:t xml:space="preserve"> Some aspects of intellectual property confer positive entitlements, such as the right to be granted a patent or register a trade mark upon fulfilling the requisite conditions</w:t>
      </w:r>
      <w:r w:rsidR="00086A6A" w:rsidRPr="00A70042">
        <w:rPr>
          <w:rFonts w:ascii="Times New Roman" w:hAnsi="Times New Roman" w:cs="Times New Roman"/>
          <w:spacing w:val="-2"/>
          <w:sz w:val="24"/>
          <w:szCs w:val="24"/>
        </w:rPr>
        <w:t>,</w:t>
      </w:r>
      <w:r w:rsidR="00507797" w:rsidRPr="00A70042">
        <w:rPr>
          <w:rFonts w:ascii="Times New Roman" w:hAnsi="Times New Roman" w:cs="Times New Roman"/>
          <w:spacing w:val="-2"/>
          <w:sz w:val="24"/>
          <w:szCs w:val="24"/>
        </w:rPr>
        <w:t xml:space="preserve"> but these are essentially ancillary.</w:t>
      </w:r>
      <w:r w:rsidR="00507797" w:rsidRPr="00A70042">
        <w:rPr>
          <w:rStyle w:val="FootnoteReference"/>
          <w:rFonts w:ascii="Times New Roman" w:hAnsi="Times New Roman" w:cs="Times New Roman"/>
          <w:spacing w:val="-2"/>
          <w:sz w:val="24"/>
          <w:szCs w:val="24"/>
        </w:rPr>
        <w:footnoteReference w:id="262"/>
      </w:r>
    </w:p>
    <w:p w14:paraId="6B05B71A" w14:textId="0012DF6F" w:rsidR="00950D9C" w:rsidRPr="00A70042" w:rsidRDefault="00950D9C" w:rsidP="00A70042">
      <w:pPr>
        <w:spacing w:before="36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With all these aspects, IPRs create a private sphere </w:t>
      </w:r>
      <w:r w:rsidR="00B56ABB">
        <w:rPr>
          <w:rFonts w:ascii="Times New Roman" w:hAnsi="Times New Roman" w:cs="Times New Roman"/>
          <w:spacing w:val="-2"/>
          <w:sz w:val="24"/>
          <w:szCs w:val="24"/>
        </w:rPr>
        <w:t xml:space="preserve">for the rights holders </w:t>
      </w:r>
      <w:r>
        <w:rPr>
          <w:rFonts w:ascii="Times New Roman" w:hAnsi="Times New Roman" w:cs="Times New Roman"/>
          <w:spacing w:val="-2"/>
          <w:sz w:val="24"/>
          <w:szCs w:val="24"/>
        </w:rPr>
        <w:t>with a</w:t>
      </w:r>
      <w:r w:rsidR="00492A25">
        <w:rPr>
          <w:rFonts w:ascii="Times New Roman" w:hAnsi="Times New Roman" w:cs="Times New Roman"/>
          <w:spacing w:val="-2"/>
          <w:sz w:val="24"/>
          <w:szCs w:val="24"/>
        </w:rPr>
        <w:t>n ultimate</w:t>
      </w:r>
      <w:r>
        <w:rPr>
          <w:rFonts w:ascii="Times New Roman" w:hAnsi="Times New Roman" w:cs="Times New Roman"/>
          <w:spacing w:val="-2"/>
          <w:sz w:val="24"/>
          <w:szCs w:val="24"/>
        </w:rPr>
        <w:t xml:space="preserve"> view to enhance dissemination of knowledge and innovation, </w:t>
      </w:r>
      <w:r w:rsidR="00950D14">
        <w:rPr>
          <w:rFonts w:ascii="Times New Roman" w:hAnsi="Times New Roman" w:cs="Times New Roman"/>
          <w:spacing w:val="-2"/>
          <w:sz w:val="24"/>
          <w:szCs w:val="24"/>
        </w:rPr>
        <w:t xml:space="preserve">along </w:t>
      </w:r>
      <w:r>
        <w:rPr>
          <w:rFonts w:ascii="Times New Roman" w:hAnsi="Times New Roman" w:cs="Times New Roman"/>
          <w:spacing w:val="-2"/>
          <w:sz w:val="24"/>
          <w:szCs w:val="24"/>
        </w:rPr>
        <w:t xml:space="preserve">with significant </w:t>
      </w:r>
      <w:r>
        <w:rPr>
          <w:rFonts w:ascii="Times New Roman" w:hAnsi="Times New Roman" w:cs="Times New Roman"/>
          <w:spacing w:val="-2"/>
          <w:sz w:val="24"/>
          <w:szCs w:val="24"/>
        </w:rPr>
        <w:lastRenderedPageBreak/>
        <w:t>effect</w:t>
      </w:r>
      <w:r w:rsidR="00B56ABB">
        <w:rPr>
          <w:rFonts w:ascii="Times New Roman" w:hAnsi="Times New Roman" w:cs="Times New Roman"/>
          <w:spacing w:val="-2"/>
          <w:sz w:val="24"/>
          <w:szCs w:val="24"/>
        </w:rPr>
        <w:t>s</w:t>
      </w:r>
      <w:r>
        <w:rPr>
          <w:rFonts w:ascii="Times New Roman" w:hAnsi="Times New Roman" w:cs="Times New Roman"/>
          <w:spacing w:val="-2"/>
          <w:sz w:val="24"/>
          <w:szCs w:val="24"/>
        </w:rPr>
        <w:t xml:space="preserve"> over the </w:t>
      </w:r>
      <w:r w:rsidR="005642E6">
        <w:rPr>
          <w:rFonts w:ascii="Times New Roman" w:hAnsi="Times New Roman" w:cs="Times New Roman"/>
          <w:spacing w:val="-2"/>
          <w:sz w:val="24"/>
          <w:szCs w:val="24"/>
        </w:rPr>
        <w:t>‘</w:t>
      </w:r>
      <w:r>
        <w:rPr>
          <w:rFonts w:ascii="Times New Roman" w:hAnsi="Times New Roman" w:cs="Times New Roman"/>
          <w:spacing w:val="-2"/>
          <w:sz w:val="24"/>
          <w:szCs w:val="24"/>
        </w:rPr>
        <w:t>global information infrastructure</w:t>
      </w:r>
      <w:r w:rsidR="005642E6">
        <w:rPr>
          <w:rFonts w:ascii="Times New Roman" w:hAnsi="Times New Roman" w:cs="Times New Roman"/>
          <w:spacing w:val="-2"/>
          <w:sz w:val="24"/>
          <w:szCs w:val="24"/>
        </w:rPr>
        <w:t>’</w:t>
      </w:r>
      <w:r>
        <w:rPr>
          <w:rFonts w:ascii="Times New Roman" w:hAnsi="Times New Roman" w:cs="Times New Roman"/>
          <w:spacing w:val="-2"/>
          <w:sz w:val="24"/>
          <w:szCs w:val="24"/>
        </w:rPr>
        <w:t>.</w:t>
      </w:r>
      <w:r>
        <w:rPr>
          <w:rStyle w:val="FootnoteReference"/>
          <w:rFonts w:ascii="Times New Roman" w:hAnsi="Times New Roman" w:cs="Times New Roman"/>
          <w:spacing w:val="-2"/>
          <w:sz w:val="24"/>
          <w:szCs w:val="24"/>
        </w:rPr>
        <w:footnoteReference w:id="263"/>
      </w:r>
      <w:r>
        <w:rPr>
          <w:rFonts w:ascii="Times New Roman" w:hAnsi="Times New Roman" w:cs="Times New Roman"/>
          <w:spacing w:val="-2"/>
          <w:sz w:val="24"/>
          <w:szCs w:val="24"/>
        </w:rPr>
        <w:t xml:space="preserve"> </w:t>
      </w:r>
      <w:r w:rsidR="00B56ABB">
        <w:rPr>
          <w:rFonts w:ascii="Times New Roman" w:hAnsi="Times New Roman" w:cs="Times New Roman"/>
          <w:spacing w:val="-2"/>
          <w:sz w:val="24"/>
          <w:szCs w:val="24"/>
        </w:rPr>
        <w:t>Having said that</w:t>
      </w:r>
      <w:r>
        <w:rPr>
          <w:rFonts w:ascii="Times New Roman" w:hAnsi="Times New Roman" w:cs="Times New Roman"/>
          <w:spacing w:val="-2"/>
          <w:sz w:val="24"/>
          <w:szCs w:val="24"/>
        </w:rPr>
        <w:t>, copyright law is supposed to give us a self-regulating cultural policy in which the right to exclude others from one’s original expression fuels a vibrant public sphere indirectly driven by popular demand.</w:t>
      </w:r>
      <w:r>
        <w:rPr>
          <w:rStyle w:val="FootnoteReference"/>
          <w:rFonts w:ascii="Times New Roman" w:hAnsi="Times New Roman" w:cs="Times New Roman"/>
          <w:spacing w:val="-2"/>
          <w:sz w:val="24"/>
          <w:szCs w:val="24"/>
        </w:rPr>
        <w:footnoteReference w:id="264"/>
      </w:r>
      <w:r>
        <w:rPr>
          <w:rFonts w:ascii="Times New Roman" w:hAnsi="Times New Roman" w:cs="Times New Roman"/>
          <w:spacing w:val="-2"/>
          <w:sz w:val="24"/>
          <w:szCs w:val="24"/>
        </w:rPr>
        <w:t xml:space="preserve"> </w:t>
      </w:r>
      <w:r w:rsidR="00B56ABB">
        <w:rPr>
          <w:rFonts w:ascii="Times New Roman" w:hAnsi="Times New Roman" w:cs="Times New Roman"/>
          <w:spacing w:val="-2"/>
          <w:sz w:val="24"/>
          <w:szCs w:val="24"/>
        </w:rPr>
        <w:t>By similar token, p</w:t>
      </w:r>
      <w:r>
        <w:rPr>
          <w:rFonts w:ascii="Times New Roman" w:hAnsi="Times New Roman" w:cs="Times New Roman"/>
          <w:spacing w:val="-2"/>
          <w:sz w:val="24"/>
          <w:szCs w:val="24"/>
        </w:rPr>
        <w:t>atent law is supposed to give us a self-regulating innovation policy in which the right to exclude others from novel and useful inventions creates a cybernetic and responsive innovation marketplace.</w:t>
      </w:r>
      <w:r>
        <w:rPr>
          <w:rStyle w:val="FootnoteReference"/>
          <w:rFonts w:ascii="Times New Roman" w:hAnsi="Times New Roman" w:cs="Times New Roman"/>
          <w:spacing w:val="-2"/>
          <w:sz w:val="24"/>
          <w:szCs w:val="24"/>
        </w:rPr>
        <w:footnoteReference w:id="265"/>
      </w:r>
    </w:p>
    <w:p w14:paraId="7CD36C70" w14:textId="7B9488D6" w:rsidR="00CF5C24" w:rsidRPr="00774EDB" w:rsidRDefault="00B56ABB" w:rsidP="00A70042">
      <w:pPr>
        <w:spacing w:before="360"/>
        <w:jc w:val="both"/>
        <w:rPr>
          <w:rFonts w:ascii="Times New Roman" w:hAnsi="Times New Roman" w:cs="Times New Roman"/>
          <w:sz w:val="24"/>
          <w:szCs w:val="24"/>
        </w:rPr>
      </w:pPr>
      <w:r>
        <w:rPr>
          <w:rFonts w:ascii="Times New Roman" w:hAnsi="Times New Roman" w:cs="Times New Roman"/>
          <w:sz w:val="24"/>
          <w:szCs w:val="24"/>
        </w:rPr>
        <w:t>However, t</w:t>
      </w:r>
      <w:r w:rsidR="00B92B7C">
        <w:rPr>
          <w:rFonts w:ascii="Times New Roman" w:hAnsi="Times New Roman" w:cs="Times New Roman"/>
          <w:sz w:val="24"/>
          <w:szCs w:val="24"/>
        </w:rPr>
        <w:t>he fact</w:t>
      </w:r>
      <w:r w:rsidR="00B92B7C" w:rsidRPr="00774EDB">
        <w:rPr>
          <w:rFonts w:ascii="Times New Roman" w:hAnsi="Times New Roman" w:cs="Times New Roman"/>
          <w:sz w:val="24"/>
          <w:szCs w:val="24"/>
        </w:rPr>
        <w:t xml:space="preserve"> </w:t>
      </w:r>
      <w:r w:rsidR="00B92B7C">
        <w:rPr>
          <w:rFonts w:ascii="Times New Roman" w:hAnsi="Times New Roman" w:cs="Times New Roman"/>
          <w:sz w:val="24"/>
          <w:szCs w:val="24"/>
        </w:rPr>
        <w:t xml:space="preserve">that </w:t>
      </w:r>
      <w:r w:rsidR="00086A6A" w:rsidRPr="00774EDB">
        <w:rPr>
          <w:rFonts w:ascii="Times New Roman" w:hAnsi="Times New Roman" w:cs="Times New Roman"/>
          <w:sz w:val="24"/>
          <w:szCs w:val="24"/>
        </w:rPr>
        <w:t xml:space="preserve">IPRs are prescribed in a manner offering an exclusive usage </w:t>
      </w:r>
      <w:r>
        <w:rPr>
          <w:rFonts w:ascii="Times New Roman" w:hAnsi="Times New Roman" w:cs="Times New Roman"/>
          <w:sz w:val="24"/>
          <w:szCs w:val="24"/>
        </w:rPr>
        <w:t xml:space="preserve">ironically </w:t>
      </w:r>
      <w:r w:rsidR="00B92B7C">
        <w:rPr>
          <w:rFonts w:ascii="Times New Roman" w:hAnsi="Times New Roman" w:cs="Times New Roman"/>
          <w:sz w:val="24"/>
          <w:szCs w:val="24"/>
        </w:rPr>
        <w:t>poses</w:t>
      </w:r>
      <w:r w:rsidR="00086A6A" w:rsidRPr="00774EDB">
        <w:rPr>
          <w:rFonts w:ascii="Times New Roman" w:hAnsi="Times New Roman" w:cs="Times New Roman"/>
          <w:sz w:val="24"/>
          <w:szCs w:val="24"/>
        </w:rPr>
        <w:t xml:space="preserve"> a potential risk </w:t>
      </w:r>
      <w:r w:rsidR="00B92B7C">
        <w:rPr>
          <w:rFonts w:ascii="Times New Roman" w:hAnsi="Times New Roman" w:cs="Times New Roman"/>
          <w:sz w:val="24"/>
          <w:szCs w:val="24"/>
        </w:rPr>
        <w:t>over</w:t>
      </w:r>
      <w:r w:rsidR="00086A6A" w:rsidRPr="00774EDB">
        <w:rPr>
          <w:rFonts w:ascii="Times New Roman" w:hAnsi="Times New Roman" w:cs="Times New Roman"/>
          <w:sz w:val="24"/>
          <w:szCs w:val="24"/>
        </w:rPr>
        <w:t xml:space="preserve"> </w:t>
      </w:r>
      <w:r w:rsidR="00B92B7C">
        <w:rPr>
          <w:rFonts w:ascii="Times New Roman" w:hAnsi="Times New Roman" w:cs="Times New Roman"/>
          <w:sz w:val="24"/>
          <w:szCs w:val="24"/>
        </w:rPr>
        <w:t xml:space="preserve">social and cultural production as well as </w:t>
      </w:r>
      <w:r w:rsidR="00190DD4">
        <w:rPr>
          <w:rFonts w:ascii="Times New Roman" w:hAnsi="Times New Roman" w:cs="Times New Roman"/>
          <w:sz w:val="24"/>
          <w:szCs w:val="24"/>
        </w:rPr>
        <w:t xml:space="preserve">new entries to and </w:t>
      </w:r>
      <w:r w:rsidR="00086A6A" w:rsidRPr="00774EDB">
        <w:rPr>
          <w:rFonts w:ascii="Times New Roman" w:hAnsi="Times New Roman" w:cs="Times New Roman"/>
          <w:sz w:val="24"/>
          <w:szCs w:val="24"/>
        </w:rPr>
        <w:t>competition in the relevant market(s).</w:t>
      </w:r>
      <w:r w:rsidR="00B92B7C">
        <w:rPr>
          <w:rStyle w:val="FootnoteReference"/>
          <w:rFonts w:ascii="Times New Roman" w:hAnsi="Times New Roman" w:cs="Times New Roman"/>
          <w:sz w:val="24"/>
          <w:szCs w:val="24"/>
        </w:rPr>
        <w:footnoteReference w:id="266"/>
      </w:r>
      <w:r w:rsidR="00086A6A" w:rsidRPr="00774EDB">
        <w:rPr>
          <w:rFonts w:ascii="Times New Roman" w:hAnsi="Times New Roman" w:cs="Times New Roman"/>
          <w:sz w:val="24"/>
          <w:szCs w:val="24"/>
        </w:rPr>
        <w:t xml:space="preserve"> This is more compelling when the gateway type interfaces are not open to the third parties that would seek to develop derivative programs. To emphasize, not only original content or creations, protected by copyrights, patents, etc. and hosted by the ICT platforms, but also APIs that illustrate software-enabled gates for third party access to such platforms, are usually subject to the IPRs. At the centre of this debate lies the notion of interoperability, and its treatment under distinct IPR regimes. Below are analysed the main types of IPRs </w:t>
      </w:r>
      <w:r w:rsidR="00086A6A" w:rsidRPr="00774EDB">
        <w:rPr>
          <w:rFonts w:ascii="Times New Roman" w:hAnsi="Times New Roman" w:cs="Times New Roman"/>
          <w:sz w:val="24"/>
          <w:szCs w:val="24"/>
        </w:rPr>
        <w:lastRenderedPageBreak/>
        <w:t xml:space="preserve">under the EU legal framework, with an emphasis paid to copyrights, patents and trademarks, from the viewpoint of interoperability.      </w:t>
      </w:r>
      <w:r w:rsidR="0087083F" w:rsidRPr="00774EDB">
        <w:rPr>
          <w:rFonts w:ascii="Times New Roman" w:hAnsi="Times New Roman" w:cs="Times New Roman"/>
          <w:sz w:val="24"/>
          <w:szCs w:val="24"/>
        </w:rPr>
        <w:t xml:space="preserve"> </w:t>
      </w:r>
      <w:r w:rsidR="001303FD" w:rsidRPr="00774EDB">
        <w:rPr>
          <w:rFonts w:ascii="Times New Roman" w:hAnsi="Times New Roman" w:cs="Times New Roman"/>
          <w:sz w:val="24"/>
          <w:szCs w:val="24"/>
        </w:rPr>
        <w:t xml:space="preserve"> </w:t>
      </w:r>
      <w:r w:rsidR="005D4D7F" w:rsidRPr="00774EDB">
        <w:rPr>
          <w:rFonts w:ascii="Times New Roman" w:hAnsi="Times New Roman" w:cs="Times New Roman"/>
          <w:sz w:val="24"/>
          <w:szCs w:val="24"/>
        </w:rPr>
        <w:t xml:space="preserve">    </w:t>
      </w:r>
    </w:p>
    <w:p w14:paraId="0D21B3F1" w14:textId="77777777" w:rsidR="00653DCE" w:rsidRPr="00774EDB" w:rsidRDefault="001303FD" w:rsidP="00A70042">
      <w:pPr>
        <w:pStyle w:val="Heading2"/>
        <w:numPr>
          <w:ilvl w:val="1"/>
          <w:numId w:val="33"/>
        </w:numPr>
        <w:spacing w:before="360"/>
        <w:ind w:left="0" w:firstLine="0"/>
        <w:jc w:val="both"/>
        <w:rPr>
          <w:rFonts w:ascii="Times New Roman" w:hAnsi="Times New Roman" w:cs="Times New Roman"/>
          <w:b/>
          <w:color w:val="auto"/>
          <w:sz w:val="24"/>
          <w:szCs w:val="24"/>
        </w:rPr>
      </w:pPr>
      <w:bookmarkStart w:id="270" w:name="_Toc17611382"/>
      <w:bookmarkStart w:id="271" w:name="_Toc17611599"/>
      <w:bookmarkStart w:id="272" w:name="_Toc17611811"/>
      <w:bookmarkStart w:id="273" w:name="_Toc17612025"/>
      <w:bookmarkStart w:id="274" w:name="_Toc17612238"/>
      <w:bookmarkStart w:id="275" w:name="_Toc17611383"/>
      <w:bookmarkStart w:id="276" w:name="_Toc53576046"/>
      <w:bookmarkEnd w:id="270"/>
      <w:bookmarkEnd w:id="271"/>
      <w:bookmarkEnd w:id="272"/>
      <w:bookmarkEnd w:id="273"/>
      <w:bookmarkEnd w:id="274"/>
      <w:r w:rsidRPr="00774EDB">
        <w:rPr>
          <w:rFonts w:ascii="Times New Roman" w:hAnsi="Times New Roman" w:cs="Times New Roman"/>
          <w:b/>
          <w:color w:val="auto"/>
          <w:sz w:val="24"/>
          <w:szCs w:val="24"/>
        </w:rPr>
        <w:t>Copyright</w:t>
      </w:r>
      <w:bookmarkEnd w:id="275"/>
      <w:bookmarkEnd w:id="276"/>
    </w:p>
    <w:p w14:paraId="7835B8AB" w14:textId="77777777" w:rsidR="008634A5" w:rsidRPr="00774EDB" w:rsidRDefault="008634A5" w:rsidP="00A70042">
      <w:pPr>
        <w:pStyle w:val="Heading3"/>
        <w:numPr>
          <w:ilvl w:val="2"/>
          <w:numId w:val="33"/>
        </w:numPr>
        <w:spacing w:before="360"/>
        <w:ind w:left="0" w:firstLine="0"/>
        <w:jc w:val="both"/>
        <w:rPr>
          <w:rFonts w:ascii="Times New Roman" w:hAnsi="Times New Roman" w:cs="Times New Roman"/>
          <w:b/>
        </w:rPr>
      </w:pPr>
      <w:bookmarkStart w:id="277" w:name="_Toc17611384"/>
      <w:bookmarkStart w:id="278" w:name="_Toc17611601"/>
      <w:bookmarkStart w:id="279" w:name="_Toc17611813"/>
      <w:bookmarkStart w:id="280" w:name="_Toc17612027"/>
      <w:bookmarkStart w:id="281" w:name="_Toc17612240"/>
      <w:bookmarkStart w:id="282" w:name="_Toc17611385"/>
      <w:bookmarkStart w:id="283" w:name="_Toc53576047"/>
      <w:bookmarkEnd w:id="277"/>
      <w:bookmarkEnd w:id="278"/>
      <w:bookmarkEnd w:id="279"/>
      <w:bookmarkEnd w:id="280"/>
      <w:bookmarkEnd w:id="281"/>
      <w:r w:rsidRPr="00774EDB">
        <w:rPr>
          <w:rFonts w:ascii="Times New Roman" w:hAnsi="Times New Roman" w:cs="Times New Roman"/>
          <w:b/>
          <w:color w:val="auto"/>
        </w:rPr>
        <w:t xml:space="preserve">General pillars of </w:t>
      </w:r>
      <w:r w:rsidR="00FD6618" w:rsidRPr="00774EDB">
        <w:rPr>
          <w:rFonts w:ascii="Times New Roman" w:hAnsi="Times New Roman" w:cs="Times New Roman"/>
          <w:b/>
          <w:color w:val="auto"/>
        </w:rPr>
        <w:t xml:space="preserve">EU </w:t>
      </w:r>
      <w:r w:rsidR="00A54B04" w:rsidRPr="00774EDB">
        <w:rPr>
          <w:rFonts w:ascii="Times New Roman" w:hAnsi="Times New Roman" w:cs="Times New Roman"/>
          <w:b/>
          <w:color w:val="auto"/>
        </w:rPr>
        <w:t>C</w:t>
      </w:r>
      <w:r w:rsidRPr="00774EDB">
        <w:rPr>
          <w:rFonts w:ascii="Times New Roman" w:hAnsi="Times New Roman" w:cs="Times New Roman"/>
          <w:b/>
          <w:color w:val="auto"/>
        </w:rPr>
        <w:t>opy</w:t>
      </w:r>
      <w:r w:rsidR="00EF4607" w:rsidRPr="00774EDB">
        <w:rPr>
          <w:rFonts w:ascii="Times New Roman" w:hAnsi="Times New Roman" w:cs="Times New Roman"/>
          <w:b/>
          <w:color w:val="auto"/>
        </w:rPr>
        <w:t xml:space="preserve">right </w:t>
      </w:r>
      <w:r w:rsidR="00A54B04" w:rsidRPr="00774EDB">
        <w:rPr>
          <w:rFonts w:ascii="Times New Roman" w:hAnsi="Times New Roman" w:cs="Times New Roman"/>
          <w:b/>
          <w:color w:val="auto"/>
        </w:rPr>
        <w:t>L</w:t>
      </w:r>
      <w:r w:rsidR="00EF4607" w:rsidRPr="00774EDB">
        <w:rPr>
          <w:rFonts w:ascii="Times New Roman" w:hAnsi="Times New Roman" w:cs="Times New Roman"/>
          <w:b/>
          <w:color w:val="auto"/>
        </w:rPr>
        <w:t>aw</w:t>
      </w:r>
      <w:r w:rsidR="0078752D" w:rsidRPr="00774EDB">
        <w:rPr>
          <w:rFonts w:ascii="Times New Roman" w:hAnsi="Times New Roman" w:cs="Times New Roman"/>
          <w:b/>
          <w:color w:val="auto"/>
        </w:rPr>
        <w:t xml:space="preserve"> and its applicability to </w:t>
      </w:r>
      <w:r w:rsidR="00F037DF" w:rsidRPr="00774EDB">
        <w:rPr>
          <w:rFonts w:ascii="Times New Roman" w:hAnsi="Times New Roman" w:cs="Times New Roman"/>
          <w:b/>
          <w:color w:val="auto"/>
        </w:rPr>
        <w:t>ICTs</w:t>
      </w:r>
      <w:bookmarkEnd w:id="282"/>
      <w:bookmarkEnd w:id="283"/>
      <w:r w:rsidR="00EF4607" w:rsidRPr="00774EDB">
        <w:rPr>
          <w:rFonts w:ascii="Times New Roman" w:hAnsi="Times New Roman" w:cs="Times New Roman"/>
          <w:b/>
        </w:rPr>
        <w:t xml:space="preserve"> </w:t>
      </w:r>
    </w:p>
    <w:p w14:paraId="0711F80A" w14:textId="77777777" w:rsidR="00156C44" w:rsidRPr="00A70042" w:rsidRDefault="00A54B04" w:rsidP="00A70042">
      <w:pPr>
        <w:spacing w:before="360"/>
        <w:jc w:val="both"/>
        <w:rPr>
          <w:rFonts w:ascii="Times New Roman" w:hAnsi="Times New Roman" w:cs="Times New Roman"/>
          <w:spacing w:val="-4"/>
          <w:sz w:val="24"/>
          <w:szCs w:val="24"/>
        </w:rPr>
      </w:pPr>
      <w:r w:rsidRPr="00A70042">
        <w:rPr>
          <w:rFonts w:ascii="Times New Roman" w:hAnsi="Times New Roman" w:cs="Times New Roman"/>
          <w:spacing w:val="-4"/>
          <w:sz w:val="24"/>
          <w:szCs w:val="24"/>
        </w:rPr>
        <w:t>Copyright is a long-inherited and internationally acknowledged legacy right for protecting ‘original’ creations. While the economic rationale for copyright law is to give an incentive to produce creative work i.e. literary and artistic works</w:t>
      </w:r>
      <w:r w:rsidRPr="00A70042">
        <w:rPr>
          <w:rStyle w:val="FootnoteReference"/>
          <w:rFonts w:ascii="Times New Roman" w:hAnsi="Times New Roman" w:cs="Times New Roman"/>
          <w:spacing w:val="-4"/>
          <w:sz w:val="24"/>
          <w:szCs w:val="24"/>
        </w:rPr>
        <w:footnoteReference w:id="267"/>
      </w:r>
      <w:r w:rsidRPr="00A70042">
        <w:rPr>
          <w:rFonts w:ascii="Times New Roman" w:hAnsi="Times New Roman" w:cs="Times New Roman"/>
          <w:spacing w:val="-4"/>
          <w:sz w:val="24"/>
          <w:szCs w:val="24"/>
        </w:rPr>
        <w:t xml:space="preserve"> and avoid ‘underproduction’, the main rationale behind copyright and the conferred exclusive rights is to raise the supply of works closer to a socially desirable level.</w:t>
      </w:r>
      <w:r w:rsidRPr="00A70042">
        <w:rPr>
          <w:rStyle w:val="FootnoteReference"/>
          <w:rFonts w:ascii="Times New Roman" w:hAnsi="Times New Roman" w:cs="Times New Roman"/>
          <w:spacing w:val="-4"/>
          <w:sz w:val="24"/>
          <w:szCs w:val="24"/>
        </w:rPr>
        <w:footnoteReference w:id="268"/>
      </w:r>
      <w:r w:rsidRPr="00A70042">
        <w:rPr>
          <w:rFonts w:ascii="Times New Roman" w:hAnsi="Times New Roman" w:cs="Times New Roman"/>
          <w:spacing w:val="-4"/>
          <w:sz w:val="24"/>
          <w:szCs w:val="24"/>
        </w:rPr>
        <w:t xml:space="preserve"> The Berne Convention</w:t>
      </w:r>
      <w:r w:rsidRPr="00A70042">
        <w:rPr>
          <w:rStyle w:val="FootnoteReference"/>
          <w:rFonts w:ascii="Times New Roman" w:hAnsi="Times New Roman" w:cs="Times New Roman"/>
          <w:spacing w:val="-4"/>
          <w:sz w:val="24"/>
          <w:szCs w:val="24"/>
        </w:rPr>
        <w:footnoteReference w:id="269"/>
      </w:r>
      <w:r w:rsidRPr="00A70042">
        <w:rPr>
          <w:rFonts w:ascii="Times New Roman" w:hAnsi="Times New Roman" w:cs="Times New Roman"/>
          <w:spacing w:val="-4"/>
          <w:sz w:val="24"/>
          <w:szCs w:val="24"/>
        </w:rPr>
        <w:t xml:space="preserve"> represents the very first and widely ratified international treaty setting out the rights of the authors in their “literary and artistic works”. Comprising a non-exhaustive list of examples regarding literary and artistic works, and the rights of the copyright holders i.e. translation, reproduction, public performance, communication to the public, along with the applicable exceptions, the Berne Convention could be regarded as a baseline for the emergence of many national and regional copyright regimes. Based on similar pillars i.e. minimum rights, the EU copyright framework consists of a set of eleven directives and two regulations, which all together constitute copyright </w:t>
      </w:r>
      <w:r w:rsidRPr="00A70042">
        <w:rPr>
          <w:rFonts w:ascii="Times New Roman" w:hAnsi="Times New Roman" w:cs="Times New Roman"/>
          <w:i/>
          <w:spacing w:val="-4"/>
          <w:sz w:val="24"/>
          <w:szCs w:val="24"/>
        </w:rPr>
        <w:t>acquis</w:t>
      </w:r>
      <w:r w:rsidRPr="00A70042">
        <w:rPr>
          <w:rFonts w:ascii="Times New Roman" w:hAnsi="Times New Roman" w:cs="Times New Roman"/>
          <w:spacing w:val="-4"/>
          <w:sz w:val="24"/>
          <w:szCs w:val="24"/>
        </w:rPr>
        <w:t>.</w:t>
      </w:r>
      <w:r w:rsidRPr="00A70042">
        <w:rPr>
          <w:rStyle w:val="FootnoteReference"/>
          <w:rFonts w:ascii="Times New Roman" w:hAnsi="Times New Roman" w:cs="Times New Roman"/>
          <w:spacing w:val="-4"/>
          <w:sz w:val="24"/>
          <w:szCs w:val="24"/>
        </w:rPr>
        <w:footnoteReference w:id="270"/>
      </w:r>
      <w:r w:rsidRPr="00A70042">
        <w:rPr>
          <w:rFonts w:ascii="Times New Roman" w:hAnsi="Times New Roman" w:cs="Times New Roman"/>
          <w:spacing w:val="-4"/>
          <w:sz w:val="24"/>
          <w:szCs w:val="24"/>
        </w:rPr>
        <w:t xml:space="preserve"> </w:t>
      </w:r>
      <w:r w:rsidR="000B462D" w:rsidRPr="00A70042">
        <w:rPr>
          <w:rFonts w:ascii="Times New Roman" w:hAnsi="Times New Roman" w:cs="Times New Roman"/>
          <w:spacing w:val="-4"/>
          <w:sz w:val="24"/>
          <w:szCs w:val="24"/>
        </w:rPr>
        <w:t xml:space="preserve"> </w:t>
      </w:r>
    </w:p>
    <w:p w14:paraId="6280F40B" w14:textId="32187CAB" w:rsidR="00A54B04" w:rsidRPr="00A70042" w:rsidRDefault="00A54B04"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lastRenderedPageBreak/>
        <w:t xml:space="preserve">Within the context of EU </w:t>
      </w:r>
      <w:r w:rsidRPr="00A70042">
        <w:rPr>
          <w:rFonts w:ascii="Times New Roman" w:hAnsi="Times New Roman" w:cs="Times New Roman"/>
          <w:i/>
          <w:iCs/>
          <w:spacing w:val="-2"/>
          <w:sz w:val="24"/>
          <w:szCs w:val="24"/>
        </w:rPr>
        <w:t>acquis</w:t>
      </w:r>
      <w:r w:rsidRPr="00A70042">
        <w:rPr>
          <w:rFonts w:ascii="Times New Roman" w:hAnsi="Times New Roman" w:cs="Times New Roman"/>
          <w:spacing w:val="-2"/>
          <w:sz w:val="24"/>
          <w:szCs w:val="24"/>
        </w:rPr>
        <w:t>, the InfoSoc Directive</w:t>
      </w:r>
      <w:r w:rsidRPr="00A70042">
        <w:rPr>
          <w:rStyle w:val="FootnoteReference"/>
          <w:rFonts w:ascii="Times New Roman" w:hAnsi="Times New Roman" w:cs="Times New Roman"/>
          <w:spacing w:val="-2"/>
          <w:sz w:val="24"/>
          <w:szCs w:val="24"/>
        </w:rPr>
        <w:footnoteReference w:id="271"/>
      </w:r>
      <w:r w:rsidRPr="00A70042">
        <w:rPr>
          <w:rFonts w:ascii="Times New Roman" w:hAnsi="Times New Roman" w:cs="Times New Roman"/>
          <w:spacing w:val="-2"/>
          <w:sz w:val="24"/>
          <w:szCs w:val="24"/>
        </w:rPr>
        <w:t xml:space="preserve"> plays a cornerstone role as it establishes the key rights and limitations with regard to the subject matter of the copyrights, to be adopted across the EU. The Directive harmonizes the basic economic rights (rights of reproduction, communication to the public, and distribution) in a broad and arguably ‘Internet-proof’ manner,</w:t>
      </w:r>
      <w:r w:rsidRPr="00A70042">
        <w:rPr>
          <w:rStyle w:val="FootnoteReference"/>
          <w:rFonts w:ascii="Times New Roman" w:hAnsi="Times New Roman" w:cs="Times New Roman"/>
          <w:spacing w:val="-2"/>
          <w:sz w:val="24"/>
          <w:szCs w:val="24"/>
        </w:rPr>
        <w:footnoteReference w:id="272"/>
      </w:r>
      <w:r w:rsidRPr="00A70042">
        <w:rPr>
          <w:rFonts w:ascii="Times New Roman" w:hAnsi="Times New Roman" w:cs="Times New Roman"/>
          <w:spacing w:val="-2"/>
          <w:sz w:val="24"/>
          <w:szCs w:val="24"/>
        </w:rPr>
        <w:t xml:space="preserve"> and introduces special protection for DRM systems.</w:t>
      </w:r>
      <w:r w:rsidRPr="00A70042">
        <w:rPr>
          <w:rStyle w:val="FootnoteReference"/>
          <w:rFonts w:ascii="Times New Roman" w:hAnsi="Times New Roman" w:cs="Times New Roman"/>
          <w:spacing w:val="-2"/>
          <w:sz w:val="24"/>
          <w:szCs w:val="24"/>
        </w:rPr>
        <w:footnoteReference w:id="273"/>
      </w:r>
      <w:r w:rsidRPr="00A70042">
        <w:rPr>
          <w:rFonts w:ascii="Times New Roman" w:hAnsi="Times New Roman" w:cs="Times New Roman"/>
          <w:spacing w:val="-2"/>
          <w:sz w:val="24"/>
          <w:szCs w:val="24"/>
        </w:rPr>
        <w:t xml:space="preserve"> The InfoSoc Directive features a horizontal harmonization instrument for copyright protection, not only in relation to the information society but also in general.</w:t>
      </w:r>
      <w:r w:rsidRPr="00A70042">
        <w:rPr>
          <w:rStyle w:val="FootnoteReference"/>
          <w:rFonts w:ascii="Times New Roman" w:hAnsi="Times New Roman" w:cs="Times New Roman"/>
          <w:spacing w:val="-2"/>
          <w:sz w:val="24"/>
          <w:szCs w:val="24"/>
        </w:rPr>
        <w:footnoteReference w:id="274"/>
      </w:r>
      <w:r w:rsidRPr="00A70042">
        <w:rPr>
          <w:rFonts w:ascii="Times New Roman" w:hAnsi="Times New Roman" w:cs="Times New Roman"/>
          <w:spacing w:val="-2"/>
          <w:sz w:val="24"/>
          <w:szCs w:val="24"/>
        </w:rPr>
        <w:t xml:space="preserve"> Based on Article 114 of the TFEU (ex Article 95 TEC) under EU law,</w:t>
      </w:r>
      <w:r w:rsidRPr="00A70042">
        <w:rPr>
          <w:rStyle w:val="FootnoteReference"/>
          <w:rFonts w:ascii="Times New Roman" w:hAnsi="Times New Roman" w:cs="Times New Roman"/>
          <w:spacing w:val="-2"/>
          <w:sz w:val="24"/>
          <w:szCs w:val="24"/>
        </w:rPr>
        <w:footnoteReference w:id="275"/>
      </w:r>
      <w:r w:rsidRPr="00A70042">
        <w:rPr>
          <w:rFonts w:ascii="Times New Roman" w:hAnsi="Times New Roman" w:cs="Times New Roman"/>
          <w:spacing w:val="-2"/>
          <w:sz w:val="24"/>
          <w:szCs w:val="24"/>
        </w:rPr>
        <w:t xml:space="preserve"> the InfoSoc Directive also serves to fulfil the international obligations of the member states arising out of the </w:t>
      </w:r>
      <w:r w:rsidR="00DD3FB6" w:rsidRPr="00A70042">
        <w:rPr>
          <w:rFonts w:ascii="Times New Roman" w:hAnsi="Times New Roman" w:cs="Times New Roman"/>
          <w:spacing w:val="-2"/>
          <w:sz w:val="24"/>
          <w:szCs w:val="24"/>
        </w:rPr>
        <w:t>World Intellectual Property Organization (</w:t>
      </w:r>
      <w:r w:rsidRPr="00A70042">
        <w:rPr>
          <w:rFonts w:ascii="Times New Roman" w:hAnsi="Times New Roman" w:cs="Times New Roman"/>
          <w:spacing w:val="-2"/>
          <w:sz w:val="24"/>
          <w:szCs w:val="24"/>
        </w:rPr>
        <w:t>WIPO</w:t>
      </w:r>
      <w:r w:rsidR="00DD3FB6" w:rsidRPr="00A70042">
        <w:rPr>
          <w:rFonts w:ascii="Times New Roman" w:hAnsi="Times New Roman" w:cs="Times New Roman"/>
          <w:spacing w:val="-2"/>
          <w:sz w:val="24"/>
          <w:szCs w:val="24"/>
        </w:rPr>
        <w:t>)</w:t>
      </w:r>
      <w:r w:rsidRPr="00A70042">
        <w:rPr>
          <w:rFonts w:ascii="Times New Roman" w:hAnsi="Times New Roman" w:cs="Times New Roman"/>
          <w:spacing w:val="-2"/>
          <w:sz w:val="24"/>
          <w:szCs w:val="24"/>
        </w:rPr>
        <w:t xml:space="preserve"> Treaties i.e. the Berne Convention as well as the WTO Agreements i.e. TRIPS. When considered with other rights and directives i.e. the Software Directive, it is fair to say that the EU legislator is consistently focused on increasing the scope and intensity of protection, often further than the minimum standards of the Berne Convention and Rome Convention.</w:t>
      </w:r>
      <w:r w:rsidRPr="00A70042">
        <w:rPr>
          <w:rStyle w:val="FootnoteReference"/>
          <w:rFonts w:ascii="Times New Roman" w:hAnsi="Times New Roman" w:cs="Times New Roman"/>
          <w:spacing w:val="-2"/>
          <w:sz w:val="24"/>
          <w:szCs w:val="24"/>
        </w:rPr>
        <w:footnoteReference w:id="276"/>
      </w:r>
    </w:p>
    <w:p w14:paraId="2F43E82E" w14:textId="77777777" w:rsidR="008E0D5E" w:rsidRPr="00774EDB" w:rsidRDefault="00A54B04"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 xml:space="preserve">Besides the main rights stated above, TPMs also find a very first place for protection under the InfoSoc Directive. According to Article 6(1), Member States should provide “adequate legal protection against the circumvention of any effective, technological </w:t>
      </w:r>
      <w:r w:rsidRPr="00774EDB">
        <w:rPr>
          <w:rFonts w:ascii="Times New Roman" w:hAnsi="Times New Roman" w:cs="Times New Roman"/>
          <w:sz w:val="24"/>
          <w:szCs w:val="24"/>
        </w:rPr>
        <w:lastRenderedPageBreak/>
        <w:t>measures” and other acts, such as the “manufacture, import, distribution, sale, rental, advertisement for sale or rental, or possession for commercial purposes of devices, products or components or the provision of services” in relation to TPMs.</w:t>
      </w:r>
      <w:r w:rsidRPr="00774EDB">
        <w:rPr>
          <w:rStyle w:val="FootnoteReference"/>
          <w:rFonts w:ascii="Times New Roman" w:hAnsi="Times New Roman" w:cs="Times New Roman"/>
          <w:sz w:val="24"/>
          <w:szCs w:val="24"/>
        </w:rPr>
        <w:footnoteReference w:id="277"/>
      </w:r>
      <w:r w:rsidRPr="00774EDB">
        <w:rPr>
          <w:rFonts w:ascii="Times New Roman" w:hAnsi="Times New Roman" w:cs="Times New Roman"/>
          <w:sz w:val="24"/>
          <w:szCs w:val="24"/>
        </w:rPr>
        <w:t xml:space="preserve"> Article 7 obliges Member States to provide for adequate legal protection against acts in relation to the removal of electronic rights-management information for the purpose of inducing, enabling, facilitating or concealing infringements of copyrights or related rights.</w:t>
      </w:r>
      <w:r w:rsidRPr="00774EDB">
        <w:rPr>
          <w:rStyle w:val="FootnoteReference"/>
          <w:rFonts w:ascii="Times New Roman" w:hAnsi="Times New Roman" w:cs="Times New Roman"/>
          <w:sz w:val="24"/>
          <w:szCs w:val="24"/>
        </w:rPr>
        <w:footnoteReference w:id="278"/>
      </w:r>
      <w:r w:rsidRPr="00774EDB">
        <w:rPr>
          <w:rFonts w:ascii="Times New Roman" w:hAnsi="Times New Roman" w:cs="Times New Roman"/>
          <w:sz w:val="24"/>
          <w:szCs w:val="24"/>
        </w:rPr>
        <w:t xml:space="preserve"> Finally, Member States must provide for effective sanctions and remedies for copyright and related rights infringements.</w:t>
      </w:r>
      <w:r w:rsidRPr="00774EDB">
        <w:rPr>
          <w:rStyle w:val="FootnoteReference"/>
          <w:rFonts w:ascii="Times New Roman" w:hAnsi="Times New Roman" w:cs="Times New Roman"/>
          <w:sz w:val="24"/>
          <w:szCs w:val="24"/>
        </w:rPr>
        <w:footnoteReference w:id="279"/>
      </w:r>
    </w:p>
    <w:p w14:paraId="35324B5F" w14:textId="77777777" w:rsidR="00A54B04" w:rsidRPr="00774EDB" w:rsidRDefault="00A54B04"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While the scope of the InfoSoc Directive is related to information society issues covering a wide-ranging area, it should be noted that “computer programs”</w:t>
      </w:r>
      <w:r w:rsidRPr="00774EDB">
        <w:rPr>
          <w:rStyle w:val="FootnoteReference"/>
          <w:rFonts w:ascii="Times New Roman" w:hAnsi="Times New Roman" w:cs="Times New Roman"/>
          <w:sz w:val="24"/>
          <w:szCs w:val="24"/>
        </w:rPr>
        <w:footnoteReference w:id="280"/>
      </w:r>
      <w:r w:rsidRPr="00774EDB">
        <w:rPr>
          <w:rFonts w:ascii="Times New Roman" w:hAnsi="Times New Roman" w:cs="Times New Roman"/>
          <w:sz w:val="24"/>
          <w:szCs w:val="24"/>
        </w:rPr>
        <w:t xml:space="preserve"> are specifically regulated under the Software Directive. Although there is no anti-circumvention regime for the computer programs, expression of them is protected, being regarded as “literary works” in line with the international copyright legislation and paradigms.</w:t>
      </w:r>
      <w:r w:rsidRPr="00774EDB">
        <w:rPr>
          <w:rStyle w:val="FootnoteReference"/>
          <w:rFonts w:ascii="Times New Roman" w:hAnsi="Times New Roman" w:cs="Times New Roman"/>
          <w:sz w:val="24"/>
          <w:szCs w:val="24"/>
        </w:rPr>
        <w:footnoteReference w:id="281"/>
      </w:r>
      <w:r w:rsidRPr="00774EDB">
        <w:rPr>
          <w:rFonts w:ascii="Times New Roman" w:hAnsi="Times New Roman" w:cs="Times New Roman"/>
          <w:sz w:val="24"/>
          <w:szCs w:val="24"/>
        </w:rPr>
        <w:t xml:space="preserve"> It has been held that the “expression” includes the source and object codes underlying a computer program, but not its functionality, programming language, individual or complex commands, graphic user interface or data file formats.</w:t>
      </w:r>
      <w:r w:rsidRPr="00774EDB">
        <w:rPr>
          <w:rStyle w:val="FootnoteReference"/>
          <w:rFonts w:ascii="Times New Roman" w:hAnsi="Times New Roman" w:cs="Times New Roman"/>
          <w:sz w:val="24"/>
          <w:szCs w:val="24"/>
        </w:rPr>
        <w:footnoteReference w:id="282"/>
      </w:r>
      <w:r w:rsidRPr="00774EDB">
        <w:rPr>
          <w:rFonts w:ascii="Times New Roman" w:hAnsi="Times New Roman" w:cs="Times New Roman"/>
          <w:sz w:val="24"/>
          <w:szCs w:val="24"/>
        </w:rPr>
        <w:t xml:space="preserve"> Therefore, generated codes by the authors, i.e. software developers, are considered as ‘literary work’ within the meaning of European Copyright Law, as well as under the criteria acknowledged globally and in many developed and developing countries. For instance, under the 1998 UK Copyright, Designs and Patents Act (CDPA), “literary work” which in general is any work that is dramatic or musical and </w:t>
      </w:r>
      <w:r w:rsidRPr="00774EDB">
        <w:rPr>
          <w:rFonts w:ascii="Times New Roman" w:hAnsi="Times New Roman" w:cs="Times New Roman"/>
          <w:sz w:val="24"/>
          <w:szCs w:val="24"/>
        </w:rPr>
        <w:lastRenderedPageBreak/>
        <w:t>which is written, spoken or sung, now explicitly includes a computer program and separately, preparatory design material for a program.</w:t>
      </w:r>
      <w:r w:rsidRPr="00774EDB">
        <w:rPr>
          <w:rStyle w:val="FootnoteReference"/>
          <w:rFonts w:ascii="Times New Roman" w:hAnsi="Times New Roman" w:cs="Times New Roman"/>
          <w:sz w:val="24"/>
          <w:szCs w:val="24"/>
        </w:rPr>
        <w:footnoteReference w:id="283"/>
      </w:r>
    </w:p>
    <w:p w14:paraId="319940FE" w14:textId="0C527860" w:rsidR="001E5B78" w:rsidRDefault="00A54B04"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From the EU perspective, copyright protection is essentially based on the rights enshrined under the InfoSoc Directive and the Software Directive. While the former provides for a very broad definition of IPRs (copyrights and related rights), coupled with the effective endorsement of TPMs,</w:t>
      </w:r>
      <w:r w:rsidRPr="00774EDB">
        <w:rPr>
          <w:rStyle w:val="FootnoteReference"/>
          <w:rFonts w:ascii="Times New Roman" w:hAnsi="Times New Roman" w:cs="Times New Roman"/>
          <w:sz w:val="24"/>
          <w:szCs w:val="24"/>
        </w:rPr>
        <w:footnoteReference w:id="284"/>
      </w:r>
      <w:r w:rsidRPr="00774EDB">
        <w:rPr>
          <w:rFonts w:ascii="Times New Roman" w:hAnsi="Times New Roman" w:cs="Times New Roman"/>
          <w:sz w:val="24"/>
          <w:szCs w:val="24"/>
        </w:rPr>
        <w:t xml:space="preserve"> the latter establishes a special treatment for the computer programs, which have a key role for the ICTs. Further to these, a new Directive, called the ‘Directive on Copyright in the Digital Single Market’,</w:t>
      </w:r>
      <w:r w:rsidRPr="00774EDB">
        <w:rPr>
          <w:rStyle w:val="FootnoteReference"/>
          <w:rFonts w:ascii="Times New Roman" w:hAnsi="Times New Roman" w:cs="Times New Roman"/>
          <w:sz w:val="24"/>
          <w:szCs w:val="24"/>
        </w:rPr>
        <w:footnoteReference w:id="285"/>
      </w:r>
      <w:r w:rsidRPr="00774EDB">
        <w:rPr>
          <w:rFonts w:ascii="Times New Roman" w:hAnsi="Times New Roman" w:cs="Times New Roman"/>
          <w:sz w:val="24"/>
          <w:szCs w:val="24"/>
        </w:rPr>
        <w:t xml:space="preserve"> has come into force on 7</w:t>
      </w:r>
      <w:r w:rsidRPr="00774EDB">
        <w:rPr>
          <w:rFonts w:ascii="Times New Roman" w:hAnsi="Times New Roman" w:cs="Times New Roman"/>
          <w:sz w:val="24"/>
          <w:szCs w:val="24"/>
          <w:vertAlign w:val="superscript"/>
        </w:rPr>
        <w:t>th</w:t>
      </w:r>
      <w:r w:rsidRPr="00774EDB">
        <w:rPr>
          <w:rFonts w:ascii="Times New Roman" w:hAnsi="Times New Roman" w:cs="Times New Roman"/>
          <w:sz w:val="24"/>
          <w:szCs w:val="24"/>
        </w:rPr>
        <w:t xml:space="preserve"> June 2019, incorporating new rules regarding text and data mining, collective rights management practices, protection of press publications, treatment of user-generated content, etc.</w:t>
      </w:r>
      <w:r w:rsidRPr="00774EDB">
        <w:rPr>
          <w:rStyle w:val="FootnoteReference"/>
          <w:rFonts w:ascii="Times New Roman" w:hAnsi="Times New Roman" w:cs="Times New Roman"/>
          <w:sz w:val="24"/>
          <w:szCs w:val="24"/>
        </w:rPr>
        <w:footnoteReference w:id="286"/>
      </w:r>
      <w:r w:rsidR="001E5B78">
        <w:rPr>
          <w:rFonts w:ascii="Times New Roman" w:hAnsi="Times New Roman" w:cs="Times New Roman"/>
          <w:sz w:val="24"/>
          <w:szCs w:val="24"/>
        </w:rPr>
        <w:t xml:space="preserve"> </w:t>
      </w:r>
      <w:r w:rsidRPr="00774EDB">
        <w:rPr>
          <w:rFonts w:ascii="Times New Roman" w:hAnsi="Times New Roman" w:cs="Times New Roman"/>
          <w:sz w:val="24"/>
          <w:szCs w:val="24"/>
        </w:rPr>
        <w:t xml:space="preserve">The incorporation of these new copyright issues primarily reflects the need to align copyright </w:t>
      </w:r>
      <w:r w:rsidRPr="00774EDB">
        <w:rPr>
          <w:rFonts w:ascii="Times New Roman" w:hAnsi="Times New Roman" w:cs="Times New Roman"/>
          <w:i/>
          <w:iCs/>
          <w:sz w:val="24"/>
          <w:szCs w:val="24"/>
        </w:rPr>
        <w:t>acquis</w:t>
      </w:r>
      <w:r w:rsidRPr="00774EDB">
        <w:rPr>
          <w:rFonts w:ascii="Times New Roman" w:hAnsi="Times New Roman" w:cs="Times New Roman"/>
          <w:sz w:val="24"/>
          <w:szCs w:val="24"/>
        </w:rPr>
        <w:t xml:space="preserve"> with the realities of the internet era</w:t>
      </w:r>
      <w:r w:rsidR="006233AD">
        <w:rPr>
          <w:rFonts w:ascii="Times New Roman" w:hAnsi="Times New Roman" w:cs="Times New Roman"/>
          <w:sz w:val="24"/>
          <w:szCs w:val="24"/>
        </w:rPr>
        <w:t xml:space="preserve">, </w:t>
      </w:r>
      <w:r w:rsidR="00287244">
        <w:rPr>
          <w:rFonts w:ascii="Times New Roman" w:hAnsi="Times New Roman" w:cs="Times New Roman"/>
          <w:sz w:val="24"/>
          <w:szCs w:val="24"/>
        </w:rPr>
        <w:t>recalling</w:t>
      </w:r>
      <w:r w:rsidR="006233AD">
        <w:rPr>
          <w:rFonts w:ascii="Times New Roman" w:hAnsi="Times New Roman" w:cs="Times New Roman"/>
          <w:sz w:val="24"/>
          <w:szCs w:val="24"/>
        </w:rPr>
        <w:t xml:space="preserve"> the first legislative reactions to the advent of public internet</w:t>
      </w:r>
      <w:r w:rsidRPr="00774EDB">
        <w:rPr>
          <w:rFonts w:ascii="Times New Roman" w:hAnsi="Times New Roman" w:cs="Times New Roman"/>
          <w:sz w:val="24"/>
          <w:szCs w:val="24"/>
        </w:rPr>
        <w:t>.</w:t>
      </w:r>
      <w:r w:rsidR="00431ED2">
        <w:rPr>
          <w:rStyle w:val="FootnoteReference"/>
          <w:rFonts w:ascii="Times New Roman" w:hAnsi="Times New Roman" w:cs="Times New Roman"/>
          <w:sz w:val="24"/>
          <w:szCs w:val="24"/>
        </w:rPr>
        <w:footnoteReference w:id="287"/>
      </w:r>
    </w:p>
    <w:p w14:paraId="0AC3C073" w14:textId="5D245927" w:rsidR="007B0D62" w:rsidRDefault="00F5366C" w:rsidP="00A70042">
      <w:pPr>
        <w:spacing w:before="360" w:line="468" w:lineRule="auto"/>
        <w:jc w:val="both"/>
        <w:rPr>
          <w:rFonts w:ascii="Times New Roman" w:hAnsi="Times New Roman" w:cs="Times New Roman"/>
          <w:sz w:val="24"/>
          <w:szCs w:val="24"/>
        </w:rPr>
      </w:pPr>
      <w:r>
        <w:rPr>
          <w:rFonts w:ascii="Times New Roman" w:hAnsi="Times New Roman" w:cs="Times New Roman"/>
          <w:sz w:val="24"/>
          <w:szCs w:val="24"/>
        </w:rPr>
        <w:t>Th</w:t>
      </w:r>
      <w:r w:rsidR="001E5B78">
        <w:rPr>
          <w:rFonts w:ascii="Times New Roman" w:hAnsi="Times New Roman" w:cs="Times New Roman"/>
          <w:sz w:val="24"/>
          <w:szCs w:val="24"/>
        </w:rPr>
        <w:t>e</w:t>
      </w:r>
      <w:r>
        <w:rPr>
          <w:rFonts w:ascii="Times New Roman" w:hAnsi="Times New Roman" w:cs="Times New Roman"/>
          <w:sz w:val="24"/>
          <w:szCs w:val="24"/>
        </w:rPr>
        <w:t xml:space="preserve"> trend of enhanced control</w:t>
      </w:r>
      <w:r w:rsidR="001E19C8">
        <w:rPr>
          <w:rFonts w:ascii="Times New Roman" w:hAnsi="Times New Roman" w:cs="Times New Roman"/>
          <w:sz w:val="24"/>
          <w:szCs w:val="24"/>
        </w:rPr>
        <w:t>s</w:t>
      </w:r>
      <w:r>
        <w:rPr>
          <w:rFonts w:ascii="Times New Roman" w:hAnsi="Times New Roman" w:cs="Times New Roman"/>
          <w:sz w:val="24"/>
          <w:szCs w:val="24"/>
        </w:rPr>
        <w:t xml:space="preserve"> through </w:t>
      </w:r>
      <w:r w:rsidR="001E19C8">
        <w:rPr>
          <w:rFonts w:ascii="Times New Roman" w:hAnsi="Times New Roman" w:cs="Times New Roman"/>
          <w:sz w:val="24"/>
          <w:szCs w:val="24"/>
        </w:rPr>
        <w:t xml:space="preserve">increased TPMs, IPRs and new </w:t>
      </w:r>
      <w:r w:rsidR="00D6410F">
        <w:rPr>
          <w:rFonts w:ascii="Times New Roman" w:hAnsi="Times New Roman" w:cs="Times New Roman"/>
          <w:sz w:val="24"/>
          <w:szCs w:val="24"/>
        </w:rPr>
        <w:t>statutory rights</w:t>
      </w:r>
      <w:r>
        <w:rPr>
          <w:rFonts w:ascii="Times New Roman" w:hAnsi="Times New Roman" w:cs="Times New Roman"/>
          <w:sz w:val="24"/>
          <w:szCs w:val="24"/>
        </w:rPr>
        <w:t xml:space="preserve"> </w:t>
      </w:r>
      <w:r w:rsidR="001E19C8">
        <w:rPr>
          <w:rFonts w:ascii="Times New Roman" w:hAnsi="Times New Roman" w:cs="Times New Roman"/>
          <w:sz w:val="24"/>
          <w:szCs w:val="24"/>
        </w:rPr>
        <w:t xml:space="preserve">e.g. </w:t>
      </w:r>
      <w:r w:rsidR="004412AF">
        <w:rPr>
          <w:rFonts w:ascii="Times New Roman" w:hAnsi="Times New Roman" w:cs="Times New Roman"/>
          <w:sz w:val="24"/>
          <w:szCs w:val="24"/>
        </w:rPr>
        <w:t xml:space="preserve">under </w:t>
      </w:r>
      <w:r w:rsidR="001E19C8">
        <w:rPr>
          <w:rFonts w:ascii="Times New Roman" w:hAnsi="Times New Roman" w:cs="Times New Roman"/>
          <w:sz w:val="24"/>
          <w:szCs w:val="24"/>
        </w:rPr>
        <w:t>DMC</w:t>
      </w:r>
      <w:r w:rsidR="005B2F6C">
        <w:rPr>
          <w:rFonts w:ascii="Times New Roman" w:hAnsi="Times New Roman" w:cs="Times New Roman"/>
          <w:sz w:val="24"/>
          <w:szCs w:val="24"/>
        </w:rPr>
        <w:t>A</w:t>
      </w:r>
      <w:r w:rsidR="001E19C8">
        <w:rPr>
          <w:rFonts w:ascii="Times New Roman" w:hAnsi="Times New Roman" w:cs="Times New Roman"/>
          <w:sz w:val="24"/>
          <w:szCs w:val="24"/>
        </w:rPr>
        <w:t>, CDPA, InfoSoc Directive</w:t>
      </w:r>
      <w:r w:rsidR="004412AF">
        <w:rPr>
          <w:rFonts w:ascii="Times New Roman" w:hAnsi="Times New Roman" w:cs="Times New Roman"/>
          <w:sz w:val="24"/>
          <w:szCs w:val="24"/>
        </w:rPr>
        <w:t>, EU Database Directive</w:t>
      </w:r>
      <w:r w:rsidR="001E19C8">
        <w:rPr>
          <w:rFonts w:ascii="Times New Roman" w:hAnsi="Times New Roman" w:cs="Times New Roman"/>
          <w:sz w:val="24"/>
          <w:szCs w:val="24"/>
        </w:rPr>
        <w:t xml:space="preserve"> </w:t>
      </w:r>
      <w:r>
        <w:rPr>
          <w:rFonts w:ascii="Times New Roman" w:hAnsi="Times New Roman" w:cs="Times New Roman"/>
          <w:sz w:val="24"/>
          <w:szCs w:val="24"/>
        </w:rPr>
        <w:t xml:space="preserve">is an important factor to </w:t>
      </w:r>
      <w:r w:rsidR="0070467E">
        <w:rPr>
          <w:rFonts w:ascii="Times New Roman" w:hAnsi="Times New Roman" w:cs="Times New Roman"/>
          <w:sz w:val="24"/>
          <w:szCs w:val="24"/>
        </w:rPr>
        <w:t xml:space="preserve">be taken into account </w:t>
      </w:r>
      <w:r w:rsidR="00672228">
        <w:rPr>
          <w:rFonts w:ascii="Times New Roman" w:hAnsi="Times New Roman" w:cs="Times New Roman"/>
          <w:sz w:val="24"/>
          <w:szCs w:val="24"/>
        </w:rPr>
        <w:t>concerning</w:t>
      </w:r>
      <w:r w:rsidR="0070467E">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E744CA">
        <w:rPr>
          <w:rFonts w:ascii="Times New Roman" w:hAnsi="Times New Roman" w:cs="Times New Roman"/>
          <w:sz w:val="24"/>
          <w:szCs w:val="24"/>
        </w:rPr>
        <w:t xml:space="preserve">development of </w:t>
      </w:r>
      <w:r>
        <w:rPr>
          <w:rFonts w:ascii="Times New Roman" w:hAnsi="Times New Roman" w:cs="Times New Roman"/>
          <w:sz w:val="24"/>
          <w:szCs w:val="24"/>
        </w:rPr>
        <w:t>information and innovation infrastructures</w:t>
      </w:r>
      <w:r w:rsidR="004412AF">
        <w:rPr>
          <w:rFonts w:ascii="Times New Roman" w:hAnsi="Times New Roman" w:cs="Times New Roman"/>
          <w:sz w:val="24"/>
          <w:szCs w:val="24"/>
        </w:rPr>
        <w:t>,</w:t>
      </w:r>
      <w:r>
        <w:rPr>
          <w:rFonts w:ascii="Times New Roman" w:hAnsi="Times New Roman" w:cs="Times New Roman"/>
          <w:sz w:val="24"/>
          <w:szCs w:val="24"/>
        </w:rPr>
        <w:t xml:space="preserve"> given the interlinks </w:t>
      </w:r>
      <w:r w:rsidR="007B0D62">
        <w:rPr>
          <w:rFonts w:ascii="Times New Roman" w:hAnsi="Times New Roman" w:cs="Times New Roman"/>
          <w:sz w:val="24"/>
          <w:szCs w:val="24"/>
        </w:rPr>
        <w:t>between</w:t>
      </w:r>
      <w:r>
        <w:rPr>
          <w:rFonts w:ascii="Times New Roman" w:hAnsi="Times New Roman" w:cs="Times New Roman"/>
          <w:sz w:val="24"/>
          <w:szCs w:val="24"/>
        </w:rPr>
        <w:t xml:space="preserve"> the</w:t>
      </w:r>
      <w:r w:rsidR="007B0D62">
        <w:rPr>
          <w:rFonts w:ascii="Times New Roman" w:hAnsi="Times New Roman" w:cs="Times New Roman"/>
          <w:sz w:val="24"/>
          <w:szCs w:val="24"/>
        </w:rPr>
        <w:t xml:space="preserve"> proprietary systems and network effects</w:t>
      </w:r>
      <w:r w:rsidR="00E744CA">
        <w:rPr>
          <w:rFonts w:ascii="Times New Roman" w:hAnsi="Times New Roman" w:cs="Times New Roman"/>
          <w:sz w:val="24"/>
          <w:szCs w:val="24"/>
        </w:rPr>
        <w:t xml:space="preserve"> and the information flows</w:t>
      </w:r>
      <w:r>
        <w:rPr>
          <w:rFonts w:ascii="Times New Roman" w:hAnsi="Times New Roman" w:cs="Times New Roman"/>
          <w:sz w:val="24"/>
          <w:szCs w:val="24"/>
        </w:rPr>
        <w:t xml:space="preserve">. </w:t>
      </w:r>
      <w:r w:rsidR="007B0D62">
        <w:rPr>
          <w:rFonts w:ascii="Times New Roman" w:hAnsi="Times New Roman" w:cs="Times New Roman"/>
          <w:sz w:val="24"/>
          <w:szCs w:val="24"/>
        </w:rPr>
        <w:t xml:space="preserve">Information channels and platforms would </w:t>
      </w:r>
      <w:r w:rsidR="007B0D62">
        <w:rPr>
          <w:rFonts w:ascii="Times New Roman" w:hAnsi="Times New Roman" w:cs="Times New Roman"/>
          <w:sz w:val="24"/>
          <w:szCs w:val="24"/>
        </w:rPr>
        <w:lastRenderedPageBreak/>
        <w:t xml:space="preserve">need to be </w:t>
      </w:r>
      <w:r w:rsidR="00963FC3">
        <w:rPr>
          <w:rFonts w:ascii="Times New Roman" w:hAnsi="Times New Roman" w:cs="Times New Roman"/>
          <w:sz w:val="24"/>
          <w:szCs w:val="24"/>
        </w:rPr>
        <w:t>compared to</w:t>
      </w:r>
      <w:r w:rsidR="007B0D62">
        <w:rPr>
          <w:rFonts w:ascii="Times New Roman" w:hAnsi="Times New Roman" w:cs="Times New Roman"/>
          <w:sz w:val="24"/>
          <w:szCs w:val="24"/>
        </w:rPr>
        <w:t xml:space="preserve"> the economic goods and services in terms of the </w:t>
      </w:r>
      <w:r w:rsidR="00672228">
        <w:rPr>
          <w:rFonts w:ascii="Times New Roman" w:hAnsi="Times New Roman" w:cs="Times New Roman"/>
          <w:sz w:val="24"/>
          <w:szCs w:val="24"/>
        </w:rPr>
        <w:t>role they play</w:t>
      </w:r>
      <w:r w:rsidR="0070467E">
        <w:rPr>
          <w:rFonts w:ascii="Times New Roman" w:hAnsi="Times New Roman" w:cs="Times New Roman"/>
          <w:sz w:val="24"/>
          <w:szCs w:val="24"/>
        </w:rPr>
        <w:t xml:space="preserve"> and </w:t>
      </w:r>
      <w:r w:rsidR="00672228">
        <w:rPr>
          <w:rFonts w:ascii="Times New Roman" w:hAnsi="Times New Roman" w:cs="Times New Roman"/>
          <w:sz w:val="24"/>
          <w:szCs w:val="24"/>
        </w:rPr>
        <w:t xml:space="preserve">the </w:t>
      </w:r>
      <w:r w:rsidR="00E744CA">
        <w:rPr>
          <w:rFonts w:ascii="Times New Roman" w:hAnsi="Times New Roman" w:cs="Times New Roman"/>
          <w:sz w:val="24"/>
          <w:szCs w:val="24"/>
        </w:rPr>
        <w:t xml:space="preserve">impact they </w:t>
      </w:r>
      <w:r w:rsidR="0070467E">
        <w:rPr>
          <w:rFonts w:ascii="Times New Roman" w:hAnsi="Times New Roman" w:cs="Times New Roman"/>
          <w:sz w:val="24"/>
          <w:szCs w:val="24"/>
        </w:rPr>
        <w:t>pose. In the face of the ‘n</w:t>
      </w:r>
      <w:r w:rsidR="0070467E" w:rsidRPr="0070467E">
        <w:rPr>
          <w:rFonts w:ascii="Times New Roman" w:hAnsi="Times New Roman" w:cs="Times New Roman"/>
          <w:sz w:val="24"/>
          <w:szCs w:val="24"/>
        </w:rPr>
        <w:t xml:space="preserve">etworked </w:t>
      </w:r>
      <w:r w:rsidR="0070467E">
        <w:rPr>
          <w:rFonts w:ascii="Times New Roman" w:hAnsi="Times New Roman" w:cs="Times New Roman"/>
          <w:sz w:val="24"/>
          <w:szCs w:val="24"/>
        </w:rPr>
        <w:t>i</w:t>
      </w:r>
      <w:r w:rsidR="0070467E" w:rsidRPr="0070467E">
        <w:rPr>
          <w:rFonts w:ascii="Times New Roman" w:hAnsi="Times New Roman" w:cs="Times New Roman"/>
          <w:sz w:val="24"/>
          <w:szCs w:val="24"/>
        </w:rPr>
        <w:t xml:space="preserve">nformation </w:t>
      </w:r>
      <w:r w:rsidR="0070467E">
        <w:rPr>
          <w:rFonts w:ascii="Times New Roman" w:hAnsi="Times New Roman" w:cs="Times New Roman"/>
          <w:sz w:val="24"/>
          <w:szCs w:val="24"/>
        </w:rPr>
        <w:t>e</w:t>
      </w:r>
      <w:r w:rsidR="0070467E" w:rsidRPr="0070467E">
        <w:rPr>
          <w:rFonts w:ascii="Times New Roman" w:hAnsi="Times New Roman" w:cs="Times New Roman"/>
          <w:sz w:val="24"/>
          <w:szCs w:val="24"/>
        </w:rPr>
        <w:t>conomy</w:t>
      </w:r>
      <w:r w:rsidR="0070467E">
        <w:rPr>
          <w:rFonts w:ascii="Times New Roman" w:hAnsi="Times New Roman" w:cs="Times New Roman"/>
          <w:sz w:val="24"/>
          <w:szCs w:val="24"/>
        </w:rPr>
        <w:t>’</w:t>
      </w:r>
      <w:r w:rsidR="00791ED1">
        <w:rPr>
          <w:rFonts w:ascii="Times New Roman" w:hAnsi="Times New Roman" w:cs="Times New Roman"/>
          <w:sz w:val="24"/>
          <w:szCs w:val="24"/>
        </w:rPr>
        <w:t xml:space="preserve"> as elaborated by Benkler</w:t>
      </w:r>
      <w:r w:rsidR="00294ECF">
        <w:rPr>
          <w:rFonts w:ascii="Times New Roman" w:hAnsi="Times New Roman" w:cs="Times New Roman"/>
          <w:sz w:val="24"/>
          <w:szCs w:val="24"/>
        </w:rPr>
        <w:t>,</w:t>
      </w:r>
      <w:r w:rsidR="00294ECF">
        <w:rPr>
          <w:rStyle w:val="FootnoteReference"/>
          <w:rFonts w:ascii="Times New Roman" w:hAnsi="Times New Roman" w:cs="Times New Roman"/>
          <w:sz w:val="24"/>
          <w:szCs w:val="24"/>
        </w:rPr>
        <w:footnoteReference w:id="288"/>
      </w:r>
      <w:r w:rsidR="0070467E">
        <w:rPr>
          <w:rFonts w:ascii="Times New Roman" w:hAnsi="Times New Roman" w:cs="Times New Roman"/>
          <w:sz w:val="24"/>
          <w:szCs w:val="24"/>
        </w:rPr>
        <w:t xml:space="preserve"> this particular need surfaces and echoes in </w:t>
      </w:r>
      <w:r w:rsidR="00963FC3">
        <w:rPr>
          <w:rFonts w:ascii="Times New Roman" w:hAnsi="Times New Roman" w:cs="Times New Roman"/>
          <w:sz w:val="24"/>
          <w:szCs w:val="24"/>
        </w:rPr>
        <w:t xml:space="preserve">access </w:t>
      </w:r>
      <w:r w:rsidR="0070467E">
        <w:rPr>
          <w:rFonts w:ascii="Times New Roman" w:hAnsi="Times New Roman" w:cs="Times New Roman"/>
          <w:sz w:val="24"/>
          <w:szCs w:val="24"/>
        </w:rPr>
        <w:t>and interoperability being</w:t>
      </w:r>
      <w:r w:rsidR="00963FC3">
        <w:rPr>
          <w:rFonts w:ascii="Times New Roman" w:hAnsi="Times New Roman" w:cs="Times New Roman"/>
          <w:sz w:val="24"/>
          <w:szCs w:val="24"/>
        </w:rPr>
        <w:t xml:space="preserve"> blocked off for the</w:t>
      </w:r>
      <w:r w:rsidR="00E744CA">
        <w:rPr>
          <w:rFonts w:ascii="Times New Roman" w:hAnsi="Times New Roman" w:cs="Times New Roman"/>
          <w:sz w:val="24"/>
          <w:szCs w:val="24"/>
        </w:rPr>
        <w:t xml:space="preserve"> </w:t>
      </w:r>
      <w:r w:rsidR="00BB0561">
        <w:rPr>
          <w:rFonts w:ascii="Times New Roman" w:hAnsi="Times New Roman" w:cs="Times New Roman"/>
          <w:sz w:val="24"/>
          <w:szCs w:val="24"/>
        </w:rPr>
        <w:t>“</w:t>
      </w:r>
      <w:r w:rsidR="007B0D62">
        <w:rPr>
          <w:rFonts w:ascii="Times New Roman" w:hAnsi="Times New Roman" w:cs="Times New Roman"/>
          <w:sz w:val="24"/>
          <w:szCs w:val="24"/>
        </w:rPr>
        <w:t>enclosure</w:t>
      </w:r>
      <w:r w:rsidR="00BB0561">
        <w:rPr>
          <w:rFonts w:ascii="Times New Roman" w:hAnsi="Times New Roman" w:cs="Times New Roman"/>
          <w:sz w:val="24"/>
          <w:szCs w:val="24"/>
        </w:rPr>
        <w:t>”</w:t>
      </w:r>
      <w:r w:rsidR="007B0D62">
        <w:rPr>
          <w:rFonts w:ascii="Times New Roman" w:hAnsi="Times New Roman" w:cs="Times New Roman"/>
          <w:sz w:val="24"/>
          <w:szCs w:val="24"/>
        </w:rPr>
        <w:t xml:space="preserve"> of </w:t>
      </w:r>
      <w:r w:rsidR="00BB0561">
        <w:rPr>
          <w:rFonts w:ascii="Times New Roman" w:hAnsi="Times New Roman" w:cs="Times New Roman"/>
          <w:sz w:val="24"/>
          <w:szCs w:val="24"/>
        </w:rPr>
        <w:t>IPR-protected content</w:t>
      </w:r>
      <w:r w:rsidR="007B0D62">
        <w:rPr>
          <w:rFonts w:ascii="Times New Roman" w:hAnsi="Times New Roman" w:cs="Times New Roman"/>
          <w:sz w:val="24"/>
          <w:szCs w:val="24"/>
        </w:rPr>
        <w:t>.</w:t>
      </w:r>
      <w:r w:rsidR="007B0D62">
        <w:rPr>
          <w:rStyle w:val="FootnoteReference"/>
          <w:rFonts w:ascii="Times New Roman" w:hAnsi="Times New Roman" w:cs="Times New Roman"/>
          <w:sz w:val="24"/>
          <w:szCs w:val="24"/>
        </w:rPr>
        <w:footnoteReference w:id="289"/>
      </w:r>
      <w:r w:rsidR="007B0D62">
        <w:rPr>
          <w:rFonts w:ascii="Times New Roman" w:hAnsi="Times New Roman" w:cs="Times New Roman"/>
          <w:sz w:val="24"/>
          <w:szCs w:val="24"/>
        </w:rPr>
        <w:t xml:space="preserve"> </w:t>
      </w:r>
    </w:p>
    <w:p w14:paraId="683CA25A" w14:textId="2DCAD820" w:rsidR="00F5366C" w:rsidRDefault="005B044A" w:rsidP="00A70042">
      <w:pPr>
        <w:spacing w:before="360" w:line="468" w:lineRule="auto"/>
        <w:jc w:val="both"/>
        <w:rPr>
          <w:rFonts w:ascii="Times New Roman" w:hAnsi="Times New Roman" w:cs="Times New Roman"/>
          <w:sz w:val="24"/>
          <w:szCs w:val="24"/>
        </w:rPr>
      </w:pPr>
      <w:bookmarkStart w:id="285" w:name="_Hlk52764245"/>
      <w:r>
        <w:rPr>
          <w:rFonts w:ascii="Times New Roman" w:hAnsi="Times New Roman" w:cs="Times New Roman"/>
          <w:sz w:val="24"/>
          <w:szCs w:val="24"/>
        </w:rPr>
        <w:t xml:space="preserve">In this </w:t>
      </w:r>
      <w:r w:rsidR="00672228">
        <w:rPr>
          <w:rFonts w:ascii="Times New Roman" w:hAnsi="Times New Roman" w:cs="Times New Roman"/>
          <w:sz w:val="24"/>
          <w:szCs w:val="24"/>
        </w:rPr>
        <w:t>enclos</w:t>
      </w:r>
      <w:r>
        <w:rPr>
          <w:rFonts w:ascii="Times New Roman" w:hAnsi="Times New Roman" w:cs="Times New Roman"/>
          <w:sz w:val="24"/>
          <w:szCs w:val="24"/>
        </w:rPr>
        <w:t>ed world</w:t>
      </w:r>
      <w:r w:rsidR="004412AF">
        <w:rPr>
          <w:rFonts w:ascii="Times New Roman" w:hAnsi="Times New Roman" w:cs="Times New Roman"/>
          <w:sz w:val="24"/>
          <w:szCs w:val="24"/>
        </w:rPr>
        <w:t xml:space="preserve"> with IPRs and TPMs</w:t>
      </w:r>
      <w:r>
        <w:rPr>
          <w:rFonts w:ascii="Times New Roman" w:hAnsi="Times New Roman" w:cs="Times New Roman"/>
          <w:sz w:val="24"/>
          <w:szCs w:val="24"/>
        </w:rPr>
        <w:t xml:space="preserve">, a </w:t>
      </w:r>
      <w:r w:rsidR="003F76D0">
        <w:rPr>
          <w:rFonts w:ascii="Times New Roman" w:hAnsi="Times New Roman" w:cs="Times New Roman"/>
          <w:sz w:val="24"/>
          <w:szCs w:val="24"/>
        </w:rPr>
        <w:t xml:space="preserve">massive amount of internet content and information </w:t>
      </w:r>
      <w:r>
        <w:rPr>
          <w:rFonts w:ascii="Times New Roman" w:hAnsi="Times New Roman" w:cs="Times New Roman"/>
          <w:sz w:val="24"/>
          <w:szCs w:val="24"/>
        </w:rPr>
        <w:t>is excluded from the public domain</w:t>
      </w:r>
      <w:r w:rsidR="003F76D0">
        <w:rPr>
          <w:rFonts w:ascii="Times New Roman" w:hAnsi="Times New Roman" w:cs="Times New Roman"/>
          <w:sz w:val="24"/>
          <w:szCs w:val="24"/>
        </w:rPr>
        <w:t>,</w:t>
      </w:r>
      <w:r w:rsidR="003F76D0">
        <w:rPr>
          <w:rStyle w:val="FootnoteReference"/>
          <w:rFonts w:ascii="Times New Roman" w:hAnsi="Times New Roman" w:cs="Times New Roman"/>
          <w:sz w:val="24"/>
          <w:szCs w:val="24"/>
        </w:rPr>
        <w:footnoteReference w:id="290"/>
      </w:r>
      <w:r>
        <w:rPr>
          <w:rFonts w:ascii="Times New Roman" w:hAnsi="Times New Roman" w:cs="Times New Roman"/>
          <w:sz w:val="24"/>
          <w:szCs w:val="24"/>
        </w:rPr>
        <w:t xml:space="preserve"> resulting in </w:t>
      </w:r>
      <w:r w:rsidR="003F76D0">
        <w:rPr>
          <w:rFonts w:ascii="Times New Roman" w:hAnsi="Times New Roman" w:cs="Times New Roman"/>
          <w:sz w:val="24"/>
          <w:szCs w:val="24"/>
        </w:rPr>
        <w:t>significant</w:t>
      </w:r>
      <w:r>
        <w:rPr>
          <w:rFonts w:ascii="Times New Roman" w:hAnsi="Times New Roman" w:cs="Times New Roman"/>
          <w:sz w:val="24"/>
          <w:szCs w:val="24"/>
        </w:rPr>
        <w:t xml:space="preserve"> consequences </w:t>
      </w:r>
      <w:r w:rsidR="003F76D0">
        <w:rPr>
          <w:rFonts w:ascii="Times New Roman" w:hAnsi="Times New Roman" w:cs="Times New Roman"/>
          <w:sz w:val="24"/>
          <w:szCs w:val="24"/>
        </w:rPr>
        <w:t>exceeding</w:t>
      </w:r>
      <w:r>
        <w:rPr>
          <w:rFonts w:ascii="Times New Roman" w:hAnsi="Times New Roman" w:cs="Times New Roman"/>
          <w:sz w:val="24"/>
          <w:szCs w:val="24"/>
        </w:rPr>
        <w:t xml:space="preserve"> the traditional consumer harm or losses and reaching out </w:t>
      </w:r>
      <w:r w:rsidR="003F76D0">
        <w:rPr>
          <w:rFonts w:ascii="Times New Roman" w:hAnsi="Times New Roman" w:cs="Times New Roman"/>
          <w:sz w:val="24"/>
          <w:szCs w:val="24"/>
        </w:rPr>
        <w:t xml:space="preserve">to </w:t>
      </w:r>
      <w:r>
        <w:rPr>
          <w:rFonts w:ascii="Times New Roman" w:hAnsi="Times New Roman" w:cs="Times New Roman"/>
          <w:sz w:val="24"/>
          <w:szCs w:val="24"/>
        </w:rPr>
        <w:t xml:space="preserve">lessened </w:t>
      </w:r>
      <w:r w:rsidR="00996E1C">
        <w:rPr>
          <w:rFonts w:ascii="Times New Roman" w:hAnsi="Times New Roman" w:cs="Times New Roman"/>
          <w:sz w:val="24"/>
          <w:szCs w:val="24"/>
        </w:rPr>
        <w:t>cultural</w:t>
      </w:r>
      <w:r>
        <w:rPr>
          <w:rFonts w:ascii="Times New Roman" w:hAnsi="Times New Roman" w:cs="Times New Roman"/>
          <w:sz w:val="24"/>
          <w:szCs w:val="24"/>
        </w:rPr>
        <w:t xml:space="preserve"> production and participatory democra</w:t>
      </w:r>
      <w:r w:rsidR="00BE4A8A">
        <w:rPr>
          <w:rFonts w:ascii="Times New Roman" w:hAnsi="Times New Roman" w:cs="Times New Roman"/>
          <w:sz w:val="24"/>
          <w:szCs w:val="24"/>
        </w:rPr>
        <w:t>cy</w:t>
      </w:r>
      <w:r>
        <w:rPr>
          <w:rFonts w:ascii="Times New Roman" w:hAnsi="Times New Roman" w:cs="Times New Roman"/>
          <w:sz w:val="24"/>
          <w:szCs w:val="24"/>
        </w:rPr>
        <w:t xml:space="preserve">. </w:t>
      </w:r>
      <w:r w:rsidR="00F52230">
        <w:rPr>
          <w:rFonts w:ascii="Times New Roman" w:hAnsi="Times New Roman" w:cs="Times New Roman"/>
          <w:sz w:val="24"/>
          <w:szCs w:val="24"/>
        </w:rPr>
        <w:t xml:space="preserve">Within this broader debate, interoperability is </w:t>
      </w:r>
      <w:r w:rsidR="00CE28B3">
        <w:rPr>
          <w:rFonts w:ascii="Times New Roman" w:hAnsi="Times New Roman" w:cs="Times New Roman"/>
          <w:sz w:val="24"/>
          <w:szCs w:val="24"/>
        </w:rPr>
        <w:t>of</w:t>
      </w:r>
      <w:r w:rsidR="00F52230">
        <w:rPr>
          <w:rFonts w:ascii="Times New Roman" w:hAnsi="Times New Roman" w:cs="Times New Roman"/>
          <w:sz w:val="24"/>
          <w:szCs w:val="24"/>
        </w:rPr>
        <w:t xml:space="preserve"> </w:t>
      </w:r>
      <w:r w:rsidR="00CE28B3">
        <w:rPr>
          <w:rFonts w:ascii="Times New Roman" w:hAnsi="Times New Roman" w:cs="Times New Roman"/>
          <w:sz w:val="24"/>
          <w:szCs w:val="24"/>
        </w:rPr>
        <w:t xml:space="preserve">a </w:t>
      </w:r>
      <w:r w:rsidR="00F52230">
        <w:rPr>
          <w:rFonts w:ascii="Times New Roman" w:hAnsi="Times New Roman" w:cs="Times New Roman"/>
          <w:sz w:val="24"/>
          <w:szCs w:val="24"/>
        </w:rPr>
        <w:t xml:space="preserve">key </w:t>
      </w:r>
      <w:r w:rsidR="00CE28B3">
        <w:rPr>
          <w:rFonts w:ascii="Times New Roman" w:hAnsi="Times New Roman" w:cs="Times New Roman"/>
          <w:sz w:val="24"/>
          <w:szCs w:val="24"/>
        </w:rPr>
        <w:t>role</w:t>
      </w:r>
      <w:r w:rsidR="00F52230">
        <w:rPr>
          <w:rFonts w:ascii="Times New Roman" w:hAnsi="Times New Roman" w:cs="Times New Roman"/>
          <w:sz w:val="24"/>
          <w:szCs w:val="24"/>
        </w:rPr>
        <w:t xml:space="preserve"> connecting the networks</w:t>
      </w:r>
      <w:r w:rsidR="003F76D0">
        <w:rPr>
          <w:rFonts w:ascii="Times New Roman" w:hAnsi="Times New Roman" w:cs="Times New Roman"/>
          <w:sz w:val="24"/>
          <w:szCs w:val="24"/>
        </w:rPr>
        <w:t>, services and their users,</w:t>
      </w:r>
      <w:r w:rsidR="00E71D9F">
        <w:rPr>
          <w:rFonts w:ascii="Times New Roman" w:hAnsi="Times New Roman" w:cs="Times New Roman"/>
          <w:sz w:val="24"/>
          <w:szCs w:val="24"/>
        </w:rPr>
        <w:t xml:space="preserve"> </w:t>
      </w:r>
      <w:r w:rsidR="003F76D0">
        <w:rPr>
          <w:rFonts w:ascii="Times New Roman" w:hAnsi="Times New Roman" w:cs="Times New Roman"/>
          <w:sz w:val="24"/>
          <w:szCs w:val="24"/>
        </w:rPr>
        <w:t xml:space="preserve">and potentially diminishing </w:t>
      </w:r>
      <w:r w:rsidR="00F52230">
        <w:rPr>
          <w:rFonts w:ascii="Times New Roman" w:hAnsi="Times New Roman" w:cs="Times New Roman"/>
          <w:sz w:val="24"/>
          <w:szCs w:val="24"/>
        </w:rPr>
        <w:t xml:space="preserve">the </w:t>
      </w:r>
      <w:r>
        <w:rPr>
          <w:rFonts w:ascii="Times New Roman" w:hAnsi="Times New Roman" w:cs="Times New Roman"/>
          <w:sz w:val="24"/>
          <w:szCs w:val="24"/>
        </w:rPr>
        <w:t xml:space="preserve">gatekeeping </w:t>
      </w:r>
      <w:r w:rsidR="003F76D0">
        <w:rPr>
          <w:rFonts w:ascii="Times New Roman" w:hAnsi="Times New Roman" w:cs="Times New Roman"/>
          <w:sz w:val="24"/>
          <w:szCs w:val="24"/>
        </w:rPr>
        <w:t>roles and functionalities that are</w:t>
      </w:r>
      <w:r>
        <w:rPr>
          <w:rFonts w:ascii="Times New Roman" w:hAnsi="Times New Roman" w:cs="Times New Roman"/>
          <w:sz w:val="24"/>
          <w:szCs w:val="24"/>
        </w:rPr>
        <w:t xml:space="preserve"> </w:t>
      </w:r>
      <w:r w:rsidR="003F76D0">
        <w:rPr>
          <w:rFonts w:ascii="Times New Roman" w:hAnsi="Times New Roman" w:cs="Times New Roman"/>
          <w:sz w:val="24"/>
          <w:szCs w:val="24"/>
        </w:rPr>
        <w:t xml:space="preserve">often shielded </w:t>
      </w:r>
      <w:r w:rsidR="002C1A35">
        <w:rPr>
          <w:rFonts w:ascii="Times New Roman" w:hAnsi="Times New Roman" w:cs="Times New Roman"/>
          <w:sz w:val="24"/>
          <w:szCs w:val="24"/>
        </w:rPr>
        <w:t xml:space="preserve">by </w:t>
      </w:r>
      <w:r w:rsidR="00D6410F">
        <w:rPr>
          <w:rFonts w:ascii="Times New Roman" w:hAnsi="Times New Roman" w:cs="Times New Roman"/>
          <w:sz w:val="24"/>
          <w:szCs w:val="24"/>
        </w:rPr>
        <w:t xml:space="preserve">IPRs </w:t>
      </w:r>
      <w:r w:rsidR="00F52230">
        <w:rPr>
          <w:rFonts w:ascii="Times New Roman" w:hAnsi="Times New Roman" w:cs="Times New Roman"/>
          <w:sz w:val="24"/>
          <w:szCs w:val="24"/>
        </w:rPr>
        <w:t xml:space="preserve">and TPMs. </w:t>
      </w:r>
      <w:bookmarkEnd w:id="285"/>
      <w:r w:rsidR="002C1A35">
        <w:rPr>
          <w:rFonts w:ascii="Times New Roman" w:hAnsi="Times New Roman" w:cs="Times New Roman"/>
          <w:sz w:val="24"/>
          <w:szCs w:val="24"/>
        </w:rPr>
        <w:t>In this context, copyright</w:t>
      </w:r>
      <w:r w:rsidR="007E4D92">
        <w:rPr>
          <w:rFonts w:ascii="Times New Roman" w:hAnsi="Times New Roman" w:cs="Times New Roman"/>
          <w:sz w:val="24"/>
          <w:szCs w:val="24"/>
        </w:rPr>
        <w:t>s</w:t>
      </w:r>
      <w:r w:rsidR="002C1A35">
        <w:rPr>
          <w:rFonts w:ascii="Times New Roman" w:hAnsi="Times New Roman" w:cs="Times New Roman"/>
          <w:sz w:val="24"/>
          <w:szCs w:val="24"/>
        </w:rPr>
        <w:t xml:space="preserve"> have an important stake as they are spontaneously born </w:t>
      </w:r>
      <w:r w:rsidR="00DF54D1">
        <w:rPr>
          <w:rFonts w:ascii="Times New Roman" w:hAnsi="Times New Roman" w:cs="Times New Roman"/>
          <w:sz w:val="24"/>
          <w:szCs w:val="24"/>
        </w:rPr>
        <w:t>with</w:t>
      </w:r>
      <w:r w:rsidR="002C1A35">
        <w:rPr>
          <w:rFonts w:ascii="Times New Roman" w:hAnsi="Times New Roman" w:cs="Times New Roman"/>
          <w:sz w:val="24"/>
          <w:szCs w:val="24"/>
        </w:rPr>
        <w:t xml:space="preserve"> the creation of the</w:t>
      </w:r>
      <w:r w:rsidR="00DF54D1">
        <w:rPr>
          <w:rFonts w:ascii="Times New Roman" w:hAnsi="Times New Roman" w:cs="Times New Roman"/>
          <w:sz w:val="24"/>
          <w:szCs w:val="24"/>
        </w:rPr>
        <w:t xml:space="preserve"> </w:t>
      </w:r>
      <w:r w:rsidR="002C1A35">
        <w:rPr>
          <w:rFonts w:ascii="Times New Roman" w:hAnsi="Times New Roman" w:cs="Times New Roman"/>
          <w:sz w:val="24"/>
          <w:szCs w:val="24"/>
        </w:rPr>
        <w:t>subject-matte</w:t>
      </w:r>
      <w:r w:rsidR="00DF54D1">
        <w:rPr>
          <w:rFonts w:ascii="Times New Roman" w:hAnsi="Times New Roman" w:cs="Times New Roman"/>
          <w:sz w:val="24"/>
          <w:szCs w:val="24"/>
        </w:rPr>
        <w:t>r</w:t>
      </w:r>
      <w:r w:rsidR="000F1AD3">
        <w:rPr>
          <w:rFonts w:ascii="Times New Roman" w:hAnsi="Times New Roman" w:cs="Times New Roman"/>
          <w:sz w:val="24"/>
          <w:szCs w:val="24"/>
        </w:rPr>
        <w:t xml:space="preserve"> </w:t>
      </w:r>
      <w:r w:rsidR="007E4D92">
        <w:rPr>
          <w:rFonts w:ascii="Times New Roman" w:hAnsi="Times New Roman" w:cs="Times New Roman"/>
          <w:sz w:val="24"/>
          <w:szCs w:val="24"/>
        </w:rPr>
        <w:t xml:space="preserve">and </w:t>
      </w:r>
      <w:r w:rsidR="00703ADF">
        <w:rPr>
          <w:rFonts w:ascii="Times New Roman" w:hAnsi="Times New Roman" w:cs="Times New Roman"/>
          <w:sz w:val="24"/>
          <w:szCs w:val="24"/>
        </w:rPr>
        <w:t>provide</w:t>
      </w:r>
      <w:r w:rsidR="007E4D92">
        <w:rPr>
          <w:rFonts w:ascii="Times New Roman" w:hAnsi="Times New Roman" w:cs="Times New Roman"/>
          <w:sz w:val="24"/>
          <w:szCs w:val="24"/>
        </w:rPr>
        <w:t xml:space="preserve"> the rights holders </w:t>
      </w:r>
      <w:r w:rsidR="00703ADF">
        <w:rPr>
          <w:rFonts w:ascii="Times New Roman" w:hAnsi="Times New Roman" w:cs="Times New Roman"/>
          <w:sz w:val="24"/>
          <w:szCs w:val="24"/>
        </w:rPr>
        <w:t xml:space="preserve">with a </w:t>
      </w:r>
      <w:r w:rsidR="004412AF">
        <w:rPr>
          <w:rFonts w:ascii="Times New Roman" w:hAnsi="Times New Roman" w:cs="Times New Roman"/>
          <w:sz w:val="24"/>
          <w:szCs w:val="24"/>
        </w:rPr>
        <w:t xml:space="preserve">legal </w:t>
      </w:r>
      <w:r w:rsidR="00703ADF">
        <w:rPr>
          <w:rFonts w:ascii="Times New Roman" w:hAnsi="Times New Roman" w:cs="Times New Roman"/>
          <w:sz w:val="24"/>
          <w:szCs w:val="24"/>
        </w:rPr>
        <w:t xml:space="preserve">protection </w:t>
      </w:r>
      <w:r w:rsidR="007E4D92">
        <w:rPr>
          <w:rFonts w:ascii="Times New Roman" w:hAnsi="Times New Roman" w:cs="Times New Roman"/>
          <w:sz w:val="24"/>
          <w:szCs w:val="24"/>
        </w:rPr>
        <w:t xml:space="preserve">against </w:t>
      </w:r>
      <w:r w:rsidR="00703ADF">
        <w:rPr>
          <w:rFonts w:ascii="Times New Roman" w:hAnsi="Times New Roman" w:cs="Times New Roman"/>
          <w:sz w:val="24"/>
          <w:szCs w:val="24"/>
        </w:rPr>
        <w:t xml:space="preserve">digital </w:t>
      </w:r>
      <w:r w:rsidR="000F1AD3" w:rsidRPr="000F1AD3">
        <w:rPr>
          <w:rFonts w:ascii="Times New Roman" w:hAnsi="Times New Roman" w:cs="Times New Roman"/>
          <w:sz w:val="24"/>
          <w:szCs w:val="24"/>
        </w:rPr>
        <w:t>copying</w:t>
      </w:r>
      <w:r w:rsidR="00703ADF">
        <w:rPr>
          <w:rFonts w:ascii="Times New Roman" w:hAnsi="Times New Roman" w:cs="Times New Roman"/>
          <w:sz w:val="24"/>
          <w:szCs w:val="24"/>
        </w:rPr>
        <w:t xml:space="preserve"> particularly on the internet</w:t>
      </w:r>
      <w:r w:rsidR="00DF54D1">
        <w:rPr>
          <w:rFonts w:ascii="Times New Roman" w:hAnsi="Times New Roman" w:cs="Times New Roman"/>
          <w:sz w:val="24"/>
          <w:szCs w:val="24"/>
        </w:rPr>
        <w:t>.</w:t>
      </w:r>
    </w:p>
    <w:p w14:paraId="524823EE" w14:textId="74CEECD9" w:rsidR="00624DCF" w:rsidRPr="00774EDB" w:rsidRDefault="00F52230" w:rsidP="00A70042">
      <w:pPr>
        <w:spacing w:before="360" w:line="468" w:lineRule="auto"/>
        <w:jc w:val="both"/>
        <w:rPr>
          <w:rFonts w:ascii="Times New Roman" w:hAnsi="Times New Roman" w:cs="Times New Roman"/>
          <w:sz w:val="24"/>
          <w:szCs w:val="24"/>
        </w:rPr>
      </w:pPr>
      <w:r>
        <w:rPr>
          <w:rFonts w:ascii="Times New Roman" w:hAnsi="Times New Roman" w:cs="Times New Roman"/>
          <w:sz w:val="24"/>
          <w:szCs w:val="24"/>
        </w:rPr>
        <w:t>Technically speaking</w:t>
      </w:r>
      <w:r w:rsidR="00A54B04" w:rsidRPr="00774EDB">
        <w:rPr>
          <w:rFonts w:ascii="Times New Roman" w:hAnsi="Times New Roman" w:cs="Times New Roman"/>
          <w:sz w:val="24"/>
          <w:szCs w:val="24"/>
        </w:rPr>
        <w:t xml:space="preserve">, the Directive on Copyright in the Digital Single Market maintains the legacy </w:t>
      </w:r>
      <w:r w:rsidR="004D18C9">
        <w:rPr>
          <w:rFonts w:ascii="Times New Roman" w:hAnsi="Times New Roman" w:cs="Times New Roman"/>
          <w:sz w:val="24"/>
          <w:szCs w:val="24"/>
        </w:rPr>
        <w:t xml:space="preserve">copyright </w:t>
      </w:r>
      <w:r w:rsidR="00A54B04" w:rsidRPr="00774EDB">
        <w:rPr>
          <w:rFonts w:ascii="Times New Roman" w:hAnsi="Times New Roman" w:cs="Times New Roman"/>
          <w:sz w:val="24"/>
          <w:szCs w:val="24"/>
        </w:rPr>
        <w:t>principles and rules under the InfoSoc Directive and the Software Directive, including those related to interoperability.</w:t>
      </w:r>
      <w:r>
        <w:rPr>
          <w:rFonts w:ascii="Times New Roman" w:hAnsi="Times New Roman" w:cs="Times New Roman"/>
          <w:sz w:val="24"/>
          <w:szCs w:val="24"/>
        </w:rPr>
        <w:t xml:space="preserve"> </w:t>
      </w:r>
      <w:r w:rsidR="002C1A35">
        <w:rPr>
          <w:rFonts w:ascii="Times New Roman" w:hAnsi="Times New Roman" w:cs="Times New Roman"/>
          <w:sz w:val="24"/>
          <w:szCs w:val="24"/>
        </w:rPr>
        <w:t>That is to say</w:t>
      </w:r>
      <w:r>
        <w:rPr>
          <w:rFonts w:ascii="Times New Roman" w:hAnsi="Times New Roman" w:cs="Times New Roman"/>
          <w:sz w:val="24"/>
          <w:szCs w:val="24"/>
        </w:rPr>
        <w:t xml:space="preserve">, interoperability regime of the EU copyright </w:t>
      </w:r>
      <w:r w:rsidRPr="00692824">
        <w:rPr>
          <w:rFonts w:ascii="Times New Roman" w:hAnsi="Times New Roman" w:cs="Times New Roman"/>
          <w:i/>
          <w:iCs/>
          <w:sz w:val="24"/>
          <w:szCs w:val="24"/>
        </w:rPr>
        <w:t>acquis</w:t>
      </w:r>
      <w:r>
        <w:rPr>
          <w:rFonts w:ascii="Times New Roman" w:hAnsi="Times New Roman" w:cs="Times New Roman"/>
          <w:sz w:val="24"/>
          <w:szCs w:val="24"/>
        </w:rPr>
        <w:t xml:space="preserve"> has remained the same throughout the years</w:t>
      </w:r>
      <w:r w:rsidR="002C1A35">
        <w:rPr>
          <w:rFonts w:ascii="Times New Roman" w:hAnsi="Times New Roman" w:cs="Times New Roman"/>
          <w:sz w:val="24"/>
          <w:szCs w:val="24"/>
        </w:rPr>
        <w:t>, even after the recent changes in the EU law</w:t>
      </w:r>
      <w:r>
        <w:rPr>
          <w:rFonts w:ascii="Times New Roman" w:hAnsi="Times New Roman" w:cs="Times New Roman"/>
          <w:sz w:val="24"/>
          <w:szCs w:val="24"/>
        </w:rPr>
        <w:t xml:space="preserve">. </w:t>
      </w:r>
      <w:r w:rsidR="00A54B04" w:rsidRPr="00774EDB">
        <w:rPr>
          <w:rFonts w:ascii="Times New Roman" w:hAnsi="Times New Roman" w:cs="Times New Roman"/>
          <w:sz w:val="24"/>
          <w:szCs w:val="24"/>
        </w:rPr>
        <w:t xml:space="preserve">Having said that, examined </w:t>
      </w:r>
      <w:r w:rsidR="00A54B04" w:rsidRPr="00774EDB">
        <w:rPr>
          <w:rFonts w:ascii="Times New Roman" w:hAnsi="Times New Roman" w:cs="Times New Roman"/>
          <w:sz w:val="24"/>
          <w:szCs w:val="24"/>
        </w:rPr>
        <w:lastRenderedPageBreak/>
        <w:t>below are the key aspects of the European copyright system concerning ‘interoperability’ with a focus on the Software Directive.</w:t>
      </w:r>
    </w:p>
    <w:p w14:paraId="34973DEC" w14:textId="77777777" w:rsidR="00FD6618" w:rsidRPr="00774EDB" w:rsidRDefault="00EF4607" w:rsidP="00A70042">
      <w:pPr>
        <w:pStyle w:val="Heading3"/>
        <w:numPr>
          <w:ilvl w:val="2"/>
          <w:numId w:val="33"/>
        </w:numPr>
        <w:spacing w:before="360"/>
        <w:ind w:left="709" w:hanging="709"/>
        <w:jc w:val="both"/>
        <w:rPr>
          <w:rFonts w:ascii="Times New Roman" w:hAnsi="Times New Roman" w:cs="Times New Roman"/>
          <w:b/>
        </w:rPr>
      </w:pPr>
      <w:bookmarkStart w:id="286" w:name="_Toc17611386"/>
      <w:bookmarkStart w:id="287" w:name="_Toc17611603"/>
      <w:bookmarkStart w:id="288" w:name="_Toc17611815"/>
      <w:bookmarkStart w:id="289" w:name="_Toc17612029"/>
      <w:bookmarkStart w:id="290" w:name="_Toc17612242"/>
      <w:bookmarkStart w:id="291" w:name="_Toc17611387"/>
      <w:bookmarkStart w:id="292" w:name="_Toc53576048"/>
      <w:bookmarkEnd w:id="286"/>
      <w:bookmarkEnd w:id="287"/>
      <w:bookmarkEnd w:id="288"/>
      <w:bookmarkEnd w:id="289"/>
      <w:bookmarkEnd w:id="290"/>
      <w:r w:rsidRPr="00774EDB">
        <w:rPr>
          <w:rFonts w:ascii="Times New Roman" w:hAnsi="Times New Roman" w:cs="Times New Roman"/>
          <w:b/>
          <w:color w:val="auto"/>
        </w:rPr>
        <w:t xml:space="preserve">Reverse engineering and </w:t>
      </w:r>
      <w:r w:rsidR="00091782" w:rsidRPr="00774EDB">
        <w:rPr>
          <w:rFonts w:ascii="Times New Roman" w:hAnsi="Times New Roman" w:cs="Times New Roman"/>
          <w:b/>
          <w:color w:val="auto"/>
        </w:rPr>
        <w:t>achievement</w:t>
      </w:r>
      <w:r w:rsidRPr="00774EDB">
        <w:rPr>
          <w:rFonts w:ascii="Times New Roman" w:hAnsi="Times New Roman" w:cs="Times New Roman"/>
          <w:b/>
          <w:color w:val="auto"/>
        </w:rPr>
        <w:t xml:space="preserve"> </w:t>
      </w:r>
      <w:r w:rsidR="00091782" w:rsidRPr="00774EDB">
        <w:rPr>
          <w:rFonts w:ascii="Times New Roman" w:hAnsi="Times New Roman" w:cs="Times New Roman"/>
          <w:b/>
          <w:color w:val="auto"/>
        </w:rPr>
        <w:t xml:space="preserve">of </w:t>
      </w:r>
      <w:r w:rsidRPr="00774EDB">
        <w:rPr>
          <w:rFonts w:ascii="Times New Roman" w:hAnsi="Times New Roman" w:cs="Times New Roman"/>
          <w:b/>
          <w:color w:val="auto"/>
        </w:rPr>
        <w:t xml:space="preserve">interoperability </w:t>
      </w:r>
      <w:r w:rsidR="0078752D" w:rsidRPr="00774EDB">
        <w:rPr>
          <w:rFonts w:ascii="Times New Roman" w:hAnsi="Times New Roman" w:cs="Times New Roman"/>
          <w:b/>
          <w:color w:val="auto"/>
        </w:rPr>
        <w:t>under EU copyright law</w:t>
      </w:r>
      <w:bookmarkEnd w:id="291"/>
      <w:bookmarkEnd w:id="292"/>
    </w:p>
    <w:p w14:paraId="1A6D6F82" w14:textId="77777777" w:rsidR="00004738" w:rsidRPr="00774EDB" w:rsidRDefault="00215AC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Within the EU legal system, a well-known idea/expression dichotomy</w:t>
      </w:r>
      <w:r w:rsidRPr="00774EDB">
        <w:rPr>
          <w:rStyle w:val="FootnoteReference"/>
          <w:rFonts w:ascii="Times New Roman" w:hAnsi="Times New Roman" w:cs="Times New Roman"/>
          <w:sz w:val="24"/>
          <w:szCs w:val="24"/>
        </w:rPr>
        <w:footnoteReference w:id="291"/>
      </w:r>
      <w:r w:rsidRPr="00774EDB">
        <w:rPr>
          <w:rFonts w:ascii="Times New Roman" w:hAnsi="Times New Roman" w:cs="Times New Roman"/>
          <w:sz w:val="24"/>
          <w:szCs w:val="24"/>
        </w:rPr>
        <w:t xml:space="preserve"> could be said to have been directly translated into the copyright protection of ‘computer programs’, along with some exclusive rights attributed to the subject matter. The so-called copyrightable subject matter, is referred to as “the expression in any form of a computer program”, whereas “ideas and principles which underlie any element of a computer program, including those which underlie its interfaces” are excluded from copyright protection.</w:t>
      </w:r>
      <w:r w:rsidRPr="00774EDB">
        <w:rPr>
          <w:rStyle w:val="FootnoteReference"/>
          <w:rFonts w:ascii="Times New Roman" w:hAnsi="Times New Roman" w:cs="Times New Roman"/>
          <w:sz w:val="24"/>
          <w:szCs w:val="24"/>
        </w:rPr>
        <w:footnoteReference w:id="292"/>
      </w:r>
      <w:r w:rsidRPr="00774EDB">
        <w:rPr>
          <w:rFonts w:ascii="Times New Roman" w:hAnsi="Times New Roman" w:cs="Times New Roman"/>
          <w:sz w:val="24"/>
          <w:szCs w:val="24"/>
        </w:rPr>
        <w:t xml:space="preserve"> While the existence of  an “author’s own intellectual creation” is considered to meet the ‘originality’ threshold for copyright protection,</w:t>
      </w:r>
      <w:r w:rsidRPr="00774EDB">
        <w:rPr>
          <w:rStyle w:val="FootnoteReference"/>
          <w:rFonts w:ascii="Times New Roman" w:hAnsi="Times New Roman" w:cs="Times New Roman"/>
          <w:sz w:val="24"/>
          <w:szCs w:val="24"/>
        </w:rPr>
        <w:footnoteReference w:id="293"/>
      </w:r>
      <w:r w:rsidRPr="00774EDB">
        <w:rPr>
          <w:rFonts w:ascii="Times New Roman" w:hAnsi="Times New Roman" w:cs="Times New Roman"/>
          <w:sz w:val="24"/>
          <w:szCs w:val="24"/>
        </w:rPr>
        <w:t xml:space="preserve"> the rights holders are given a number of exclusive rights</w:t>
      </w:r>
      <w:r w:rsidRPr="00774EDB">
        <w:rPr>
          <w:rStyle w:val="FootnoteReference"/>
          <w:rFonts w:ascii="Times New Roman" w:hAnsi="Times New Roman" w:cs="Times New Roman"/>
          <w:sz w:val="24"/>
          <w:szCs w:val="24"/>
        </w:rPr>
        <w:footnoteReference w:id="294"/>
      </w:r>
      <w:r w:rsidRPr="00774EDB">
        <w:rPr>
          <w:rFonts w:ascii="Times New Roman" w:hAnsi="Times New Roman" w:cs="Times New Roman"/>
          <w:sz w:val="24"/>
          <w:szCs w:val="24"/>
        </w:rPr>
        <w:t xml:space="preserve"> that are subject to certain exceptions regulated under Articles 5 and 6 of the Software Directive.</w:t>
      </w:r>
    </w:p>
    <w:p w14:paraId="18C5257B" w14:textId="2A6950EB" w:rsidR="00C75C0B" w:rsidRPr="00A70042" w:rsidRDefault="00603CF2"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 xml:space="preserve">Article 5(3) of the Directive allows any person to “to observe, study or test the functioning of the program in order to determine the ideas and principles which underlie any element of the program” without the authorisation of the rights holder. This practice, </w:t>
      </w:r>
      <w:r w:rsidRPr="00A70042">
        <w:rPr>
          <w:rFonts w:ascii="Times New Roman" w:hAnsi="Times New Roman" w:cs="Times New Roman"/>
          <w:spacing w:val="-2"/>
          <w:sz w:val="24"/>
          <w:szCs w:val="24"/>
        </w:rPr>
        <w:lastRenderedPageBreak/>
        <w:t>called “black box analysis”,</w:t>
      </w:r>
      <w:r w:rsidRPr="00A70042">
        <w:rPr>
          <w:rStyle w:val="FootnoteReference"/>
          <w:rFonts w:ascii="Times New Roman" w:hAnsi="Times New Roman" w:cs="Times New Roman"/>
          <w:spacing w:val="-2"/>
          <w:sz w:val="24"/>
          <w:szCs w:val="24"/>
        </w:rPr>
        <w:footnoteReference w:id="295"/>
      </w:r>
      <w:r w:rsidRPr="00A70042">
        <w:rPr>
          <w:rFonts w:ascii="Times New Roman" w:hAnsi="Times New Roman" w:cs="Times New Roman"/>
          <w:spacing w:val="-2"/>
          <w:sz w:val="24"/>
          <w:szCs w:val="24"/>
        </w:rPr>
        <w:t xml:space="preserve"> helps find</w:t>
      </w:r>
      <w:r w:rsidR="00D6410F">
        <w:rPr>
          <w:rFonts w:ascii="Times New Roman" w:hAnsi="Times New Roman" w:cs="Times New Roman"/>
          <w:spacing w:val="-2"/>
          <w:sz w:val="24"/>
          <w:szCs w:val="24"/>
        </w:rPr>
        <w:t>ing</w:t>
      </w:r>
      <w:r w:rsidRPr="00A70042">
        <w:rPr>
          <w:rFonts w:ascii="Times New Roman" w:hAnsi="Times New Roman" w:cs="Times New Roman"/>
          <w:spacing w:val="-2"/>
          <w:sz w:val="24"/>
          <w:szCs w:val="24"/>
        </w:rPr>
        <w:t xml:space="preserve"> interoperable solutions across the mainstream platforms through observation and testing processes realised by the competing firms. This </w:t>
      </w:r>
      <w:r w:rsidR="0044201F" w:rsidRPr="00A70042">
        <w:rPr>
          <w:rFonts w:ascii="Times New Roman" w:hAnsi="Times New Roman" w:cs="Times New Roman"/>
          <w:spacing w:val="-2"/>
          <w:sz w:val="24"/>
          <w:szCs w:val="24"/>
        </w:rPr>
        <w:t>could be construed a</w:t>
      </w:r>
      <w:r w:rsidRPr="00A70042">
        <w:rPr>
          <w:rFonts w:ascii="Times New Roman" w:hAnsi="Times New Roman" w:cs="Times New Roman"/>
          <w:spacing w:val="-2"/>
          <w:sz w:val="24"/>
          <w:szCs w:val="24"/>
        </w:rPr>
        <w:t xml:space="preserve">s </w:t>
      </w:r>
      <w:r w:rsidR="0044201F" w:rsidRPr="00A70042">
        <w:rPr>
          <w:rFonts w:ascii="Times New Roman" w:hAnsi="Times New Roman" w:cs="Times New Roman"/>
          <w:spacing w:val="-2"/>
          <w:sz w:val="24"/>
          <w:szCs w:val="24"/>
        </w:rPr>
        <w:t xml:space="preserve">a point of </w:t>
      </w:r>
      <w:r w:rsidRPr="00A70042">
        <w:rPr>
          <w:rFonts w:ascii="Times New Roman" w:hAnsi="Times New Roman" w:cs="Times New Roman"/>
          <w:spacing w:val="-2"/>
          <w:sz w:val="24"/>
          <w:szCs w:val="24"/>
        </w:rPr>
        <w:t>divergence from the established copyright paradigm and rules</w:t>
      </w:r>
      <w:r w:rsidR="00D6410F">
        <w:rPr>
          <w:rFonts w:ascii="Times New Roman" w:hAnsi="Times New Roman" w:cs="Times New Roman"/>
          <w:spacing w:val="-2"/>
          <w:sz w:val="24"/>
          <w:szCs w:val="24"/>
        </w:rPr>
        <w:t xml:space="preserve"> surrounding the </w:t>
      </w:r>
      <w:r w:rsidR="00D6410F" w:rsidRPr="00774EDB">
        <w:rPr>
          <w:rFonts w:ascii="Times New Roman" w:hAnsi="Times New Roman" w:cs="Times New Roman"/>
          <w:sz w:val="24"/>
          <w:szCs w:val="24"/>
        </w:rPr>
        <w:t>idea/expression dichotomy</w:t>
      </w:r>
      <w:r w:rsidR="007D76F2">
        <w:rPr>
          <w:rFonts w:ascii="Times New Roman" w:hAnsi="Times New Roman" w:cs="Times New Roman"/>
          <w:sz w:val="24"/>
          <w:szCs w:val="24"/>
        </w:rPr>
        <w:t xml:space="preserve">. </w:t>
      </w:r>
      <w:r w:rsidR="00252EE0">
        <w:rPr>
          <w:rFonts w:ascii="Times New Roman" w:hAnsi="Times New Roman" w:cs="Times New Roman"/>
          <w:sz w:val="24"/>
          <w:szCs w:val="24"/>
        </w:rPr>
        <w:t>Taking a step further</w:t>
      </w:r>
      <w:r w:rsidR="007D76F2">
        <w:rPr>
          <w:rFonts w:ascii="Times New Roman" w:hAnsi="Times New Roman" w:cs="Times New Roman"/>
          <w:sz w:val="24"/>
          <w:szCs w:val="24"/>
        </w:rPr>
        <w:t xml:space="preserve">, </w:t>
      </w:r>
      <w:r w:rsidRPr="00A70042">
        <w:rPr>
          <w:rFonts w:ascii="Times New Roman" w:hAnsi="Times New Roman" w:cs="Times New Roman"/>
          <w:spacing w:val="-2"/>
          <w:sz w:val="24"/>
          <w:szCs w:val="24"/>
        </w:rPr>
        <w:t>Article 6</w:t>
      </w:r>
      <w:r w:rsidR="007D76F2">
        <w:rPr>
          <w:rFonts w:ascii="Times New Roman" w:hAnsi="Times New Roman" w:cs="Times New Roman"/>
          <w:spacing w:val="-2"/>
          <w:sz w:val="24"/>
          <w:szCs w:val="24"/>
        </w:rPr>
        <w:t xml:space="preserve"> of </w:t>
      </w:r>
      <w:r w:rsidR="008A339C">
        <w:rPr>
          <w:rFonts w:ascii="Times New Roman" w:hAnsi="Times New Roman" w:cs="Times New Roman"/>
          <w:spacing w:val="-2"/>
          <w:sz w:val="24"/>
          <w:szCs w:val="24"/>
        </w:rPr>
        <w:t xml:space="preserve">the </w:t>
      </w:r>
      <w:r w:rsidR="007D76F2">
        <w:rPr>
          <w:rFonts w:ascii="Times New Roman" w:hAnsi="Times New Roman" w:cs="Times New Roman"/>
          <w:spacing w:val="-2"/>
          <w:sz w:val="24"/>
          <w:szCs w:val="24"/>
        </w:rPr>
        <w:t>Software Directive</w:t>
      </w:r>
      <w:r w:rsidRPr="00A70042">
        <w:rPr>
          <w:rFonts w:ascii="Times New Roman" w:hAnsi="Times New Roman" w:cs="Times New Roman"/>
          <w:spacing w:val="-2"/>
          <w:sz w:val="24"/>
          <w:szCs w:val="24"/>
        </w:rPr>
        <w:t xml:space="preserve"> establishe</w:t>
      </w:r>
      <w:r w:rsidR="007D76F2">
        <w:rPr>
          <w:rFonts w:ascii="Times New Roman" w:hAnsi="Times New Roman" w:cs="Times New Roman"/>
          <w:spacing w:val="-2"/>
          <w:sz w:val="24"/>
          <w:szCs w:val="24"/>
        </w:rPr>
        <w:t>s</w:t>
      </w:r>
      <w:r w:rsidRPr="00A70042">
        <w:rPr>
          <w:rFonts w:ascii="Times New Roman" w:hAnsi="Times New Roman" w:cs="Times New Roman"/>
          <w:spacing w:val="-2"/>
          <w:sz w:val="24"/>
          <w:szCs w:val="24"/>
        </w:rPr>
        <w:t xml:space="preserve"> an exception directly aiming at interoperability. While Article 5(3) allows reverse engineering for a broader set of objectives mentioned above, Article 6 specifically addresses the issue of interoperability between computer programs.</w:t>
      </w:r>
    </w:p>
    <w:p w14:paraId="2DA367EA" w14:textId="25520FD4" w:rsidR="00603CF2" w:rsidRPr="00A70042" w:rsidRDefault="00603CF2"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Article 6(1) of the Software Directive sets out the “decompilation” right which is often called “white box analysis”, as it allows for underlying source code to be analysed so as to find out the functionality of the program, namely how it works internally. Broadly echoed with the term ‘reverse engineering’, the so-called decompilation right is confined</w:t>
      </w:r>
      <w:r w:rsidR="00C8490C" w:rsidRPr="00A70042">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 xml:space="preserve">to the aim of ‘mutual functionality’ being </w:t>
      </w:r>
      <w:r w:rsidR="008A339C">
        <w:rPr>
          <w:rFonts w:ascii="Times New Roman" w:hAnsi="Times New Roman" w:cs="Times New Roman"/>
          <w:spacing w:val="-2"/>
          <w:sz w:val="24"/>
          <w:szCs w:val="24"/>
        </w:rPr>
        <w:t>achiev</w:t>
      </w:r>
      <w:r w:rsidRPr="00A70042">
        <w:rPr>
          <w:rFonts w:ascii="Times New Roman" w:hAnsi="Times New Roman" w:cs="Times New Roman"/>
          <w:spacing w:val="-2"/>
          <w:sz w:val="24"/>
          <w:szCs w:val="24"/>
        </w:rPr>
        <w:t>ed between computer programs.</w:t>
      </w:r>
      <w:r w:rsidRPr="00A70042">
        <w:rPr>
          <w:rStyle w:val="FootnoteReference"/>
          <w:rFonts w:ascii="Times New Roman" w:hAnsi="Times New Roman" w:cs="Times New Roman"/>
          <w:spacing w:val="-2"/>
          <w:sz w:val="24"/>
          <w:szCs w:val="24"/>
        </w:rPr>
        <w:footnoteReference w:id="296"/>
      </w:r>
      <w:r w:rsidRPr="00A70042">
        <w:rPr>
          <w:rFonts w:ascii="Times New Roman" w:hAnsi="Times New Roman" w:cs="Times New Roman"/>
          <w:spacing w:val="-2"/>
          <w:sz w:val="24"/>
          <w:szCs w:val="24"/>
        </w:rPr>
        <w:t xml:space="preserve"> </w:t>
      </w:r>
      <w:bookmarkStart w:id="293" w:name="_Hlk496619540"/>
      <w:r w:rsidRPr="00A70042">
        <w:rPr>
          <w:rFonts w:ascii="Times New Roman" w:hAnsi="Times New Roman" w:cs="Times New Roman"/>
          <w:spacing w:val="-2"/>
          <w:sz w:val="24"/>
          <w:szCs w:val="24"/>
        </w:rPr>
        <w:t xml:space="preserve">According to Article 6(1), authorisation from the rights holder of a computer program is not required for </w:t>
      </w:r>
      <w:r w:rsidRPr="00A70042">
        <w:rPr>
          <w:rFonts w:ascii="Times New Roman" w:hAnsi="Times New Roman" w:cs="Times New Roman"/>
          <w:i/>
          <w:iCs/>
          <w:spacing w:val="-2"/>
          <w:sz w:val="24"/>
          <w:szCs w:val="24"/>
        </w:rPr>
        <w:t xml:space="preserve">reproduction </w:t>
      </w:r>
      <w:r w:rsidRPr="00A70042">
        <w:rPr>
          <w:rFonts w:ascii="Times New Roman" w:hAnsi="Times New Roman" w:cs="Times New Roman"/>
          <w:spacing w:val="-2"/>
          <w:sz w:val="24"/>
          <w:szCs w:val="24"/>
        </w:rPr>
        <w:t xml:space="preserve">or </w:t>
      </w:r>
      <w:r w:rsidRPr="00A70042">
        <w:rPr>
          <w:rFonts w:ascii="Times New Roman" w:hAnsi="Times New Roman" w:cs="Times New Roman"/>
          <w:i/>
          <w:iCs/>
          <w:spacing w:val="-2"/>
          <w:sz w:val="24"/>
          <w:szCs w:val="24"/>
        </w:rPr>
        <w:t xml:space="preserve">translation </w:t>
      </w:r>
      <w:r w:rsidRPr="00A70042">
        <w:rPr>
          <w:rFonts w:ascii="Times New Roman" w:hAnsi="Times New Roman" w:cs="Times New Roman"/>
          <w:spacing w:val="-2"/>
          <w:sz w:val="24"/>
          <w:szCs w:val="24"/>
        </w:rPr>
        <w:t>of the programme in question, provided that these acts are “indispensable to obtain the information necessary to achieve the interoperability of an independently created computer program with other programs”.</w:t>
      </w:r>
      <w:r w:rsidRPr="00A70042">
        <w:rPr>
          <w:rStyle w:val="FootnoteReference"/>
          <w:rFonts w:ascii="Times New Roman" w:hAnsi="Times New Roman" w:cs="Times New Roman"/>
          <w:spacing w:val="-2"/>
          <w:sz w:val="24"/>
          <w:szCs w:val="24"/>
        </w:rPr>
        <w:footnoteReference w:id="297"/>
      </w:r>
      <w:r w:rsidRPr="00A70042">
        <w:rPr>
          <w:rFonts w:ascii="Times New Roman" w:hAnsi="Times New Roman" w:cs="Times New Roman"/>
          <w:spacing w:val="-2"/>
          <w:sz w:val="24"/>
          <w:szCs w:val="24"/>
        </w:rPr>
        <w:t xml:space="preserve"> If the information necessary to achieve interoperability is readily available, the decompilation right would no longer be applied. Moreover, even if the given requisites are fulfilled, decompiling the program could not be done “for the development, </w:t>
      </w:r>
      <w:r w:rsidRPr="00A70042">
        <w:rPr>
          <w:rFonts w:ascii="Times New Roman" w:hAnsi="Times New Roman" w:cs="Times New Roman"/>
          <w:spacing w:val="-2"/>
          <w:sz w:val="24"/>
          <w:szCs w:val="24"/>
        </w:rPr>
        <w:lastRenderedPageBreak/>
        <w:t>production or marketing of a computer program substantially similar in its expression, or for any other act which infringes copyright”.</w:t>
      </w:r>
      <w:r w:rsidRPr="00A70042">
        <w:rPr>
          <w:rStyle w:val="FootnoteReference"/>
          <w:rFonts w:ascii="Times New Roman" w:hAnsi="Times New Roman" w:cs="Times New Roman"/>
          <w:spacing w:val="-2"/>
          <w:sz w:val="24"/>
          <w:szCs w:val="24"/>
        </w:rPr>
        <w:footnoteReference w:id="298"/>
      </w:r>
      <w:bookmarkEnd w:id="293"/>
    </w:p>
    <w:p w14:paraId="6741132D" w14:textId="57ADFCE8" w:rsidR="00415BF1" w:rsidRPr="00774EDB" w:rsidRDefault="00603CF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Software Directive, through the exceptions under Articles 5(3) and 6, purports to balance the rights between the copyright holders and licensees (access seekers) who would intend to have a back-up copy to come up with new ideas </w:t>
      </w:r>
      <w:r w:rsidR="008A339C">
        <w:rPr>
          <w:rFonts w:ascii="Times New Roman" w:hAnsi="Times New Roman" w:cs="Times New Roman"/>
          <w:sz w:val="24"/>
          <w:szCs w:val="24"/>
        </w:rPr>
        <w:t>and/</w:t>
      </w:r>
      <w:r w:rsidRPr="00774EDB">
        <w:rPr>
          <w:rFonts w:ascii="Times New Roman" w:hAnsi="Times New Roman" w:cs="Times New Roman"/>
          <w:sz w:val="24"/>
          <w:szCs w:val="24"/>
        </w:rPr>
        <w:t>or create compatible programs. In this vein, when black box analysis is insufficient to achieve interoperability, reverse engineering is permitted if, in order to achieve interoperability of an independently created computer program with other programs, it is necessary to reproduce the code and translate its form.</w:t>
      </w:r>
      <w:r w:rsidRPr="00774EDB">
        <w:rPr>
          <w:rStyle w:val="FootnoteReference"/>
          <w:rFonts w:ascii="Times New Roman" w:hAnsi="Times New Roman" w:cs="Times New Roman"/>
          <w:sz w:val="24"/>
          <w:szCs w:val="24"/>
        </w:rPr>
        <w:footnoteReference w:id="299"/>
      </w:r>
    </w:p>
    <w:p w14:paraId="297E6573" w14:textId="2513629D" w:rsidR="00E10F10" w:rsidRPr="00774EDB" w:rsidRDefault="00603CF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Hereby, the goal of rewarding original creations of computer programs is weighed up against the creation of derivative programs by third party software developers that rely on interoperability information i.e. interface specifications. Thereby, the trade-off between the socially desirable goals is embodied through the exceptional </w:t>
      </w:r>
      <w:r w:rsidR="005C092E">
        <w:rPr>
          <w:rFonts w:ascii="Times New Roman" w:hAnsi="Times New Roman" w:cs="Times New Roman"/>
          <w:sz w:val="24"/>
          <w:szCs w:val="24"/>
        </w:rPr>
        <w:t>reverse engineering rights</w:t>
      </w:r>
      <w:r w:rsidRPr="00774EDB">
        <w:rPr>
          <w:rFonts w:ascii="Times New Roman" w:hAnsi="Times New Roman" w:cs="Times New Roman"/>
          <w:sz w:val="24"/>
          <w:szCs w:val="24"/>
        </w:rPr>
        <w:t xml:space="preserve">, with the view to encourage computer programs that are interoperable with the existing ones. This allowance also relates to the fact that interoperability information is usually distributed to the public in object code and could not be learnt without disassembly, in other words, decompilation. In other words, it is envisaged that the opportunity cost for creating interoperable computer programs is reduced to </w:t>
      </w:r>
      <w:r w:rsidR="005C092E">
        <w:rPr>
          <w:rFonts w:ascii="Times New Roman" w:hAnsi="Times New Roman" w:cs="Times New Roman"/>
          <w:sz w:val="24"/>
          <w:szCs w:val="24"/>
        </w:rPr>
        <w:t xml:space="preserve">a certain extent </w:t>
      </w:r>
      <w:r w:rsidR="00703ADF">
        <w:rPr>
          <w:rFonts w:ascii="Times New Roman" w:hAnsi="Times New Roman" w:cs="Times New Roman"/>
          <w:sz w:val="24"/>
          <w:szCs w:val="24"/>
        </w:rPr>
        <w:t xml:space="preserve">as </w:t>
      </w:r>
      <w:r w:rsidR="005C092E">
        <w:rPr>
          <w:rFonts w:ascii="Times New Roman" w:hAnsi="Times New Roman" w:cs="Times New Roman"/>
          <w:sz w:val="24"/>
          <w:szCs w:val="24"/>
        </w:rPr>
        <w:t xml:space="preserve">to </w:t>
      </w:r>
      <w:r w:rsidRPr="00774EDB">
        <w:rPr>
          <w:rFonts w:ascii="Times New Roman" w:hAnsi="Times New Roman" w:cs="Times New Roman"/>
          <w:sz w:val="24"/>
          <w:szCs w:val="24"/>
        </w:rPr>
        <w:t>allow follow-on innovation</w:t>
      </w:r>
      <w:r w:rsidR="008D70CE">
        <w:rPr>
          <w:rFonts w:ascii="Times New Roman" w:hAnsi="Times New Roman" w:cs="Times New Roman"/>
          <w:sz w:val="24"/>
          <w:szCs w:val="24"/>
        </w:rPr>
        <w:t xml:space="preserve"> and compatible computer programs</w:t>
      </w:r>
      <w:r w:rsidRPr="00774EDB">
        <w:rPr>
          <w:rFonts w:ascii="Times New Roman" w:hAnsi="Times New Roman" w:cs="Times New Roman"/>
          <w:sz w:val="24"/>
          <w:szCs w:val="24"/>
        </w:rPr>
        <w:t>.</w:t>
      </w:r>
    </w:p>
    <w:p w14:paraId="27D6DCEC" w14:textId="4A1402D6" w:rsidR="00D015F8" w:rsidRPr="00774EDB" w:rsidRDefault="005C092E" w:rsidP="00A70042">
      <w:pPr>
        <w:spacing w:before="360"/>
        <w:jc w:val="both"/>
        <w:rPr>
          <w:rFonts w:ascii="Times New Roman" w:hAnsi="Times New Roman" w:cs="Times New Roman"/>
          <w:sz w:val="24"/>
          <w:szCs w:val="24"/>
        </w:rPr>
      </w:pPr>
      <w:r>
        <w:rPr>
          <w:rFonts w:ascii="Times New Roman" w:hAnsi="Times New Roman" w:cs="Times New Roman"/>
          <w:sz w:val="24"/>
          <w:szCs w:val="24"/>
        </w:rPr>
        <w:t>Conversely</w:t>
      </w:r>
      <w:r w:rsidR="00603CF2" w:rsidRPr="00774EDB">
        <w:rPr>
          <w:rFonts w:ascii="Times New Roman" w:hAnsi="Times New Roman" w:cs="Times New Roman"/>
          <w:sz w:val="24"/>
          <w:szCs w:val="24"/>
        </w:rPr>
        <w:t xml:space="preserve">, the balanced approach based on a trade-off </w:t>
      </w:r>
      <w:r>
        <w:rPr>
          <w:rFonts w:ascii="Times New Roman" w:hAnsi="Times New Roman" w:cs="Times New Roman"/>
          <w:sz w:val="24"/>
          <w:szCs w:val="24"/>
        </w:rPr>
        <w:t>is</w:t>
      </w:r>
      <w:r w:rsidR="00603CF2" w:rsidRPr="00774EDB">
        <w:rPr>
          <w:rFonts w:ascii="Times New Roman" w:hAnsi="Times New Roman" w:cs="Times New Roman"/>
          <w:sz w:val="24"/>
          <w:szCs w:val="24"/>
        </w:rPr>
        <w:t xml:space="preserve"> seen in the Directive’s prohibiting the information obtained through decompilation “to be used for the </w:t>
      </w:r>
      <w:r w:rsidR="00603CF2" w:rsidRPr="00774EDB">
        <w:rPr>
          <w:rFonts w:ascii="Times New Roman" w:hAnsi="Times New Roman" w:cs="Times New Roman"/>
          <w:sz w:val="24"/>
          <w:szCs w:val="24"/>
        </w:rPr>
        <w:lastRenderedPageBreak/>
        <w:t>development, production or marketing of a computer program substantially similar in its expression, or for any other act which infringes copyright” (Article 6 (2/c)). Given this fact, it could be stated that the effect of the Software Directive is not just to protect certain configuration of a program, but also the rights of the holder in reproductions, translations, transformations, changes, improvements etc. that in themselves constitute original works.</w:t>
      </w:r>
      <w:r w:rsidR="00603CF2" w:rsidRPr="00774EDB">
        <w:rPr>
          <w:rStyle w:val="FootnoteReference"/>
          <w:rFonts w:ascii="Times New Roman" w:hAnsi="Times New Roman" w:cs="Times New Roman"/>
          <w:sz w:val="24"/>
          <w:szCs w:val="24"/>
        </w:rPr>
        <w:footnoteReference w:id="300"/>
      </w:r>
      <w:r w:rsidR="007706F1" w:rsidRPr="00A70042">
        <w:rPr>
          <w:rFonts w:ascii="Times New Roman" w:hAnsi="Times New Roman" w:cs="Times New Roman"/>
          <w:color w:val="000000"/>
          <w:sz w:val="24"/>
          <w:szCs w:val="24"/>
        </w:rPr>
        <w:t xml:space="preserve">  </w:t>
      </w:r>
      <w:r w:rsidR="00D015F8" w:rsidRPr="00A70042">
        <w:rPr>
          <w:rFonts w:ascii="Times New Roman" w:hAnsi="Times New Roman" w:cs="Times New Roman"/>
          <w:color w:val="000000"/>
          <w:sz w:val="24"/>
          <w:szCs w:val="24"/>
        </w:rPr>
        <w:t xml:space="preserve"> </w:t>
      </w:r>
    </w:p>
    <w:p w14:paraId="2E68A1AA" w14:textId="77777777" w:rsidR="001E03D0" w:rsidRPr="00A70042" w:rsidRDefault="0034687B" w:rsidP="00A70042">
      <w:pPr>
        <w:pStyle w:val="Heading3"/>
        <w:numPr>
          <w:ilvl w:val="2"/>
          <w:numId w:val="33"/>
        </w:numPr>
        <w:spacing w:before="360"/>
        <w:ind w:left="0" w:firstLine="0"/>
        <w:jc w:val="both"/>
        <w:rPr>
          <w:rFonts w:ascii="Times New Roman" w:hAnsi="Times New Roman" w:cs="Times New Roman"/>
          <w:b/>
          <w:i/>
          <w:color w:val="000000"/>
        </w:rPr>
      </w:pPr>
      <w:bookmarkStart w:id="294" w:name="_Toc17611388"/>
      <w:bookmarkStart w:id="295" w:name="_Toc17611605"/>
      <w:bookmarkStart w:id="296" w:name="_Toc17611817"/>
      <w:bookmarkStart w:id="297" w:name="_Toc17612031"/>
      <w:bookmarkStart w:id="298" w:name="_Toc17612244"/>
      <w:bookmarkStart w:id="299" w:name="_Toc17611389"/>
      <w:bookmarkStart w:id="300" w:name="_Toc53576049"/>
      <w:bookmarkEnd w:id="294"/>
      <w:bookmarkEnd w:id="295"/>
      <w:bookmarkEnd w:id="296"/>
      <w:bookmarkEnd w:id="297"/>
      <w:bookmarkEnd w:id="298"/>
      <w:r w:rsidRPr="00774EDB">
        <w:rPr>
          <w:rFonts w:ascii="Times New Roman" w:hAnsi="Times New Roman" w:cs="Times New Roman"/>
          <w:b/>
          <w:color w:val="auto"/>
        </w:rPr>
        <w:t>Copy</w:t>
      </w:r>
      <w:r w:rsidR="005B295A" w:rsidRPr="00774EDB">
        <w:rPr>
          <w:rFonts w:ascii="Times New Roman" w:hAnsi="Times New Roman" w:cs="Times New Roman"/>
          <w:b/>
          <w:color w:val="auto"/>
        </w:rPr>
        <w:t>rightability of interfaces: Analysis through the lens of</w:t>
      </w:r>
      <w:r w:rsidRPr="00774EDB">
        <w:rPr>
          <w:rFonts w:ascii="Times New Roman" w:hAnsi="Times New Roman" w:cs="Times New Roman"/>
          <w:b/>
          <w:color w:val="auto"/>
        </w:rPr>
        <w:t xml:space="preserve"> </w:t>
      </w:r>
      <w:r w:rsidR="00B80B31" w:rsidRPr="00774EDB">
        <w:rPr>
          <w:rFonts w:ascii="Times New Roman" w:hAnsi="Times New Roman" w:cs="Times New Roman"/>
          <w:b/>
          <w:i/>
          <w:color w:val="auto"/>
        </w:rPr>
        <w:t xml:space="preserve">Softwarová </w:t>
      </w:r>
      <w:r w:rsidR="00B80B31" w:rsidRPr="00774EDB">
        <w:rPr>
          <w:rFonts w:ascii="Times New Roman" w:hAnsi="Times New Roman" w:cs="Times New Roman"/>
          <w:b/>
          <w:color w:val="auto"/>
        </w:rPr>
        <w:t>and</w:t>
      </w:r>
      <w:r w:rsidR="00B80B31" w:rsidRPr="00774EDB">
        <w:rPr>
          <w:rFonts w:ascii="Times New Roman" w:hAnsi="Times New Roman" w:cs="Times New Roman"/>
          <w:b/>
          <w:i/>
          <w:color w:val="auto"/>
        </w:rPr>
        <w:t xml:space="preserve"> </w:t>
      </w:r>
      <w:r w:rsidRPr="00774EDB">
        <w:rPr>
          <w:rFonts w:ascii="Times New Roman" w:hAnsi="Times New Roman" w:cs="Times New Roman"/>
          <w:b/>
          <w:i/>
          <w:color w:val="auto"/>
        </w:rPr>
        <w:t>SAS v WPL</w:t>
      </w:r>
      <w:r w:rsidRPr="00774EDB">
        <w:rPr>
          <w:rFonts w:ascii="Times New Roman" w:hAnsi="Times New Roman" w:cs="Times New Roman"/>
          <w:b/>
          <w:color w:val="auto"/>
        </w:rPr>
        <w:t xml:space="preserve"> </w:t>
      </w:r>
      <w:r w:rsidR="00B80B31" w:rsidRPr="00774EDB">
        <w:rPr>
          <w:rFonts w:ascii="Times New Roman" w:hAnsi="Times New Roman" w:cs="Times New Roman"/>
          <w:b/>
          <w:color w:val="auto"/>
        </w:rPr>
        <w:t>cases</w:t>
      </w:r>
      <w:bookmarkEnd w:id="299"/>
      <w:bookmarkEnd w:id="300"/>
    </w:p>
    <w:p w14:paraId="741AE9A2" w14:textId="10D9CA13" w:rsidR="00083522" w:rsidRPr="00774EDB" w:rsidRDefault="00281EF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Whereas APIs directly serve interoperability being achieved between computer programs, it is worth questioning to what extent usage and dissemination of the interfaces is warranted under the EU copyright regime, namely under the Software Directive. </w:t>
      </w:r>
      <w:r w:rsidR="001E1F30">
        <w:rPr>
          <w:rFonts w:ascii="Times New Roman" w:hAnsi="Times New Roman" w:cs="Times New Roman"/>
          <w:sz w:val="24"/>
          <w:szCs w:val="24"/>
        </w:rPr>
        <w:t>I</w:t>
      </w:r>
      <w:r w:rsidRPr="00774EDB">
        <w:rPr>
          <w:rFonts w:ascii="Times New Roman" w:hAnsi="Times New Roman" w:cs="Times New Roman"/>
          <w:sz w:val="24"/>
          <w:szCs w:val="24"/>
        </w:rPr>
        <w:t>t should be reiterated that it is already legitimate to achieve interoperability between computer programs by means of reverse engineering. It is thus clear that the Directive permits those who reverse engineer the object code to reach out for the underlying human-readable source code. However, a crucial question remains to be answered: are the interfaces identified through either black or white box analysis, protected the same as the copyright-protected subject matter, i.e. the internal programming or kernels of the computer program, under the Software Directive?</w:t>
      </w:r>
    </w:p>
    <w:p w14:paraId="5DBFAD0A" w14:textId="1B76A511" w:rsidR="0065429F" w:rsidRPr="00A70042" w:rsidRDefault="00281EF5" w:rsidP="00A70042">
      <w:pPr>
        <w:spacing w:before="360"/>
        <w:jc w:val="both"/>
        <w:rPr>
          <w:rFonts w:ascii="Times New Roman" w:hAnsi="Times New Roman" w:cs="Times New Roman"/>
          <w:color w:val="000000"/>
          <w:spacing w:val="-4"/>
          <w:sz w:val="24"/>
          <w:szCs w:val="24"/>
        </w:rPr>
      </w:pPr>
      <w:r w:rsidRPr="00A70042">
        <w:rPr>
          <w:rFonts w:ascii="Times New Roman" w:hAnsi="Times New Roman" w:cs="Times New Roman"/>
          <w:spacing w:val="-4"/>
          <w:sz w:val="24"/>
          <w:szCs w:val="24"/>
        </w:rPr>
        <w:t xml:space="preserve">The Software Directive, compromising between different aims and concerns, implicates a mid-way between the copyright holders and access seekers that want to develop compatible programs. While the latter firms are attempting to access the source code through black or white box analysis, they would reach out to the interfaces that underlie </w:t>
      </w:r>
      <w:r w:rsidRPr="00A70042">
        <w:rPr>
          <w:rFonts w:ascii="Times New Roman" w:hAnsi="Times New Roman" w:cs="Times New Roman"/>
          <w:spacing w:val="-4"/>
          <w:sz w:val="24"/>
          <w:szCs w:val="24"/>
        </w:rPr>
        <w:lastRenderedPageBreak/>
        <w:t>the computer programs they observe and/or analyse. Regardless of the ‘originality’, should they use an insubstantial part of the interfaces to create interoperable software, this would normally be accepted as concurring with the scope and purpose of the Software Directive. Thus, when the very aim of the Directive is taken into account, interfaces would need to be conferred an equivalent meaning and protection as the internal codes or kernels of software under the copyright regime of the Software Directive.</w:t>
      </w:r>
      <w:r w:rsidRPr="00A70042">
        <w:rPr>
          <w:rStyle w:val="FootnoteReference"/>
          <w:rFonts w:ascii="Times New Roman" w:hAnsi="Times New Roman" w:cs="Times New Roman"/>
          <w:spacing w:val="-4"/>
          <w:sz w:val="24"/>
          <w:szCs w:val="24"/>
        </w:rPr>
        <w:footnoteReference w:id="301"/>
      </w:r>
    </w:p>
    <w:p w14:paraId="43A32808" w14:textId="1DF227E3" w:rsidR="00020FD0" w:rsidRPr="00A70042" w:rsidRDefault="00281EF5" w:rsidP="00A70042">
      <w:pPr>
        <w:spacing w:before="360"/>
        <w:jc w:val="both"/>
        <w:rPr>
          <w:rFonts w:ascii="Times New Roman" w:hAnsi="Times New Roman" w:cs="Times New Roman"/>
          <w:color w:val="000000"/>
          <w:spacing w:val="-4"/>
          <w:sz w:val="24"/>
          <w:szCs w:val="24"/>
        </w:rPr>
      </w:pPr>
      <w:r w:rsidRPr="00A70042">
        <w:rPr>
          <w:rFonts w:ascii="Times New Roman" w:hAnsi="Times New Roman" w:cs="Times New Roman"/>
          <w:color w:val="000000"/>
          <w:spacing w:val="-4"/>
          <w:sz w:val="24"/>
          <w:szCs w:val="24"/>
        </w:rPr>
        <w:t xml:space="preserve">Having said that, it </w:t>
      </w:r>
      <w:r w:rsidRPr="00A70042">
        <w:rPr>
          <w:rFonts w:ascii="Times New Roman" w:hAnsi="Times New Roman" w:cs="Times New Roman"/>
          <w:spacing w:val="-4"/>
          <w:sz w:val="24"/>
          <w:szCs w:val="24"/>
        </w:rPr>
        <w:t>should also be born in mind</w:t>
      </w:r>
      <w:r w:rsidRPr="00A70042">
        <w:rPr>
          <w:rFonts w:ascii="Times New Roman" w:hAnsi="Times New Roman" w:cs="Times New Roman"/>
          <w:color w:val="FF0000"/>
          <w:spacing w:val="-4"/>
          <w:sz w:val="24"/>
          <w:szCs w:val="24"/>
        </w:rPr>
        <w:t xml:space="preserve"> </w:t>
      </w:r>
      <w:r w:rsidRPr="00A70042">
        <w:rPr>
          <w:rFonts w:ascii="Times New Roman" w:hAnsi="Times New Roman" w:cs="Times New Roman"/>
          <w:color w:val="000000"/>
          <w:spacing w:val="-4"/>
          <w:sz w:val="24"/>
          <w:szCs w:val="24"/>
        </w:rPr>
        <w:t>that interfaces comprise not only the code that implements them but also the ideas, rules or principles in the specification of the interface.</w:t>
      </w:r>
      <w:r w:rsidRPr="00A70042">
        <w:rPr>
          <w:rStyle w:val="FootnoteReference"/>
          <w:rFonts w:ascii="Times New Roman" w:hAnsi="Times New Roman" w:cs="Times New Roman"/>
          <w:color w:val="000000"/>
          <w:spacing w:val="-4"/>
          <w:sz w:val="24"/>
          <w:szCs w:val="24"/>
        </w:rPr>
        <w:footnoteReference w:id="302"/>
      </w:r>
      <w:r w:rsidRPr="00A70042">
        <w:rPr>
          <w:rFonts w:ascii="Times New Roman" w:hAnsi="Times New Roman" w:cs="Times New Roman"/>
          <w:color w:val="000000"/>
          <w:spacing w:val="-4"/>
          <w:sz w:val="24"/>
          <w:szCs w:val="24"/>
        </w:rPr>
        <w:t xml:space="preserve"> </w:t>
      </w:r>
      <w:r w:rsidR="004977DD">
        <w:rPr>
          <w:rFonts w:ascii="Times New Roman" w:hAnsi="Times New Roman" w:cs="Times New Roman"/>
          <w:color w:val="000000"/>
          <w:spacing w:val="-4"/>
          <w:sz w:val="24"/>
          <w:szCs w:val="24"/>
        </w:rPr>
        <w:t>Although</w:t>
      </w:r>
      <w:r w:rsidRPr="00A70042">
        <w:rPr>
          <w:rFonts w:ascii="Times New Roman" w:hAnsi="Times New Roman" w:cs="Times New Roman"/>
          <w:color w:val="000000"/>
          <w:spacing w:val="-4"/>
          <w:sz w:val="24"/>
          <w:szCs w:val="24"/>
        </w:rPr>
        <w:t xml:space="preserve"> the source code and machine code of interfaces may not </w:t>
      </w:r>
      <w:r w:rsidRPr="00A70042">
        <w:rPr>
          <w:rFonts w:ascii="Times New Roman" w:hAnsi="Times New Roman" w:cs="Times New Roman"/>
          <w:i/>
          <w:color w:val="000000"/>
          <w:spacing w:val="-4"/>
          <w:sz w:val="24"/>
          <w:szCs w:val="24"/>
        </w:rPr>
        <w:t>per se</w:t>
      </w:r>
      <w:r w:rsidRPr="00A70042">
        <w:rPr>
          <w:rFonts w:ascii="Times New Roman" w:hAnsi="Times New Roman" w:cs="Times New Roman"/>
          <w:color w:val="000000"/>
          <w:spacing w:val="-4"/>
          <w:sz w:val="24"/>
          <w:szCs w:val="24"/>
        </w:rPr>
        <w:t xml:space="preserve"> be outside the protection of copyright, there are certain aspects, such as specifications and protocols (the aspects relevant to standards) which are not expressions but the underlying ideas and principles.</w:t>
      </w:r>
      <w:r w:rsidRPr="00A70042">
        <w:rPr>
          <w:rStyle w:val="FootnoteReference"/>
          <w:rFonts w:ascii="Times New Roman" w:hAnsi="Times New Roman" w:cs="Times New Roman"/>
          <w:color w:val="000000"/>
          <w:spacing w:val="-4"/>
          <w:sz w:val="24"/>
          <w:szCs w:val="24"/>
        </w:rPr>
        <w:footnoteReference w:id="303"/>
      </w:r>
      <w:r w:rsidRPr="00A70042">
        <w:rPr>
          <w:rFonts w:ascii="Times New Roman" w:hAnsi="Times New Roman" w:cs="Times New Roman"/>
          <w:color w:val="000000"/>
          <w:spacing w:val="-4"/>
          <w:sz w:val="24"/>
          <w:szCs w:val="24"/>
        </w:rPr>
        <w:t xml:space="preserve"> Whereas interface specifications, which can be regarded as the rules and methods underlying an interface and governing the program</w:t>
      </w:r>
      <w:r w:rsidR="001E1F30">
        <w:rPr>
          <w:rFonts w:ascii="Times New Roman" w:hAnsi="Times New Roman" w:cs="Times New Roman"/>
          <w:color w:val="000000"/>
          <w:spacing w:val="-4"/>
          <w:sz w:val="24"/>
          <w:szCs w:val="24"/>
        </w:rPr>
        <w:t>’</w:t>
      </w:r>
      <w:r w:rsidRPr="00A70042">
        <w:rPr>
          <w:rFonts w:ascii="Times New Roman" w:hAnsi="Times New Roman" w:cs="Times New Roman"/>
          <w:color w:val="000000"/>
          <w:spacing w:val="-4"/>
          <w:sz w:val="24"/>
          <w:szCs w:val="24"/>
        </w:rPr>
        <w:t>s behaviour, could be said to fall outside the scope of the copyright protection, the</w:t>
      </w:r>
      <w:r w:rsidRPr="00A70042">
        <w:rPr>
          <w:rFonts w:ascii="Times New Roman" w:hAnsi="Times New Roman" w:cs="Times New Roman" w:hint="eastAsia"/>
          <w:color w:val="000000"/>
          <w:spacing w:val="-4"/>
          <w:sz w:val="24"/>
          <w:szCs w:val="24"/>
        </w:rPr>
        <w:t>“</w:t>
      </w:r>
      <w:r w:rsidRPr="00A70042">
        <w:rPr>
          <w:rFonts w:ascii="Times New Roman" w:hAnsi="Times New Roman" w:cs="Times New Roman"/>
          <w:color w:val="000000"/>
          <w:spacing w:val="-4"/>
          <w:sz w:val="24"/>
          <w:szCs w:val="24"/>
        </w:rPr>
        <w:t>implementation</w:t>
      </w:r>
      <w:r w:rsidRPr="00A70042">
        <w:rPr>
          <w:rFonts w:ascii="Times New Roman" w:hAnsi="Times New Roman" w:cs="Times New Roman" w:hint="eastAsia"/>
          <w:color w:val="000000"/>
          <w:spacing w:val="-4"/>
          <w:sz w:val="24"/>
          <w:szCs w:val="24"/>
        </w:rPr>
        <w:t>”</w:t>
      </w:r>
      <w:r w:rsidRPr="00A70042">
        <w:rPr>
          <w:rFonts w:ascii="Times New Roman" w:hAnsi="Times New Roman" w:cs="Times New Roman"/>
          <w:color w:val="000000"/>
          <w:spacing w:val="-4"/>
          <w:sz w:val="24"/>
          <w:szCs w:val="24"/>
        </w:rPr>
        <w:t>of an interface into a program</w:t>
      </w:r>
      <w:r w:rsidR="001E1F30">
        <w:rPr>
          <w:rFonts w:ascii="Times New Roman" w:hAnsi="Times New Roman" w:cs="Times New Roman"/>
          <w:color w:val="000000"/>
          <w:spacing w:val="-4"/>
          <w:sz w:val="24"/>
          <w:szCs w:val="24"/>
        </w:rPr>
        <w:t>’</w:t>
      </w:r>
      <w:r w:rsidRPr="00A70042">
        <w:rPr>
          <w:rFonts w:ascii="Times New Roman" w:hAnsi="Times New Roman" w:cs="Times New Roman"/>
          <w:color w:val="000000"/>
          <w:spacing w:val="-4"/>
          <w:sz w:val="24"/>
          <w:szCs w:val="24"/>
        </w:rPr>
        <w:t>s code will arguably constitute a protectable expression as long as it meets the originality requirement.</w:t>
      </w:r>
      <w:r w:rsidRPr="00A70042">
        <w:rPr>
          <w:rStyle w:val="FootnoteReference"/>
          <w:rFonts w:ascii="Times New Roman" w:hAnsi="Times New Roman" w:cs="Times New Roman"/>
          <w:color w:val="000000"/>
          <w:spacing w:val="-4"/>
          <w:sz w:val="24"/>
          <w:szCs w:val="24"/>
        </w:rPr>
        <w:footnoteReference w:id="304"/>
      </w:r>
      <w:r w:rsidRPr="00A70042">
        <w:rPr>
          <w:rFonts w:ascii="Times New Roman" w:hAnsi="Times New Roman" w:cs="Times New Roman"/>
          <w:color w:val="000000"/>
          <w:spacing w:val="-4"/>
          <w:sz w:val="24"/>
          <w:szCs w:val="24"/>
        </w:rPr>
        <w:t xml:space="preserve"> </w:t>
      </w:r>
      <w:r w:rsidR="004977DD">
        <w:rPr>
          <w:rFonts w:ascii="Times New Roman" w:hAnsi="Times New Roman" w:cs="Times New Roman"/>
          <w:color w:val="000000"/>
          <w:spacing w:val="-4"/>
          <w:sz w:val="24"/>
          <w:szCs w:val="24"/>
        </w:rPr>
        <w:t>A</w:t>
      </w:r>
      <w:r w:rsidR="004977DD" w:rsidRPr="00A70042">
        <w:rPr>
          <w:rFonts w:ascii="Times New Roman" w:hAnsi="Times New Roman" w:cs="Times New Roman"/>
          <w:color w:val="000000"/>
          <w:spacing w:val="-4"/>
          <w:sz w:val="24"/>
          <w:szCs w:val="24"/>
        </w:rPr>
        <w:t>s could be inferred here</w:t>
      </w:r>
      <w:r w:rsidR="004977DD">
        <w:rPr>
          <w:rFonts w:ascii="Times New Roman" w:hAnsi="Times New Roman" w:cs="Times New Roman"/>
          <w:color w:val="000000"/>
          <w:spacing w:val="-4"/>
          <w:sz w:val="24"/>
          <w:szCs w:val="24"/>
        </w:rPr>
        <w:t>,</w:t>
      </w:r>
      <w:r w:rsidRPr="00A70042">
        <w:rPr>
          <w:rFonts w:ascii="Times New Roman" w:hAnsi="Times New Roman" w:cs="Times New Roman"/>
          <w:color w:val="000000"/>
          <w:spacing w:val="-4"/>
          <w:sz w:val="24"/>
          <w:szCs w:val="24"/>
        </w:rPr>
        <w:t xml:space="preserve"> interfaces posit a shakeable ground for the purpose of copyrightability</w:t>
      </w:r>
      <w:r w:rsidR="004977DD">
        <w:rPr>
          <w:rFonts w:ascii="Times New Roman" w:hAnsi="Times New Roman" w:cs="Times New Roman"/>
          <w:color w:val="000000"/>
          <w:spacing w:val="-4"/>
          <w:sz w:val="24"/>
          <w:szCs w:val="24"/>
        </w:rPr>
        <w:t xml:space="preserve"> to which</w:t>
      </w:r>
      <w:r w:rsidRPr="00A70042">
        <w:rPr>
          <w:rFonts w:ascii="Times New Roman" w:hAnsi="Times New Roman" w:cs="Times New Roman"/>
          <w:color w:val="000000"/>
          <w:spacing w:val="-4"/>
          <w:sz w:val="24"/>
          <w:szCs w:val="24"/>
        </w:rPr>
        <w:t xml:space="preserve"> the EU precedents do not have a clear-cut response.</w:t>
      </w:r>
    </w:p>
    <w:p w14:paraId="6CF611D3" w14:textId="4F7F2148" w:rsidR="002F7BE3" w:rsidRPr="00A70042" w:rsidRDefault="002159A7" w:rsidP="00A70042">
      <w:pPr>
        <w:spacing w:before="360"/>
        <w:jc w:val="both"/>
        <w:rPr>
          <w:rFonts w:ascii="Times New Roman" w:hAnsi="Times New Roman" w:cs="Times New Roman"/>
          <w:color w:val="000000"/>
          <w:sz w:val="24"/>
          <w:szCs w:val="24"/>
        </w:rPr>
      </w:pPr>
      <w:r w:rsidRPr="00774EDB">
        <w:rPr>
          <w:rFonts w:ascii="Times New Roman" w:hAnsi="Times New Roman" w:cs="Times New Roman"/>
          <w:sz w:val="24"/>
          <w:szCs w:val="24"/>
        </w:rPr>
        <w:lastRenderedPageBreak/>
        <w:t>The</w:t>
      </w:r>
      <w:r w:rsidRPr="00774EDB">
        <w:rPr>
          <w:rFonts w:ascii="Times New Roman" w:hAnsi="Times New Roman" w:cs="Times New Roman"/>
          <w:i/>
          <w:sz w:val="24"/>
          <w:szCs w:val="24"/>
        </w:rPr>
        <w:t xml:space="preserve"> Softwarová</w:t>
      </w:r>
      <w:r w:rsidRPr="00774EDB">
        <w:rPr>
          <w:rStyle w:val="FootnoteReference"/>
          <w:rFonts w:ascii="Times New Roman" w:hAnsi="Times New Roman" w:cs="Times New Roman"/>
          <w:sz w:val="24"/>
          <w:szCs w:val="24"/>
        </w:rPr>
        <w:footnoteReference w:id="305"/>
      </w:r>
      <w:r w:rsidRPr="00774EDB">
        <w:rPr>
          <w:rFonts w:ascii="Times New Roman" w:hAnsi="Times New Roman" w:cs="Times New Roman"/>
          <w:i/>
          <w:sz w:val="24"/>
          <w:szCs w:val="24"/>
        </w:rPr>
        <w:t xml:space="preserve"> </w:t>
      </w:r>
      <w:r w:rsidRPr="00774EDB">
        <w:rPr>
          <w:rFonts w:ascii="Times New Roman" w:hAnsi="Times New Roman" w:cs="Times New Roman"/>
          <w:sz w:val="24"/>
          <w:szCs w:val="24"/>
        </w:rPr>
        <w:t xml:space="preserve">judgement illustrates this elusive situation, where the </w:t>
      </w:r>
      <w:r w:rsidR="00982C52" w:rsidRPr="00774EDB">
        <w:rPr>
          <w:rFonts w:ascii="Times New Roman" w:hAnsi="Times New Roman" w:cs="Times New Roman"/>
          <w:sz w:val="24"/>
          <w:szCs w:val="24"/>
        </w:rPr>
        <w:t xml:space="preserve">CoJ </w:t>
      </w:r>
      <w:r w:rsidRPr="00774EDB">
        <w:rPr>
          <w:rFonts w:ascii="Times New Roman" w:hAnsi="Times New Roman" w:cs="Times New Roman"/>
          <w:sz w:val="24"/>
          <w:szCs w:val="24"/>
        </w:rPr>
        <w:t>was asked to determine whether the graphical user interface (GUI) of the computer programs would constitute an expression within the meaning of Article 1(2) of the Software Directive. As the question was related to the GUI, which is a user interface,</w:t>
      </w:r>
      <w:r w:rsidRPr="00774EDB">
        <w:rPr>
          <w:rStyle w:val="FootnoteReference"/>
          <w:rFonts w:ascii="Times New Roman" w:hAnsi="Times New Roman" w:cs="Times New Roman"/>
          <w:sz w:val="24"/>
          <w:szCs w:val="24"/>
        </w:rPr>
        <w:footnoteReference w:id="306"/>
      </w:r>
      <w:r w:rsidRPr="00774EDB">
        <w:rPr>
          <w:rFonts w:ascii="Times New Roman" w:hAnsi="Times New Roman" w:cs="Times New Roman"/>
          <w:sz w:val="24"/>
          <w:szCs w:val="24"/>
        </w:rPr>
        <w:t xml:space="preserve"> a possible answer would not directly solve the problems as to the APIs that ensure compatibility between the competitors. Nevertheless, some implications could be derived from the judgement. The</w:t>
      </w:r>
      <w:r w:rsidR="00982C52" w:rsidRPr="00774EDB">
        <w:rPr>
          <w:rFonts w:ascii="Times New Roman" w:hAnsi="Times New Roman" w:cs="Times New Roman"/>
          <w:sz w:val="24"/>
          <w:szCs w:val="24"/>
        </w:rPr>
        <w:t xml:space="preserve"> CoJ</w:t>
      </w:r>
      <w:r w:rsidRPr="00774EDB">
        <w:rPr>
          <w:rFonts w:ascii="Times New Roman" w:hAnsi="Times New Roman" w:cs="Times New Roman"/>
          <w:color w:val="FF0000"/>
          <w:sz w:val="24"/>
          <w:szCs w:val="24"/>
        </w:rPr>
        <w:t xml:space="preserve"> </w:t>
      </w:r>
      <w:r w:rsidRPr="00774EDB">
        <w:rPr>
          <w:rFonts w:ascii="Times New Roman" w:hAnsi="Times New Roman" w:cs="Times New Roman"/>
          <w:sz w:val="24"/>
          <w:szCs w:val="24"/>
        </w:rPr>
        <w:t>made it clear that as a GUI does not enable the reproduction of a computer program it does not constitute a form of expression under the Software Directive.</w:t>
      </w:r>
      <w:r w:rsidRPr="00774EDB">
        <w:rPr>
          <w:rStyle w:val="FootnoteReference"/>
          <w:rFonts w:ascii="Times New Roman" w:hAnsi="Times New Roman" w:cs="Times New Roman"/>
          <w:sz w:val="24"/>
          <w:szCs w:val="24"/>
        </w:rPr>
        <w:footnoteReference w:id="307"/>
      </w:r>
      <w:r w:rsidRPr="00774EDB">
        <w:rPr>
          <w:rFonts w:ascii="Times New Roman" w:hAnsi="Times New Roman" w:cs="Times New Roman"/>
          <w:sz w:val="24"/>
          <w:szCs w:val="24"/>
        </w:rPr>
        <w:t>According to the Court, the source code and object code of a computer program that permit reproduction in different languages constitute a protected form of expression.</w:t>
      </w:r>
      <w:r w:rsidRPr="00774EDB">
        <w:rPr>
          <w:rStyle w:val="FootnoteReference"/>
          <w:rFonts w:ascii="Times New Roman" w:hAnsi="Times New Roman" w:cs="Times New Roman"/>
          <w:sz w:val="24"/>
          <w:szCs w:val="24"/>
        </w:rPr>
        <w:footnoteReference w:id="308"/>
      </w:r>
      <w:r w:rsidRPr="00774EDB">
        <w:rPr>
          <w:rFonts w:ascii="Times New Roman" w:hAnsi="Times New Roman" w:cs="Times New Roman"/>
          <w:sz w:val="24"/>
          <w:szCs w:val="24"/>
        </w:rPr>
        <w:t xml:space="preserve"> While the GUI is not found to be protectable under the copyright regime of the Software Directive, the Court did not exclude the possibility that the interfaces could be copyrightable within the meaning of the InfoSoc Directive, namely the ordinary and generic copyright regime of the EU. However, copyrightability of APIs was not the issue that has been resolved under the case.</w:t>
      </w:r>
    </w:p>
    <w:p w14:paraId="7C95308C" w14:textId="4E75F6E2" w:rsidR="009C389D" w:rsidRPr="00A70042" w:rsidRDefault="002159A7" w:rsidP="00A70042">
      <w:pPr>
        <w:spacing w:before="360"/>
        <w:jc w:val="both"/>
        <w:rPr>
          <w:rFonts w:ascii="Times New Roman" w:hAnsi="Times New Roman" w:cs="Times New Roman"/>
          <w:color w:val="000000"/>
          <w:sz w:val="24"/>
          <w:szCs w:val="24"/>
        </w:rPr>
      </w:pPr>
      <w:r w:rsidRPr="00774EDB">
        <w:rPr>
          <w:rFonts w:ascii="Times New Roman" w:hAnsi="Times New Roman" w:cs="Times New Roman"/>
          <w:sz w:val="24"/>
          <w:szCs w:val="24"/>
        </w:rPr>
        <w:t xml:space="preserve">The issue has been brought before the Court by means of another case, </w:t>
      </w:r>
      <w:r w:rsidRPr="00774EDB">
        <w:rPr>
          <w:rFonts w:ascii="Times New Roman" w:hAnsi="Times New Roman" w:cs="Times New Roman"/>
          <w:i/>
          <w:sz w:val="24"/>
          <w:szCs w:val="24"/>
        </w:rPr>
        <w:t>SAS Institute Inc v World Programming Ltd (‘SAS v WPL’)</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309"/>
      </w:r>
      <w:r w:rsidRPr="00774EDB">
        <w:rPr>
          <w:rFonts w:ascii="Times New Roman" w:hAnsi="Times New Roman" w:cs="Times New Roman"/>
          <w:sz w:val="24"/>
          <w:szCs w:val="24"/>
        </w:rPr>
        <w:t xml:space="preserve"> which reveals a cornerstone decision for idea-expression dichotomy and copyrightability of software. The case arose out of the conflict that took place following a firm, World Programming Ltd (WPL), that developed a program that emulated the functionality of the popular statistical analysis </w:t>
      </w:r>
      <w:r w:rsidRPr="00774EDB">
        <w:rPr>
          <w:rFonts w:ascii="Times New Roman" w:hAnsi="Times New Roman" w:cs="Times New Roman"/>
          <w:sz w:val="24"/>
          <w:szCs w:val="24"/>
        </w:rPr>
        <w:lastRenderedPageBreak/>
        <w:t>program, SAS. Based on observing and testing SAS programming language and related manuals, WPL’s attempt was a target-based response to the market demand for ensuring SAS-based statistical operations be performed on alternative platforms. The fact that WPL had no access to SAS source code or to the internal design documentation of the program, either directly or through decompilation,</w:t>
      </w:r>
      <w:r w:rsidRPr="00774EDB">
        <w:rPr>
          <w:rStyle w:val="FootnoteReference"/>
          <w:rFonts w:ascii="Times New Roman" w:hAnsi="Times New Roman" w:cs="Times New Roman"/>
          <w:sz w:val="24"/>
          <w:szCs w:val="24"/>
        </w:rPr>
        <w:footnoteReference w:id="310"/>
      </w:r>
      <w:r w:rsidRPr="00774EDB">
        <w:rPr>
          <w:rFonts w:ascii="Times New Roman" w:hAnsi="Times New Roman" w:cs="Times New Roman"/>
          <w:sz w:val="24"/>
          <w:szCs w:val="24"/>
        </w:rPr>
        <w:t xml:space="preserve"> makes the conflict interesting and potentially significant. After SAS sued WPL for infringement of copyright over its behaviour and the data formats of the SAS program as well as the SAS programming language, the case was taken to the CoJ for its interpretation under Article</w:t>
      </w:r>
      <w:r w:rsidR="00982C52" w:rsidRPr="00774EDB">
        <w:rPr>
          <w:rFonts w:ascii="Times New Roman" w:hAnsi="Times New Roman" w:cs="Times New Roman"/>
          <w:sz w:val="24"/>
          <w:szCs w:val="24"/>
        </w:rPr>
        <w:t xml:space="preserve"> 267</w:t>
      </w:r>
      <w:r w:rsidRPr="00774EDB">
        <w:rPr>
          <w:rFonts w:ascii="Times New Roman" w:hAnsi="Times New Roman" w:cs="Times New Roman"/>
          <w:sz w:val="24"/>
          <w:szCs w:val="24"/>
        </w:rPr>
        <w:t xml:space="preserve"> of the TFEU.</w:t>
      </w:r>
    </w:p>
    <w:p w14:paraId="45844A6C" w14:textId="5169793E" w:rsidR="00A06994" w:rsidRPr="00774EDB" w:rsidRDefault="002159A7"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CoJ affirmed that there has been no copyright infringement in line with the </w:t>
      </w:r>
      <w:r w:rsidR="00672E75">
        <w:rPr>
          <w:rFonts w:ascii="Times New Roman" w:hAnsi="Times New Roman" w:cs="Times New Roman"/>
          <w:sz w:val="24"/>
          <w:szCs w:val="24"/>
        </w:rPr>
        <w:t xml:space="preserve">finding of the </w:t>
      </w:r>
      <w:r w:rsidRPr="00774EDB">
        <w:rPr>
          <w:rFonts w:ascii="Times New Roman" w:hAnsi="Times New Roman" w:cs="Times New Roman"/>
          <w:sz w:val="24"/>
          <w:szCs w:val="24"/>
        </w:rPr>
        <w:t>UK High Court. The CoJ held that “neither the functionality of a computer program nor the programming language and the format of data files used in a computer program in order to exploit certain of its functions constitute a form of expression”.</w:t>
      </w:r>
      <w:r w:rsidRPr="00774EDB">
        <w:rPr>
          <w:rStyle w:val="FootnoteReference"/>
          <w:rFonts w:ascii="Times New Roman" w:hAnsi="Times New Roman" w:cs="Times New Roman"/>
          <w:sz w:val="24"/>
          <w:szCs w:val="24"/>
        </w:rPr>
        <w:footnoteReference w:id="311"/>
      </w:r>
      <w:r w:rsidRPr="00774EDB">
        <w:rPr>
          <w:rFonts w:ascii="Times New Roman" w:hAnsi="Times New Roman" w:cs="Times New Roman"/>
          <w:sz w:val="24"/>
          <w:szCs w:val="24"/>
        </w:rPr>
        <w:t xml:space="preserve"> According to the C</w:t>
      </w:r>
      <w:r w:rsidR="00423856">
        <w:rPr>
          <w:rFonts w:ascii="Times New Roman" w:hAnsi="Times New Roman" w:cs="Times New Roman"/>
          <w:sz w:val="24"/>
          <w:szCs w:val="24"/>
        </w:rPr>
        <w:t>oJ</w:t>
      </w:r>
      <w:r w:rsidRPr="00774EDB">
        <w:rPr>
          <w:rFonts w:ascii="Times New Roman" w:hAnsi="Times New Roman" w:cs="Times New Roman"/>
          <w:sz w:val="24"/>
          <w:szCs w:val="24"/>
        </w:rPr>
        <w:t>, “to accept that the functionality of a computer program can be protected by copyright would amount to making it possible to monopolise ideas, to the detriment of technological progress and industrial development”.</w:t>
      </w:r>
      <w:r w:rsidRPr="00774EDB">
        <w:rPr>
          <w:rStyle w:val="FootnoteReference"/>
          <w:rFonts w:ascii="Times New Roman" w:hAnsi="Times New Roman" w:cs="Times New Roman"/>
          <w:sz w:val="24"/>
          <w:szCs w:val="24"/>
        </w:rPr>
        <w:footnoteReference w:id="312"/>
      </w:r>
      <w:r w:rsidRPr="00774EDB">
        <w:rPr>
          <w:rFonts w:ascii="Times New Roman" w:hAnsi="Times New Roman" w:cs="Times New Roman"/>
          <w:sz w:val="24"/>
          <w:szCs w:val="24"/>
        </w:rPr>
        <w:t xml:space="preserve"> However, the Court statement pointed to the possibility that the access sought functional elements of the computer program in question would be considered as a subject matter of generic copyright protection i.e. under the InfoSoc Directive.</w:t>
      </w:r>
      <w:r w:rsidRPr="00774EDB">
        <w:rPr>
          <w:rStyle w:val="FootnoteReference"/>
          <w:rFonts w:ascii="Times New Roman" w:hAnsi="Times New Roman" w:cs="Times New Roman"/>
          <w:sz w:val="24"/>
          <w:szCs w:val="24"/>
        </w:rPr>
        <w:footnoteReference w:id="313"/>
      </w:r>
    </w:p>
    <w:p w14:paraId="3838CEAD" w14:textId="4D6C0D67" w:rsidR="00F7069B" w:rsidRPr="00A70042" w:rsidRDefault="00524FD6" w:rsidP="00A70042">
      <w:pPr>
        <w:spacing w:before="360"/>
        <w:jc w:val="both"/>
        <w:rPr>
          <w:rFonts w:ascii="Times New Roman" w:hAnsi="Times New Roman" w:cs="Times New Roman"/>
          <w:color w:val="000000"/>
          <w:sz w:val="24"/>
          <w:szCs w:val="24"/>
        </w:rPr>
      </w:pPr>
      <w:r w:rsidRPr="00774EDB">
        <w:rPr>
          <w:rFonts w:ascii="Times New Roman" w:hAnsi="Times New Roman" w:cs="Times New Roman"/>
          <w:sz w:val="24"/>
          <w:szCs w:val="24"/>
        </w:rPr>
        <w:lastRenderedPageBreak/>
        <w:t>The</w:t>
      </w:r>
      <w:r w:rsidRPr="00774EDB">
        <w:rPr>
          <w:rFonts w:ascii="Times New Roman" w:hAnsi="Times New Roman" w:cs="Times New Roman"/>
          <w:i/>
          <w:sz w:val="24"/>
          <w:szCs w:val="24"/>
        </w:rPr>
        <w:t xml:space="preserve"> SAS v WPL</w:t>
      </w:r>
      <w:r w:rsidRPr="00774EDB">
        <w:rPr>
          <w:rFonts w:ascii="Times New Roman" w:hAnsi="Times New Roman" w:cs="Times New Roman"/>
          <w:sz w:val="24"/>
          <w:szCs w:val="24"/>
        </w:rPr>
        <w:t xml:space="preserve"> case clearly shows that the ideas/expression dichotomy has been </w:t>
      </w:r>
      <w:r w:rsidR="00672E75">
        <w:rPr>
          <w:rFonts w:ascii="Times New Roman" w:hAnsi="Times New Roman" w:cs="Times New Roman"/>
          <w:sz w:val="24"/>
          <w:szCs w:val="24"/>
        </w:rPr>
        <w:t>expound</w:t>
      </w:r>
      <w:r w:rsidRPr="00774EDB">
        <w:rPr>
          <w:rFonts w:ascii="Times New Roman" w:hAnsi="Times New Roman" w:cs="Times New Roman"/>
          <w:sz w:val="24"/>
          <w:szCs w:val="24"/>
        </w:rPr>
        <w:t xml:space="preserve">ed by the Court with a favourable interpretation to enhance follow-on innovation, yet with no mention about the APIs. As explained above, the Software Directive sets out the rules for ensuring interoperability through </w:t>
      </w:r>
      <w:r w:rsidR="00672E75">
        <w:rPr>
          <w:rFonts w:ascii="Times New Roman" w:hAnsi="Times New Roman" w:cs="Times New Roman"/>
          <w:sz w:val="24"/>
          <w:szCs w:val="24"/>
        </w:rPr>
        <w:t>reverse engineering</w:t>
      </w:r>
      <w:r w:rsidRPr="00774EDB">
        <w:rPr>
          <w:rFonts w:ascii="Times New Roman" w:hAnsi="Times New Roman" w:cs="Times New Roman"/>
          <w:sz w:val="24"/>
          <w:szCs w:val="24"/>
        </w:rPr>
        <w:t xml:space="preserve"> bypassing the renowned copyright principle of the ideas/expression dichotomy. Copyrightability of interfaces being left unsettled both under the Directive and the CoJ’s jurisprudence in </w:t>
      </w:r>
      <w:r w:rsidRPr="00774EDB">
        <w:rPr>
          <w:rFonts w:ascii="Times New Roman" w:hAnsi="Times New Roman" w:cs="Times New Roman"/>
          <w:i/>
          <w:sz w:val="24"/>
          <w:szCs w:val="24"/>
        </w:rPr>
        <w:t>SAS v WPL</w:t>
      </w:r>
      <w:r w:rsidRPr="00774EDB">
        <w:rPr>
          <w:rFonts w:ascii="Times New Roman" w:hAnsi="Times New Roman" w:cs="Times New Roman"/>
          <w:sz w:val="24"/>
          <w:szCs w:val="24"/>
        </w:rPr>
        <w:t>, the functional character of APIs</w:t>
      </w:r>
      <w:r w:rsidRPr="00774EDB">
        <w:rPr>
          <w:rStyle w:val="FootnoteReference"/>
          <w:rFonts w:ascii="Times New Roman" w:hAnsi="Times New Roman" w:cs="Times New Roman"/>
          <w:sz w:val="24"/>
          <w:szCs w:val="24"/>
        </w:rPr>
        <w:footnoteReference w:id="314"/>
      </w:r>
      <w:r w:rsidRPr="00774EDB">
        <w:rPr>
          <w:rFonts w:ascii="Times New Roman" w:hAnsi="Times New Roman" w:cs="Times New Roman"/>
          <w:sz w:val="24"/>
          <w:szCs w:val="24"/>
        </w:rPr>
        <w:t xml:space="preserve"> and the merging of ideas and expression on them</w:t>
      </w:r>
      <w:r w:rsidR="00C8490C">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315"/>
      </w:r>
      <w:r w:rsidRPr="00774EDB">
        <w:rPr>
          <w:rFonts w:ascii="Times New Roman" w:hAnsi="Times New Roman" w:cs="Times New Roman"/>
          <w:sz w:val="24"/>
          <w:szCs w:val="24"/>
        </w:rPr>
        <w:t xml:space="preserve"> blurs the distinction based on the so-called dichotomy with respect to the APIs. Therefore, although the copyright regime of the Software Directive provides control over the information embodied in the subject matter </w:t>
      </w:r>
      <w:r w:rsidRPr="00774EDB">
        <w:rPr>
          <w:rFonts w:ascii="Times New Roman" w:hAnsi="Times New Roman" w:cs="Times New Roman"/>
          <w:i/>
          <w:sz w:val="24"/>
          <w:szCs w:val="24"/>
        </w:rPr>
        <w:t>per se</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316"/>
      </w:r>
      <w:r w:rsidRPr="00774EDB">
        <w:rPr>
          <w:rFonts w:ascii="Times New Roman" w:hAnsi="Times New Roman" w:cs="Times New Roman"/>
          <w:sz w:val="24"/>
          <w:szCs w:val="24"/>
        </w:rPr>
        <w:t xml:space="preserve"> APIs would not be directly put into the same basket i.e. Article 1(2) of the Directive, considering their very functional nature and the inherent features of incorporating the non-expressive parts of the computer program.</w:t>
      </w:r>
    </w:p>
    <w:p w14:paraId="28970793" w14:textId="30867D16" w:rsidR="00753095" w:rsidRPr="00774EDB" w:rsidRDefault="00672E75" w:rsidP="00A70042">
      <w:pPr>
        <w:spacing w:before="360"/>
        <w:jc w:val="both"/>
        <w:rPr>
          <w:rFonts w:ascii="Times New Roman" w:hAnsi="Times New Roman" w:cs="Times New Roman"/>
          <w:sz w:val="24"/>
          <w:szCs w:val="24"/>
        </w:rPr>
      </w:pPr>
      <w:r>
        <w:rPr>
          <w:rFonts w:ascii="Times New Roman" w:hAnsi="Times New Roman" w:cs="Times New Roman"/>
          <w:sz w:val="24"/>
          <w:szCs w:val="24"/>
        </w:rPr>
        <w:t>I</w:t>
      </w:r>
      <w:r w:rsidR="00524FD6" w:rsidRPr="00774EDB">
        <w:rPr>
          <w:rFonts w:ascii="Times New Roman" w:hAnsi="Times New Roman" w:cs="Times New Roman"/>
          <w:sz w:val="24"/>
          <w:szCs w:val="24"/>
        </w:rPr>
        <w:t>f Article 6 of the Software Directive indeed reflects such a policy by allowing access via decompilation of a program’s code to study its internal structure and other expressive aspects of program text, when this process is indispensable to achieving interoperability, it would make no sense to establish a right to access program internals and then to condemn the reuse of interface information discerned in this process as infringing when it is necessary to achieve interoperability.</w:t>
      </w:r>
      <w:r w:rsidR="00524FD6" w:rsidRPr="00774EDB">
        <w:rPr>
          <w:rStyle w:val="FootnoteReference"/>
          <w:rFonts w:ascii="Times New Roman" w:hAnsi="Times New Roman" w:cs="Times New Roman"/>
          <w:sz w:val="24"/>
          <w:szCs w:val="24"/>
        </w:rPr>
        <w:footnoteReference w:id="317"/>
      </w:r>
      <w:r w:rsidR="00524FD6" w:rsidRPr="00774EDB">
        <w:rPr>
          <w:rFonts w:ascii="Times New Roman" w:hAnsi="Times New Roman" w:cs="Times New Roman"/>
          <w:sz w:val="24"/>
          <w:szCs w:val="24"/>
        </w:rPr>
        <w:t xml:space="preserve"> Assuming the case for IPRs in computer programs is to improve the creation, innovation and dissemination </w:t>
      </w:r>
      <w:r w:rsidR="00524FD6" w:rsidRPr="00774EDB">
        <w:rPr>
          <w:rFonts w:ascii="Times New Roman" w:hAnsi="Times New Roman" w:cs="Times New Roman"/>
          <w:sz w:val="24"/>
          <w:szCs w:val="24"/>
        </w:rPr>
        <w:lastRenderedPageBreak/>
        <w:t>of knowledge to enable a competitive and prosperous software market,</w:t>
      </w:r>
      <w:r w:rsidR="00524FD6" w:rsidRPr="00774EDB">
        <w:rPr>
          <w:rStyle w:val="FootnoteReference"/>
          <w:rFonts w:ascii="Times New Roman" w:hAnsi="Times New Roman" w:cs="Times New Roman"/>
          <w:sz w:val="24"/>
          <w:szCs w:val="24"/>
        </w:rPr>
        <w:footnoteReference w:id="318"/>
      </w:r>
      <w:r w:rsidR="00524FD6" w:rsidRPr="00774EDB">
        <w:rPr>
          <w:rFonts w:ascii="Times New Roman" w:hAnsi="Times New Roman" w:cs="Times New Roman"/>
          <w:sz w:val="24"/>
          <w:szCs w:val="24"/>
        </w:rPr>
        <w:t xml:space="preserve"> the functional character of the interfaces ought to be taken utmost into account, alongside the pro-interoperability policy of the Software Directive.</w:t>
      </w:r>
      <w:r w:rsidR="00753095">
        <w:rPr>
          <w:rFonts w:ascii="Times New Roman" w:hAnsi="Times New Roman" w:cs="Times New Roman"/>
          <w:sz w:val="24"/>
          <w:szCs w:val="24"/>
        </w:rPr>
        <w:t xml:space="preserve"> </w:t>
      </w:r>
      <w:r w:rsidR="00524FD6" w:rsidRPr="00774EDB">
        <w:rPr>
          <w:rFonts w:ascii="Times New Roman" w:hAnsi="Times New Roman" w:cs="Times New Roman"/>
          <w:sz w:val="24"/>
          <w:szCs w:val="24"/>
        </w:rPr>
        <w:t xml:space="preserve">Last but not least, any </w:t>
      </w:r>
      <w:r w:rsidR="001469F8">
        <w:rPr>
          <w:rFonts w:ascii="Times New Roman" w:hAnsi="Times New Roman" w:cs="Times New Roman"/>
          <w:sz w:val="24"/>
          <w:szCs w:val="24"/>
        </w:rPr>
        <w:t xml:space="preserve">prospective </w:t>
      </w:r>
      <w:r w:rsidR="00524FD6" w:rsidRPr="00774EDB">
        <w:rPr>
          <w:rFonts w:ascii="Times New Roman" w:hAnsi="Times New Roman" w:cs="Times New Roman"/>
          <w:sz w:val="24"/>
          <w:szCs w:val="24"/>
        </w:rPr>
        <w:t xml:space="preserve">interpretation and solution </w:t>
      </w:r>
      <w:r w:rsidR="001469F8">
        <w:rPr>
          <w:rFonts w:ascii="Times New Roman" w:hAnsi="Times New Roman" w:cs="Times New Roman"/>
          <w:sz w:val="24"/>
          <w:szCs w:val="24"/>
        </w:rPr>
        <w:t xml:space="preserve">would rather </w:t>
      </w:r>
      <w:r w:rsidR="00524FD6" w:rsidRPr="00774EDB">
        <w:rPr>
          <w:rFonts w:ascii="Times New Roman" w:hAnsi="Times New Roman" w:cs="Times New Roman"/>
          <w:sz w:val="24"/>
          <w:szCs w:val="24"/>
        </w:rPr>
        <w:t xml:space="preserve">be in harmony with international copyright legislation, particularly TRIPS and WCT provisions, which expressly distinguish </w:t>
      </w:r>
      <w:r w:rsidR="001469F8">
        <w:rPr>
          <w:rFonts w:ascii="Times New Roman" w:hAnsi="Times New Roman" w:cs="Times New Roman"/>
          <w:sz w:val="24"/>
          <w:szCs w:val="24"/>
        </w:rPr>
        <w:t>‘</w:t>
      </w:r>
      <w:r w:rsidR="00524FD6" w:rsidRPr="00774EDB">
        <w:rPr>
          <w:rFonts w:ascii="Times New Roman" w:hAnsi="Times New Roman" w:cs="Times New Roman"/>
          <w:sz w:val="24"/>
          <w:szCs w:val="24"/>
        </w:rPr>
        <w:t>methods of operation</w:t>
      </w:r>
      <w:r w:rsidR="001469F8">
        <w:rPr>
          <w:rFonts w:ascii="Times New Roman" w:hAnsi="Times New Roman" w:cs="Times New Roman"/>
          <w:sz w:val="24"/>
          <w:szCs w:val="24"/>
        </w:rPr>
        <w:t>’</w:t>
      </w:r>
      <w:r w:rsidR="00524FD6" w:rsidRPr="00774EDB">
        <w:rPr>
          <w:rFonts w:ascii="Times New Roman" w:hAnsi="Times New Roman" w:cs="Times New Roman"/>
          <w:sz w:val="24"/>
          <w:szCs w:val="24"/>
        </w:rPr>
        <w:t xml:space="preserve"> from copyrightable subject matter.</w:t>
      </w:r>
      <w:r w:rsidR="00524FD6" w:rsidRPr="00774EDB">
        <w:rPr>
          <w:rStyle w:val="FootnoteReference"/>
          <w:rFonts w:ascii="Times New Roman" w:hAnsi="Times New Roman" w:cs="Times New Roman"/>
          <w:sz w:val="24"/>
          <w:szCs w:val="24"/>
        </w:rPr>
        <w:footnoteReference w:id="319"/>
      </w:r>
    </w:p>
    <w:p w14:paraId="1F3A12E5" w14:textId="77777777" w:rsidR="0056694F" w:rsidRPr="00774EDB" w:rsidRDefault="0056694F" w:rsidP="00A70042">
      <w:pPr>
        <w:pStyle w:val="Heading2"/>
        <w:numPr>
          <w:ilvl w:val="1"/>
          <w:numId w:val="33"/>
        </w:numPr>
        <w:spacing w:before="360"/>
        <w:ind w:left="0" w:firstLine="0"/>
        <w:jc w:val="both"/>
        <w:rPr>
          <w:rFonts w:ascii="Times New Roman" w:hAnsi="Times New Roman" w:cs="Times New Roman"/>
          <w:b/>
          <w:sz w:val="24"/>
          <w:szCs w:val="24"/>
        </w:rPr>
      </w:pPr>
      <w:bookmarkStart w:id="301" w:name="_Toc17611390"/>
      <w:bookmarkStart w:id="302" w:name="_Toc17611607"/>
      <w:bookmarkStart w:id="303" w:name="_Toc17611819"/>
      <w:bookmarkStart w:id="304" w:name="_Toc17612033"/>
      <w:bookmarkStart w:id="305" w:name="_Toc17612246"/>
      <w:bookmarkStart w:id="306" w:name="_Toc17611391"/>
      <w:bookmarkStart w:id="307" w:name="_Toc53576050"/>
      <w:bookmarkEnd w:id="301"/>
      <w:bookmarkEnd w:id="302"/>
      <w:bookmarkEnd w:id="303"/>
      <w:bookmarkEnd w:id="304"/>
      <w:bookmarkEnd w:id="305"/>
      <w:r w:rsidRPr="00774EDB">
        <w:rPr>
          <w:rFonts w:ascii="Times New Roman" w:hAnsi="Times New Roman" w:cs="Times New Roman"/>
          <w:b/>
          <w:color w:val="auto"/>
          <w:sz w:val="24"/>
          <w:szCs w:val="24"/>
        </w:rPr>
        <w:t>Patents</w:t>
      </w:r>
      <w:bookmarkEnd w:id="306"/>
      <w:bookmarkEnd w:id="307"/>
      <w:r w:rsidRPr="00774EDB">
        <w:rPr>
          <w:rFonts w:ascii="Times New Roman" w:hAnsi="Times New Roman" w:cs="Times New Roman"/>
          <w:b/>
          <w:sz w:val="24"/>
          <w:szCs w:val="24"/>
        </w:rPr>
        <w:t xml:space="preserve"> </w:t>
      </w:r>
    </w:p>
    <w:p w14:paraId="47562C10" w14:textId="77777777" w:rsidR="00FD6618" w:rsidRPr="00774EDB" w:rsidRDefault="00FD6618" w:rsidP="00A70042">
      <w:pPr>
        <w:pStyle w:val="Heading3"/>
        <w:numPr>
          <w:ilvl w:val="2"/>
          <w:numId w:val="33"/>
        </w:numPr>
        <w:spacing w:before="360"/>
        <w:ind w:left="0" w:firstLine="0"/>
        <w:jc w:val="both"/>
        <w:rPr>
          <w:rFonts w:ascii="Times New Roman" w:hAnsi="Times New Roman" w:cs="Times New Roman"/>
          <w:b/>
          <w:color w:val="auto"/>
        </w:rPr>
      </w:pPr>
      <w:bookmarkStart w:id="308" w:name="_Toc17611392"/>
      <w:bookmarkStart w:id="309" w:name="_Toc17611609"/>
      <w:bookmarkStart w:id="310" w:name="_Toc17611821"/>
      <w:bookmarkStart w:id="311" w:name="_Toc17612035"/>
      <w:bookmarkStart w:id="312" w:name="_Toc17612248"/>
      <w:bookmarkStart w:id="313" w:name="_Toc17611393"/>
      <w:bookmarkStart w:id="314" w:name="_Toc53576051"/>
      <w:bookmarkEnd w:id="308"/>
      <w:bookmarkEnd w:id="309"/>
      <w:bookmarkEnd w:id="310"/>
      <w:bookmarkEnd w:id="311"/>
      <w:bookmarkEnd w:id="312"/>
      <w:r w:rsidRPr="00774EDB">
        <w:rPr>
          <w:rFonts w:ascii="Times New Roman" w:hAnsi="Times New Roman" w:cs="Times New Roman"/>
          <w:b/>
          <w:color w:val="auto"/>
        </w:rPr>
        <w:t xml:space="preserve">General overview of </w:t>
      </w:r>
      <w:r w:rsidR="00D729E9" w:rsidRPr="00774EDB">
        <w:rPr>
          <w:rFonts w:ascii="Times New Roman" w:hAnsi="Times New Roman" w:cs="Times New Roman"/>
          <w:b/>
          <w:color w:val="auto"/>
        </w:rPr>
        <w:t xml:space="preserve">the </w:t>
      </w:r>
      <w:r w:rsidRPr="00774EDB">
        <w:rPr>
          <w:rFonts w:ascii="Times New Roman" w:hAnsi="Times New Roman" w:cs="Times New Roman"/>
          <w:b/>
          <w:color w:val="auto"/>
        </w:rPr>
        <w:t>EU patent regime</w:t>
      </w:r>
      <w:bookmarkEnd w:id="313"/>
      <w:bookmarkEnd w:id="314"/>
      <w:r w:rsidRPr="00774EDB">
        <w:rPr>
          <w:rFonts w:ascii="Times New Roman" w:hAnsi="Times New Roman" w:cs="Times New Roman"/>
          <w:b/>
          <w:color w:val="auto"/>
        </w:rPr>
        <w:t xml:space="preserve"> </w:t>
      </w:r>
    </w:p>
    <w:p w14:paraId="257F4640" w14:textId="02E1F2DB" w:rsidR="002F603B" w:rsidRPr="00774EDB" w:rsidRDefault="003A671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Patents are granted to protect and stimulate inventions. Patents are of high importance in the high technology markets, as every ICT equipped device, including smartphones, computers and semiconductors are built on the patented technologies.</w:t>
      </w:r>
      <w:r w:rsidRPr="00774EDB">
        <w:rPr>
          <w:rStyle w:val="FootnoteReference"/>
          <w:rFonts w:ascii="Times New Roman" w:hAnsi="Times New Roman" w:cs="Times New Roman"/>
          <w:sz w:val="24"/>
          <w:szCs w:val="24"/>
        </w:rPr>
        <w:footnoteReference w:id="320"/>
      </w:r>
      <w:r w:rsidRPr="00774EDB">
        <w:rPr>
          <w:rFonts w:ascii="Times New Roman" w:hAnsi="Times New Roman" w:cs="Times New Roman"/>
          <w:sz w:val="24"/>
          <w:szCs w:val="24"/>
        </w:rPr>
        <w:t xml:space="preserve"> In general, for an invention to be patentable, some conditions must be fulfilled. The inventor who meets these criteria obtains the right to exclude all others without licence from making, using or selling the invention in the particular jurisdiction, usually for 20 years.</w:t>
      </w:r>
      <w:r w:rsidRPr="00774EDB">
        <w:rPr>
          <w:rStyle w:val="FootnoteReference"/>
          <w:rFonts w:ascii="Times New Roman" w:hAnsi="Times New Roman" w:cs="Times New Roman"/>
          <w:sz w:val="24"/>
          <w:szCs w:val="24"/>
        </w:rPr>
        <w:footnoteReference w:id="321"/>
      </w:r>
      <w:r w:rsidRPr="00774EDB">
        <w:rPr>
          <w:rFonts w:ascii="Times New Roman" w:hAnsi="Times New Roman" w:cs="Times New Roman"/>
          <w:sz w:val="24"/>
          <w:szCs w:val="24"/>
        </w:rPr>
        <w:t xml:space="preserve"> In return, patent holders are required to publicise (fully disclose) their inventions. There are several international conventions governing patents, among which, the most prominent ones are TRIPS and the UN WIPO Treaties. According to Article 27(1) of the TRIPS Agreement; “Subject to the provisions of paragraphs 2 and 3, patents shall </w:t>
      </w:r>
      <w:r w:rsidRPr="00774EDB">
        <w:rPr>
          <w:rFonts w:ascii="Times New Roman" w:hAnsi="Times New Roman" w:cs="Times New Roman"/>
          <w:sz w:val="24"/>
          <w:szCs w:val="24"/>
        </w:rPr>
        <w:lastRenderedPageBreak/>
        <w:t>be available for any inventions, whether products or processes, in all fields of technology, provided that they are new, involve an inventive step and are capable of industrial application”.</w:t>
      </w:r>
      <w:r w:rsidRPr="00774EDB">
        <w:rPr>
          <w:rStyle w:val="FootnoteReference"/>
          <w:rFonts w:ascii="Times New Roman" w:hAnsi="Times New Roman" w:cs="Times New Roman"/>
          <w:sz w:val="24"/>
          <w:szCs w:val="24"/>
        </w:rPr>
        <w:footnoteReference w:id="322"/>
      </w:r>
      <w:r w:rsidRPr="00774EDB">
        <w:rPr>
          <w:rFonts w:ascii="Times New Roman" w:hAnsi="Times New Roman" w:cs="Times New Roman"/>
          <w:sz w:val="24"/>
          <w:szCs w:val="24"/>
        </w:rPr>
        <w:t xml:space="preserve"> Similarly, the Paris Convention,</w:t>
      </w:r>
      <w:r w:rsidRPr="00774EDB">
        <w:rPr>
          <w:rStyle w:val="FootnoteReference"/>
          <w:rFonts w:ascii="Times New Roman" w:hAnsi="Times New Roman" w:cs="Times New Roman"/>
          <w:sz w:val="24"/>
          <w:szCs w:val="24"/>
        </w:rPr>
        <w:footnoteReference w:id="323"/>
      </w:r>
      <w:r w:rsidRPr="00774EDB">
        <w:rPr>
          <w:rFonts w:ascii="Times New Roman" w:hAnsi="Times New Roman" w:cs="Times New Roman"/>
          <w:sz w:val="24"/>
          <w:szCs w:val="24"/>
        </w:rPr>
        <w:t xml:space="preserve"> being administered by the WIPO, requires that 20 year patent protection be available for all inventions, whether of products or processes, in almost all fields of technology.</w:t>
      </w:r>
      <w:r w:rsidRPr="00774EDB">
        <w:rPr>
          <w:rStyle w:val="FootnoteReference"/>
          <w:rFonts w:ascii="Times New Roman" w:hAnsi="Times New Roman" w:cs="Times New Roman"/>
          <w:sz w:val="24"/>
          <w:szCs w:val="24"/>
        </w:rPr>
        <w:footnoteReference w:id="324"/>
      </w:r>
    </w:p>
    <w:p w14:paraId="66A7FD66" w14:textId="1A156360" w:rsidR="002A23C3" w:rsidRPr="00774EDB" w:rsidRDefault="0073622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 addition to the abovementioned treaties, the EPC has also a key role in the regulation of patents across the EU.</w:t>
      </w:r>
      <w:r w:rsidRPr="00774EDB">
        <w:rPr>
          <w:rStyle w:val="FootnoteReference"/>
          <w:rFonts w:ascii="Times New Roman" w:hAnsi="Times New Roman" w:cs="Times New Roman"/>
          <w:sz w:val="24"/>
          <w:szCs w:val="24"/>
        </w:rPr>
        <w:footnoteReference w:id="325"/>
      </w:r>
      <w:r w:rsidRPr="00774EDB">
        <w:rPr>
          <w:rFonts w:ascii="Times New Roman" w:hAnsi="Times New Roman" w:cs="Times New Roman"/>
          <w:sz w:val="24"/>
          <w:szCs w:val="24"/>
        </w:rPr>
        <w:t xml:space="preserve"> In EU Member States, inventors can apply through either the national or EPC route, which creates a twin-track system. The EPC route involves an application to the EPO in Munich, the inventor choosing (‘designating’) the European countries in which he wants a patent and paying the relevant fees.</w:t>
      </w:r>
      <w:r w:rsidRPr="00774EDB">
        <w:rPr>
          <w:rStyle w:val="FootnoteReference"/>
          <w:rFonts w:ascii="Times New Roman" w:hAnsi="Times New Roman" w:cs="Times New Roman"/>
          <w:sz w:val="24"/>
          <w:szCs w:val="24"/>
        </w:rPr>
        <w:footnoteReference w:id="326"/>
      </w:r>
      <w:r w:rsidRPr="00774EDB">
        <w:rPr>
          <w:rFonts w:ascii="Times New Roman" w:hAnsi="Times New Roman" w:cs="Times New Roman"/>
          <w:sz w:val="24"/>
          <w:szCs w:val="24"/>
        </w:rPr>
        <w:t xml:space="preserve"> Both European and national patents are granted the same treatment in terms of effectiveness. However, there is neither an EU legal framework nor European court dealing with the patent related issues e.g. infringement and revocation. Therefore, national courts have </w:t>
      </w:r>
      <w:r w:rsidR="00711480">
        <w:rPr>
          <w:rFonts w:ascii="Times New Roman" w:hAnsi="Times New Roman" w:cs="Times New Roman"/>
          <w:sz w:val="24"/>
          <w:szCs w:val="24"/>
        </w:rPr>
        <w:t xml:space="preserve">competence in </w:t>
      </w:r>
      <w:r w:rsidRPr="00774EDB">
        <w:rPr>
          <w:rFonts w:ascii="Times New Roman" w:hAnsi="Times New Roman" w:cs="Times New Roman"/>
          <w:sz w:val="24"/>
          <w:szCs w:val="24"/>
        </w:rPr>
        <w:t>the</w:t>
      </w:r>
      <w:r w:rsidR="00711480">
        <w:rPr>
          <w:rFonts w:ascii="Times New Roman" w:hAnsi="Times New Roman" w:cs="Times New Roman"/>
          <w:sz w:val="24"/>
          <w:szCs w:val="24"/>
        </w:rPr>
        <w:t>ir</w:t>
      </w:r>
      <w:r w:rsidRPr="00774EDB">
        <w:rPr>
          <w:rFonts w:ascii="Times New Roman" w:hAnsi="Times New Roman" w:cs="Times New Roman"/>
          <w:sz w:val="24"/>
          <w:szCs w:val="24"/>
        </w:rPr>
        <w:t xml:space="preserve"> jurisdiction to give an affirmative decision as to whether a patent has been infringed, without being bound up with the EPO case law. Because the EPC does not provide for any supra-national court to rule on European patents once granted, as its Boards of Appeals are merely internal judicial organs overseeing decisions in respect of the grant of patents, there is a serious risk of the courts of the Contracting States applying different standards in cases concerned with validity and infringement.</w:t>
      </w:r>
      <w:r w:rsidRPr="00774EDB">
        <w:rPr>
          <w:rStyle w:val="FootnoteReference"/>
          <w:rFonts w:ascii="Times New Roman" w:hAnsi="Times New Roman" w:cs="Times New Roman"/>
          <w:sz w:val="24"/>
          <w:szCs w:val="24"/>
        </w:rPr>
        <w:footnoteReference w:id="327"/>
      </w:r>
    </w:p>
    <w:p w14:paraId="631126A3" w14:textId="46B36103" w:rsidR="008E5709" w:rsidRPr="00774EDB" w:rsidRDefault="0073622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According to Article 52(1) of the EPC, European patents could be granted for the inventions “which are susceptible of industrial application, which are new and which involve an inventive step”.</w:t>
      </w:r>
      <w:r w:rsidRPr="00774EDB">
        <w:rPr>
          <w:rStyle w:val="FootnoteReference"/>
          <w:rFonts w:ascii="Times New Roman" w:hAnsi="Times New Roman" w:cs="Times New Roman"/>
          <w:sz w:val="24"/>
          <w:szCs w:val="24"/>
        </w:rPr>
        <w:footnoteReference w:id="328"/>
      </w:r>
      <w:r w:rsidRPr="00774EDB">
        <w:rPr>
          <w:rFonts w:ascii="Times New Roman" w:hAnsi="Times New Roman" w:cs="Times New Roman"/>
          <w:sz w:val="24"/>
          <w:szCs w:val="24"/>
        </w:rPr>
        <w:t xml:space="preserve"> As defined by the EPC for patentability, the invention should possess </w:t>
      </w:r>
      <w:r w:rsidRPr="00774EDB">
        <w:rPr>
          <w:rFonts w:ascii="Times New Roman" w:hAnsi="Times New Roman" w:cs="Times New Roman"/>
          <w:i/>
          <w:sz w:val="24"/>
          <w:szCs w:val="24"/>
        </w:rPr>
        <w:t xml:space="preserve">novelty, an inventive step </w:t>
      </w:r>
      <w:r w:rsidRPr="00774EDB">
        <w:rPr>
          <w:rFonts w:ascii="Times New Roman" w:hAnsi="Times New Roman" w:cs="Times New Roman"/>
          <w:sz w:val="24"/>
          <w:szCs w:val="24"/>
        </w:rPr>
        <w:t>and</w:t>
      </w:r>
      <w:r w:rsidRPr="00774EDB">
        <w:rPr>
          <w:rFonts w:ascii="Times New Roman" w:hAnsi="Times New Roman" w:cs="Times New Roman"/>
          <w:i/>
          <w:sz w:val="24"/>
          <w:szCs w:val="24"/>
        </w:rPr>
        <w:t xml:space="preserve"> industrial applicability</w:t>
      </w:r>
      <w:r w:rsidRPr="00774EDB">
        <w:rPr>
          <w:rFonts w:ascii="Times New Roman" w:hAnsi="Times New Roman" w:cs="Times New Roman"/>
          <w:sz w:val="24"/>
          <w:szCs w:val="24"/>
        </w:rPr>
        <w:t xml:space="preserve">, not consisting of </w:t>
      </w:r>
      <w:r w:rsidRPr="00774EDB">
        <w:rPr>
          <w:rFonts w:ascii="Times New Roman" w:hAnsi="Times New Roman" w:cs="Times New Roman"/>
          <w:i/>
          <w:sz w:val="24"/>
          <w:szCs w:val="24"/>
        </w:rPr>
        <w:t>excluded subject matter</w:t>
      </w:r>
      <w:r w:rsidRPr="00774EDB">
        <w:rPr>
          <w:rFonts w:ascii="Times New Roman" w:hAnsi="Times New Roman" w:cs="Times New Roman"/>
          <w:sz w:val="24"/>
          <w:szCs w:val="24"/>
        </w:rPr>
        <w:t xml:space="preserve"> or any of the </w:t>
      </w:r>
      <w:r w:rsidRPr="00774EDB">
        <w:rPr>
          <w:rFonts w:ascii="Times New Roman" w:hAnsi="Times New Roman" w:cs="Times New Roman"/>
          <w:i/>
          <w:sz w:val="24"/>
          <w:szCs w:val="24"/>
        </w:rPr>
        <w:t>exceptions</w:t>
      </w:r>
      <w:r w:rsidRPr="00774EDB">
        <w:rPr>
          <w:rFonts w:ascii="Times New Roman" w:hAnsi="Times New Roman" w:cs="Times New Roman"/>
          <w:sz w:val="24"/>
          <w:szCs w:val="24"/>
        </w:rPr>
        <w:t xml:space="preserve"> to patentability.</w:t>
      </w:r>
      <w:r w:rsidRPr="00774EDB">
        <w:rPr>
          <w:rStyle w:val="FootnoteReference"/>
          <w:rFonts w:ascii="Times New Roman" w:hAnsi="Times New Roman" w:cs="Times New Roman"/>
          <w:sz w:val="24"/>
          <w:szCs w:val="24"/>
        </w:rPr>
        <w:footnoteReference w:id="329"/>
      </w:r>
      <w:r w:rsidRPr="00774EDB">
        <w:rPr>
          <w:rFonts w:ascii="Times New Roman" w:hAnsi="Times New Roman" w:cs="Times New Roman"/>
          <w:sz w:val="24"/>
          <w:szCs w:val="24"/>
        </w:rPr>
        <w:t xml:space="preserve"> According to Article 52(2) of the EPC, the following items </w:t>
      </w:r>
      <w:r w:rsidRPr="00774EDB">
        <w:rPr>
          <w:rFonts w:ascii="Times New Roman" w:hAnsi="Times New Roman" w:cs="Times New Roman"/>
          <w:i/>
          <w:sz w:val="24"/>
          <w:szCs w:val="24"/>
        </w:rPr>
        <w:t>in particular</w:t>
      </w:r>
      <w:r w:rsidRPr="00774EDB">
        <w:rPr>
          <w:rFonts w:ascii="Times New Roman" w:hAnsi="Times New Roman" w:cs="Times New Roman"/>
          <w:sz w:val="24"/>
          <w:szCs w:val="24"/>
        </w:rPr>
        <w:t xml:space="preserve"> are not regarded as inventions for the purpose of patentability:</w:t>
      </w:r>
    </w:p>
    <w:p w14:paraId="24042A7C" w14:textId="61F934AB" w:rsidR="008E5709" w:rsidRPr="00774EDB" w:rsidRDefault="008E5709" w:rsidP="00A70042">
      <w:pPr>
        <w:pStyle w:val="ListParagraph"/>
        <w:numPr>
          <w:ilvl w:val="0"/>
          <w:numId w:val="36"/>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discoveries, scientific theories and mathematical methods;</w:t>
      </w:r>
    </w:p>
    <w:p w14:paraId="4EDEA6C5" w14:textId="5E91B9FD" w:rsidR="008E5709" w:rsidRPr="00774EDB" w:rsidRDefault="008E5709" w:rsidP="00A70042">
      <w:pPr>
        <w:pStyle w:val="ListParagraph"/>
        <w:numPr>
          <w:ilvl w:val="0"/>
          <w:numId w:val="36"/>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aesthetic creations;</w:t>
      </w:r>
    </w:p>
    <w:p w14:paraId="4EB0B798" w14:textId="7A7D0B1D" w:rsidR="008E5709" w:rsidRPr="00774EDB" w:rsidRDefault="008E5709" w:rsidP="00A70042">
      <w:pPr>
        <w:pStyle w:val="ListParagraph"/>
        <w:numPr>
          <w:ilvl w:val="0"/>
          <w:numId w:val="36"/>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schemes, rules and methods for performing men</w:t>
      </w:r>
      <w:r w:rsidR="007A6386" w:rsidRPr="00774EDB">
        <w:rPr>
          <w:rFonts w:ascii="Times New Roman" w:hAnsi="Times New Roman" w:cs="Times New Roman"/>
          <w:sz w:val="24"/>
          <w:szCs w:val="24"/>
        </w:rPr>
        <w:t xml:space="preserve">tal acts, playing games </w:t>
      </w:r>
      <w:r w:rsidRPr="00774EDB">
        <w:rPr>
          <w:rFonts w:ascii="Times New Roman" w:hAnsi="Times New Roman" w:cs="Times New Roman"/>
          <w:sz w:val="24"/>
          <w:szCs w:val="24"/>
        </w:rPr>
        <w:t xml:space="preserve">or doing business, and </w:t>
      </w:r>
      <w:r w:rsidRPr="00774EDB">
        <w:rPr>
          <w:rFonts w:ascii="Times New Roman" w:hAnsi="Times New Roman" w:cs="Times New Roman"/>
          <w:i/>
          <w:sz w:val="24"/>
          <w:szCs w:val="24"/>
        </w:rPr>
        <w:t>programs for computers</w:t>
      </w:r>
      <w:r w:rsidRPr="00774EDB">
        <w:rPr>
          <w:rFonts w:ascii="Times New Roman" w:hAnsi="Times New Roman" w:cs="Times New Roman"/>
          <w:sz w:val="24"/>
          <w:szCs w:val="24"/>
        </w:rPr>
        <w:t>;</w:t>
      </w:r>
    </w:p>
    <w:p w14:paraId="6C802EDD" w14:textId="5935823B" w:rsidR="008E5709" w:rsidRPr="00774EDB" w:rsidRDefault="008E5709" w:rsidP="00A70042">
      <w:pPr>
        <w:pStyle w:val="ListParagraph"/>
        <w:numPr>
          <w:ilvl w:val="0"/>
          <w:numId w:val="36"/>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 xml:space="preserve">presentations of information.  </w:t>
      </w:r>
    </w:p>
    <w:p w14:paraId="745C7A48" w14:textId="41920E1A" w:rsidR="008E213D" w:rsidRPr="00774EDB" w:rsidRDefault="0073622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While the above given non-exhaustive list denotes the excluded subject matter,</w:t>
      </w:r>
      <w:r w:rsidRPr="00774EDB">
        <w:rPr>
          <w:rStyle w:val="FootnoteReference"/>
          <w:rFonts w:ascii="Times New Roman" w:hAnsi="Times New Roman" w:cs="Times New Roman"/>
          <w:sz w:val="24"/>
          <w:szCs w:val="24"/>
        </w:rPr>
        <w:footnoteReference w:id="330"/>
      </w:r>
      <w:r w:rsidRPr="00774EDB">
        <w:rPr>
          <w:rFonts w:ascii="Times New Roman" w:hAnsi="Times New Roman" w:cs="Times New Roman"/>
          <w:sz w:val="24"/>
          <w:szCs w:val="24"/>
        </w:rPr>
        <w:t xml:space="preserve"> ‘exceptions’ to patentability are placed under Article 53 of the EPC. Such exceptions include the inventions which are contrary to public order or morality, those involving plant and animal varieties or essentially biological processes for the production of plants or animals, and those incorporating the methods of treatment and diagnostic methods practised on the human or animal body.</w:t>
      </w:r>
      <w:r w:rsidR="00711480">
        <w:rPr>
          <w:rStyle w:val="FootnoteReference"/>
          <w:rFonts w:ascii="Times New Roman" w:hAnsi="Times New Roman" w:cs="Times New Roman"/>
          <w:sz w:val="24"/>
          <w:szCs w:val="24"/>
        </w:rPr>
        <w:footnoteReference w:id="331"/>
      </w:r>
      <w:r w:rsidRPr="00774EDB">
        <w:rPr>
          <w:rFonts w:ascii="Times New Roman" w:hAnsi="Times New Roman" w:cs="Times New Roman"/>
          <w:sz w:val="24"/>
          <w:szCs w:val="24"/>
        </w:rPr>
        <w:t xml:space="preserve"> </w:t>
      </w:r>
      <w:r w:rsidR="005C229D" w:rsidRPr="00774EDB">
        <w:rPr>
          <w:rFonts w:ascii="Times New Roman" w:hAnsi="Times New Roman" w:cs="Times New Roman"/>
          <w:sz w:val="24"/>
          <w:szCs w:val="24"/>
        </w:rPr>
        <w:t xml:space="preserve"> </w:t>
      </w:r>
    </w:p>
    <w:p w14:paraId="1F8ED374" w14:textId="77777777" w:rsidR="008634A5" w:rsidRPr="00774EDB" w:rsidRDefault="008634A5" w:rsidP="00A70042">
      <w:pPr>
        <w:pStyle w:val="Heading3"/>
        <w:numPr>
          <w:ilvl w:val="2"/>
          <w:numId w:val="33"/>
        </w:numPr>
        <w:spacing w:before="360"/>
        <w:ind w:left="0" w:firstLine="0"/>
        <w:jc w:val="both"/>
        <w:rPr>
          <w:rFonts w:ascii="Times New Roman" w:hAnsi="Times New Roman" w:cs="Times New Roman"/>
          <w:b/>
        </w:rPr>
      </w:pPr>
      <w:bookmarkStart w:id="315" w:name="_Toc17611394"/>
      <w:bookmarkStart w:id="316" w:name="_Toc17611611"/>
      <w:bookmarkStart w:id="317" w:name="_Toc17611823"/>
      <w:bookmarkStart w:id="318" w:name="_Toc17612037"/>
      <w:bookmarkStart w:id="319" w:name="_Toc17612250"/>
      <w:bookmarkStart w:id="320" w:name="_Toc17611395"/>
      <w:bookmarkStart w:id="321" w:name="_Toc53576052"/>
      <w:bookmarkEnd w:id="315"/>
      <w:bookmarkEnd w:id="316"/>
      <w:bookmarkEnd w:id="317"/>
      <w:bookmarkEnd w:id="318"/>
      <w:bookmarkEnd w:id="319"/>
      <w:r w:rsidRPr="00774EDB">
        <w:rPr>
          <w:rFonts w:ascii="Times New Roman" w:hAnsi="Times New Roman" w:cs="Times New Roman"/>
          <w:b/>
          <w:color w:val="auto"/>
        </w:rPr>
        <w:lastRenderedPageBreak/>
        <w:t xml:space="preserve">Patentability of software </w:t>
      </w:r>
      <w:r w:rsidR="00FD6618" w:rsidRPr="00774EDB">
        <w:rPr>
          <w:rFonts w:ascii="Times New Roman" w:hAnsi="Times New Roman" w:cs="Times New Roman"/>
          <w:b/>
          <w:color w:val="auto"/>
        </w:rPr>
        <w:t xml:space="preserve">and interfaces </w:t>
      </w:r>
      <w:r w:rsidRPr="00774EDB">
        <w:rPr>
          <w:rFonts w:ascii="Times New Roman" w:hAnsi="Times New Roman" w:cs="Times New Roman"/>
          <w:b/>
          <w:color w:val="auto"/>
        </w:rPr>
        <w:t xml:space="preserve">under </w:t>
      </w:r>
      <w:r w:rsidR="00736225" w:rsidRPr="00774EDB">
        <w:rPr>
          <w:rFonts w:ascii="Times New Roman" w:hAnsi="Times New Roman" w:cs="Times New Roman"/>
          <w:b/>
          <w:color w:val="auto"/>
        </w:rPr>
        <w:t xml:space="preserve">the </w:t>
      </w:r>
      <w:r w:rsidR="00A41F5B" w:rsidRPr="00774EDB">
        <w:rPr>
          <w:rFonts w:ascii="Times New Roman" w:hAnsi="Times New Roman" w:cs="Times New Roman"/>
          <w:b/>
          <w:color w:val="auto"/>
        </w:rPr>
        <w:t>EU patent regime</w:t>
      </w:r>
      <w:bookmarkEnd w:id="320"/>
      <w:bookmarkEnd w:id="321"/>
    </w:p>
    <w:p w14:paraId="16E633DA" w14:textId="77777777" w:rsidR="00670EF8" w:rsidRPr="00774EDB" w:rsidRDefault="0073622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While there is no argument against the patentability of computer technology in the sense of hardware, significant issues arise on the software side.</w:t>
      </w:r>
      <w:r w:rsidRPr="00774EDB">
        <w:rPr>
          <w:rStyle w:val="FootnoteReference"/>
          <w:rFonts w:ascii="Times New Roman" w:hAnsi="Times New Roman" w:cs="Times New Roman"/>
          <w:sz w:val="24"/>
          <w:szCs w:val="24"/>
        </w:rPr>
        <w:footnoteReference w:id="332"/>
      </w:r>
      <w:r w:rsidRPr="00774EDB">
        <w:rPr>
          <w:rFonts w:ascii="Times New Roman" w:hAnsi="Times New Roman" w:cs="Times New Roman"/>
          <w:sz w:val="24"/>
          <w:szCs w:val="24"/>
        </w:rPr>
        <w:t xml:space="preserve"> Principally, non-patentable items under the EPC consist of a number of “subject-matter or activities </w:t>
      </w:r>
      <w:r w:rsidRPr="00774EDB">
        <w:rPr>
          <w:rFonts w:ascii="Times New Roman" w:hAnsi="Times New Roman" w:cs="Times New Roman"/>
          <w:i/>
          <w:sz w:val="24"/>
          <w:szCs w:val="24"/>
        </w:rPr>
        <w:t>as such</w:t>
      </w:r>
      <w:r w:rsidRPr="00774EDB">
        <w:rPr>
          <w:rFonts w:ascii="Times New Roman" w:hAnsi="Times New Roman" w:cs="Times New Roman"/>
          <w:sz w:val="24"/>
          <w:szCs w:val="24"/>
        </w:rPr>
        <w:t>”, including computer programs. Nevertheless, it is widely acknowledged that computer-implemented inventions could be covered by Article 52(1) of the EPC, which affirms patentability of industrial applications. Having said that, computer programs could not be patentable if they are meant to be inventions themselves. That is to say, software components of inventions could benefit from the European patent regime insofar as they are purported to be an industrial application. The key point that needs to be taken into account for patentability is the ‘technical character’ required for the computer programs. According to the EPC, they need to meet the criteria of ‘novelty’, ‘inventive step’ and ‘industrial application’.</w:t>
      </w:r>
      <w:r w:rsidRPr="00774EDB">
        <w:rPr>
          <w:rStyle w:val="FootnoteReference"/>
          <w:rFonts w:ascii="Times New Roman" w:hAnsi="Times New Roman" w:cs="Times New Roman"/>
          <w:sz w:val="24"/>
          <w:szCs w:val="24"/>
        </w:rPr>
        <w:footnoteReference w:id="333"/>
      </w:r>
    </w:p>
    <w:p w14:paraId="32AA2145" w14:textId="3279876A" w:rsidR="00C53916" w:rsidRPr="00774EDB" w:rsidRDefault="0073622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According to the EPO, the subject matter for which </w:t>
      </w:r>
      <w:r w:rsidR="00B44A71">
        <w:rPr>
          <w:rFonts w:ascii="Times New Roman" w:hAnsi="Times New Roman" w:cs="Times New Roman"/>
          <w:sz w:val="24"/>
          <w:szCs w:val="24"/>
        </w:rPr>
        <w:t>patent</w:t>
      </w:r>
      <w:r w:rsidR="00B44A71" w:rsidRPr="00774EDB">
        <w:rPr>
          <w:rFonts w:ascii="Times New Roman" w:hAnsi="Times New Roman" w:cs="Times New Roman"/>
          <w:sz w:val="24"/>
          <w:szCs w:val="24"/>
        </w:rPr>
        <w:t xml:space="preserve"> </w:t>
      </w:r>
      <w:r w:rsidRPr="00774EDB">
        <w:rPr>
          <w:rFonts w:ascii="Times New Roman" w:hAnsi="Times New Roman" w:cs="Times New Roman"/>
          <w:sz w:val="24"/>
          <w:szCs w:val="24"/>
        </w:rPr>
        <w:t>is sought must have a technical character, more precisely, involve a “technical teaching”; that is an instruction addressed to a skilled person as to how to solve a particular technical problem, rather than, for example, a purely financial, commercial or mathematical problem, using particular technical means.</w:t>
      </w:r>
      <w:r w:rsidRPr="00774EDB">
        <w:rPr>
          <w:rStyle w:val="FootnoteReference"/>
          <w:rFonts w:ascii="Times New Roman" w:hAnsi="Times New Roman" w:cs="Times New Roman"/>
          <w:sz w:val="24"/>
          <w:szCs w:val="24"/>
        </w:rPr>
        <w:footnoteReference w:id="334"/>
      </w:r>
      <w:r w:rsidRPr="00774EDB">
        <w:rPr>
          <w:rFonts w:ascii="Times New Roman" w:hAnsi="Times New Roman" w:cs="Times New Roman"/>
          <w:sz w:val="24"/>
          <w:szCs w:val="24"/>
        </w:rPr>
        <w:t xml:space="preserve"> The Board of Appeal of the EPO set forth that a patent cannot be granted if the software is a mere implementation of an invention </w:t>
      </w:r>
      <w:r w:rsidRPr="00774EDB">
        <w:rPr>
          <w:rFonts w:ascii="Times New Roman" w:hAnsi="Times New Roman" w:cs="Times New Roman"/>
          <w:sz w:val="24"/>
          <w:szCs w:val="24"/>
        </w:rPr>
        <w:lastRenderedPageBreak/>
        <w:t>with no technical teaching.</w:t>
      </w:r>
      <w:r w:rsidRPr="00774EDB">
        <w:rPr>
          <w:rStyle w:val="FootnoteReference"/>
          <w:rFonts w:ascii="Times New Roman" w:hAnsi="Times New Roman" w:cs="Times New Roman"/>
          <w:sz w:val="24"/>
          <w:szCs w:val="24"/>
        </w:rPr>
        <w:footnoteReference w:id="335"/>
      </w:r>
      <w:r w:rsidRPr="00774EDB">
        <w:rPr>
          <w:rFonts w:ascii="Times New Roman" w:hAnsi="Times New Roman" w:cs="Times New Roman"/>
          <w:sz w:val="24"/>
          <w:szCs w:val="24"/>
        </w:rPr>
        <w:t xml:space="preserve"> However, there will be no bar to patent protection for those inventions that are implemented through computer programs, if that implementation represents the solution to a technical problem.</w:t>
      </w:r>
      <w:r w:rsidRPr="00774EDB">
        <w:rPr>
          <w:rStyle w:val="FootnoteReference"/>
          <w:rFonts w:ascii="Times New Roman" w:hAnsi="Times New Roman" w:cs="Times New Roman"/>
          <w:sz w:val="24"/>
          <w:szCs w:val="24"/>
        </w:rPr>
        <w:footnoteReference w:id="336"/>
      </w:r>
      <w:r w:rsidRPr="00774EDB">
        <w:rPr>
          <w:rFonts w:ascii="Times New Roman" w:hAnsi="Times New Roman" w:cs="Times New Roman"/>
          <w:sz w:val="24"/>
          <w:szCs w:val="24"/>
        </w:rPr>
        <w:t xml:space="preserve"> Therefore, inventions having a technical character that are or may be implemented by computer programs e.g. refrigerators, washing machines, mobile phones, anti-lock braking systems (ABS) for cars, DVD players, medical imaging (X-Ray) and aircraft navigation systems, may well be patentable.</w:t>
      </w:r>
      <w:r w:rsidRPr="00774EDB">
        <w:rPr>
          <w:rStyle w:val="FootnoteReference"/>
          <w:rFonts w:ascii="Times New Roman" w:hAnsi="Times New Roman" w:cs="Times New Roman"/>
          <w:sz w:val="24"/>
          <w:szCs w:val="24"/>
        </w:rPr>
        <w:footnoteReference w:id="337"/>
      </w:r>
    </w:p>
    <w:p w14:paraId="616E3454" w14:textId="392F69D6" w:rsidR="00736225" w:rsidRPr="00774EDB" w:rsidRDefault="0073622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To put in a nutshell, patents could be granted for programming the software aiming at a computerised (industrial) solution. This very aim also goes for the ‘interfaces’ that either enable a computer program’s internal design or ensures its interoperability with </w:t>
      </w:r>
      <w:r w:rsidR="00B44A71">
        <w:rPr>
          <w:rFonts w:ascii="Times New Roman" w:hAnsi="Times New Roman" w:cs="Times New Roman"/>
          <w:sz w:val="24"/>
          <w:szCs w:val="24"/>
        </w:rPr>
        <w:t xml:space="preserve">other </w:t>
      </w:r>
      <w:r w:rsidRPr="00774EDB">
        <w:rPr>
          <w:rFonts w:ascii="Times New Roman" w:hAnsi="Times New Roman" w:cs="Times New Roman"/>
          <w:sz w:val="24"/>
          <w:szCs w:val="24"/>
        </w:rPr>
        <w:t xml:space="preserve">competing programs. Such interfaces are often distributed to third parties in object, machine-readable codes, so as to prevent unlicensed uses and copies. As the concealed, human-readable APIs could not normally be found out by executing commercially distributed object codes, access seekers </w:t>
      </w:r>
      <w:r w:rsidR="00317CEC" w:rsidRPr="00774EDB">
        <w:rPr>
          <w:rFonts w:ascii="Times New Roman" w:hAnsi="Times New Roman" w:cs="Times New Roman"/>
          <w:sz w:val="24"/>
          <w:szCs w:val="24"/>
        </w:rPr>
        <w:t>would have to use</w:t>
      </w:r>
      <w:r w:rsidRPr="00774EDB">
        <w:rPr>
          <w:rFonts w:ascii="Times New Roman" w:hAnsi="Times New Roman" w:cs="Times New Roman"/>
          <w:sz w:val="24"/>
          <w:szCs w:val="24"/>
        </w:rPr>
        <w:t xml:space="preserve"> </w:t>
      </w:r>
      <w:r w:rsidR="00317CEC" w:rsidRPr="00774EDB">
        <w:rPr>
          <w:rFonts w:ascii="Times New Roman" w:hAnsi="Times New Roman" w:cs="Times New Roman"/>
          <w:sz w:val="24"/>
          <w:szCs w:val="24"/>
        </w:rPr>
        <w:t xml:space="preserve">reverse and </w:t>
      </w:r>
      <w:r w:rsidRPr="00774EDB">
        <w:rPr>
          <w:rFonts w:ascii="Times New Roman" w:hAnsi="Times New Roman" w:cs="Times New Roman"/>
          <w:sz w:val="24"/>
          <w:szCs w:val="24"/>
        </w:rPr>
        <w:t>social engineering i.e. observation and testing processes, to identify the interfaces at stake. To pre-empt such attempts from the outset, many software programmers and/or product designers hold patents, as well as copyrights, pertaining to such interfaces. The main factor that makes patents preferable is their power to enable the rights holders to far more easily detect and claim infringement against unlicensed products.</w:t>
      </w:r>
      <w:r w:rsidR="008B72E9">
        <w:rPr>
          <w:rStyle w:val="FootnoteReference"/>
          <w:rFonts w:ascii="Times New Roman" w:hAnsi="Times New Roman" w:cs="Times New Roman"/>
          <w:sz w:val="24"/>
          <w:szCs w:val="24"/>
        </w:rPr>
        <w:footnoteReference w:id="338"/>
      </w:r>
      <w:r w:rsidRPr="00774EDB">
        <w:rPr>
          <w:rFonts w:ascii="Times New Roman" w:hAnsi="Times New Roman" w:cs="Times New Roman"/>
          <w:sz w:val="24"/>
          <w:szCs w:val="24"/>
        </w:rPr>
        <w:t xml:space="preserve"> Indeed, the exclusionary power of patents is strong and effective even </w:t>
      </w:r>
      <w:r w:rsidRPr="00774EDB">
        <w:rPr>
          <w:rFonts w:ascii="Times New Roman" w:hAnsi="Times New Roman" w:cs="Times New Roman"/>
          <w:sz w:val="24"/>
          <w:szCs w:val="24"/>
        </w:rPr>
        <w:lastRenderedPageBreak/>
        <w:t>when the technical design disclosed in the patent is only modestly innovative or an arbitrary variation on an existing technique.</w:t>
      </w:r>
      <w:r w:rsidRPr="00774EDB">
        <w:rPr>
          <w:rStyle w:val="FootnoteReference"/>
          <w:rFonts w:ascii="Times New Roman" w:hAnsi="Times New Roman" w:cs="Times New Roman"/>
          <w:sz w:val="24"/>
          <w:szCs w:val="24"/>
        </w:rPr>
        <w:footnoteReference w:id="339"/>
      </w:r>
    </w:p>
    <w:p w14:paraId="6213D688" w14:textId="4334621A" w:rsidR="009C2916" w:rsidRPr="00774EDB" w:rsidRDefault="00255C3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fact that ICTs are based on </w:t>
      </w:r>
      <w:r w:rsidR="008B72E9">
        <w:rPr>
          <w:rFonts w:ascii="Times New Roman" w:hAnsi="Times New Roman" w:cs="Times New Roman"/>
          <w:sz w:val="24"/>
          <w:szCs w:val="24"/>
        </w:rPr>
        <w:t xml:space="preserve">incrementally developed </w:t>
      </w:r>
      <w:r w:rsidRPr="00774EDB">
        <w:rPr>
          <w:rFonts w:ascii="Times New Roman" w:hAnsi="Times New Roman" w:cs="Times New Roman"/>
          <w:sz w:val="24"/>
          <w:szCs w:val="24"/>
        </w:rPr>
        <w:t xml:space="preserve">software that are highly dependent on abstract algorithms arouses a long-standing debate as to what extent software ought to be patented, incorporating the interfaces. On both sides of the Atlantic, patentability of software and related interfaces has thus far been a matter of conflict among access/license seekers and patent holders. The ease for rights holders to claim infringement does have an effect to dissuade third parties from </w:t>
      </w:r>
      <w:r w:rsidRPr="00774EDB">
        <w:rPr>
          <w:rFonts w:ascii="Times New Roman" w:hAnsi="Times New Roman" w:cs="Times New Roman"/>
          <w:i/>
          <w:iCs/>
          <w:sz w:val="24"/>
          <w:szCs w:val="24"/>
        </w:rPr>
        <w:t>making</w:t>
      </w:r>
      <w:r w:rsidRPr="00774EDB">
        <w:rPr>
          <w:rFonts w:ascii="Times New Roman" w:hAnsi="Times New Roman" w:cs="Times New Roman"/>
          <w:sz w:val="24"/>
          <w:szCs w:val="24"/>
        </w:rPr>
        <w:t xml:space="preserve"> or </w:t>
      </w:r>
      <w:r w:rsidRPr="00774EDB">
        <w:rPr>
          <w:rFonts w:ascii="Times New Roman" w:hAnsi="Times New Roman" w:cs="Times New Roman"/>
          <w:i/>
          <w:iCs/>
          <w:sz w:val="24"/>
          <w:szCs w:val="24"/>
        </w:rPr>
        <w:t>using</w:t>
      </w:r>
      <w:r w:rsidRPr="00774EDB">
        <w:rPr>
          <w:rFonts w:ascii="Times New Roman" w:hAnsi="Times New Roman" w:cs="Times New Roman"/>
          <w:sz w:val="24"/>
          <w:szCs w:val="24"/>
        </w:rPr>
        <w:t xml:space="preserve"> the patents.</w:t>
      </w:r>
      <w:r w:rsidR="00317CEC" w:rsidRPr="00774EDB">
        <w:rPr>
          <w:rStyle w:val="FootnoteReference"/>
          <w:rFonts w:ascii="Times New Roman" w:hAnsi="Times New Roman" w:cs="Times New Roman"/>
          <w:sz w:val="24"/>
          <w:szCs w:val="24"/>
        </w:rPr>
        <w:footnoteReference w:id="340"/>
      </w:r>
      <w:r w:rsidRPr="00774EDB">
        <w:rPr>
          <w:rFonts w:ascii="Times New Roman" w:hAnsi="Times New Roman" w:cs="Times New Roman"/>
          <w:sz w:val="24"/>
          <w:szCs w:val="24"/>
        </w:rPr>
        <w:t xml:space="preserve"> Moreover, there is not an exceptional right e.g. such as decompilation, for the purpose of </w:t>
      </w:r>
      <w:r w:rsidR="00B43B5C">
        <w:rPr>
          <w:rFonts w:ascii="Times New Roman" w:hAnsi="Times New Roman" w:cs="Times New Roman"/>
          <w:sz w:val="24"/>
          <w:szCs w:val="24"/>
        </w:rPr>
        <w:t xml:space="preserve"> </w:t>
      </w:r>
      <w:r w:rsidRPr="00774EDB">
        <w:rPr>
          <w:rFonts w:ascii="Times New Roman" w:hAnsi="Times New Roman" w:cs="Times New Roman"/>
          <w:sz w:val="24"/>
          <w:szCs w:val="24"/>
        </w:rPr>
        <w:t>interoperability under the European patent regime as opposed to the copyright regime. As is well-known from the patent wars in the smartphone industry, patents are claimed by their owners as a strategic and pre-emptive tool against their competitors.</w:t>
      </w:r>
      <w:r w:rsidRPr="00774EDB">
        <w:rPr>
          <w:rStyle w:val="FootnoteReference"/>
          <w:rFonts w:ascii="Times New Roman" w:hAnsi="Times New Roman" w:cs="Times New Roman"/>
          <w:sz w:val="24"/>
          <w:szCs w:val="24"/>
        </w:rPr>
        <w:footnoteReference w:id="341"/>
      </w:r>
    </w:p>
    <w:p w14:paraId="366A4CD3" w14:textId="717BF7FB" w:rsidR="001E49B2" w:rsidRPr="00A70042" w:rsidRDefault="00255C3F"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Hence, the allowance of widespread software patents in both the European and global systems is open to criticism. The cumulativeness and complexity of innovation in ICTs makes the role of patents less clear-cut, provided that a strengthening of the protection they guarantee may have heterogenous effects on the different generations of innovators.</w:t>
      </w:r>
      <w:r w:rsidRPr="00A70042">
        <w:rPr>
          <w:rStyle w:val="FootnoteReference"/>
          <w:rFonts w:ascii="Times New Roman" w:hAnsi="Times New Roman" w:cs="Times New Roman"/>
          <w:spacing w:val="-2"/>
          <w:sz w:val="24"/>
          <w:szCs w:val="24"/>
        </w:rPr>
        <w:footnoteReference w:id="342"/>
      </w:r>
      <w:r w:rsidRPr="00A70042">
        <w:rPr>
          <w:rFonts w:ascii="Times New Roman" w:hAnsi="Times New Roman" w:cs="Times New Roman"/>
          <w:spacing w:val="-2"/>
          <w:sz w:val="24"/>
          <w:szCs w:val="24"/>
        </w:rPr>
        <w:t xml:space="preserve"> The social value of early innovations is not only related to the utility generated from their use, but also to the positive externality they contribute to future </w:t>
      </w:r>
      <w:r w:rsidRPr="00A70042">
        <w:rPr>
          <w:rFonts w:ascii="Times New Roman" w:hAnsi="Times New Roman" w:cs="Times New Roman"/>
          <w:spacing w:val="-2"/>
          <w:sz w:val="24"/>
          <w:szCs w:val="24"/>
        </w:rPr>
        <w:lastRenderedPageBreak/>
        <w:t>applications/developments.</w:t>
      </w:r>
      <w:r w:rsidRPr="00A70042">
        <w:rPr>
          <w:rStyle w:val="FootnoteReference"/>
          <w:rFonts w:ascii="Times New Roman" w:hAnsi="Times New Roman" w:cs="Times New Roman"/>
          <w:spacing w:val="-2"/>
          <w:sz w:val="24"/>
          <w:szCs w:val="24"/>
        </w:rPr>
        <w:footnoteReference w:id="343"/>
      </w:r>
      <w:r w:rsidR="00B43B5C">
        <w:rPr>
          <w:rFonts w:ascii="Times New Roman" w:hAnsi="Times New Roman" w:cs="Times New Roman"/>
          <w:spacing w:val="-2"/>
          <w:sz w:val="24"/>
          <w:szCs w:val="24"/>
        </w:rPr>
        <w:t xml:space="preserve"> </w:t>
      </w:r>
      <w:r w:rsidR="00B43B5C" w:rsidRPr="00A70042">
        <w:rPr>
          <w:rFonts w:ascii="Times New Roman" w:hAnsi="Times New Roman" w:cs="Times New Roman"/>
          <w:spacing w:val="-2"/>
          <w:sz w:val="24"/>
          <w:szCs w:val="24"/>
        </w:rPr>
        <w:t>From th</w:t>
      </w:r>
      <w:r w:rsidR="00B43B5C">
        <w:rPr>
          <w:rFonts w:ascii="Times New Roman" w:hAnsi="Times New Roman" w:cs="Times New Roman"/>
          <w:spacing w:val="-2"/>
          <w:sz w:val="24"/>
          <w:szCs w:val="24"/>
        </w:rPr>
        <w:t>is</w:t>
      </w:r>
      <w:r w:rsidR="00B43B5C" w:rsidRPr="00A70042">
        <w:rPr>
          <w:rFonts w:ascii="Times New Roman" w:hAnsi="Times New Roman" w:cs="Times New Roman"/>
          <w:spacing w:val="-2"/>
          <w:sz w:val="24"/>
          <w:szCs w:val="24"/>
        </w:rPr>
        <w:t xml:space="preserve"> viewpoint, </w:t>
      </w:r>
      <w:r w:rsidR="00184D8F">
        <w:rPr>
          <w:rFonts w:ascii="Times New Roman" w:hAnsi="Times New Roman" w:cs="Times New Roman"/>
          <w:spacing w:val="-2"/>
          <w:sz w:val="24"/>
          <w:szCs w:val="24"/>
        </w:rPr>
        <w:t xml:space="preserve">it would be argued </w:t>
      </w:r>
      <w:r w:rsidR="00B43B5C" w:rsidRPr="00A70042">
        <w:rPr>
          <w:rFonts w:ascii="Times New Roman" w:hAnsi="Times New Roman" w:cs="Times New Roman"/>
          <w:spacing w:val="-2"/>
          <w:sz w:val="24"/>
          <w:szCs w:val="24"/>
        </w:rPr>
        <w:t xml:space="preserve">next generation inventions should be given </w:t>
      </w:r>
      <w:r w:rsidR="00F76A82">
        <w:rPr>
          <w:rFonts w:ascii="Times New Roman" w:hAnsi="Times New Roman" w:cs="Times New Roman"/>
          <w:spacing w:val="-2"/>
          <w:sz w:val="24"/>
          <w:szCs w:val="24"/>
        </w:rPr>
        <w:t>lee</w:t>
      </w:r>
      <w:r w:rsidR="00B43B5C" w:rsidRPr="00A70042">
        <w:rPr>
          <w:rFonts w:ascii="Times New Roman" w:hAnsi="Times New Roman" w:cs="Times New Roman"/>
          <w:spacing w:val="-2"/>
          <w:sz w:val="24"/>
          <w:szCs w:val="24"/>
        </w:rPr>
        <w:t>way by the preceding ones.</w:t>
      </w:r>
    </w:p>
    <w:p w14:paraId="7C1352A8" w14:textId="2D2CAF36" w:rsidR="009A7E97" w:rsidRPr="00774EDB" w:rsidRDefault="00255C3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Patent related critics gain importance in </w:t>
      </w:r>
      <w:r w:rsidR="000746AA">
        <w:rPr>
          <w:rFonts w:ascii="Times New Roman" w:hAnsi="Times New Roman" w:cs="Times New Roman"/>
          <w:sz w:val="24"/>
          <w:szCs w:val="24"/>
        </w:rPr>
        <w:t>conjunc</w:t>
      </w:r>
      <w:r w:rsidRPr="00774EDB">
        <w:rPr>
          <w:rFonts w:ascii="Times New Roman" w:hAnsi="Times New Roman" w:cs="Times New Roman"/>
          <w:sz w:val="24"/>
          <w:szCs w:val="24"/>
        </w:rPr>
        <w:t xml:space="preserve">tion with the surge in patents in the ICT field and their potential to be used against the potential infringers as a strategic tool. Thereby, IPRs’ passive and defensive role is turning into an offensive tool being aggressively used to keep out potential rivals from the relevant, mainstream or complementary, markets. This </w:t>
      </w:r>
      <w:r w:rsidR="000746AA">
        <w:rPr>
          <w:rFonts w:ascii="Times New Roman" w:hAnsi="Times New Roman" w:cs="Times New Roman"/>
          <w:sz w:val="24"/>
          <w:szCs w:val="24"/>
        </w:rPr>
        <w:t xml:space="preserve">very </w:t>
      </w:r>
      <w:r w:rsidRPr="00774EDB">
        <w:rPr>
          <w:rFonts w:ascii="Times New Roman" w:hAnsi="Times New Roman" w:cs="Times New Roman"/>
          <w:sz w:val="24"/>
          <w:szCs w:val="24"/>
        </w:rPr>
        <w:t xml:space="preserve">impact </w:t>
      </w:r>
      <w:r w:rsidR="000746AA" w:rsidRPr="00774EDB">
        <w:rPr>
          <w:rFonts w:ascii="Times New Roman" w:hAnsi="Times New Roman" w:cs="Times New Roman"/>
          <w:sz w:val="24"/>
          <w:szCs w:val="24"/>
        </w:rPr>
        <w:t>potential</w:t>
      </w:r>
      <w:r w:rsidR="000746AA">
        <w:rPr>
          <w:rFonts w:ascii="Times New Roman" w:hAnsi="Times New Roman" w:cs="Times New Roman"/>
          <w:sz w:val="24"/>
          <w:szCs w:val="24"/>
        </w:rPr>
        <w:t>ly</w:t>
      </w:r>
      <w:r w:rsidR="000746AA" w:rsidRPr="00774EDB">
        <w:rPr>
          <w:rFonts w:ascii="Times New Roman" w:hAnsi="Times New Roman" w:cs="Times New Roman"/>
          <w:sz w:val="24"/>
          <w:szCs w:val="24"/>
        </w:rPr>
        <w:t xml:space="preserve"> </w:t>
      </w:r>
      <w:r w:rsidR="000746AA">
        <w:rPr>
          <w:rFonts w:ascii="Times New Roman" w:hAnsi="Times New Roman" w:cs="Times New Roman"/>
          <w:sz w:val="24"/>
          <w:szCs w:val="24"/>
        </w:rPr>
        <w:t xml:space="preserve">means </w:t>
      </w:r>
      <w:r w:rsidRPr="00774EDB">
        <w:rPr>
          <w:rFonts w:ascii="Times New Roman" w:hAnsi="Times New Roman" w:cs="Times New Roman"/>
          <w:sz w:val="24"/>
          <w:szCs w:val="24"/>
        </w:rPr>
        <w:t xml:space="preserve">unforeseen consequences for both consumer welfare and follow-on innovation, making a contradiction with the general meaning and purpose of the IPRs. Outnumbered patents for software-enabled products, sometimes resulting in patent thickets and hold-up problems, would need to be revisited from a socially oriented perspective. </w:t>
      </w:r>
    </w:p>
    <w:p w14:paraId="7F6BA9B6" w14:textId="090F2E06" w:rsidR="005642FD" w:rsidRPr="00774EDB" w:rsidRDefault="00255C3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At the EU level, several attempts have been made to create an exceptional right within the European patent system in favour of interoperability, culminating with a Directive proposal on the patentability of computer-implemented inventions in 2002.</w:t>
      </w:r>
      <w:r w:rsidRPr="00774EDB">
        <w:rPr>
          <w:rStyle w:val="FootnoteReference"/>
          <w:rFonts w:ascii="Times New Roman" w:hAnsi="Times New Roman" w:cs="Times New Roman"/>
          <w:sz w:val="24"/>
          <w:szCs w:val="24"/>
        </w:rPr>
        <w:footnoteReference w:id="344"/>
      </w:r>
      <w:r w:rsidRPr="00774EDB">
        <w:rPr>
          <w:rFonts w:ascii="Times New Roman" w:hAnsi="Times New Roman" w:cs="Times New Roman"/>
          <w:sz w:val="24"/>
          <w:szCs w:val="24"/>
        </w:rPr>
        <w:t xml:space="preserve"> During the negotiations on the </w:t>
      </w:r>
      <w:r w:rsidR="000746AA">
        <w:rPr>
          <w:rFonts w:ascii="Times New Roman" w:hAnsi="Times New Roman" w:cs="Times New Roman"/>
          <w:sz w:val="24"/>
          <w:szCs w:val="24"/>
        </w:rPr>
        <w:t>proposed</w:t>
      </w:r>
      <w:r w:rsidRPr="00774EDB">
        <w:rPr>
          <w:rFonts w:ascii="Times New Roman" w:hAnsi="Times New Roman" w:cs="Times New Roman"/>
          <w:sz w:val="24"/>
          <w:szCs w:val="24"/>
        </w:rPr>
        <w:t xml:space="preserve"> Directive, one of the spotted problems was the un</w:t>
      </w:r>
      <w:r w:rsidR="000746AA">
        <w:rPr>
          <w:rFonts w:ascii="Times New Roman" w:hAnsi="Times New Roman" w:cs="Times New Roman"/>
          <w:sz w:val="24"/>
          <w:szCs w:val="24"/>
        </w:rPr>
        <w:t>fet</w:t>
      </w:r>
      <w:r w:rsidRPr="00774EDB">
        <w:rPr>
          <w:rFonts w:ascii="Times New Roman" w:hAnsi="Times New Roman" w:cs="Times New Roman"/>
          <w:sz w:val="24"/>
          <w:szCs w:val="24"/>
        </w:rPr>
        <w:t>t</w:t>
      </w:r>
      <w:r w:rsidR="000746AA">
        <w:rPr>
          <w:rFonts w:ascii="Times New Roman" w:hAnsi="Times New Roman" w:cs="Times New Roman"/>
          <w:sz w:val="24"/>
          <w:szCs w:val="24"/>
        </w:rPr>
        <w:t>er</w:t>
      </w:r>
      <w:r w:rsidRPr="00774EDB">
        <w:rPr>
          <w:rFonts w:ascii="Times New Roman" w:hAnsi="Times New Roman" w:cs="Times New Roman"/>
          <w:sz w:val="24"/>
          <w:szCs w:val="24"/>
        </w:rPr>
        <w:t xml:space="preserve">ed patent protection that would make acts initially permitted under the copyright </w:t>
      </w:r>
      <w:r w:rsidRPr="00774EDB">
        <w:rPr>
          <w:rFonts w:ascii="Times New Roman" w:hAnsi="Times New Roman" w:cs="Times New Roman"/>
          <w:i/>
          <w:iCs/>
          <w:sz w:val="24"/>
          <w:szCs w:val="24"/>
        </w:rPr>
        <w:t>acquis</w:t>
      </w:r>
      <w:r w:rsidRPr="00774EDB">
        <w:rPr>
          <w:rFonts w:ascii="Times New Roman" w:hAnsi="Times New Roman" w:cs="Times New Roman"/>
          <w:sz w:val="24"/>
          <w:szCs w:val="24"/>
        </w:rPr>
        <w:t xml:space="preserve"> that allows reverse engineering in order to achieve interoperability, ‘illegal’.</w:t>
      </w:r>
      <w:r w:rsidRPr="00774EDB">
        <w:rPr>
          <w:rStyle w:val="FootnoteReference"/>
          <w:rFonts w:ascii="Times New Roman" w:hAnsi="Times New Roman" w:cs="Times New Roman"/>
          <w:sz w:val="24"/>
          <w:szCs w:val="24"/>
        </w:rPr>
        <w:footnoteReference w:id="345"/>
      </w:r>
      <w:r w:rsidRPr="00774EDB">
        <w:rPr>
          <w:rFonts w:ascii="Times New Roman" w:hAnsi="Times New Roman" w:cs="Times New Roman"/>
          <w:sz w:val="24"/>
          <w:szCs w:val="24"/>
        </w:rPr>
        <w:t xml:space="preserve"> To deal with this problem, it was envisaged that the conferred rights under Articles 5 and 6 of the Software Directive would not be affected by the patent rights to be granted under the </w:t>
      </w:r>
      <w:r w:rsidR="000746AA">
        <w:rPr>
          <w:rFonts w:ascii="Times New Roman" w:hAnsi="Times New Roman" w:cs="Times New Roman"/>
          <w:sz w:val="24"/>
          <w:szCs w:val="24"/>
        </w:rPr>
        <w:t>p</w:t>
      </w:r>
      <w:r w:rsidRPr="00774EDB">
        <w:rPr>
          <w:rFonts w:ascii="Times New Roman" w:hAnsi="Times New Roman" w:cs="Times New Roman"/>
          <w:sz w:val="24"/>
          <w:szCs w:val="24"/>
        </w:rPr>
        <w:t xml:space="preserve">roposed Directive. It was proposed that those benefitting from </w:t>
      </w:r>
      <w:r w:rsidRPr="00774EDB">
        <w:rPr>
          <w:rFonts w:ascii="Times New Roman" w:hAnsi="Times New Roman" w:cs="Times New Roman"/>
          <w:sz w:val="24"/>
          <w:szCs w:val="24"/>
        </w:rPr>
        <w:lastRenderedPageBreak/>
        <w:t>Articles 5 and 6 of the Software Directive would not require the authorization of the rights holder with respect to the right holder’s patent rights in or pertaining to the computer program.</w:t>
      </w:r>
      <w:r w:rsidRPr="00774EDB">
        <w:rPr>
          <w:rStyle w:val="FootnoteReference"/>
          <w:rFonts w:ascii="Times New Roman" w:hAnsi="Times New Roman" w:cs="Times New Roman"/>
          <w:sz w:val="24"/>
          <w:szCs w:val="24"/>
        </w:rPr>
        <w:footnoteReference w:id="346"/>
      </w:r>
      <w:r w:rsidRPr="00774EDB">
        <w:rPr>
          <w:rFonts w:ascii="Times New Roman" w:hAnsi="Times New Roman" w:cs="Times New Roman"/>
          <w:sz w:val="24"/>
          <w:szCs w:val="24"/>
        </w:rPr>
        <w:t xml:space="preserve"> During the review of the proposal by the European Parliament, several amendments were made including an additional provision stating that the use of a patented computer program for the purpose of achieving interoperability would not be considered a patent infringement.</w:t>
      </w:r>
      <w:r w:rsidRPr="00774EDB">
        <w:rPr>
          <w:rStyle w:val="FootnoteReference"/>
          <w:rFonts w:ascii="Times New Roman" w:hAnsi="Times New Roman" w:cs="Times New Roman"/>
          <w:sz w:val="24"/>
          <w:szCs w:val="24"/>
        </w:rPr>
        <w:footnoteReference w:id="347"/>
      </w:r>
      <w:r w:rsidRPr="00774EDB">
        <w:rPr>
          <w:rFonts w:ascii="Times New Roman" w:hAnsi="Times New Roman" w:cs="Times New Roman"/>
          <w:sz w:val="24"/>
          <w:szCs w:val="24"/>
        </w:rPr>
        <w:t xml:space="preserve"> However, the proposal was defeated by a vote of the European Parliament in July 2005.</w:t>
      </w:r>
    </w:p>
    <w:p w14:paraId="0F1DF520" w14:textId="77777777" w:rsidR="005642FD" w:rsidRPr="00774EDB" w:rsidRDefault="0088520F" w:rsidP="00A70042">
      <w:pPr>
        <w:pStyle w:val="Heading3"/>
        <w:numPr>
          <w:ilvl w:val="2"/>
          <w:numId w:val="33"/>
        </w:numPr>
        <w:spacing w:before="360"/>
        <w:ind w:left="0" w:firstLine="0"/>
        <w:jc w:val="both"/>
        <w:rPr>
          <w:rFonts w:ascii="Times New Roman" w:hAnsi="Times New Roman" w:cs="Times New Roman"/>
          <w:b/>
        </w:rPr>
      </w:pPr>
      <w:bookmarkStart w:id="322" w:name="_Toc17611396"/>
      <w:bookmarkStart w:id="323" w:name="_Toc17611613"/>
      <w:bookmarkStart w:id="324" w:name="_Toc17611825"/>
      <w:bookmarkStart w:id="325" w:name="_Toc17612039"/>
      <w:bookmarkStart w:id="326" w:name="_Toc17612252"/>
      <w:bookmarkStart w:id="327" w:name="_Toc17611397"/>
      <w:bookmarkStart w:id="328" w:name="_Toc53576053"/>
      <w:bookmarkEnd w:id="322"/>
      <w:bookmarkEnd w:id="323"/>
      <w:bookmarkEnd w:id="324"/>
      <w:bookmarkEnd w:id="325"/>
      <w:bookmarkEnd w:id="326"/>
      <w:r w:rsidRPr="00774EDB">
        <w:rPr>
          <w:rFonts w:ascii="Times New Roman" w:hAnsi="Times New Roman" w:cs="Times New Roman"/>
          <w:b/>
          <w:color w:val="auto"/>
        </w:rPr>
        <w:t>Comparative a</w:t>
      </w:r>
      <w:r w:rsidR="005642FD" w:rsidRPr="00774EDB">
        <w:rPr>
          <w:rFonts w:ascii="Times New Roman" w:hAnsi="Times New Roman" w:cs="Times New Roman"/>
          <w:b/>
          <w:color w:val="auto"/>
        </w:rPr>
        <w:t xml:space="preserve">nalysis </w:t>
      </w:r>
      <w:r w:rsidR="00A63FBE" w:rsidRPr="00774EDB">
        <w:rPr>
          <w:rFonts w:ascii="Times New Roman" w:hAnsi="Times New Roman" w:cs="Times New Roman"/>
          <w:b/>
          <w:color w:val="auto"/>
        </w:rPr>
        <w:t>through</w:t>
      </w:r>
      <w:r w:rsidR="00255C3F" w:rsidRPr="00774EDB">
        <w:rPr>
          <w:rFonts w:ascii="Times New Roman" w:hAnsi="Times New Roman" w:cs="Times New Roman"/>
          <w:b/>
          <w:color w:val="auto"/>
        </w:rPr>
        <w:t xml:space="preserve"> the</w:t>
      </w:r>
      <w:r w:rsidR="005642FD" w:rsidRPr="00774EDB">
        <w:rPr>
          <w:rFonts w:ascii="Times New Roman" w:hAnsi="Times New Roman" w:cs="Times New Roman"/>
          <w:b/>
          <w:color w:val="auto"/>
        </w:rPr>
        <w:t xml:space="preserve"> </w:t>
      </w:r>
      <w:r w:rsidR="005642FD" w:rsidRPr="00774EDB">
        <w:rPr>
          <w:rFonts w:ascii="Times New Roman" w:hAnsi="Times New Roman" w:cs="Times New Roman"/>
          <w:b/>
          <w:i/>
          <w:color w:val="auto"/>
        </w:rPr>
        <w:t>Nintendo</w:t>
      </w:r>
      <w:r w:rsidR="005642FD" w:rsidRPr="00774EDB">
        <w:rPr>
          <w:rFonts w:ascii="Times New Roman" w:hAnsi="Times New Roman" w:cs="Times New Roman"/>
          <w:b/>
          <w:color w:val="auto"/>
        </w:rPr>
        <w:t xml:space="preserve"> case</w:t>
      </w:r>
      <w:bookmarkEnd w:id="327"/>
      <w:bookmarkEnd w:id="328"/>
    </w:p>
    <w:p w14:paraId="52D13E6A" w14:textId="3E7A91D0" w:rsidR="00DF22D7" w:rsidRPr="00774EDB" w:rsidRDefault="00255C3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While it might be argued that the fact that software patents are limited to the specific applications underlying certain inventions of technical character does not present major obstacles to market competition, their cumulative effect, in combination with copyrights, should not be underestimated, particularly in terms of interoperability. Their largely hidden nature would make potential infringements unrecognisable for the third parties </w:t>
      </w:r>
      <w:r w:rsidR="00413760">
        <w:rPr>
          <w:rFonts w:ascii="Times New Roman" w:hAnsi="Times New Roman" w:cs="Times New Roman"/>
          <w:sz w:val="24"/>
          <w:szCs w:val="24"/>
        </w:rPr>
        <w:t>creating a clear</w:t>
      </w:r>
      <w:r w:rsidRPr="00774EDB">
        <w:rPr>
          <w:rFonts w:ascii="Times New Roman" w:hAnsi="Times New Roman" w:cs="Times New Roman"/>
          <w:sz w:val="24"/>
          <w:szCs w:val="24"/>
        </w:rPr>
        <w:t xml:space="preserve"> impact of blocking markets to competitors. This is well illustrated by the </w:t>
      </w:r>
      <w:r w:rsidRPr="00774EDB">
        <w:rPr>
          <w:rFonts w:ascii="Times New Roman" w:hAnsi="Times New Roman" w:cs="Times New Roman"/>
          <w:i/>
          <w:sz w:val="24"/>
          <w:szCs w:val="24"/>
        </w:rPr>
        <w:t>Nintendo</w:t>
      </w:r>
      <w:r w:rsidRPr="00774EDB">
        <w:rPr>
          <w:rStyle w:val="FootnoteReference"/>
          <w:rFonts w:ascii="Times New Roman" w:hAnsi="Times New Roman" w:cs="Times New Roman"/>
          <w:sz w:val="24"/>
          <w:szCs w:val="24"/>
        </w:rPr>
        <w:footnoteReference w:id="348"/>
      </w:r>
      <w:r w:rsidRPr="00774EDB">
        <w:rPr>
          <w:rFonts w:ascii="Times New Roman" w:hAnsi="Times New Roman" w:cs="Times New Roman"/>
          <w:i/>
          <w:sz w:val="24"/>
          <w:szCs w:val="24"/>
        </w:rPr>
        <w:t xml:space="preserve"> </w:t>
      </w:r>
      <w:r w:rsidRPr="00774EDB">
        <w:rPr>
          <w:rFonts w:ascii="Times New Roman" w:hAnsi="Times New Roman" w:cs="Times New Roman"/>
          <w:sz w:val="24"/>
          <w:szCs w:val="24"/>
        </w:rPr>
        <w:t>case analysed below.</w:t>
      </w:r>
    </w:p>
    <w:p w14:paraId="7E36E2D5" w14:textId="77777777" w:rsidR="00A63FBE" w:rsidRPr="00774EDB" w:rsidRDefault="008C757A" w:rsidP="00A70042">
      <w:pPr>
        <w:pStyle w:val="Heading4"/>
        <w:numPr>
          <w:ilvl w:val="3"/>
          <w:numId w:val="33"/>
        </w:numPr>
        <w:spacing w:before="360"/>
        <w:ind w:left="851" w:hanging="851"/>
        <w:jc w:val="both"/>
        <w:rPr>
          <w:rFonts w:ascii="Times New Roman" w:hAnsi="Times New Roman" w:cs="Times New Roman"/>
          <w:b/>
          <w:bCs/>
          <w:i w:val="0"/>
          <w:iCs w:val="0"/>
          <w:sz w:val="24"/>
          <w:szCs w:val="24"/>
        </w:rPr>
      </w:pPr>
      <w:bookmarkStart w:id="329" w:name="_Toc17611398"/>
      <w:bookmarkStart w:id="330" w:name="_Toc17611615"/>
      <w:bookmarkStart w:id="331" w:name="_Toc17611827"/>
      <w:bookmarkStart w:id="332" w:name="_Toc17612041"/>
      <w:bookmarkStart w:id="333" w:name="_Toc17612254"/>
      <w:bookmarkStart w:id="334" w:name="_Toc17611399"/>
      <w:bookmarkStart w:id="335" w:name="_Toc53576054"/>
      <w:bookmarkEnd w:id="329"/>
      <w:bookmarkEnd w:id="330"/>
      <w:bookmarkEnd w:id="331"/>
      <w:bookmarkEnd w:id="332"/>
      <w:bookmarkEnd w:id="333"/>
      <w:r w:rsidRPr="00774EDB">
        <w:rPr>
          <w:rFonts w:ascii="Times New Roman" w:hAnsi="Times New Roman" w:cs="Times New Roman"/>
          <w:b/>
          <w:bCs/>
          <w:i w:val="0"/>
          <w:iCs w:val="0"/>
          <w:color w:val="auto"/>
          <w:sz w:val="24"/>
          <w:szCs w:val="24"/>
        </w:rPr>
        <w:t>Brief analysis</w:t>
      </w:r>
      <w:r w:rsidR="007E2C5B" w:rsidRPr="00774EDB">
        <w:rPr>
          <w:rFonts w:ascii="Times New Roman" w:hAnsi="Times New Roman" w:cs="Times New Roman"/>
          <w:b/>
          <w:bCs/>
          <w:i w:val="0"/>
          <w:iCs w:val="0"/>
          <w:color w:val="auto"/>
          <w:sz w:val="24"/>
          <w:szCs w:val="24"/>
        </w:rPr>
        <w:t xml:space="preserve"> </w:t>
      </w:r>
      <w:r w:rsidRPr="00774EDB">
        <w:rPr>
          <w:rFonts w:ascii="Times New Roman" w:hAnsi="Times New Roman" w:cs="Times New Roman"/>
          <w:b/>
          <w:bCs/>
          <w:i w:val="0"/>
          <w:iCs w:val="0"/>
          <w:color w:val="auto"/>
          <w:sz w:val="24"/>
          <w:szCs w:val="24"/>
        </w:rPr>
        <w:t>of the case</w:t>
      </w:r>
      <w:bookmarkEnd w:id="334"/>
      <w:bookmarkEnd w:id="335"/>
    </w:p>
    <w:p w14:paraId="61DA905A" w14:textId="77777777" w:rsidR="00232C1C" w:rsidRPr="00774EDB" w:rsidRDefault="00255C3F" w:rsidP="00A70042">
      <w:pPr>
        <w:spacing w:before="360"/>
        <w:jc w:val="both"/>
        <w:rPr>
          <w:rFonts w:ascii="Times New Roman" w:hAnsi="Times New Roman" w:cs="Times New Roman"/>
          <w:sz w:val="24"/>
          <w:szCs w:val="24"/>
        </w:rPr>
      </w:pPr>
      <w:r w:rsidRPr="00774EDB">
        <w:rPr>
          <w:rFonts w:ascii="Times New Roman" w:hAnsi="Times New Roman" w:cs="Times New Roman"/>
          <w:iCs/>
          <w:sz w:val="24"/>
          <w:szCs w:val="24"/>
        </w:rPr>
        <w:t>The</w:t>
      </w:r>
      <w:r w:rsidRPr="00774EDB">
        <w:rPr>
          <w:rFonts w:ascii="Times New Roman" w:hAnsi="Times New Roman" w:cs="Times New Roman"/>
          <w:i/>
          <w:iCs/>
          <w:sz w:val="24"/>
          <w:szCs w:val="24"/>
        </w:rPr>
        <w:t xml:space="preserve"> Nintendo</w:t>
      </w:r>
      <w:r w:rsidRPr="00774EDB">
        <w:rPr>
          <w:rFonts w:ascii="Times New Roman" w:hAnsi="Times New Roman" w:cs="Times New Roman"/>
          <w:sz w:val="24"/>
          <w:szCs w:val="24"/>
        </w:rPr>
        <w:t xml:space="preserve"> case, originated in the US, has arisen out of the patent, as well as copyright, infringement claim by Nintendo after a rival manufacturer, Atari Games (Atari), had produced game cartridges compatible with Nintendo Entertainment System (NES), namely Nintendo’s home video game console on which Nintendo </w:t>
      </w:r>
      <w:r w:rsidRPr="00774EDB">
        <w:rPr>
          <w:rFonts w:ascii="Times New Roman" w:hAnsi="Times New Roman" w:cs="Times New Roman"/>
          <w:sz w:val="24"/>
          <w:szCs w:val="24"/>
        </w:rPr>
        <w:lastRenderedPageBreak/>
        <w:t>games are authorised and played. While non-Nintendo games, or the games not licensed by Nintendo, were originally prevented from running on the NES platform (game consoles) via an authorisation technique called “10NES”, the game cartridges produced by Atari allowed its users to play Atari games on the NES. Following Atari launching its compatible game cartridges,</w:t>
      </w:r>
      <w:r w:rsidRPr="00774EDB">
        <w:rPr>
          <w:rStyle w:val="FootnoteReference"/>
          <w:rFonts w:ascii="Times New Roman" w:hAnsi="Times New Roman" w:cs="Times New Roman"/>
          <w:sz w:val="24"/>
          <w:szCs w:val="24"/>
        </w:rPr>
        <w:footnoteReference w:id="349"/>
      </w:r>
      <w:r w:rsidRPr="00774EDB">
        <w:rPr>
          <w:rFonts w:ascii="Times New Roman" w:hAnsi="Times New Roman" w:cs="Times New Roman"/>
          <w:sz w:val="24"/>
          <w:szCs w:val="24"/>
        </w:rPr>
        <w:t xml:space="preserve"> Nintendo sued its rival for the infringement of its patents and copyrights for the authentication technique it had been running on the NES platform.</w:t>
      </w:r>
    </w:p>
    <w:p w14:paraId="02668DA3" w14:textId="2630B24E" w:rsidR="00C9088E" w:rsidRPr="00774EDB" w:rsidRDefault="00255C3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Atari, who failed to maintain its already installed base against the exclusive contracts and more sophisticated videogames </w:t>
      </w:r>
      <w:r w:rsidR="00413760">
        <w:rPr>
          <w:rFonts w:ascii="Times New Roman" w:hAnsi="Times New Roman" w:cs="Times New Roman"/>
          <w:sz w:val="24"/>
          <w:szCs w:val="24"/>
        </w:rPr>
        <w:t>of</w:t>
      </w:r>
      <w:r w:rsidRPr="00774EDB">
        <w:rPr>
          <w:rFonts w:ascii="Times New Roman" w:hAnsi="Times New Roman" w:cs="Times New Roman"/>
          <w:sz w:val="24"/>
          <w:szCs w:val="24"/>
        </w:rPr>
        <w:t xml:space="preserve"> Nintendo, brought antitrust files under the US Sherman Act. Claiming that such exclusive deals amounted to monopolization in the videogame console market, Atari took the issue with Nintendo’s misuse of “10NES”, particularly by means of a patented lock-out chip that operates through a dedicated computer program.</w:t>
      </w:r>
      <w:r w:rsidRPr="00774EDB">
        <w:rPr>
          <w:rStyle w:val="FootnoteReference"/>
          <w:rFonts w:ascii="Times New Roman" w:hAnsi="Times New Roman" w:cs="Times New Roman"/>
          <w:sz w:val="24"/>
          <w:szCs w:val="24"/>
        </w:rPr>
        <w:footnoteReference w:id="350"/>
      </w:r>
      <w:r w:rsidRPr="00774EDB">
        <w:rPr>
          <w:rFonts w:ascii="Times New Roman" w:hAnsi="Times New Roman" w:cs="Times New Roman"/>
          <w:sz w:val="24"/>
          <w:szCs w:val="24"/>
        </w:rPr>
        <w:t xml:space="preserve"> The US District Court for the Northern District of California consolidated the two cases and preliminarily enjoined Atari from exploiting Nintendo’s copyrighted computer program by upholding that Nintendo had shown a likelihood of success on its copyright infringement claims.</w:t>
      </w:r>
      <w:r w:rsidRPr="00774EDB">
        <w:rPr>
          <w:rStyle w:val="FootnoteReference"/>
          <w:rFonts w:ascii="Times New Roman" w:hAnsi="Times New Roman" w:cs="Times New Roman"/>
          <w:sz w:val="24"/>
          <w:szCs w:val="24"/>
        </w:rPr>
        <w:footnoteReference w:id="351"/>
      </w:r>
    </w:p>
    <w:p w14:paraId="45D68EEA" w14:textId="3A19EC2C" w:rsidR="00C9088E" w:rsidRPr="00774EDB" w:rsidRDefault="00255C3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Federal Circuit, on appeal, affirmed the findings of the California District Court with the exception that Atari’s reverse engineering was found legitimate under “fair use doctrine”. Emphasizing that “an individual cannot even observe, let alone understand, the object code on Nintendo’s chip without reverse engineering”,</w:t>
      </w:r>
      <w:r w:rsidRPr="00774EDB">
        <w:rPr>
          <w:rStyle w:val="FootnoteReference"/>
          <w:rFonts w:ascii="Times New Roman" w:hAnsi="Times New Roman" w:cs="Times New Roman"/>
          <w:sz w:val="24"/>
          <w:szCs w:val="24"/>
        </w:rPr>
        <w:footnoteReference w:id="352"/>
      </w:r>
      <w:r w:rsidRPr="00774EDB">
        <w:rPr>
          <w:rFonts w:ascii="Times New Roman" w:hAnsi="Times New Roman" w:cs="Times New Roman"/>
          <w:sz w:val="24"/>
          <w:szCs w:val="24"/>
        </w:rPr>
        <w:t xml:space="preserve"> the </w:t>
      </w:r>
      <w:r w:rsidRPr="00774EDB">
        <w:rPr>
          <w:rFonts w:ascii="Times New Roman" w:hAnsi="Times New Roman" w:cs="Times New Roman"/>
          <w:sz w:val="24"/>
          <w:szCs w:val="24"/>
        </w:rPr>
        <w:lastRenderedPageBreak/>
        <w:t>Court also pointed out that “fair use did not give Atari more than the right to understand the 10NES program and to distinguish the protected from the unprotected elements of the 10NES program”.</w:t>
      </w:r>
      <w:r w:rsidR="00D111F6">
        <w:rPr>
          <w:rStyle w:val="FootnoteReference"/>
          <w:rFonts w:ascii="Times New Roman" w:hAnsi="Times New Roman" w:cs="Times New Roman"/>
          <w:sz w:val="24"/>
          <w:szCs w:val="24"/>
        </w:rPr>
        <w:footnoteReference w:id="353"/>
      </w:r>
      <w:r w:rsidRPr="00774EDB">
        <w:rPr>
          <w:rFonts w:ascii="Times New Roman" w:hAnsi="Times New Roman" w:cs="Times New Roman"/>
          <w:sz w:val="24"/>
          <w:szCs w:val="24"/>
        </w:rPr>
        <w:t xml:space="preserve"> According to the Federal Circuit, the District Court’s finding of copyright infringement was affirmed by the fact that Atari’s Rabbit program, or chip, embedded into the Atari cartridges “incorporates elements of the 10NES program unnecessary for the chip’s performance”, thereby going beyond unlocking the 10NES program.</w:t>
      </w:r>
      <w:r w:rsidR="00D111F6">
        <w:rPr>
          <w:rStyle w:val="FootnoteReference"/>
          <w:rFonts w:ascii="Times New Roman" w:hAnsi="Times New Roman" w:cs="Times New Roman"/>
          <w:sz w:val="24"/>
          <w:szCs w:val="24"/>
        </w:rPr>
        <w:footnoteReference w:id="354"/>
      </w:r>
    </w:p>
    <w:p w14:paraId="47C20950" w14:textId="4804F1FE" w:rsidR="00255C3F" w:rsidRPr="00774EDB" w:rsidRDefault="00255C3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Following the Federal Circuit’s remind decision over the antitrust allegations, the two parties ended up with a settlement. However, the Federal Trade Commission (FTC) took the antitrust issue, with a focus on Nintendo’s exclusive licences hindering access to its proprietary platform by third parties. The FTC’s challenging decision was followed by the same basis intervention of the European Commission, resulting in Nintendo’s changed licensing policies</w:t>
      </w:r>
      <w:r w:rsidR="00703E48" w:rsidRPr="00774EDB">
        <w:rPr>
          <w:rFonts w:ascii="Times New Roman" w:hAnsi="Times New Roman" w:cs="Times New Roman"/>
          <w:sz w:val="24"/>
          <w:szCs w:val="24"/>
        </w:rPr>
        <w:t xml:space="preserve"> (with Sega and Sony, for they pursued similar strategies)</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355"/>
      </w:r>
      <w:r w:rsidRPr="00774EDB">
        <w:rPr>
          <w:rFonts w:ascii="Times New Roman" w:hAnsi="Times New Roman" w:cs="Times New Roman"/>
          <w:sz w:val="24"/>
          <w:szCs w:val="24"/>
        </w:rPr>
        <w:t xml:space="preserve"> Despite the lifting of restrictions in its licensing agreements, the Japanese company</w:t>
      </w:r>
      <w:r w:rsidRPr="00A70042">
        <w:rPr>
          <w:rFonts w:ascii="Times New Roman" w:hAnsi="Times New Roman" w:cs="Times New Roman"/>
          <w:sz w:val="24"/>
          <w:szCs w:val="24"/>
        </w:rPr>
        <w:t xml:space="preserve"> </w:t>
      </w:r>
      <w:r w:rsidRPr="00774EDB">
        <w:rPr>
          <w:rFonts w:ascii="Times New Roman" w:hAnsi="Times New Roman" w:cs="Times New Roman"/>
          <w:sz w:val="24"/>
          <w:szCs w:val="24"/>
        </w:rPr>
        <w:t>continued to rely heavily on lock-out chips by embedding copyrighted software into its</w:t>
      </w:r>
      <w:r w:rsidRPr="00A70042">
        <w:rPr>
          <w:rFonts w:ascii="Times New Roman" w:hAnsi="Times New Roman" w:cs="Times New Roman"/>
          <w:sz w:val="24"/>
          <w:szCs w:val="24"/>
        </w:rPr>
        <w:t xml:space="preserve"> </w:t>
      </w:r>
      <w:r w:rsidRPr="00774EDB">
        <w:rPr>
          <w:rFonts w:ascii="Times New Roman" w:hAnsi="Times New Roman" w:cs="Times New Roman"/>
          <w:sz w:val="24"/>
          <w:szCs w:val="24"/>
        </w:rPr>
        <w:t>consoles; it ensured that only cartridges containing the code for that particular Nintendo</w:t>
      </w:r>
      <w:r w:rsidRPr="00A70042">
        <w:rPr>
          <w:rFonts w:ascii="Times New Roman" w:hAnsi="Times New Roman" w:cs="Times New Roman"/>
          <w:sz w:val="24"/>
          <w:szCs w:val="24"/>
        </w:rPr>
        <w:t xml:space="preserve"> </w:t>
      </w:r>
      <w:r w:rsidRPr="00774EDB">
        <w:rPr>
          <w:rFonts w:ascii="Times New Roman" w:hAnsi="Times New Roman" w:cs="Times New Roman"/>
          <w:sz w:val="24"/>
          <w:szCs w:val="24"/>
        </w:rPr>
        <w:t>console could be played.</w:t>
      </w:r>
      <w:r w:rsidRPr="00774EDB">
        <w:rPr>
          <w:rStyle w:val="FootnoteReference"/>
          <w:rFonts w:ascii="Times New Roman" w:hAnsi="Times New Roman" w:cs="Times New Roman"/>
          <w:sz w:val="24"/>
          <w:szCs w:val="24"/>
        </w:rPr>
        <w:footnoteReference w:id="356"/>
      </w:r>
      <w:r w:rsidRPr="00774EDB">
        <w:rPr>
          <w:rFonts w:ascii="Times New Roman" w:hAnsi="Times New Roman" w:cs="Times New Roman"/>
          <w:sz w:val="24"/>
          <w:szCs w:val="24"/>
        </w:rPr>
        <w:t xml:space="preserve"> Over time, this strategy triggered the hostility of the</w:t>
      </w:r>
      <w:r w:rsidRPr="00A70042">
        <w:rPr>
          <w:rFonts w:ascii="Times New Roman" w:hAnsi="Times New Roman" w:cs="Times New Roman"/>
          <w:sz w:val="24"/>
          <w:szCs w:val="24"/>
        </w:rPr>
        <w:t xml:space="preserve"> </w:t>
      </w:r>
      <w:r w:rsidRPr="00774EDB">
        <w:rPr>
          <w:rFonts w:ascii="Times New Roman" w:hAnsi="Times New Roman" w:cs="Times New Roman"/>
          <w:sz w:val="24"/>
          <w:szCs w:val="24"/>
        </w:rPr>
        <w:t xml:space="preserve">user community and led to widespread deployment of </w:t>
      </w:r>
      <w:r w:rsidR="0041442F" w:rsidRPr="00774EDB">
        <w:rPr>
          <w:rFonts w:ascii="Times New Roman" w:hAnsi="Times New Roman" w:cs="Times New Roman"/>
          <w:sz w:val="24"/>
          <w:szCs w:val="24"/>
        </w:rPr>
        <w:t>so-called</w:t>
      </w:r>
      <w:r w:rsidRPr="00774EDB">
        <w:rPr>
          <w:rFonts w:ascii="Times New Roman" w:hAnsi="Times New Roman" w:cs="Times New Roman"/>
          <w:sz w:val="24"/>
          <w:szCs w:val="24"/>
        </w:rPr>
        <w:t xml:space="preserve"> “modchips”, i.e.</w:t>
      </w:r>
      <w:r w:rsidRPr="00A70042">
        <w:rPr>
          <w:rFonts w:ascii="Times New Roman" w:hAnsi="Times New Roman" w:cs="Times New Roman"/>
          <w:sz w:val="24"/>
          <w:szCs w:val="24"/>
        </w:rPr>
        <w:t xml:space="preserve"> </w:t>
      </w:r>
      <w:r w:rsidRPr="00774EDB">
        <w:rPr>
          <w:rFonts w:ascii="Times New Roman" w:hAnsi="Times New Roman" w:cs="Times New Roman"/>
          <w:sz w:val="24"/>
          <w:szCs w:val="24"/>
        </w:rPr>
        <w:t xml:space="preserve">electronic devices which disable the encryption mechanisms </w:t>
      </w:r>
      <w:r w:rsidRPr="00774EDB">
        <w:rPr>
          <w:rFonts w:ascii="Times New Roman" w:hAnsi="Times New Roman" w:cs="Times New Roman"/>
          <w:sz w:val="24"/>
          <w:szCs w:val="24"/>
        </w:rPr>
        <w:lastRenderedPageBreak/>
        <w:t>embedded in the console</w:t>
      </w:r>
      <w:r w:rsidRPr="00A70042">
        <w:rPr>
          <w:rFonts w:ascii="Times New Roman" w:hAnsi="Times New Roman" w:cs="Times New Roman"/>
          <w:sz w:val="24"/>
          <w:szCs w:val="24"/>
        </w:rPr>
        <w:t xml:space="preserve"> </w:t>
      </w:r>
      <w:r w:rsidRPr="00774EDB">
        <w:rPr>
          <w:rFonts w:ascii="Times New Roman" w:hAnsi="Times New Roman" w:cs="Times New Roman"/>
          <w:sz w:val="24"/>
          <w:szCs w:val="24"/>
        </w:rPr>
        <w:t>to enable the interoperability of videogames made or distributed by non-authorized developers.</w:t>
      </w:r>
      <w:r w:rsidRPr="00774EDB">
        <w:rPr>
          <w:rStyle w:val="FootnoteReference"/>
          <w:rFonts w:ascii="Times New Roman" w:hAnsi="Times New Roman" w:cs="Times New Roman"/>
          <w:sz w:val="24"/>
          <w:szCs w:val="24"/>
        </w:rPr>
        <w:footnoteReference w:id="357"/>
      </w:r>
    </w:p>
    <w:p w14:paraId="72253C85" w14:textId="6B3755DD" w:rsidR="002E51C7" w:rsidRPr="00774EDB" w:rsidRDefault="00703E48"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Consideration of “modchips” under the circumvention provision, i.e. Article 6(2),</w:t>
      </w:r>
      <w:r w:rsidR="00475E53">
        <w:rPr>
          <w:rStyle w:val="FootnoteReference"/>
          <w:rFonts w:ascii="Times New Roman" w:hAnsi="Times New Roman" w:cs="Times New Roman"/>
          <w:sz w:val="24"/>
          <w:szCs w:val="24"/>
        </w:rPr>
        <w:footnoteReference w:id="358"/>
      </w:r>
      <w:r w:rsidRPr="00774EDB">
        <w:rPr>
          <w:rFonts w:ascii="Times New Roman" w:hAnsi="Times New Roman" w:cs="Times New Roman"/>
          <w:sz w:val="24"/>
          <w:szCs w:val="24"/>
        </w:rPr>
        <w:t xml:space="preserve"> of the InfoSoc Directive has been addressed by the CoJ, following several cases filed before the national courts resulting in different rulings.</w:t>
      </w:r>
      <w:r w:rsidRPr="00774EDB">
        <w:rPr>
          <w:rStyle w:val="FootnoteReference"/>
          <w:rFonts w:ascii="Times New Roman" w:hAnsi="Times New Roman" w:cs="Times New Roman"/>
          <w:sz w:val="24"/>
          <w:szCs w:val="24"/>
        </w:rPr>
        <w:footnoteReference w:id="359"/>
      </w:r>
      <w:r w:rsidRPr="00774EDB">
        <w:rPr>
          <w:rFonts w:ascii="Times New Roman" w:hAnsi="Times New Roman" w:cs="Times New Roman"/>
          <w:sz w:val="24"/>
          <w:szCs w:val="24"/>
        </w:rPr>
        <w:t xml:space="preserve"> Although the finding was inconclusive on the matter, the CoJ made clear that the legal protection offered by Member States must respect the principle of proportionality, not prohibiting devices or activities which have a commercially significant purpose or use, other than circumventing a TPM for unlawful purposes.</w:t>
      </w:r>
      <w:r w:rsidRPr="00774EDB">
        <w:rPr>
          <w:rStyle w:val="FootnoteReference"/>
          <w:rFonts w:ascii="Times New Roman" w:hAnsi="Times New Roman" w:cs="Times New Roman"/>
          <w:sz w:val="24"/>
          <w:szCs w:val="24"/>
        </w:rPr>
        <w:footnoteReference w:id="360"/>
      </w:r>
    </w:p>
    <w:p w14:paraId="35C6022C" w14:textId="353520B2" w:rsidR="00542BEE" w:rsidRPr="00774EDB" w:rsidRDefault="00703E48"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Court’s reference to proportionality is practically meant “to examine whether other measures, or measures which are not installed in consoles, could have caused less interference with the activities of third parties not requiring authorisation by the rights holder of copyright, or fewer limitations to those activities, while still providing comparable protection of that rights holder’s rights”.</w:t>
      </w:r>
      <w:r w:rsidRPr="00774EDB">
        <w:rPr>
          <w:rStyle w:val="FootnoteReference"/>
          <w:rFonts w:ascii="Times New Roman" w:hAnsi="Times New Roman" w:cs="Times New Roman"/>
          <w:sz w:val="24"/>
          <w:szCs w:val="24"/>
        </w:rPr>
        <w:footnoteReference w:id="361"/>
      </w:r>
      <w:r w:rsidRPr="00774EDB">
        <w:rPr>
          <w:rFonts w:ascii="Times New Roman" w:hAnsi="Times New Roman" w:cs="Times New Roman"/>
          <w:sz w:val="24"/>
          <w:szCs w:val="24"/>
        </w:rPr>
        <w:t xml:space="preserve"> Accordingly, the Court’s ruling could be interpreted in permitting the design of TPMs with a view to allow legitimate activities in view of the nature, costs and other aspects, but not illegal copying.</w:t>
      </w:r>
      <w:r w:rsidRPr="00774EDB">
        <w:rPr>
          <w:rStyle w:val="FootnoteReference"/>
          <w:rFonts w:ascii="Times New Roman" w:hAnsi="Times New Roman" w:cs="Times New Roman"/>
          <w:sz w:val="24"/>
          <w:szCs w:val="24"/>
        </w:rPr>
        <w:footnoteReference w:id="362"/>
      </w:r>
      <w:r w:rsidRPr="00774EDB">
        <w:rPr>
          <w:rFonts w:ascii="Times New Roman" w:hAnsi="Times New Roman" w:cs="Times New Roman"/>
          <w:sz w:val="24"/>
          <w:szCs w:val="24"/>
        </w:rPr>
        <w:t xml:space="preserve"> In similar cases, access seekers are thus charged to demonstrate the TPMs they attempted to access are more intrusive than necessary to prevent circumvention </w:t>
      </w:r>
      <w:r w:rsidRPr="00774EDB">
        <w:rPr>
          <w:rFonts w:ascii="Times New Roman" w:hAnsi="Times New Roman" w:cs="Times New Roman"/>
          <w:sz w:val="24"/>
          <w:szCs w:val="24"/>
        </w:rPr>
        <w:lastRenderedPageBreak/>
        <w:t>and copyright infringements. The key complication in that respect is that the burden of proof for this inquiry is borne by the defendant (access seeker), who would usually not have sufficient evidence as occurred in</w:t>
      </w:r>
      <w:r w:rsidR="0041442F" w:rsidRPr="00774EDB">
        <w:rPr>
          <w:rFonts w:ascii="Times New Roman" w:hAnsi="Times New Roman" w:cs="Times New Roman"/>
          <w:sz w:val="24"/>
          <w:szCs w:val="24"/>
        </w:rPr>
        <w:t xml:space="preserve"> the abovementioned case</w:t>
      </w:r>
      <w:r w:rsidRPr="00774EDB">
        <w:rPr>
          <w:rFonts w:ascii="Times New Roman" w:hAnsi="Times New Roman" w:cs="Times New Roman"/>
          <w:sz w:val="24"/>
          <w:szCs w:val="24"/>
        </w:rPr>
        <w:t xml:space="preserve"> giving rise to the preliminary reference.</w:t>
      </w:r>
      <w:r w:rsidRPr="00774EDB">
        <w:rPr>
          <w:rStyle w:val="FootnoteReference"/>
          <w:rFonts w:ascii="Times New Roman" w:hAnsi="Times New Roman" w:cs="Times New Roman"/>
          <w:sz w:val="24"/>
          <w:szCs w:val="24"/>
        </w:rPr>
        <w:footnoteReference w:id="363"/>
      </w:r>
    </w:p>
    <w:p w14:paraId="084E30D9" w14:textId="77777777" w:rsidR="003825C0" w:rsidRPr="00774EDB" w:rsidRDefault="003825C0" w:rsidP="00A70042">
      <w:pPr>
        <w:pStyle w:val="Heading4"/>
        <w:numPr>
          <w:ilvl w:val="3"/>
          <w:numId w:val="33"/>
        </w:numPr>
        <w:spacing w:before="360"/>
        <w:ind w:left="851" w:hanging="851"/>
        <w:jc w:val="both"/>
        <w:rPr>
          <w:rFonts w:ascii="Times New Roman" w:hAnsi="Times New Roman" w:cs="Times New Roman"/>
          <w:b/>
          <w:bCs/>
          <w:i w:val="0"/>
          <w:iCs w:val="0"/>
          <w:color w:val="auto"/>
          <w:sz w:val="24"/>
          <w:szCs w:val="24"/>
        </w:rPr>
      </w:pPr>
      <w:bookmarkStart w:id="336" w:name="_Toc17611400"/>
      <w:bookmarkStart w:id="337" w:name="_Toc53576055"/>
      <w:r w:rsidRPr="00774EDB">
        <w:rPr>
          <w:rFonts w:ascii="Times New Roman" w:hAnsi="Times New Roman" w:cs="Times New Roman"/>
          <w:b/>
          <w:bCs/>
          <w:i w:val="0"/>
          <w:iCs w:val="0"/>
          <w:color w:val="auto"/>
          <w:sz w:val="24"/>
          <w:szCs w:val="24"/>
        </w:rPr>
        <w:t>Beyond</w:t>
      </w:r>
      <w:r w:rsidR="008C757A" w:rsidRPr="00774EDB">
        <w:rPr>
          <w:rFonts w:ascii="Times New Roman" w:hAnsi="Times New Roman" w:cs="Times New Roman"/>
          <w:b/>
          <w:bCs/>
          <w:i w:val="0"/>
          <w:iCs w:val="0"/>
          <w:color w:val="auto"/>
          <w:sz w:val="24"/>
          <w:szCs w:val="24"/>
        </w:rPr>
        <w:t xml:space="preserve"> </w:t>
      </w:r>
      <w:r w:rsidR="008C757A" w:rsidRPr="00774EDB">
        <w:rPr>
          <w:rFonts w:ascii="Times New Roman" w:hAnsi="Times New Roman" w:cs="Times New Roman"/>
          <w:b/>
          <w:bCs/>
          <w:color w:val="auto"/>
          <w:sz w:val="24"/>
          <w:szCs w:val="24"/>
        </w:rPr>
        <w:t>Nintendo</w:t>
      </w:r>
      <w:r w:rsidRPr="00774EDB">
        <w:rPr>
          <w:rFonts w:ascii="Times New Roman" w:hAnsi="Times New Roman" w:cs="Times New Roman"/>
          <w:b/>
          <w:bCs/>
          <w:i w:val="0"/>
          <w:iCs w:val="0"/>
          <w:color w:val="auto"/>
          <w:sz w:val="24"/>
          <w:szCs w:val="24"/>
        </w:rPr>
        <w:t>: Balancing between legitimate rights</w:t>
      </w:r>
      <w:bookmarkEnd w:id="336"/>
      <w:bookmarkEnd w:id="337"/>
      <w:r w:rsidRPr="00774EDB">
        <w:rPr>
          <w:rFonts w:ascii="Times New Roman" w:hAnsi="Times New Roman" w:cs="Times New Roman"/>
          <w:b/>
          <w:bCs/>
          <w:i w:val="0"/>
          <w:iCs w:val="0"/>
          <w:color w:val="auto"/>
          <w:sz w:val="24"/>
          <w:szCs w:val="24"/>
        </w:rPr>
        <w:t xml:space="preserve"> </w:t>
      </w:r>
    </w:p>
    <w:p w14:paraId="3F6A7337" w14:textId="71A50B0D" w:rsidR="00194C5E" w:rsidRPr="00A70042" w:rsidRDefault="008322FA" w:rsidP="00A70042">
      <w:pPr>
        <w:spacing w:before="360"/>
        <w:jc w:val="both"/>
        <w:rPr>
          <w:rFonts w:ascii="Times New Roman" w:hAnsi="Times New Roman" w:cs="Times New Roman"/>
          <w:spacing w:val="-4"/>
          <w:sz w:val="24"/>
          <w:szCs w:val="24"/>
        </w:rPr>
      </w:pPr>
      <w:r w:rsidRPr="00A70042">
        <w:rPr>
          <w:rFonts w:ascii="Times New Roman" w:hAnsi="Times New Roman" w:cs="Times New Roman"/>
          <w:spacing w:val="-4"/>
          <w:sz w:val="24"/>
          <w:szCs w:val="24"/>
        </w:rPr>
        <w:t xml:space="preserve">Under the light of sequential conflicts and debates following the </w:t>
      </w:r>
      <w:r w:rsidRPr="00A70042">
        <w:rPr>
          <w:rFonts w:ascii="Times New Roman" w:hAnsi="Times New Roman" w:cs="Times New Roman"/>
          <w:i/>
          <w:spacing w:val="-4"/>
          <w:sz w:val="24"/>
          <w:szCs w:val="24"/>
        </w:rPr>
        <w:t xml:space="preserve">Nintendo </w:t>
      </w:r>
      <w:r w:rsidRPr="00A70042">
        <w:rPr>
          <w:rFonts w:ascii="Times New Roman" w:hAnsi="Times New Roman" w:cs="Times New Roman"/>
          <w:spacing w:val="-4"/>
          <w:sz w:val="24"/>
          <w:szCs w:val="24"/>
        </w:rPr>
        <w:t>case, the judicial solutions based on the ‘fair use’ doctrine and the legitimacy of ‘reverse engineering’ seem to have a balanced approach against the legally and economically justifiable rights. When tracing back to the roots of ‘reverse engineering’, one will meet the ‘fair use’ defence that was largely echoed in the US jurisprudence before being codified under Title 17, Section 107 of the 1976 US Copyright Act (USCA).</w:t>
      </w:r>
      <w:r w:rsidRPr="00A70042">
        <w:rPr>
          <w:rStyle w:val="FootnoteReference"/>
          <w:rFonts w:ascii="Times New Roman" w:hAnsi="Times New Roman" w:cs="Times New Roman"/>
          <w:spacing w:val="-4"/>
          <w:sz w:val="24"/>
          <w:szCs w:val="24"/>
        </w:rPr>
        <w:footnoteReference w:id="364"/>
      </w:r>
      <w:r w:rsidRPr="00A70042">
        <w:rPr>
          <w:rFonts w:ascii="Times New Roman" w:hAnsi="Times New Roman" w:cs="Times New Roman"/>
          <w:spacing w:val="-4"/>
          <w:sz w:val="24"/>
          <w:szCs w:val="24"/>
        </w:rPr>
        <w:t xml:space="preserve"> Initially framed under the </w:t>
      </w:r>
      <w:r w:rsidRPr="00A70042">
        <w:rPr>
          <w:rFonts w:ascii="Times New Roman" w:hAnsi="Times New Roman" w:cs="Times New Roman"/>
          <w:i/>
          <w:spacing w:val="-4"/>
          <w:sz w:val="24"/>
          <w:szCs w:val="24"/>
        </w:rPr>
        <w:t>Sega Enters. v. Accolade Inc.</w:t>
      </w:r>
      <w:r w:rsidRPr="00A70042">
        <w:rPr>
          <w:rStyle w:val="FootnoteReference"/>
          <w:rFonts w:ascii="Times New Roman" w:hAnsi="Times New Roman" w:cs="Times New Roman"/>
          <w:spacing w:val="-4"/>
          <w:sz w:val="24"/>
          <w:szCs w:val="24"/>
        </w:rPr>
        <w:footnoteReference w:id="365"/>
      </w:r>
      <w:r w:rsidRPr="00A70042">
        <w:rPr>
          <w:rFonts w:ascii="Times New Roman" w:hAnsi="Times New Roman" w:cs="Times New Roman"/>
          <w:spacing w:val="-4"/>
          <w:sz w:val="24"/>
          <w:szCs w:val="24"/>
        </w:rPr>
        <w:t xml:space="preserve"> judgement, the ‘fair use’ doctrine has been built upon four factors, as translated under Title 17, Section 107 of the USCA. Before this codification, the courts, both in the </w:t>
      </w:r>
      <w:r w:rsidRPr="00A70042">
        <w:rPr>
          <w:rFonts w:ascii="Times New Roman" w:hAnsi="Times New Roman" w:cs="Times New Roman"/>
          <w:i/>
          <w:spacing w:val="-4"/>
          <w:sz w:val="24"/>
          <w:szCs w:val="24"/>
        </w:rPr>
        <w:t>Sega</w:t>
      </w:r>
      <w:r w:rsidRPr="00A70042">
        <w:rPr>
          <w:rFonts w:ascii="Times New Roman" w:hAnsi="Times New Roman" w:cs="Times New Roman"/>
          <w:spacing w:val="-4"/>
          <w:sz w:val="24"/>
          <w:szCs w:val="24"/>
        </w:rPr>
        <w:t xml:space="preserve"> and </w:t>
      </w:r>
      <w:r w:rsidRPr="00A70042">
        <w:rPr>
          <w:rFonts w:ascii="Times New Roman" w:hAnsi="Times New Roman" w:cs="Times New Roman"/>
          <w:i/>
          <w:spacing w:val="-4"/>
          <w:sz w:val="24"/>
          <w:szCs w:val="24"/>
        </w:rPr>
        <w:t>Nintendo</w:t>
      </w:r>
      <w:r w:rsidRPr="00A70042">
        <w:rPr>
          <w:rFonts w:ascii="Times New Roman" w:hAnsi="Times New Roman" w:cs="Times New Roman"/>
          <w:spacing w:val="-4"/>
          <w:sz w:val="24"/>
          <w:szCs w:val="24"/>
        </w:rPr>
        <w:t xml:space="preserve"> cases, recognized the unique characteristics of software and understood that if reverse engineering were not permitted, the developer would receive </w:t>
      </w:r>
      <w:r w:rsidRPr="00A70042">
        <w:rPr>
          <w:rFonts w:ascii="Times New Roman" w:hAnsi="Times New Roman" w:cs="Times New Roman"/>
          <w:i/>
          <w:iCs/>
          <w:spacing w:val="-4"/>
          <w:sz w:val="24"/>
          <w:szCs w:val="24"/>
        </w:rPr>
        <w:t>de facto</w:t>
      </w:r>
      <w:r w:rsidRPr="00A70042">
        <w:rPr>
          <w:rFonts w:ascii="Times New Roman" w:hAnsi="Times New Roman" w:cs="Times New Roman"/>
          <w:spacing w:val="-4"/>
          <w:sz w:val="24"/>
          <w:szCs w:val="24"/>
        </w:rPr>
        <w:t xml:space="preserve"> protection over uncopyrightable ideas.</w:t>
      </w:r>
      <w:r w:rsidRPr="00A70042">
        <w:rPr>
          <w:rStyle w:val="FootnoteReference"/>
          <w:rFonts w:ascii="Times New Roman" w:hAnsi="Times New Roman" w:cs="Times New Roman"/>
          <w:spacing w:val="-4"/>
          <w:sz w:val="24"/>
          <w:szCs w:val="24"/>
        </w:rPr>
        <w:footnoteReference w:id="366"/>
      </w:r>
      <w:r w:rsidR="00CC3EA0">
        <w:rPr>
          <w:rFonts w:ascii="Times New Roman" w:hAnsi="Times New Roman" w:cs="Times New Roman"/>
          <w:spacing w:val="-4"/>
          <w:sz w:val="24"/>
          <w:szCs w:val="24"/>
        </w:rPr>
        <w:t xml:space="preserve"> </w:t>
      </w:r>
      <w:r w:rsidR="00F01E99">
        <w:rPr>
          <w:rFonts w:ascii="Times New Roman" w:hAnsi="Times New Roman" w:cs="Times New Roman"/>
          <w:spacing w:val="-4"/>
          <w:sz w:val="24"/>
          <w:szCs w:val="24"/>
        </w:rPr>
        <w:t xml:space="preserve">As rooted in these US precedents, the </w:t>
      </w:r>
      <w:r w:rsidR="00F01E99">
        <w:rPr>
          <w:rFonts w:ascii="Times New Roman" w:hAnsi="Times New Roman" w:cs="Times New Roman"/>
          <w:spacing w:val="-4"/>
          <w:sz w:val="24"/>
          <w:szCs w:val="24"/>
        </w:rPr>
        <w:lastRenderedPageBreak/>
        <w:t>reverse engineering privilege more explicitly recognizes the value of interoperability and copyright’s role in promoting it.</w:t>
      </w:r>
      <w:r w:rsidR="00F01E99">
        <w:rPr>
          <w:rStyle w:val="FootnoteReference"/>
          <w:rFonts w:ascii="Times New Roman" w:hAnsi="Times New Roman" w:cs="Times New Roman"/>
          <w:spacing w:val="-4"/>
          <w:sz w:val="24"/>
          <w:szCs w:val="24"/>
        </w:rPr>
        <w:footnoteReference w:id="367"/>
      </w:r>
    </w:p>
    <w:p w14:paraId="43C058AF" w14:textId="20D2294B" w:rsidR="007F094F" w:rsidRPr="00A70042" w:rsidRDefault="008322FA" w:rsidP="00A70042">
      <w:pPr>
        <w:spacing w:before="360" w:line="468" w:lineRule="auto"/>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When evaluating legitimate interests of the third parties for alleged copyright infringements, the ‘fair use’ doctrine goes beyond the boundaries of ‘reverse engineering’, even conceivable arguably to reach out to patent holders, under the US legal system.</w:t>
      </w:r>
      <w:r w:rsidRPr="00A70042">
        <w:rPr>
          <w:rStyle w:val="FootnoteReference"/>
          <w:rFonts w:ascii="Times New Roman" w:hAnsi="Times New Roman" w:cs="Times New Roman"/>
          <w:spacing w:val="-2"/>
          <w:sz w:val="24"/>
          <w:szCs w:val="24"/>
        </w:rPr>
        <w:footnoteReference w:id="368"/>
      </w:r>
      <w:r w:rsidRPr="00A70042">
        <w:rPr>
          <w:rFonts w:ascii="Times New Roman" w:hAnsi="Times New Roman" w:cs="Times New Roman"/>
          <w:spacing w:val="-2"/>
          <w:sz w:val="24"/>
          <w:szCs w:val="24"/>
        </w:rPr>
        <w:t xml:space="preserve"> While the former is codified in the US Copyright Act (17 USCA § 107), the latter was permitted under a broadly-formulated provision under Section 103(f) of the DMCA </w:t>
      </w:r>
      <w:r w:rsidR="00F01E99">
        <w:rPr>
          <w:rFonts w:ascii="Times New Roman" w:hAnsi="Times New Roman" w:cs="Times New Roman"/>
          <w:spacing w:val="-2"/>
          <w:sz w:val="24"/>
          <w:szCs w:val="24"/>
        </w:rPr>
        <w:t>(</w:t>
      </w:r>
      <w:r w:rsidRPr="00A70042">
        <w:rPr>
          <w:rFonts w:ascii="Times New Roman" w:hAnsi="Times New Roman" w:cs="Times New Roman"/>
          <w:spacing w:val="-2"/>
          <w:sz w:val="24"/>
          <w:szCs w:val="24"/>
        </w:rPr>
        <w:t>17 USC</w:t>
      </w:r>
      <w:r w:rsidR="00F9042A">
        <w:rPr>
          <w:rFonts w:ascii="Times New Roman" w:hAnsi="Times New Roman" w:cs="Times New Roman"/>
          <w:spacing w:val="-2"/>
          <w:sz w:val="24"/>
          <w:szCs w:val="24"/>
        </w:rPr>
        <w:t>A</w:t>
      </w:r>
      <w:r w:rsidRPr="00A70042">
        <w:rPr>
          <w:rFonts w:ascii="Times New Roman" w:hAnsi="Times New Roman" w:cs="Times New Roman"/>
          <w:spacing w:val="-2"/>
          <w:sz w:val="24"/>
          <w:szCs w:val="24"/>
        </w:rPr>
        <w:t xml:space="preserve"> § 1201(f)</w:t>
      </w:r>
      <w:r w:rsidR="00F01E99">
        <w:rPr>
          <w:rFonts w:ascii="Times New Roman" w:hAnsi="Times New Roman" w:cs="Times New Roman"/>
          <w:spacing w:val="-2"/>
          <w:sz w:val="24"/>
          <w:szCs w:val="24"/>
        </w:rPr>
        <w:t>)</w:t>
      </w:r>
      <w:r w:rsidRPr="00A70042">
        <w:rPr>
          <w:rFonts w:ascii="Times New Roman" w:hAnsi="Times New Roman" w:cs="Times New Roman"/>
          <w:spacing w:val="-2"/>
          <w:sz w:val="24"/>
          <w:szCs w:val="24"/>
        </w:rPr>
        <w:t>.</w:t>
      </w:r>
      <w:r w:rsidRPr="00A70042">
        <w:rPr>
          <w:rStyle w:val="FootnoteReference"/>
          <w:rFonts w:ascii="Times New Roman" w:hAnsi="Times New Roman" w:cs="Times New Roman"/>
          <w:spacing w:val="-2"/>
          <w:sz w:val="24"/>
          <w:szCs w:val="24"/>
        </w:rPr>
        <w:footnoteReference w:id="369"/>
      </w:r>
      <w:r w:rsidRPr="00A70042">
        <w:rPr>
          <w:rFonts w:ascii="Times New Roman" w:hAnsi="Times New Roman" w:cs="Times New Roman"/>
          <w:spacing w:val="-2"/>
          <w:sz w:val="24"/>
          <w:szCs w:val="24"/>
        </w:rPr>
        <w:t xml:space="preserve"> Having served as a key tool for the permissibility of reverse engineering in the years preceding the DMCA, the ‘fair use’ defence complements other jurisprudence tools, i.e. merger doctrine, patent misuse and enabling internal safeguards for the IPR regime in the USA.</w:t>
      </w:r>
    </w:p>
    <w:p w14:paraId="1E23C9F2" w14:textId="3986DB0B" w:rsidR="00A04B44" w:rsidRPr="00A70042" w:rsidRDefault="008322FA" w:rsidP="00A70042">
      <w:pPr>
        <w:spacing w:before="360" w:line="468" w:lineRule="auto"/>
        <w:jc w:val="both"/>
        <w:rPr>
          <w:rFonts w:ascii="Times New Roman" w:hAnsi="Times New Roman" w:cs="Times New Roman"/>
          <w:color w:val="231F20"/>
          <w:sz w:val="24"/>
          <w:szCs w:val="24"/>
        </w:rPr>
      </w:pPr>
      <w:r w:rsidRPr="00774EDB">
        <w:rPr>
          <w:rFonts w:ascii="Times New Roman" w:hAnsi="Times New Roman" w:cs="Times New Roman"/>
          <w:sz w:val="24"/>
          <w:szCs w:val="24"/>
        </w:rPr>
        <w:t xml:space="preserve">On the other hand, IPR </w:t>
      </w:r>
      <w:r w:rsidR="00CC3EA0">
        <w:rPr>
          <w:rFonts w:ascii="Times New Roman" w:hAnsi="Times New Roman" w:cs="Times New Roman"/>
          <w:sz w:val="24"/>
          <w:szCs w:val="24"/>
        </w:rPr>
        <w:t xml:space="preserve">rules </w:t>
      </w:r>
      <w:r w:rsidRPr="00774EDB">
        <w:rPr>
          <w:rFonts w:ascii="Times New Roman" w:hAnsi="Times New Roman" w:cs="Times New Roman"/>
          <w:sz w:val="24"/>
          <w:szCs w:val="24"/>
        </w:rPr>
        <w:t xml:space="preserve">and specifically the patent regime in the EU lack internal safeguarding tools responding to actual or potential anti-competitive results that would arise from overprotection of interfaces and accompanying reasons i.e. anti-circumvention rules. Alternative interpretative ways or solutions based on the ‘proportionality’ principle, as implicated by the CoJ in the </w:t>
      </w:r>
      <w:r w:rsidRPr="00774EDB">
        <w:rPr>
          <w:rFonts w:ascii="Times New Roman" w:hAnsi="Times New Roman" w:cs="Times New Roman"/>
          <w:i/>
          <w:sz w:val="24"/>
          <w:szCs w:val="24"/>
        </w:rPr>
        <w:t>Nintendo</w:t>
      </w:r>
      <w:r w:rsidRPr="00774EDB">
        <w:rPr>
          <w:rFonts w:ascii="Times New Roman" w:hAnsi="Times New Roman" w:cs="Times New Roman"/>
          <w:sz w:val="24"/>
          <w:szCs w:val="24"/>
        </w:rPr>
        <w:t xml:space="preserve"> proceedings, would require much more fine-tuning to respond to the legitimate interests of the access seekers, including reverse engineering for the patented products.</w:t>
      </w:r>
      <w:r w:rsidRPr="00774EDB">
        <w:rPr>
          <w:rStyle w:val="FootnoteReference"/>
          <w:rFonts w:ascii="Times New Roman" w:hAnsi="Times New Roman" w:cs="Times New Roman"/>
          <w:sz w:val="24"/>
          <w:szCs w:val="24"/>
        </w:rPr>
        <w:footnoteReference w:id="370"/>
      </w:r>
      <w:r w:rsidRPr="00774EDB">
        <w:rPr>
          <w:rFonts w:ascii="Times New Roman" w:hAnsi="Times New Roman" w:cs="Times New Roman"/>
          <w:sz w:val="24"/>
          <w:szCs w:val="24"/>
        </w:rPr>
        <w:t xml:space="preserve"> While the </w:t>
      </w:r>
      <w:r w:rsidRPr="00774EDB">
        <w:rPr>
          <w:rFonts w:ascii="Times New Roman" w:hAnsi="Times New Roman" w:cs="Times New Roman"/>
          <w:sz w:val="24"/>
          <w:szCs w:val="24"/>
        </w:rPr>
        <w:lastRenderedPageBreak/>
        <w:t xml:space="preserve">CoJ’s way of interpretation would give way to less restrictive TPMs </w:t>
      </w:r>
      <w:r w:rsidR="00CC3EA0">
        <w:rPr>
          <w:rFonts w:ascii="Times New Roman" w:hAnsi="Times New Roman" w:cs="Times New Roman"/>
          <w:sz w:val="24"/>
          <w:szCs w:val="24"/>
        </w:rPr>
        <w:t>signalling a further leeway for interoperability</w:t>
      </w:r>
      <w:r w:rsidRPr="00774EDB">
        <w:rPr>
          <w:rFonts w:ascii="Times New Roman" w:hAnsi="Times New Roman" w:cs="Times New Roman"/>
          <w:sz w:val="24"/>
          <w:szCs w:val="24"/>
        </w:rPr>
        <w:t xml:space="preserve">, patent-based real life problems still prevail, threatening market entries and innovative derivations on top of the protected products. In this vein, the limitedness of reverse engineering to </w:t>
      </w:r>
      <w:r w:rsidR="00880973">
        <w:rPr>
          <w:rFonts w:ascii="Times New Roman" w:hAnsi="Times New Roman" w:cs="Times New Roman"/>
          <w:sz w:val="24"/>
          <w:szCs w:val="24"/>
        </w:rPr>
        <w:t xml:space="preserve">ensure interoperability of </w:t>
      </w:r>
      <w:r w:rsidRPr="00774EDB">
        <w:rPr>
          <w:rFonts w:ascii="Times New Roman" w:hAnsi="Times New Roman" w:cs="Times New Roman"/>
          <w:sz w:val="24"/>
          <w:szCs w:val="24"/>
        </w:rPr>
        <w:t>copyrighted computer programs as well as lack of internal safeguards, unlike in the US system, appear as the major deficiencies of the patent and more broadly IPR regime in the EU.</w:t>
      </w:r>
      <w:r w:rsidRPr="00774EDB">
        <w:rPr>
          <w:rStyle w:val="FootnoteReference"/>
          <w:rFonts w:ascii="Times New Roman" w:hAnsi="Times New Roman" w:cs="Times New Roman"/>
          <w:sz w:val="24"/>
          <w:szCs w:val="24"/>
        </w:rPr>
        <w:footnoteReference w:id="371"/>
      </w:r>
      <w:r w:rsidR="00880973">
        <w:rPr>
          <w:rFonts w:ascii="Times New Roman" w:hAnsi="Times New Roman" w:cs="Times New Roman"/>
          <w:sz w:val="24"/>
          <w:szCs w:val="24"/>
        </w:rPr>
        <w:t xml:space="preserve"> </w:t>
      </w:r>
    </w:p>
    <w:p w14:paraId="4C7220FC" w14:textId="7CCCC21E" w:rsidR="008213B5" w:rsidRPr="00A70042" w:rsidRDefault="008322FA" w:rsidP="00A70042">
      <w:pPr>
        <w:spacing w:before="360" w:line="468" w:lineRule="auto"/>
        <w:jc w:val="both"/>
        <w:rPr>
          <w:rFonts w:ascii="Times New Roman" w:hAnsi="Times New Roman" w:cs="Times New Roman"/>
          <w:color w:val="231F20"/>
          <w:sz w:val="24"/>
          <w:szCs w:val="24"/>
        </w:rPr>
      </w:pPr>
      <w:r w:rsidRPr="00774EDB">
        <w:rPr>
          <w:rFonts w:ascii="Times New Roman" w:hAnsi="Times New Roman" w:cs="Times New Roman"/>
          <w:sz w:val="24"/>
          <w:szCs w:val="24"/>
        </w:rPr>
        <w:t xml:space="preserve">Patents’ monopoly granting features makes it more difficult for the competitors who lack </w:t>
      </w:r>
      <w:r w:rsidR="00880973">
        <w:rPr>
          <w:rFonts w:ascii="Times New Roman" w:hAnsi="Times New Roman" w:cs="Times New Roman"/>
          <w:sz w:val="24"/>
          <w:szCs w:val="24"/>
        </w:rPr>
        <w:t>US-like</w:t>
      </w:r>
      <w:r w:rsidRPr="00774EDB">
        <w:rPr>
          <w:rFonts w:ascii="Times New Roman" w:hAnsi="Times New Roman" w:cs="Times New Roman"/>
          <w:sz w:val="24"/>
          <w:szCs w:val="24"/>
        </w:rPr>
        <w:t xml:space="preserve"> internal safeguards not to face infringement claims when they intend to reach interface information.</w:t>
      </w:r>
      <w:r w:rsidR="00880973">
        <w:rPr>
          <w:rStyle w:val="FootnoteReference"/>
          <w:rFonts w:ascii="Times New Roman" w:hAnsi="Times New Roman" w:cs="Times New Roman"/>
          <w:sz w:val="24"/>
          <w:szCs w:val="24"/>
        </w:rPr>
        <w:footnoteReference w:id="372"/>
      </w:r>
      <w:r w:rsidRPr="00774EDB">
        <w:rPr>
          <w:rFonts w:ascii="Times New Roman" w:hAnsi="Times New Roman" w:cs="Times New Roman"/>
          <w:sz w:val="24"/>
          <w:szCs w:val="24"/>
        </w:rPr>
        <w:t xml:space="preserve"> Overprotection of interfaces which might serve as standards is a matter potentially going beyond the boundaries of the IPR regimes, with far-reaching implications </w:t>
      </w:r>
      <w:r w:rsidR="006B480F">
        <w:rPr>
          <w:rFonts w:ascii="Times New Roman" w:hAnsi="Times New Roman" w:cs="Times New Roman"/>
          <w:sz w:val="24"/>
          <w:szCs w:val="24"/>
        </w:rPr>
        <w:t xml:space="preserve">as framed above </w:t>
      </w:r>
      <w:r w:rsidRPr="00774EDB">
        <w:rPr>
          <w:rFonts w:ascii="Times New Roman" w:hAnsi="Times New Roman" w:cs="Times New Roman"/>
          <w:sz w:val="24"/>
          <w:szCs w:val="24"/>
        </w:rPr>
        <w:t xml:space="preserve">that could be affiliated to patent protection. </w:t>
      </w:r>
    </w:p>
    <w:p w14:paraId="25D15E9B" w14:textId="5D0C7065" w:rsidR="00A94D8C" w:rsidRPr="00A70042" w:rsidRDefault="008322FA" w:rsidP="00A70042">
      <w:pPr>
        <w:spacing w:before="360"/>
        <w:jc w:val="both"/>
        <w:rPr>
          <w:rFonts w:ascii="Times New Roman" w:hAnsi="Times New Roman" w:cs="Times New Roman"/>
          <w:color w:val="231F20"/>
          <w:sz w:val="24"/>
          <w:szCs w:val="24"/>
        </w:rPr>
      </w:pPr>
      <w:r w:rsidRPr="00774EDB">
        <w:rPr>
          <w:rFonts w:ascii="Times New Roman" w:hAnsi="Times New Roman" w:cs="Times New Roman"/>
          <w:sz w:val="24"/>
          <w:szCs w:val="24"/>
        </w:rPr>
        <w:t xml:space="preserve">Overall, not only the EU copyright </w:t>
      </w:r>
      <w:r w:rsidR="00831355">
        <w:rPr>
          <w:rFonts w:ascii="Times New Roman" w:hAnsi="Times New Roman" w:cs="Times New Roman"/>
          <w:sz w:val="24"/>
          <w:szCs w:val="24"/>
        </w:rPr>
        <w:t xml:space="preserve">acquis </w:t>
      </w:r>
      <w:r w:rsidRPr="00774EDB">
        <w:rPr>
          <w:rFonts w:ascii="Times New Roman" w:hAnsi="Times New Roman" w:cs="Times New Roman"/>
          <w:sz w:val="24"/>
          <w:szCs w:val="24"/>
        </w:rPr>
        <w:t xml:space="preserve">but also the EU patent </w:t>
      </w:r>
      <w:r w:rsidR="00831355">
        <w:rPr>
          <w:rFonts w:ascii="Times New Roman" w:hAnsi="Times New Roman" w:cs="Times New Roman"/>
          <w:sz w:val="24"/>
          <w:szCs w:val="24"/>
        </w:rPr>
        <w:t>regime and related</w:t>
      </w:r>
      <w:r w:rsidR="00831355"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mechanisms fail to adequately address the indirect effect of </w:t>
      </w:r>
      <w:r w:rsidR="00831355">
        <w:rPr>
          <w:rFonts w:ascii="Times New Roman" w:hAnsi="Times New Roman" w:cs="Times New Roman"/>
          <w:sz w:val="24"/>
          <w:szCs w:val="24"/>
        </w:rPr>
        <w:t xml:space="preserve">proprietary </w:t>
      </w:r>
      <w:r w:rsidRPr="00774EDB">
        <w:rPr>
          <w:rFonts w:ascii="Times New Roman" w:hAnsi="Times New Roman" w:cs="Times New Roman"/>
          <w:sz w:val="24"/>
          <w:szCs w:val="24"/>
        </w:rPr>
        <w:t>control</w:t>
      </w:r>
      <w:r w:rsidR="00831355">
        <w:rPr>
          <w:rFonts w:ascii="Times New Roman" w:hAnsi="Times New Roman" w:cs="Times New Roman"/>
          <w:sz w:val="24"/>
          <w:szCs w:val="24"/>
        </w:rPr>
        <w:t>s</w:t>
      </w:r>
      <w:r w:rsidRPr="00774EDB">
        <w:rPr>
          <w:rFonts w:ascii="Times New Roman" w:hAnsi="Times New Roman" w:cs="Times New Roman"/>
          <w:sz w:val="24"/>
          <w:szCs w:val="24"/>
        </w:rPr>
        <w:t xml:space="preserve"> over interface specifications on interoperability i.e. including market blocking and </w:t>
      </w:r>
      <w:r w:rsidRPr="00774EDB">
        <w:rPr>
          <w:rFonts w:ascii="Times New Roman" w:hAnsi="Times New Roman" w:cs="Times New Roman"/>
          <w:sz w:val="24"/>
          <w:szCs w:val="24"/>
        </w:rPr>
        <w:lastRenderedPageBreak/>
        <w:t xml:space="preserve">foreclosure, particularly </w:t>
      </w:r>
      <w:r w:rsidR="008A26B3">
        <w:rPr>
          <w:rFonts w:ascii="Times New Roman" w:hAnsi="Times New Roman" w:cs="Times New Roman"/>
          <w:sz w:val="24"/>
          <w:szCs w:val="24"/>
        </w:rPr>
        <w:t>given the fact that</w:t>
      </w:r>
      <w:r w:rsidRPr="00774EDB">
        <w:rPr>
          <w:rFonts w:ascii="Times New Roman" w:hAnsi="Times New Roman" w:cs="Times New Roman"/>
          <w:sz w:val="24"/>
          <w:szCs w:val="24"/>
        </w:rPr>
        <w:t xml:space="preserve"> patent protection of interfaces can </w:t>
      </w:r>
      <w:r w:rsidR="008A26B3">
        <w:rPr>
          <w:rFonts w:ascii="Times New Roman" w:hAnsi="Times New Roman" w:cs="Times New Roman"/>
          <w:sz w:val="24"/>
          <w:szCs w:val="24"/>
        </w:rPr>
        <w:t xml:space="preserve">hardly </w:t>
      </w:r>
      <w:r w:rsidRPr="00774EDB">
        <w:rPr>
          <w:rFonts w:ascii="Times New Roman" w:hAnsi="Times New Roman" w:cs="Times New Roman"/>
          <w:sz w:val="24"/>
          <w:szCs w:val="24"/>
        </w:rPr>
        <w:t>be justified by the purported goals i.e. promoting innovation and dissemination.</w:t>
      </w:r>
      <w:r w:rsidRPr="00774EDB">
        <w:rPr>
          <w:rStyle w:val="FootnoteReference"/>
          <w:rFonts w:ascii="Times New Roman" w:hAnsi="Times New Roman" w:cs="Times New Roman"/>
          <w:sz w:val="24"/>
          <w:szCs w:val="24"/>
        </w:rPr>
        <w:footnoteReference w:id="373"/>
      </w:r>
    </w:p>
    <w:p w14:paraId="3592F0A3" w14:textId="77777777" w:rsidR="001F42BC" w:rsidRPr="00A70042" w:rsidRDefault="00867D63" w:rsidP="00A70042">
      <w:pPr>
        <w:pStyle w:val="Heading2"/>
        <w:numPr>
          <w:ilvl w:val="1"/>
          <w:numId w:val="33"/>
        </w:numPr>
        <w:spacing w:before="360"/>
        <w:ind w:left="0" w:firstLine="0"/>
        <w:jc w:val="both"/>
        <w:rPr>
          <w:rFonts w:ascii="Times New Roman" w:hAnsi="Times New Roman" w:cs="Times New Roman"/>
          <w:b/>
          <w:color w:val="000000"/>
          <w:sz w:val="24"/>
          <w:szCs w:val="24"/>
        </w:rPr>
      </w:pPr>
      <w:bookmarkStart w:id="339" w:name="_Toc17611401"/>
      <w:bookmarkStart w:id="340" w:name="_Toc17611618"/>
      <w:bookmarkStart w:id="341" w:name="_Toc17611830"/>
      <w:bookmarkStart w:id="342" w:name="_Toc17612044"/>
      <w:bookmarkStart w:id="343" w:name="_Toc17612257"/>
      <w:bookmarkStart w:id="344" w:name="_Toc17611402"/>
      <w:bookmarkStart w:id="345" w:name="_Toc53576056"/>
      <w:bookmarkEnd w:id="339"/>
      <w:bookmarkEnd w:id="340"/>
      <w:bookmarkEnd w:id="341"/>
      <w:bookmarkEnd w:id="342"/>
      <w:bookmarkEnd w:id="343"/>
      <w:r w:rsidRPr="00774EDB">
        <w:rPr>
          <w:rFonts w:ascii="Times New Roman" w:hAnsi="Times New Roman" w:cs="Times New Roman"/>
          <w:b/>
          <w:color w:val="auto"/>
          <w:sz w:val="24"/>
          <w:szCs w:val="24"/>
        </w:rPr>
        <w:t>Tr</w:t>
      </w:r>
      <w:r w:rsidR="008351D7" w:rsidRPr="00774EDB">
        <w:rPr>
          <w:rFonts w:ascii="Times New Roman" w:hAnsi="Times New Roman" w:cs="Times New Roman"/>
          <w:b/>
          <w:color w:val="auto"/>
          <w:sz w:val="24"/>
          <w:szCs w:val="24"/>
        </w:rPr>
        <w:t>ade secrets</w:t>
      </w:r>
      <w:bookmarkEnd w:id="344"/>
      <w:bookmarkEnd w:id="345"/>
    </w:p>
    <w:p w14:paraId="191743C4" w14:textId="6AFF19DE"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Trade secrets represent another major field of intellectual property protection when considering interfaces from the interoperability perspective. Given the fact that source code is considered to be the source of the originality as to the computer programs, authors/developers of computer programs tend to keep such code as trade secrets, as well as resting on copyrights and patents. Because of the difficulty of qualifying for patent protection and the thin scope offered by copyright protection, this represents a valuable and concrete opportunity for the software developers in terms of preventing interoperability.</w:t>
      </w:r>
      <w:r w:rsidRPr="00774EDB">
        <w:rPr>
          <w:rStyle w:val="FootnoteReference"/>
          <w:rFonts w:ascii="Times New Roman" w:hAnsi="Times New Roman" w:cs="Times New Roman"/>
          <w:sz w:val="24"/>
          <w:szCs w:val="24"/>
        </w:rPr>
        <w:footnoteReference w:id="374"/>
      </w:r>
      <w:r w:rsidRPr="00774EDB">
        <w:rPr>
          <w:rFonts w:ascii="Times New Roman" w:hAnsi="Times New Roman" w:cs="Times New Roman"/>
          <w:sz w:val="24"/>
          <w:szCs w:val="24"/>
        </w:rPr>
        <w:t xml:space="preserve"> At the international level, a number of requisites are laid down by the TRIP</w:t>
      </w:r>
      <w:r w:rsidR="00A8500A">
        <w:rPr>
          <w:rFonts w:ascii="Times New Roman" w:hAnsi="Times New Roman" w:cs="Times New Roman"/>
          <w:sz w:val="24"/>
          <w:szCs w:val="24"/>
        </w:rPr>
        <w:t>S</w:t>
      </w:r>
      <w:r w:rsidRPr="00774EDB">
        <w:rPr>
          <w:rFonts w:ascii="Times New Roman" w:hAnsi="Times New Roman" w:cs="Times New Roman"/>
          <w:sz w:val="24"/>
          <w:szCs w:val="24"/>
        </w:rPr>
        <w:t xml:space="preserve"> Agreement, regarding the information to be covered by trade secrets. According to this Treaty’s provisions, the presence of trade secrets is acknowledged so long as such information:</w:t>
      </w:r>
    </w:p>
    <w:p w14:paraId="1451CFD6" w14:textId="77777777" w:rsidR="00BC65AA" w:rsidRPr="00774EDB" w:rsidRDefault="00BC65AA" w:rsidP="00A70042">
      <w:pPr>
        <w:pStyle w:val="ListParagraph"/>
        <w:numPr>
          <w:ilvl w:val="0"/>
          <w:numId w:val="6"/>
        </w:numPr>
        <w:spacing w:before="360"/>
        <w:contextualSpacing w:val="0"/>
        <w:jc w:val="both"/>
        <w:rPr>
          <w:rFonts w:ascii="Times New Roman" w:hAnsi="Times New Roman" w:cs="Times New Roman"/>
          <w:sz w:val="24"/>
          <w:szCs w:val="24"/>
        </w:rPr>
      </w:pPr>
      <w:r w:rsidRPr="00774EDB">
        <w:rPr>
          <w:rFonts w:ascii="Times New Roman" w:hAnsi="Times New Roman" w:cs="Times New Roman"/>
          <w:sz w:val="24"/>
          <w:szCs w:val="24"/>
        </w:rPr>
        <w:t>is secret in the sense that it is not, as a body or in the precise configuration and assembly of its components, generally known among, or readily accessible to, persons within the circles that normally deal with the kind of information in question;</w:t>
      </w:r>
    </w:p>
    <w:p w14:paraId="219EF586" w14:textId="77777777" w:rsidR="00BC65AA" w:rsidRPr="00774EDB" w:rsidRDefault="00BC65AA" w:rsidP="00A70042">
      <w:pPr>
        <w:pStyle w:val="ListParagraph"/>
        <w:numPr>
          <w:ilvl w:val="0"/>
          <w:numId w:val="6"/>
        </w:numPr>
        <w:spacing w:before="360"/>
        <w:contextualSpacing w:val="0"/>
        <w:jc w:val="both"/>
        <w:rPr>
          <w:rFonts w:ascii="Times New Roman" w:hAnsi="Times New Roman" w:cs="Times New Roman"/>
          <w:sz w:val="24"/>
          <w:szCs w:val="24"/>
        </w:rPr>
      </w:pPr>
      <w:r w:rsidRPr="00774EDB">
        <w:rPr>
          <w:rFonts w:ascii="Times New Roman" w:hAnsi="Times New Roman" w:cs="Times New Roman"/>
          <w:sz w:val="24"/>
          <w:szCs w:val="24"/>
        </w:rPr>
        <w:t>has commercial value because it is secret; and</w:t>
      </w:r>
    </w:p>
    <w:p w14:paraId="6A3DD2AB" w14:textId="77777777" w:rsidR="00BC65AA" w:rsidRPr="00774EDB" w:rsidRDefault="00BC65AA" w:rsidP="00A70042">
      <w:pPr>
        <w:pStyle w:val="ListParagraph"/>
        <w:numPr>
          <w:ilvl w:val="0"/>
          <w:numId w:val="6"/>
        </w:numPr>
        <w:spacing w:before="360"/>
        <w:contextualSpacing w:val="0"/>
        <w:jc w:val="both"/>
        <w:rPr>
          <w:rFonts w:ascii="Times New Roman" w:hAnsi="Times New Roman" w:cs="Times New Roman"/>
          <w:sz w:val="24"/>
          <w:szCs w:val="24"/>
        </w:rPr>
      </w:pPr>
      <w:r w:rsidRPr="00774EDB">
        <w:rPr>
          <w:rFonts w:ascii="Times New Roman" w:hAnsi="Times New Roman" w:cs="Times New Roman"/>
          <w:sz w:val="24"/>
          <w:szCs w:val="24"/>
        </w:rPr>
        <w:lastRenderedPageBreak/>
        <w:t>has been subject to reasonable steps under the circumstances, by the person lawfully in control of the information, to keep it secret</w:t>
      </w:r>
      <w:r w:rsidRPr="00774EDB">
        <w:rPr>
          <w:rStyle w:val="FootnoteReference"/>
          <w:rFonts w:ascii="Times New Roman" w:hAnsi="Times New Roman" w:cs="Times New Roman"/>
          <w:sz w:val="24"/>
          <w:szCs w:val="24"/>
        </w:rPr>
        <w:footnoteReference w:id="375"/>
      </w:r>
    </w:p>
    <w:p w14:paraId="6FA08D64" w14:textId="3F98BA1E" w:rsidR="00BC65AA" w:rsidRPr="00A70042" w:rsidRDefault="00BC65AA"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As could be seen above, trade secrets are meant to protect commercially valuable information which is kept as confidential via reasonable steps. In this scope of protection, the existence of intrinsic innovation is not sought in the software products covered by trade secrets. Under TRIPS, the very nature of trade secrets seems to have been regulated with no certainty regarding the prospect of the information obtained from reverse engineering, even though this process is considered not to be affected by trade secret protection.</w:t>
      </w:r>
      <w:r w:rsidRPr="00A70042">
        <w:rPr>
          <w:rStyle w:val="FootnoteReference"/>
          <w:rFonts w:ascii="Times New Roman" w:hAnsi="Times New Roman" w:cs="Times New Roman"/>
          <w:spacing w:val="-2"/>
          <w:sz w:val="24"/>
          <w:szCs w:val="24"/>
        </w:rPr>
        <w:footnoteReference w:id="376"/>
      </w:r>
      <w:r w:rsidRPr="00A70042">
        <w:rPr>
          <w:rFonts w:ascii="Times New Roman" w:hAnsi="Times New Roman" w:cs="Times New Roman"/>
          <w:spacing w:val="-2"/>
          <w:sz w:val="24"/>
          <w:szCs w:val="24"/>
        </w:rPr>
        <w:t xml:space="preserve"> Because trade secrets have acquired strong protection since codification in Article 39 of the TRIPS Agreement, demanding the protection of relevant technical information on software programs has thus far had the effect of adding another layer of protection to them, potentially with significant anti-competitive effects for the firms that need interoperability in order to compete in the same or an ancillary market.</w:t>
      </w:r>
      <w:r w:rsidRPr="00A70042">
        <w:rPr>
          <w:rStyle w:val="FootnoteReference"/>
          <w:rFonts w:ascii="Times New Roman" w:hAnsi="Times New Roman" w:cs="Times New Roman"/>
          <w:spacing w:val="-2"/>
          <w:sz w:val="24"/>
          <w:szCs w:val="24"/>
        </w:rPr>
        <w:footnoteReference w:id="377"/>
      </w:r>
      <w:r w:rsidRPr="00A70042">
        <w:rPr>
          <w:rFonts w:ascii="Times New Roman" w:hAnsi="Times New Roman" w:cs="Times New Roman"/>
          <w:spacing w:val="-2"/>
          <w:sz w:val="24"/>
          <w:szCs w:val="24"/>
        </w:rPr>
        <w:t xml:space="preserve"> Partially to respond to this as well as to ensure dissemination of knowledge and information, the European authorities recently enacted the Directive 2016/943.</w:t>
      </w:r>
      <w:r w:rsidRPr="00A70042">
        <w:rPr>
          <w:rStyle w:val="FootnoteReference"/>
          <w:rFonts w:ascii="Times New Roman" w:hAnsi="Times New Roman" w:cs="Times New Roman"/>
          <w:spacing w:val="-2"/>
          <w:sz w:val="24"/>
          <w:szCs w:val="24"/>
        </w:rPr>
        <w:footnoteReference w:id="378"/>
      </w:r>
      <w:r w:rsidRPr="00A70042">
        <w:rPr>
          <w:rFonts w:ascii="Times New Roman" w:hAnsi="Times New Roman" w:cs="Times New Roman"/>
          <w:spacing w:val="-2"/>
          <w:sz w:val="24"/>
          <w:szCs w:val="24"/>
        </w:rPr>
        <w:t xml:space="preserve"> The referred Directive (Trade Secrets Directive) has entered into force on 8</w:t>
      </w:r>
      <w:r w:rsidRPr="00A70042">
        <w:rPr>
          <w:rFonts w:ascii="Times New Roman" w:hAnsi="Times New Roman" w:cs="Times New Roman"/>
          <w:spacing w:val="-2"/>
          <w:sz w:val="24"/>
          <w:szCs w:val="24"/>
          <w:vertAlign w:val="superscript"/>
        </w:rPr>
        <w:t>th</w:t>
      </w:r>
      <w:r w:rsidRPr="00A70042">
        <w:rPr>
          <w:rFonts w:ascii="Times New Roman" w:hAnsi="Times New Roman" w:cs="Times New Roman"/>
          <w:spacing w:val="-2"/>
          <w:sz w:val="24"/>
          <w:szCs w:val="24"/>
        </w:rPr>
        <w:t xml:space="preserve"> June 2018, to be </w:t>
      </w:r>
      <w:r w:rsidR="00F64242">
        <w:rPr>
          <w:rFonts w:ascii="Times New Roman" w:hAnsi="Times New Roman" w:cs="Times New Roman"/>
          <w:spacing w:val="-2"/>
          <w:sz w:val="24"/>
          <w:szCs w:val="24"/>
        </w:rPr>
        <w:t>transpos</w:t>
      </w:r>
      <w:r w:rsidRPr="00A70042">
        <w:rPr>
          <w:rFonts w:ascii="Times New Roman" w:hAnsi="Times New Roman" w:cs="Times New Roman"/>
          <w:spacing w:val="-2"/>
          <w:sz w:val="24"/>
          <w:szCs w:val="24"/>
        </w:rPr>
        <w:t>ed by the Member States within a two-year period, with the ultimate aim of harmonization of national trade secret laws.</w:t>
      </w:r>
    </w:p>
    <w:p w14:paraId="7B7F784A" w14:textId="275E169F" w:rsidR="00BC65AA" w:rsidRPr="00A70042" w:rsidRDefault="00BC65AA"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lastRenderedPageBreak/>
        <w:t>First and foremost, the Trade Secrets Directive follows the three requirements set out by the TRIPS Agreement.</w:t>
      </w:r>
      <w:r w:rsidRPr="00A70042">
        <w:rPr>
          <w:rStyle w:val="FootnoteReference"/>
          <w:rFonts w:ascii="Times New Roman" w:hAnsi="Times New Roman" w:cs="Times New Roman"/>
          <w:spacing w:val="-2"/>
          <w:sz w:val="24"/>
          <w:szCs w:val="24"/>
        </w:rPr>
        <w:footnoteReference w:id="379"/>
      </w:r>
      <w:r w:rsidRPr="00A70042">
        <w:rPr>
          <w:rFonts w:ascii="Times New Roman" w:hAnsi="Times New Roman" w:cs="Times New Roman"/>
          <w:spacing w:val="-2"/>
          <w:sz w:val="24"/>
          <w:szCs w:val="24"/>
        </w:rPr>
        <w:t xml:space="preserve"> Notably, protection for trade secrets diverges from copyrights and patents in the sense that a trade secret is only protected against “unlawful acquisition, use and disclosure”, which are specified under Article 4 of the Trade Secrets Directive. Notwithstanding, according to Article 3 of the Directive, “the acquisition of a trade secret shall be considered lawful when the trade secret is obtained by … (b) observation, study, disassembly or testing of a product or object that has been made available to the public or that is lawfully in the possession of the acquirer of the information, who is free from any legally valid duty to limit the acquisition of the trade secret”.</w:t>
      </w:r>
      <w:r w:rsidR="00F64242">
        <w:rPr>
          <w:rStyle w:val="FootnoteReference"/>
          <w:rFonts w:ascii="Times New Roman" w:hAnsi="Times New Roman" w:cs="Times New Roman"/>
          <w:spacing w:val="-2"/>
          <w:sz w:val="24"/>
          <w:szCs w:val="24"/>
        </w:rPr>
        <w:footnoteReference w:id="380"/>
      </w:r>
    </w:p>
    <w:p w14:paraId="1EA8CA9B" w14:textId="77777777"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Having said that, alongside presumably the primary means of ‘independent discovery or creation’, ‘reverse engineering’ appears to be an alternative means to acquire the information to be covered by the trade secret.</w:t>
      </w:r>
      <w:r w:rsidRPr="00774EDB">
        <w:rPr>
          <w:rStyle w:val="FootnoteReference"/>
          <w:rFonts w:ascii="Times New Roman" w:hAnsi="Times New Roman" w:cs="Times New Roman"/>
          <w:sz w:val="24"/>
          <w:szCs w:val="24"/>
        </w:rPr>
        <w:footnoteReference w:id="381"/>
      </w:r>
      <w:r w:rsidRPr="00774EDB">
        <w:rPr>
          <w:rFonts w:ascii="Times New Roman" w:hAnsi="Times New Roman" w:cs="Times New Roman"/>
          <w:sz w:val="24"/>
          <w:szCs w:val="24"/>
        </w:rPr>
        <w:t xml:space="preserve"> Information obtained from reverse engineering should thus avail of a similar protection under the Trade Secrets Directive. However, this is bound with the stipulation that such a trade secret “is lawfully in the possession of the acquirer of the information who is free from any legally valid duty to limit the acquisition of the trade secret”.</w:t>
      </w:r>
      <w:r w:rsidRPr="00774EDB">
        <w:rPr>
          <w:rStyle w:val="FootnoteReference"/>
          <w:rFonts w:ascii="Times New Roman" w:hAnsi="Times New Roman" w:cs="Times New Roman"/>
          <w:sz w:val="24"/>
          <w:szCs w:val="24"/>
        </w:rPr>
        <w:footnoteReference w:id="382"/>
      </w:r>
      <w:r w:rsidRPr="00774EDB">
        <w:rPr>
          <w:rFonts w:ascii="Times New Roman" w:hAnsi="Times New Roman" w:cs="Times New Roman"/>
          <w:sz w:val="24"/>
          <w:szCs w:val="24"/>
        </w:rPr>
        <w:t xml:space="preserve"> Having said this, once the acquisition or use has happened, a possible conflict of interests would arise under the Software </w:t>
      </w:r>
      <w:r w:rsidRPr="00774EDB">
        <w:rPr>
          <w:rFonts w:ascii="Times New Roman" w:hAnsi="Times New Roman" w:cs="Times New Roman"/>
          <w:sz w:val="24"/>
          <w:szCs w:val="24"/>
        </w:rPr>
        <w:lastRenderedPageBreak/>
        <w:t>Directive as well as the Trade Secrets Directive which aims to strike a balance between dissemination and retaining of the information given the specified statutory rights.</w:t>
      </w:r>
    </w:p>
    <w:p w14:paraId="35D1985E" w14:textId="6128D575" w:rsidR="00BC65AA" w:rsidRPr="00A70042" w:rsidRDefault="00BC65AA" w:rsidP="00A70042">
      <w:pPr>
        <w:spacing w:before="360" w:line="468" w:lineRule="auto"/>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In fact, a link could be established between the so</w:t>
      </w:r>
      <w:r w:rsidR="00985F74">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called Directives on the proposition of “the possession of the acquirer of the information who is free from any legally valid duty to limit the acquisition of the trade secret”.</w:t>
      </w:r>
      <w:r w:rsidRPr="00A70042">
        <w:rPr>
          <w:rStyle w:val="FootnoteReference"/>
          <w:rFonts w:ascii="Times New Roman" w:hAnsi="Times New Roman" w:cs="Times New Roman"/>
          <w:spacing w:val="-2"/>
          <w:sz w:val="24"/>
          <w:szCs w:val="24"/>
        </w:rPr>
        <w:footnoteReference w:id="383"/>
      </w:r>
      <w:r w:rsidRPr="00A70042">
        <w:rPr>
          <w:rFonts w:ascii="Times New Roman" w:hAnsi="Times New Roman" w:cs="Times New Roman"/>
          <w:spacing w:val="-2"/>
          <w:sz w:val="24"/>
          <w:szCs w:val="24"/>
        </w:rPr>
        <w:t xml:space="preserve"> The implicated requirement of “the free[dom] from any legally valid duty to limit the acquisition” would mean the ability to reverse engineer to the extent acknowledged and allowed under the Software Directive.</w:t>
      </w:r>
      <w:r w:rsidRPr="00A70042">
        <w:rPr>
          <w:rStyle w:val="FootnoteReference"/>
          <w:rFonts w:ascii="Times New Roman" w:hAnsi="Times New Roman" w:cs="Times New Roman"/>
          <w:spacing w:val="-2"/>
          <w:sz w:val="24"/>
          <w:szCs w:val="24"/>
        </w:rPr>
        <w:footnoteReference w:id="384"/>
      </w:r>
      <w:r w:rsidRPr="00A70042">
        <w:rPr>
          <w:rFonts w:ascii="Times New Roman" w:hAnsi="Times New Roman" w:cs="Times New Roman"/>
          <w:spacing w:val="-2"/>
          <w:sz w:val="24"/>
          <w:szCs w:val="24"/>
        </w:rPr>
        <w:t xml:space="preserve"> It is remarkable that the Trade Secrets Directive implicitly points to the limits of lawful reverse engineering, while explicitly acknowledging the legality of reverse engineering as well.</w:t>
      </w:r>
      <w:r w:rsidRPr="00A70042">
        <w:rPr>
          <w:rStyle w:val="FootnoteReference"/>
          <w:rFonts w:ascii="Times New Roman" w:hAnsi="Times New Roman" w:cs="Times New Roman"/>
          <w:spacing w:val="-2"/>
          <w:sz w:val="24"/>
          <w:szCs w:val="24"/>
        </w:rPr>
        <w:footnoteReference w:id="385"/>
      </w:r>
      <w:r w:rsidRPr="00A70042">
        <w:rPr>
          <w:rFonts w:ascii="Times New Roman" w:hAnsi="Times New Roman" w:cs="Times New Roman"/>
          <w:spacing w:val="-2"/>
          <w:sz w:val="24"/>
          <w:szCs w:val="24"/>
        </w:rPr>
        <w:t xml:space="preserve"> Given the fact that restrictions under Article 6 of the Software Directive could amount to such a “legally valid duty”, decompiled codes would be deemed outside of the ‘lawful acquisition, use and disclosure’ enshrined under the Trade Secrets Directive should they exceed the limits of the Software Directive.</w:t>
      </w:r>
      <w:r w:rsidRPr="00A70042">
        <w:rPr>
          <w:rStyle w:val="FootnoteReference"/>
          <w:rFonts w:ascii="Times New Roman" w:hAnsi="Times New Roman" w:cs="Times New Roman"/>
          <w:spacing w:val="-2"/>
          <w:sz w:val="24"/>
          <w:szCs w:val="24"/>
        </w:rPr>
        <w:footnoteReference w:id="386"/>
      </w:r>
    </w:p>
    <w:p w14:paraId="5A40C674" w14:textId="7691CB0F" w:rsidR="00BC65AA" w:rsidRPr="00774EDB" w:rsidRDefault="00BC65AA"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 xml:space="preserve">Another limitation </w:t>
      </w:r>
      <w:r w:rsidR="00985F74">
        <w:rPr>
          <w:rFonts w:ascii="Times New Roman" w:hAnsi="Times New Roman" w:cs="Times New Roman"/>
          <w:sz w:val="24"/>
          <w:szCs w:val="24"/>
        </w:rPr>
        <w:t>of</w:t>
      </w:r>
      <w:r w:rsidRPr="00774EDB">
        <w:rPr>
          <w:rFonts w:ascii="Times New Roman" w:hAnsi="Times New Roman" w:cs="Times New Roman"/>
          <w:sz w:val="24"/>
          <w:szCs w:val="24"/>
        </w:rPr>
        <w:t xml:space="preserve"> the Trade Secrets Directive relates to the contractual rights and unfair competition laws, which are featured under this Directive in the sense that these safeguards would be pre-emptive over the lawful reverse engineering. In this respect, the Trade Secrets Directive clarifies that “reverse engineering of a lawfully acquired product should be considered as a lawful means of acquiring information, </w:t>
      </w:r>
      <w:r w:rsidRPr="00774EDB">
        <w:rPr>
          <w:rFonts w:ascii="Times New Roman" w:hAnsi="Times New Roman" w:cs="Times New Roman"/>
          <w:i/>
          <w:sz w:val="24"/>
          <w:szCs w:val="24"/>
        </w:rPr>
        <w:t>except when otherwise contractually agreed</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387"/>
      </w:r>
      <w:r w:rsidRPr="00774EDB">
        <w:rPr>
          <w:rFonts w:ascii="Times New Roman" w:hAnsi="Times New Roman" w:cs="Times New Roman"/>
          <w:sz w:val="24"/>
          <w:szCs w:val="24"/>
        </w:rPr>
        <w:t xml:space="preserve"> Also, it is noteworthy that national unfair </w:t>
      </w:r>
      <w:r w:rsidRPr="00774EDB">
        <w:rPr>
          <w:rFonts w:ascii="Times New Roman" w:hAnsi="Times New Roman" w:cs="Times New Roman"/>
          <w:sz w:val="24"/>
          <w:szCs w:val="24"/>
        </w:rPr>
        <w:lastRenderedPageBreak/>
        <w:t>competition laws could make it difficult to reverse engineer the information that would normally be kept under the trade secrets. This is expressed as follows:</w:t>
      </w:r>
    </w:p>
    <w:p w14:paraId="5A49FBBE" w14:textId="4A050CBA" w:rsidR="00BC65AA" w:rsidRPr="00A70042" w:rsidRDefault="00BC65AA" w:rsidP="00A70042">
      <w:pPr>
        <w:spacing w:before="360" w:line="456" w:lineRule="auto"/>
        <w:ind w:left="720" w:right="720"/>
        <w:jc w:val="both"/>
        <w:rPr>
          <w:rFonts w:ascii="Times New Roman" w:hAnsi="Times New Roman" w:cs="Times New Roman"/>
          <w:spacing w:val="-4"/>
          <w:sz w:val="24"/>
          <w:szCs w:val="24"/>
        </w:rPr>
      </w:pPr>
      <w:r w:rsidRPr="00A70042">
        <w:rPr>
          <w:rFonts w:ascii="Times New Roman" w:hAnsi="Times New Roman" w:cs="Times New Roman"/>
          <w:spacing w:val="-4"/>
          <w:sz w:val="24"/>
          <w:szCs w:val="24"/>
        </w:rPr>
        <w:t>In some industry sectors, where creators and innovators cannot benefit from exclusive rights and where innovation has traditionally relied upon trade secrets, products can nowadays be easily reverse-engineered once in the market. In such cases, those creators and innovators can be victims of practices such as parasitic copying or slavish imitations that free-ride on their reputation and innovation efforts. Some national laws dealing with unfair competition address those practices</w:t>
      </w:r>
      <w:r w:rsidR="0044427F" w:rsidRPr="00A70042">
        <w:rPr>
          <w:rFonts w:ascii="Times New Roman" w:hAnsi="Times New Roman" w:cs="Times New Roman"/>
          <w:spacing w:val="-4"/>
          <w:sz w:val="24"/>
          <w:szCs w:val="24"/>
        </w:rPr>
        <w:t>.</w:t>
      </w:r>
      <w:r w:rsidRPr="00A70042">
        <w:rPr>
          <w:rStyle w:val="FootnoteReference"/>
          <w:rFonts w:ascii="Times New Roman" w:hAnsi="Times New Roman" w:cs="Times New Roman"/>
          <w:spacing w:val="-4"/>
          <w:sz w:val="24"/>
          <w:szCs w:val="24"/>
        </w:rPr>
        <w:footnoteReference w:id="388"/>
      </w:r>
    </w:p>
    <w:p w14:paraId="65DE2022" w14:textId="02EA4271" w:rsidR="00BC65AA" w:rsidRPr="00A70042" w:rsidRDefault="00BC65AA" w:rsidP="00A70042">
      <w:pPr>
        <w:spacing w:before="360" w:line="468" w:lineRule="auto"/>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 xml:space="preserve">Considering that it is implied, both contract and unfair competition laws could offer some safe harbours for the trade secret holders, it is clear to say that reverse engineering of the related information could not be favourably treated under trade secret provisions. Although counter arguments </w:t>
      </w:r>
      <w:r w:rsidR="00985F74">
        <w:rPr>
          <w:rFonts w:ascii="Times New Roman" w:hAnsi="Times New Roman" w:cs="Times New Roman"/>
          <w:spacing w:val="-2"/>
          <w:sz w:val="24"/>
          <w:szCs w:val="24"/>
        </w:rPr>
        <w:t>w</w:t>
      </w:r>
      <w:r w:rsidRPr="00A70042">
        <w:rPr>
          <w:rFonts w:ascii="Times New Roman" w:hAnsi="Times New Roman" w:cs="Times New Roman"/>
          <w:spacing w:val="-2"/>
          <w:sz w:val="24"/>
          <w:szCs w:val="24"/>
        </w:rPr>
        <w:t xml:space="preserve">ould </w:t>
      </w:r>
      <w:r w:rsidR="00985F74">
        <w:rPr>
          <w:rFonts w:ascii="Times New Roman" w:hAnsi="Times New Roman" w:cs="Times New Roman"/>
          <w:spacing w:val="-2"/>
          <w:sz w:val="24"/>
          <w:szCs w:val="24"/>
        </w:rPr>
        <w:t>originate</w:t>
      </w:r>
      <w:r w:rsidRPr="00A70042">
        <w:rPr>
          <w:rFonts w:ascii="Times New Roman" w:hAnsi="Times New Roman" w:cs="Times New Roman"/>
          <w:spacing w:val="-2"/>
          <w:sz w:val="24"/>
          <w:szCs w:val="24"/>
        </w:rPr>
        <w:t xml:space="preserve"> from the Software Directive which regards contractual provisions contrary to reverse engineering as “null and void”,</w:t>
      </w:r>
      <w:r w:rsidRPr="00A70042">
        <w:rPr>
          <w:rStyle w:val="FootnoteReference"/>
          <w:rFonts w:ascii="Times New Roman" w:hAnsi="Times New Roman" w:cs="Times New Roman"/>
          <w:spacing w:val="-2"/>
          <w:sz w:val="24"/>
          <w:szCs w:val="24"/>
        </w:rPr>
        <w:footnoteReference w:id="389"/>
      </w:r>
      <w:r w:rsidRPr="00A70042">
        <w:rPr>
          <w:rFonts w:ascii="Times New Roman" w:hAnsi="Times New Roman" w:cs="Times New Roman"/>
          <w:spacing w:val="-2"/>
          <w:sz w:val="24"/>
          <w:szCs w:val="24"/>
        </w:rPr>
        <w:t xml:space="preserve"> the Trade Secrets Directive conferring an important role to unfair competition law rules, as well as contractual rights and obligations, would mean some potential conflicts </w:t>
      </w:r>
      <w:r w:rsidR="000E6AC7">
        <w:rPr>
          <w:rFonts w:ascii="Times New Roman" w:hAnsi="Times New Roman" w:cs="Times New Roman"/>
          <w:spacing w:val="-2"/>
          <w:sz w:val="24"/>
          <w:szCs w:val="24"/>
        </w:rPr>
        <w:t xml:space="preserve">yet to be resolved </w:t>
      </w:r>
      <w:r w:rsidRPr="00A70042">
        <w:rPr>
          <w:rFonts w:ascii="Times New Roman" w:hAnsi="Times New Roman" w:cs="Times New Roman"/>
          <w:spacing w:val="-2"/>
          <w:sz w:val="24"/>
          <w:szCs w:val="24"/>
        </w:rPr>
        <w:t>against lawful reverse engineering. Further to this, the possibility that Article 8(1) of the Software Directive would be interpreted as favourable to contractual clauses and unfair competition law rules</w:t>
      </w:r>
      <w:r w:rsidRPr="00A70042">
        <w:rPr>
          <w:rStyle w:val="FootnoteReference"/>
          <w:rFonts w:ascii="Times New Roman" w:hAnsi="Times New Roman" w:cs="Times New Roman"/>
          <w:spacing w:val="-2"/>
          <w:sz w:val="24"/>
          <w:szCs w:val="24"/>
        </w:rPr>
        <w:footnoteReference w:id="390"/>
      </w:r>
      <w:r w:rsidRPr="00A70042">
        <w:rPr>
          <w:rFonts w:ascii="Times New Roman" w:hAnsi="Times New Roman" w:cs="Times New Roman"/>
          <w:spacing w:val="-2"/>
          <w:sz w:val="24"/>
          <w:szCs w:val="24"/>
        </w:rPr>
        <w:t xml:space="preserve"> substantiates the potential conflicts referred to above.</w:t>
      </w:r>
    </w:p>
    <w:p w14:paraId="79463183" w14:textId="505129E0" w:rsidR="0036368C" w:rsidRDefault="00BC65AA" w:rsidP="008A2AC6">
      <w:pPr>
        <w:spacing w:before="360" w:line="468" w:lineRule="auto"/>
        <w:jc w:val="both"/>
        <w:rPr>
          <w:rFonts w:ascii="Times New Roman" w:hAnsi="Times New Roman" w:cs="Times New Roman"/>
          <w:color w:val="000000"/>
          <w:sz w:val="24"/>
          <w:szCs w:val="24"/>
        </w:rPr>
      </w:pPr>
      <w:r w:rsidRPr="00774EDB">
        <w:rPr>
          <w:rFonts w:ascii="Times New Roman" w:hAnsi="Times New Roman" w:cs="Times New Roman"/>
          <w:sz w:val="24"/>
          <w:szCs w:val="24"/>
        </w:rPr>
        <w:lastRenderedPageBreak/>
        <w:t>Under the light of the above information, attempts to reach to the APIs through reverse engineering could be doomed to failure against commercial practices e.g. license terms and contractual obligations, which might regard relevant information as trade secrets.</w:t>
      </w:r>
      <w:r w:rsidRPr="00774EDB">
        <w:rPr>
          <w:rStyle w:val="FootnoteReference"/>
          <w:rFonts w:ascii="Times New Roman" w:hAnsi="Times New Roman" w:cs="Times New Roman"/>
          <w:sz w:val="24"/>
          <w:szCs w:val="24"/>
        </w:rPr>
        <w:footnoteReference w:id="391"/>
      </w:r>
      <w:r w:rsidRPr="00774EDB">
        <w:rPr>
          <w:rFonts w:ascii="Times New Roman" w:hAnsi="Times New Roman" w:cs="Times New Roman"/>
          <w:sz w:val="24"/>
          <w:szCs w:val="24"/>
        </w:rPr>
        <w:t xml:space="preserve"> Article 6 of the Software Directive does not give any express right to use the reverse engineered information, so arguably a clause preventing its use may not fall foul of Article 8 </w:t>
      </w:r>
      <w:bookmarkStart w:id="346" w:name="_Hlk516658821"/>
      <w:r w:rsidRPr="00774EDB">
        <w:rPr>
          <w:rFonts w:ascii="Times New Roman" w:hAnsi="Times New Roman" w:cs="Times New Roman"/>
          <w:sz w:val="24"/>
          <w:szCs w:val="24"/>
        </w:rPr>
        <w:t>of the Software Directive</w:t>
      </w:r>
      <w:bookmarkEnd w:id="346"/>
      <w:r w:rsidRPr="00774EDB">
        <w:rPr>
          <w:rFonts w:ascii="Times New Roman" w:hAnsi="Times New Roman" w:cs="Times New Roman"/>
          <w:sz w:val="24"/>
          <w:szCs w:val="24"/>
        </w:rPr>
        <w:t xml:space="preserve"> as well as the Trade Secrets Directive.</w:t>
      </w:r>
      <w:r w:rsidRPr="00774EDB">
        <w:rPr>
          <w:rStyle w:val="FootnoteReference"/>
          <w:rFonts w:ascii="Times New Roman" w:hAnsi="Times New Roman" w:cs="Times New Roman"/>
          <w:sz w:val="24"/>
          <w:szCs w:val="24"/>
        </w:rPr>
        <w:footnoteReference w:id="392"/>
      </w:r>
      <w:r w:rsidR="000E6AC7">
        <w:rPr>
          <w:rFonts w:ascii="Times New Roman" w:hAnsi="Times New Roman" w:cs="Times New Roman"/>
          <w:sz w:val="24"/>
          <w:szCs w:val="24"/>
        </w:rPr>
        <w:t xml:space="preserve"> That is to say, the uncertainty as to the legitimacy of reverse engineering under the given statutory provisions of the EU law would be a grave risk for the competitive ICT players in effect. </w:t>
      </w:r>
      <w:r w:rsidR="00D93CD3" w:rsidRPr="00A70042">
        <w:rPr>
          <w:rFonts w:ascii="Times New Roman" w:hAnsi="Times New Roman" w:cs="Times New Roman"/>
          <w:color w:val="000000"/>
          <w:sz w:val="24"/>
          <w:szCs w:val="24"/>
        </w:rPr>
        <w:t xml:space="preserve">    </w:t>
      </w:r>
      <w:r w:rsidR="0036368C" w:rsidRPr="00A70042">
        <w:rPr>
          <w:rFonts w:ascii="Times New Roman" w:hAnsi="Times New Roman" w:cs="Times New Roman"/>
          <w:color w:val="000000"/>
          <w:sz w:val="24"/>
          <w:szCs w:val="24"/>
        </w:rPr>
        <w:t xml:space="preserve">  </w:t>
      </w:r>
    </w:p>
    <w:p w14:paraId="6860260A" w14:textId="77777777" w:rsidR="005642FD" w:rsidRPr="00774EDB" w:rsidRDefault="005642FD" w:rsidP="00A70042">
      <w:pPr>
        <w:pStyle w:val="Heading2"/>
        <w:numPr>
          <w:ilvl w:val="1"/>
          <w:numId w:val="33"/>
        </w:numPr>
        <w:tabs>
          <w:tab w:val="left" w:pos="426"/>
        </w:tabs>
        <w:spacing w:before="360"/>
        <w:ind w:left="0" w:firstLine="0"/>
        <w:jc w:val="both"/>
        <w:rPr>
          <w:rFonts w:ascii="Times New Roman" w:hAnsi="Times New Roman" w:cs="Times New Roman"/>
          <w:b/>
          <w:sz w:val="24"/>
          <w:szCs w:val="24"/>
        </w:rPr>
      </w:pPr>
      <w:bookmarkStart w:id="347" w:name="_Toc17611403"/>
      <w:bookmarkStart w:id="348" w:name="_Toc17611620"/>
      <w:bookmarkStart w:id="349" w:name="_Toc17611832"/>
      <w:bookmarkStart w:id="350" w:name="_Toc17612046"/>
      <w:bookmarkStart w:id="351" w:name="_Toc17612259"/>
      <w:bookmarkStart w:id="352" w:name="_Toc17611404"/>
      <w:bookmarkStart w:id="353" w:name="_Toc53576057"/>
      <w:bookmarkEnd w:id="347"/>
      <w:bookmarkEnd w:id="348"/>
      <w:bookmarkEnd w:id="349"/>
      <w:bookmarkEnd w:id="350"/>
      <w:bookmarkEnd w:id="351"/>
      <w:r w:rsidRPr="00774EDB">
        <w:rPr>
          <w:rFonts w:ascii="Times New Roman" w:hAnsi="Times New Roman" w:cs="Times New Roman"/>
          <w:b/>
          <w:color w:val="auto"/>
          <w:sz w:val="24"/>
          <w:szCs w:val="24"/>
        </w:rPr>
        <w:t>Databases</w:t>
      </w:r>
      <w:bookmarkEnd w:id="352"/>
      <w:bookmarkEnd w:id="353"/>
    </w:p>
    <w:p w14:paraId="5FD3FC8B" w14:textId="242E12AC"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Another form of intellectual property applicable to ICTs are databases, which are regulated by the EU Directive 96/9/EC (</w:t>
      </w:r>
      <w:r w:rsidR="003030E5" w:rsidRPr="00774EDB">
        <w:rPr>
          <w:rFonts w:ascii="Times New Roman" w:hAnsi="Times New Roman" w:cs="Times New Roman"/>
          <w:sz w:val="24"/>
          <w:szCs w:val="24"/>
        </w:rPr>
        <w:t>‘</w:t>
      </w:r>
      <w:r w:rsidRPr="00774EDB">
        <w:rPr>
          <w:rFonts w:ascii="Times New Roman" w:hAnsi="Times New Roman" w:cs="Times New Roman"/>
          <w:sz w:val="24"/>
          <w:szCs w:val="24"/>
        </w:rPr>
        <w:t>Database Directive</w:t>
      </w:r>
      <w:r w:rsidR="003030E5" w:rsidRPr="00774EDB">
        <w:rPr>
          <w:rFonts w:ascii="Times New Roman" w:hAnsi="Times New Roman" w:cs="Times New Roman"/>
          <w:sz w:val="24"/>
          <w:szCs w:val="24"/>
        </w:rPr>
        <w:t>’</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393"/>
      </w:r>
      <w:r w:rsidRPr="00774EDB">
        <w:rPr>
          <w:rFonts w:ascii="Times New Roman" w:hAnsi="Times New Roman" w:cs="Times New Roman"/>
          <w:sz w:val="24"/>
          <w:szCs w:val="24"/>
        </w:rPr>
        <w:t xml:space="preserve"> Under this Directive is created the </w:t>
      </w:r>
      <w:r w:rsidRPr="00774EDB">
        <w:rPr>
          <w:rFonts w:ascii="Times New Roman" w:hAnsi="Times New Roman" w:cs="Times New Roman"/>
          <w:i/>
          <w:sz w:val="24"/>
          <w:szCs w:val="24"/>
        </w:rPr>
        <w:t>sui generis</w:t>
      </w:r>
      <w:r w:rsidRPr="00774EDB">
        <w:rPr>
          <w:rFonts w:ascii="Times New Roman" w:hAnsi="Times New Roman" w:cs="Times New Roman"/>
          <w:sz w:val="24"/>
          <w:szCs w:val="24"/>
        </w:rPr>
        <w:t xml:space="preserve"> database right, which differs from the conventional copyrights that build on the ‘originality’ criterion. When this criterion is met, copyright protection could be claimed along with the database right. Thus, a dual regime could be mentioned under the Database Directive whereby copyright is granted over the structure of the databases and the </w:t>
      </w:r>
      <w:r w:rsidRPr="00774EDB">
        <w:rPr>
          <w:rFonts w:ascii="Times New Roman" w:hAnsi="Times New Roman" w:cs="Times New Roman"/>
          <w:i/>
          <w:sz w:val="24"/>
          <w:szCs w:val="24"/>
        </w:rPr>
        <w:t>sui generis</w:t>
      </w:r>
      <w:r w:rsidRPr="00774EDB">
        <w:rPr>
          <w:rFonts w:ascii="Times New Roman" w:hAnsi="Times New Roman" w:cs="Times New Roman"/>
          <w:sz w:val="24"/>
          <w:szCs w:val="24"/>
        </w:rPr>
        <w:t xml:space="preserve"> database right is provided to protect the content of the databases.</w:t>
      </w:r>
    </w:p>
    <w:p w14:paraId="3933A094" w14:textId="77777777"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Article 4(1) of the Database Directive confers copyright protection to those databases, which, “by reason of the selection or arrangement of their contents” are considered to constitute the author’s own intellectual creation. Therefore, the originality requirement </w:t>
      </w:r>
      <w:r w:rsidRPr="00774EDB">
        <w:rPr>
          <w:rFonts w:ascii="Times New Roman" w:hAnsi="Times New Roman" w:cs="Times New Roman"/>
          <w:sz w:val="24"/>
          <w:szCs w:val="24"/>
        </w:rPr>
        <w:lastRenderedPageBreak/>
        <w:t>in this copyrightable material is comparably less demanding than the normal standards. On the other hand, while “the copyright protection of databases provided for by this Directive shall not extend to their contents”,</w:t>
      </w:r>
      <w:r w:rsidRPr="00774EDB">
        <w:rPr>
          <w:rStyle w:val="FootnoteReference"/>
          <w:rFonts w:ascii="Times New Roman" w:hAnsi="Times New Roman" w:cs="Times New Roman"/>
          <w:sz w:val="24"/>
          <w:szCs w:val="24"/>
        </w:rPr>
        <w:footnoteReference w:id="394"/>
      </w:r>
      <w:r w:rsidRPr="00774EDB">
        <w:rPr>
          <w:rFonts w:ascii="Times New Roman" w:hAnsi="Times New Roman" w:cs="Times New Roman"/>
          <w:sz w:val="24"/>
          <w:szCs w:val="24"/>
        </w:rPr>
        <w:t xml:space="preserve"> reproduction of data stored in a database may constitute an infringement of the copyright of the data contained therein.</w:t>
      </w:r>
      <w:r w:rsidRPr="00774EDB">
        <w:rPr>
          <w:rStyle w:val="FootnoteReference"/>
          <w:rFonts w:ascii="Times New Roman" w:hAnsi="Times New Roman" w:cs="Times New Roman"/>
          <w:sz w:val="24"/>
          <w:szCs w:val="24"/>
        </w:rPr>
        <w:footnoteReference w:id="395"/>
      </w:r>
      <w:r w:rsidRPr="00774EDB">
        <w:rPr>
          <w:rFonts w:ascii="Times New Roman" w:hAnsi="Times New Roman" w:cs="Times New Roman"/>
          <w:sz w:val="24"/>
          <w:szCs w:val="24"/>
        </w:rPr>
        <w:t xml:space="preserve"> This result is bound with the pre-condition that the content is ‘original’ in representing the author’s own intellectual creation within the meaning of normal/conventional standards.</w:t>
      </w:r>
      <w:r w:rsidRPr="00774EDB">
        <w:rPr>
          <w:rStyle w:val="FootnoteReference"/>
          <w:rFonts w:ascii="Times New Roman" w:hAnsi="Times New Roman" w:cs="Times New Roman"/>
          <w:sz w:val="24"/>
          <w:szCs w:val="24"/>
        </w:rPr>
        <w:footnoteReference w:id="396"/>
      </w:r>
    </w:p>
    <w:p w14:paraId="0EFAE938" w14:textId="77777777"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On top of the copyright granted for the databases themselves, a </w:t>
      </w:r>
      <w:r w:rsidRPr="00774EDB">
        <w:rPr>
          <w:rFonts w:ascii="Times New Roman" w:hAnsi="Times New Roman" w:cs="Times New Roman"/>
          <w:i/>
          <w:sz w:val="24"/>
          <w:szCs w:val="24"/>
        </w:rPr>
        <w:t>sui generis</w:t>
      </w:r>
      <w:r w:rsidRPr="00774EDB">
        <w:rPr>
          <w:rFonts w:ascii="Times New Roman" w:hAnsi="Times New Roman" w:cs="Times New Roman"/>
          <w:sz w:val="24"/>
          <w:szCs w:val="24"/>
        </w:rPr>
        <w:t xml:space="preserve"> database right is conferred onto the same subject matter insofar as it involves “qualitatively and/or quantitatively substantial investment in either the obtaining, verification or presentation of the contents”.</w:t>
      </w:r>
      <w:r w:rsidRPr="00774EDB">
        <w:rPr>
          <w:rStyle w:val="FootnoteReference"/>
          <w:rFonts w:ascii="Times New Roman" w:hAnsi="Times New Roman" w:cs="Times New Roman"/>
          <w:sz w:val="24"/>
          <w:szCs w:val="24"/>
        </w:rPr>
        <w:footnoteReference w:id="397"/>
      </w:r>
      <w:r w:rsidRPr="00774EDB">
        <w:rPr>
          <w:rFonts w:ascii="Times New Roman" w:hAnsi="Times New Roman" w:cs="Times New Roman"/>
          <w:sz w:val="24"/>
          <w:szCs w:val="24"/>
        </w:rPr>
        <w:t xml:space="preserve"> This right, which enables the author of the database “to prevent extraction and/or re-utilization of the whole or of a substantial part … of the contents of that database”</w:t>
      </w:r>
      <w:r w:rsidRPr="00774EDB">
        <w:rPr>
          <w:rStyle w:val="FootnoteReference"/>
          <w:rFonts w:ascii="Times New Roman" w:hAnsi="Times New Roman" w:cs="Times New Roman"/>
          <w:sz w:val="24"/>
          <w:szCs w:val="24"/>
        </w:rPr>
        <w:footnoteReference w:id="398"/>
      </w:r>
      <w:r w:rsidRPr="00774EDB">
        <w:rPr>
          <w:rFonts w:ascii="Times New Roman" w:hAnsi="Times New Roman" w:cs="Times New Roman"/>
          <w:sz w:val="24"/>
          <w:szCs w:val="24"/>
        </w:rPr>
        <w:t xml:space="preserve"> is enforceable even though the subject matter of the right is not copyrightable.</w:t>
      </w:r>
      <w:r w:rsidRPr="00774EDB">
        <w:rPr>
          <w:rStyle w:val="FootnoteReference"/>
          <w:rFonts w:ascii="Times New Roman" w:hAnsi="Times New Roman" w:cs="Times New Roman"/>
          <w:sz w:val="24"/>
          <w:szCs w:val="24"/>
        </w:rPr>
        <w:footnoteReference w:id="399"/>
      </w:r>
      <w:r w:rsidRPr="00774EDB">
        <w:rPr>
          <w:rFonts w:ascii="Times New Roman" w:hAnsi="Times New Roman" w:cs="Times New Roman"/>
          <w:sz w:val="24"/>
          <w:szCs w:val="24"/>
        </w:rPr>
        <w:t xml:space="preserve"> In any case, both the copyright and database right that are enshrined under the Database Directive do not affect any rights related to the data and </w:t>
      </w:r>
      <w:r w:rsidRPr="00774EDB">
        <w:rPr>
          <w:rFonts w:ascii="Times New Roman" w:hAnsi="Times New Roman" w:cs="Times New Roman"/>
          <w:sz w:val="24"/>
          <w:szCs w:val="24"/>
        </w:rPr>
        <w:lastRenderedPageBreak/>
        <w:t>the content that makes up the databases. Enforceability of the database right relies upon the investment done by the author of the database. In four related preliminary rulings delivered in November 2004, the CoJ made clear that the substantial investment required for a database to be protected under the sui generis right must relate to the creation of a database as such and that investment in creating the materials which make up the contents of the database cannot be taken into account.</w:t>
      </w:r>
      <w:r w:rsidRPr="00774EDB">
        <w:rPr>
          <w:rStyle w:val="FootnoteReference"/>
          <w:rFonts w:ascii="Times New Roman" w:hAnsi="Times New Roman" w:cs="Times New Roman"/>
          <w:sz w:val="24"/>
          <w:szCs w:val="24"/>
        </w:rPr>
        <w:footnoteReference w:id="400"/>
      </w:r>
    </w:p>
    <w:p w14:paraId="6C0BED09" w14:textId="7003A91D"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Given the breadth of the </w:t>
      </w:r>
      <w:r w:rsidRPr="00774EDB">
        <w:rPr>
          <w:rFonts w:ascii="Times New Roman" w:hAnsi="Times New Roman" w:cs="Times New Roman"/>
          <w:i/>
          <w:iCs/>
          <w:sz w:val="24"/>
          <w:szCs w:val="24"/>
        </w:rPr>
        <w:t xml:space="preserve">sui generis </w:t>
      </w:r>
      <w:r w:rsidRPr="00774EDB">
        <w:rPr>
          <w:rFonts w:ascii="Times New Roman" w:hAnsi="Times New Roman" w:cs="Times New Roman"/>
          <w:sz w:val="24"/>
          <w:szCs w:val="24"/>
        </w:rPr>
        <w:t>protection and the limited scope of the exceptions established or foreseen in the Directive,</w:t>
      </w:r>
      <w:r w:rsidRPr="00774EDB">
        <w:rPr>
          <w:rStyle w:val="FootnoteReference"/>
          <w:rFonts w:ascii="Times New Roman" w:hAnsi="Times New Roman" w:cs="Times New Roman"/>
          <w:sz w:val="24"/>
          <w:szCs w:val="24"/>
        </w:rPr>
        <w:footnoteReference w:id="401"/>
      </w:r>
      <w:r w:rsidRPr="00774EDB">
        <w:rPr>
          <w:rFonts w:ascii="Times New Roman" w:hAnsi="Times New Roman" w:cs="Times New Roman"/>
          <w:sz w:val="24"/>
          <w:szCs w:val="24"/>
        </w:rPr>
        <w:t xml:space="preserve"> it is apparent that database protection is broad enough to potentially cover a vast amount of data mining activities, yet with the potential to raise significant</w:t>
      </w:r>
      <w:r w:rsidRPr="00A70042">
        <w:rPr>
          <w:rFonts w:ascii="Times New Roman" w:hAnsi="Times New Roman" w:cs="Times New Roman"/>
          <w:sz w:val="24"/>
          <w:szCs w:val="24"/>
        </w:rPr>
        <w:t xml:space="preserve"> </w:t>
      </w:r>
      <w:r w:rsidRPr="00774EDB">
        <w:rPr>
          <w:rFonts w:ascii="Times New Roman" w:hAnsi="Times New Roman" w:cs="Times New Roman"/>
          <w:sz w:val="24"/>
          <w:szCs w:val="24"/>
        </w:rPr>
        <w:t>obstacles to the deployment of data mining techniques as well.</w:t>
      </w:r>
      <w:r w:rsidRPr="00774EDB">
        <w:rPr>
          <w:rStyle w:val="FootnoteReference"/>
          <w:rFonts w:ascii="Times New Roman" w:hAnsi="Times New Roman" w:cs="Times New Roman"/>
          <w:sz w:val="24"/>
          <w:szCs w:val="24"/>
        </w:rPr>
        <w:footnoteReference w:id="402"/>
      </w:r>
      <w:r w:rsidRPr="00774EDB">
        <w:rPr>
          <w:rFonts w:ascii="Times New Roman" w:hAnsi="Times New Roman" w:cs="Times New Roman"/>
          <w:sz w:val="24"/>
          <w:szCs w:val="24"/>
        </w:rPr>
        <w:t xml:space="preserve"> </w:t>
      </w:r>
      <w:r w:rsidR="009F4DA9">
        <w:rPr>
          <w:rFonts w:ascii="Times New Roman" w:hAnsi="Times New Roman" w:cs="Times New Roman"/>
          <w:sz w:val="24"/>
          <w:szCs w:val="24"/>
        </w:rPr>
        <w:t>Since</w:t>
      </w:r>
      <w:r w:rsidR="009F4DA9"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data access is not included within the </w:t>
      </w:r>
      <w:r w:rsidRPr="00774EDB">
        <w:rPr>
          <w:rFonts w:ascii="Times New Roman" w:hAnsi="Times New Roman" w:cs="Times New Roman"/>
          <w:i/>
          <w:sz w:val="24"/>
          <w:szCs w:val="24"/>
        </w:rPr>
        <w:t>sui generis</w:t>
      </w:r>
      <w:r w:rsidRPr="00774EDB">
        <w:rPr>
          <w:rFonts w:ascii="Times New Roman" w:hAnsi="Times New Roman" w:cs="Times New Roman"/>
          <w:sz w:val="24"/>
          <w:szCs w:val="24"/>
        </w:rPr>
        <w:t xml:space="preserve"> database right, from the perspective of data mining and analytics, underlying elements of databases would pose important barriers for the third parties, even for the subscribers to the database. As these parties are banned from reaching out to the substantial parts of the contents of the database, their potential attempts to ensure interoperability would be ineffective.</w:t>
      </w:r>
    </w:p>
    <w:p w14:paraId="047199D9" w14:textId="5D57BC78" w:rsidR="00BC65AA" w:rsidRPr="00774EDB" w:rsidRDefault="009F4DA9" w:rsidP="00A70042">
      <w:pPr>
        <w:spacing w:before="360"/>
        <w:jc w:val="both"/>
        <w:rPr>
          <w:rFonts w:ascii="Times New Roman" w:hAnsi="Times New Roman" w:cs="Times New Roman"/>
          <w:sz w:val="24"/>
          <w:szCs w:val="24"/>
          <w:lang w:val="en-US"/>
        </w:rPr>
      </w:pPr>
      <w:r>
        <w:rPr>
          <w:rFonts w:ascii="Times New Roman" w:hAnsi="Times New Roman" w:cs="Times New Roman"/>
          <w:sz w:val="24"/>
          <w:szCs w:val="24"/>
          <w:lang w:val="en-US"/>
        </w:rPr>
        <w:t>From this point of view,</w:t>
      </w:r>
      <w:r w:rsidR="00BC65AA" w:rsidRPr="00774EDB">
        <w:rPr>
          <w:rFonts w:ascii="Times New Roman" w:hAnsi="Times New Roman" w:cs="Times New Roman"/>
          <w:sz w:val="24"/>
          <w:szCs w:val="24"/>
          <w:lang w:val="en-US"/>
        </w:rPr>
        <w:t xml:space="preserve"> </w:t>
      </w:r>
      <w:r>
        <w:rPr>
          <w:rFonts w:ascii="Times New Roman" w:hAnsi="Times New Roman" w:cs="Times New Roman"/>
          <w:sz w:val="24"/>
          <w:szCs w:val="24"/>
          <w:lang w:val="en-US"/>
        </w:rPr>
        <w:t>should</w:t>
      </w:r>
      <w:r w:rsidR="00BC65AA" w:rsidRPr="00774EDB">
        <w:rPr>
          <w:rFonts w:ascii="Times New Roman" w:hAnsi="Times New Roman" w:cs="Times New Roman"/>
          <w:sz w:val="24"/>
          <w:szCs w:val="24"/>
          <w:lang w:val="en-US"/>
        </w:rPr>
        <w:t xml:space="preserve"> we deem access to databases an inner boundary for data miners, interoperability or access to interfaces would be considered as the </w:t>
      </w:r>
      <w:r w:rsidR="00BC65AA" w:rsidRPr="00AD0307">
        <w:rPr>
          <w:rFonts w:ascii="Times New Roman" w:hAnsi="Times New Roman" w:cs="Times New Roman"/>
          <w:sz w:val="24"/>
          <w:szCs w:val="24"/>
          <w:lang w:val="en-US"/>
        </w:rPr>
        <w:t>outer boundary</w:t>
      </w:r>
      <w:r w:rsidR="00BC65AA" w:rsidRPr="00774EDB">
        <w:rPr>
          <w:rFonts w:ascii="Times New Roman" w:hAnsi="Times New Roman" w:cs="Times New Roman"/>
          <w:sz w:val="24"/>
          <w:szCs w:val="24"/>
          <w:lang w:val="en-US"/>
        </w:rPr>
        <w:t xml:space="preserve">. The former (inner boundary) would have the effect of a legal barrier in the sense that cutting edge technologies including cloud computing and the IoT platforms would rest on a variety of IPRs including databases, and potential attempts to ensure interoperability would </w:t>
      </w:r>
      <w:r w:rsidR="00AD0307">
        <w:rPr>
          <w:rFonts w:ascii="Times New Roman" w:hAnsi="Times New Roman" w:cs="Times New Roman"/>
          <w:sz w:val="24"/>
          <w:szCs w:val="24"/>
          <w:lang w:val="en-US"/>
        </w:rPr>
        <w:t xml:space="preserve">fail </w:t>
      </w:r>
      <w:r w:rsidR="00BC65AA" w:rsidRPr="00774EDB">
        <w:rPr>
          <w:rFonts w:ascii="Times New Roman" w:hAnsi="Times New Roman" w:cs="Times New Roman"/>
          <w:sz w:val="24"/>
          <w:szCs w:val="24"/>
          <w:lang w:val="en-US"/>
        </w:rPr>
        <w:t xml:space="preserve">in the end. For instance, in the IoT context, </w:t>
      </w:r>
      <w:r w:rsidR="00BC65AA" w:rsidRPr="00774EDB">
        <w:rPr>
          <w:rFonts w:ascii="Times New Roman" w:hAnsi="Times New Roman" w:cs="Times New Roman"/>
          <w:sz w:val="24"/>
          <w:szCs w:val="24"/>
        </w:rPr>
        <w:t xml:space="preserve">data access or mining could not succeed even after the achievement of interoperability i.e. in the case </w:t>
      </w:r>
      <w:r w:rsidR="00BC65AA" w:rsidRPr="00774EDB">
        <w:rPr>
          <w:rFonts w:ascii="Times New Roman" w:hAnsi="Times New Roman" w:cs="Times New Roman"/>
          <w:sz w:val="24"/>
          <w:szCs w:val="24"/>
        </w:rPr>
        <w:lastRenderedPageBreak/>
        <w:t>that interfaces that represent outer boundaries have been rendered available e.g. through reverse engineering.</w:t>
      </w:r>
      <w:r w:rsidR="00BC65AA" w:rsidRPr="00774EDB">
        <w:rPr>
          <w:rStyle w:val="FootnoteReference"/>
          <w:rFonts w:ascii="Times New Roman" w:hAnsi="Times New Roman" w:cs="Times New Roman"/>
          <w:sz w:val="24"/>
          <w:szCs w:val="24"/>
        </w:rPr>
        <w:footnoteReference w:id="403"/>
      </w:r>
      <w:r w:rsidR="00BC65AA" w:rsidRPr="00774EDB">
        <w:rPr>
          <w:rFonts w:ascii="Times New Roman" w:hAnsi="Times New Roman" w:cs="Times New Roman"/>
          <w:sz w:val="24"/>
          <w:szCs w:val="24"/>
        </w:rPr>
        <w:t xml:space="preserve"> That is to say, APIs being available does not mean transcending inner boundaries of IPR protection, namely databases, which are covered by copyright and the </w:t>
      </w:r>
      <w:r w:rsidR="00BC65AA" w:rsidRPr="00774EDB">
        <w:rPr>
          <w:rFonts w:ascii="Times New Roman" w:hAnsi="Times New Roman" w:cs="Times New Roman"/>
          <w:i/>
          <w:sz w:val="24"/>
          <w:szCs w:val="24"/>
        </w:rPr>
        <w:t>sui generis</w:t>
      </w:r>
      <w:r w:rsidR="00BC65AA" w:rsidRPr="00774EDB">
        <w:rPr>
          <w:rFonts w:ascii="Times New Roman" w:hAnsi="Times New Roman" w:cs="Times New Roman"/>
          <w:sz w:val="24"/>
          <w:szCs w:val="24"/>
        </w:rPr>
        <w:t xml:space="preserve"> right.</w:t>
      </w:r>
      <w:r w:rsidR="00BC65AA" w:rsidRPr="00774EDB">
        <w:rPr>
          <w:rStyle w:val="FootnoteReference"/>
          <w:rFonts w:ascii="Times New Roman" w:hAnsi="Times New Roman" w:cs="Times New Roman"/>
          <w:sz w:val="24"/>
          <w:szCs w:val="24"/>
        </w:rPr>
        <w:footnoteReference w:id="404"/>
      </w:r>
    </w:p>
    <w:p w14:paraId="310AD7BF" w14:textId="423F1AEF" w:rsidR="005C13DB" w:rsidRPr="00774EDB" w:rsidRDefault="00BC65AA"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 xml:space="preserve">A similar situation could be mentioned about cloud computing, components of which are usually protected by the IPRs, including the </w:t>
      </w:r>
      <w:r w:rsidRPr="00774EDB">
        <w:rPr>
          <w:rFonts w:ascii="Times New Roman" w:hAnsi="Times New Roman" w:cs="Times New Roman"/>
          <w:i/>
          <w:sz w:val="24"/>
          <w:szCs w:val="24"/>
        </w:rPr>
        <w:t>sui generis</w:t>
      </w:r>
      <w:r w:rsidRPr="00774EDB">
        <w:rPr>
          <w:rFonts w:ascii="Times New Roman" w:hAnsi="Times New Roman" w:cs="Times New Roman"/>
          <w:sz w:val="24"/>
          <w:szCs w:val="24"/>
        </w:rPr>
        <w:t xml:space="preserve"> database right. Whereas the Database Directive is cemented in the conventional paradigm that databases have a fixed structure and location where one accumulates and stores data, cloud computing would challenge this inherent understanding.</w:t>
      </w:r>
      <w:r w:rsidRPr="00774EDB">
        <w:rPr>
          <w:rStyle w:val="FootnoteReference"/>
          <w:rFonts w:ascii="Times New Roman" w:hAnsi="Times New Roman" w:cs="Times New Roman"/>
          <w:sz w:val="24"/>
          <w:szCs w:val="24"/>
        </w:rPr>
        <w:footnoteReference w:id="405"/>
      </w:r>
      <w:r w:rsidRPr="00774EDB">
        <w:rPr>
          <w:rFonts w:ascii="Times New Roman" w:hAnsi="Times New Roman" w:cs="Times New Roman"/>
          <w:sz w:val="24"/>
          <w:szCs w:val="24"/>
        </w:rPr>
        <w:t xml:space="preserve"> While this would augment the problems surrounding the cloud-based access and interoperability across different jurisdictions, the main problem across the EU appears to be the difficulty of the re-use of the datasets because of the so-called inner boundaries.</w:t>
      </w:r>
      <w:r w:rsidRPr="00774EDB">
        <w:rPr>
          <w:rStyle w:val="FootnoteReference"/>
          <w:rFonts w:ascii="Times New Roman" w:hAnsi="Times New Roman" w:cs="Times New Roman"/>
          <w:sz w:val="24"/>
          <w:szCs w:val="24"/>
        </w:rPr>
        <w:footnoteReference w:id="406"/>
      </w:r>
      <w:r w:rsidRPr="00774EDB">
        <w:rPr>
          <w:rFonts w:ascii="Times New Roman" w:hAnsi="Times New Roman" w:cs="Times New Roman"/>
          <w:sz w:val="24"/>
          <w:szCs w:val="24"/>
        </w:rPr>
        <w:t xml:space="preserve"> A report before the European Parliament points to this difficulty, qualifying the Database Directive “an impediment to the development of a European data-driven economy” whereby it is idealised that end-users have unrestricted data access, including re-use of the datasets covered by the databases.</w:t>
      </w:r>
      <w:r w:rsidR="00C82759" w:rsidRPr="00774EDB">
        <w:rPr>
          <w:rStyle w:val="FootnoteReference"/>
          <w:rFonts w:ascii="Times New Roman" w:hAnsi="Times New Roman" w:cs="Times New Roman"/>
          <w:sz w:val="24"/>
          <w:szCs w:val="24"/>
        </w:rPr>
        <w:footnoteReference w:id="407"/>
      </w:r>
      <w:r w:rsidRPr="00774EDB">
        <w:rPr>
          <w:rFonts w:ascii="Times New Roman" w:hAnsi="Times New Roman" w:cs="Times New Roman"/>
          <w:sz w:val="24"/>
          <w:szCs w:val="24"/>
        </w:rPr>
        <w:t xml:space="preserve"> While it seems uneasy to establish a strong link between a data-driven economy and database protection, it is possible to say that </w:t>
      </w:r>
      <w:r w:rsidR="002E4658" w:rsidRPr="00774EDB">
        <w:rPr>
          <w:rFonts w:ascii="Times New Roman" w:hAnsi="Times New Roman" w:cs="Times New Roman"/>
          <w:sz w:val="24"/>
          <w:szCs w:val="24"/>
        </w:rPr>
        <w:t xml:space="preserve">sui generis database rights </w:t>
      </w:r>
      <w:r w:rsidR="002E4658">
        <w:rPr>
          <w:rFonts w:ascii="Times New Roman" w:hAnsi="Times New Roman" w:cs="Times New Roman"/>
          <w:sz w:val="24"/>
          <w:szCs w:val="24"/>
        </w:rPr>
        <w:t xml:space="preserve">creates another layer of IPR protection for running </w:t>
      </w:r>
      <w:r w:rsidRPr="00774EDB">
        <w:rPr>
          <w:rFonts w:ascii="Times New Roman" w:hAnsi="Times New Roman" w:cs="Times New Roman"/>
          <w:sz w:val="24"/>
          <w:szCs w:val="24"/>
        </w:rPr>
        <w:t>the widespread ICT services such as cloud computing</w:t>
      </w:r>
      <w:r w:rsidR="002E4658">
        <w:rPr>
          <w:rFonts w:ascii="Times New Roman" w:hAnsi="Times New Roman" w:cs="Times New Roman"/>
          <w:sz w:val="24"/>
          <w:szCs w:val="24"/>
        </w:rPr>
        <w:t xml:space="preserve"> and IoT</w:t>
      </w:r>
      <w:r w:rsidRPr="00774EDB">
        <w:rPr>
          <w:rFonts w:ascii="Times New Roman" w:hAnsi="Times New Roman" w:cs="Times New Roman"/>
          <w:sz w:val="24"/>
          <w:szCs w:val="24"/>
        </w:rPr>
        <w:t>,</w:t>
      </w:r>
      <w:r w:rsidR="002E4658">
        <w:rPr>
          <w:rFonts w:ascii="Times New Roman" w:hAnsi="Times New Roman" w:cs="Times New Roman"/>
          <w:sz w:val="24"/>
          <w:szCs w:val="24"/>
        </w:rPr>
        <w:t xml:space="preserve"> potentially making it difficult</w:t>
      </w:r>
      <w:r w:rsidRPr="00774EDB">
        <w:rPr>
          <w:rFonts w:ascii="Times New Roman" w:hAnsi="Times New Roman" w:cs="Times New Roman"/>
          <w:sz w:val="24"/>
          <w:szCs w:val="24"/>
        </w:rPr>
        <w:t xml:space="preserve"> data </w:t>
      </w:r>
      <w:r w:rsidR="002E4658">
        <w:rPr>
          <w:rFonts w:ascii="Times New Roman" w:hAnsi="Times New Roman" w:cs="Times New Roman"/>
          <w:sz w:val="24"/>
          <w:szCs w:val="24"/>
        </w:rPr>
        <w:t xml:space="preserve">mining and </w:t>
      </w:r>
      <w:r w:rsidRPr="00774EDB">
        <w:rPr>
          <w:rFonts w:ascii="Times New Roman" w:hAnsi="Times New Roman" w:cs="Times New Roman"/>
          <w:sz w:val="24"/>
          <w:szCs w:val="24"/>
        </w:rPr>
        <w:t>access</w:t>
      </w:r>
      <w:r w:rsidR="002E4658">
        <w:rPr>
          <w:rFonts w:ascii="Times New Roman" w:hAnsi="Times New Roman" w:cs="Times New Roman"/>
          <w:sz w:val="24"/>
          <w:szCs w:val="24"/>
        </w:rPr>
        <w:t>,</w:t>
      </w:r>
      <w:r w:rsidRPr="00774EDB">
        <w:rPr>
          <w:rFonts w:ascii="Times New Roman" w:hAnsi="Times New Roman" w:cs="Times New Roman"/>
          <w:sz w:val="24"/>
          <w:szCs w:val="24"/>
        </w:rPr>
        <w:t xml:space="preserve"> </w:t>
      </w:r>
      <w:r w:rsidR="002E4658">
        <w:rPr>
          <w:rFonts w:ascii="Times New Roman" w:hAnsi="Times New Roman" w:cs="Times New Roman"/>
          <w:sz w:val="24"/>
          <w:szCs w:val="24"/>
        </w:rPr>
        <w:t xml:space="preserve">and rendering attempts to ensure </w:t>
      </w:r>
      <w:r w:rsidRPr="00774EDB">
        <w:rPr>
          <w:rFonts w:ascii="Times New Roman" w:hAnsi="Times New Roman" w:cs="Times New Roman"/>
          <w:sz w:val="24"/>
          <w:szCs w:val="24"/>
        </w:rPr>
        <w:t>interoperability</w:t>
      </w:r>
      <w:r w:rsidR="002E4658">
        <w:rPr>
          <w:rFonts w:ascii="Times New Roman" w:hAnsi="Times New Roman" w:cs="Times New Roman"/>
          <w:sz w:val="24"/>
          <w:szCs w:val="24"/>
        </w:rPr>
        <w:t xml:space="preserve"> meaningless</w:t>
      </w:r>
      <w:r w:rsidRPr="00774EDB">
        <w:rPr>
          <w:rFonts w:ascii="Times New Roman" w:hAnsi="Times New Roman" w:cs="Times New Roman"/>
          <w:sz w:val="24"/>
          <w:szCs w:val="24"/>
        </w:rPr>
        <w:t xml:space="preserve">. </w:t>
      </w:r>
      <w:r w:rsidR="003668CB" w:rsidRPr="00774EDB">
        <w:rPr>
          <w:rFonts w:ascii="Times New Roman" w:hAnsi="Times New Roman" w:cs="Times New Roman"/>
          <w:sz w:val="24"/>
          <w:szCs w:val="24"/>
        </w:rPr>
        <w:t xml:space="preserve"> </w:t>
      </w:r>
    </w:p>
    <w:p w14:paraId="09E4C311" w14:textId="77777777" w:rsidR="00D30480" w:rsidRPr="00774EDB" w:rsidRDefault="00D30480" w:rsidP="00A70042">
      <w:pPr>
        <w:pStyle w:val="Heading2"/>
        <w:numPr>
          <w:ilvl w:val="1"/>
          <w:numId w:val="33"/>
        </w:numPr>
        <w:tabs>
          <w:tab w:val="left" w:pos="567"/>
        </w:tabs>
        <w:spacing w:before="360" w:line="468" w:lineRule="auto"/>
        <w:ind w:left="0" w:firstLine="0"/>
        <w:jc w:val="both"/>
        <w:rPr>
          <w:rFonts w:ascii="Times New Roman" w:hAnsi="Times New Roman" w:cs="Times New Roman"/>
          <w:b/>
          <w:color w:val="auto"/>
          <w:sz w:val="24"/>
          <w:szCs w:val="24"/>
        </w:rPr>
      </w:pPr>
      <w:bookmarkStart w:id="354" w:name="_Toc17611405"/>
      <w:bookmarkStart w:id="355" w:name="_Toc17611622"/>
      <w:bookmarkStart w:id="356" w:name="_Toc17611834"/>
      <w:bookmarkStart w:id="357" w:name="_Toc17612048"/>
      <w:bookmarkStart w:id="358" w:name="_Toc17612261"/>
      <w:bookmarkStart w:id="359" w:name="_Toc17611406"/>
      <w:bookmarkStart w:id="360" w:name="_Toc53576058"/>
      <w:bookmarkEnd w:id="354"/>
      <w:bookmarkEnd w:id="355"/>
      <w:bookmarkEnd w:id="356"/>
      <w:bookmarkEnd w:id="357"/>
      <w:bookmarkEnd w:id="358"/>
      <w:r w:rsidRPr="00774EDB">
        <w:rPr>
          <w:rFonts w:ascii="Times New Roman" w:hAnsi="Times New Roman" w:cs="Times New Roman"/>
          <w:b/>
          <w:color w:val="auto"/>
          <w:sz w:val="24"/>
          <w:szCs w:val="24"/>
        </w:rPr>
        <w:lastRenderedPageBreak/>
        <w:t xml:space="preserve">Assessment of </w:t>
      </w:r>
      <w:r w:rsidR="008C3B6B" w:rsidRPr="00774EDB">
        <w:rPr>
          <w:rFonts w:ascii="Times New Roman" w:hAnsi="Times New Roman" w:cs="Times New Roman"/>
          <w:b/>
          <w:color w:val="auto"/>
          <w:sz w:val="24"/>
          <w:szCs w:val="24"/>
        </w:rPr>
        <w:t>intellectual property rights</w:t>
      </w:r>
      <w:bookmarkEnd w:id="359"/>
      <w:bookmarkEnd w:id="360"/>
    </w:p>
    <w:p w14:paraId="5B91D453" w14:textId="365185F9" w:rsidR="00BC65AA" w:rsidRPr="00774EDB" w:rsidRDefault="00BC65AA"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 xml:space="preserve">IPRs, built upon different types, along with accompanying rights, bring out distinct layers of protection over the software and hardware components of ICTs. </w:t>
      </w:r>
      <w:bookmarkStart w:id="361" w:name="_Hlk496619144"/>
      <w:r w:rsidRPr="00774EDB">
        <w:rPr>
          <w:rFonts w:ascii="Times New Roman" w:hAnsi="Times New Roman" w:cs="Times New Roman"/>
          <w:sz w:val="24"/>
          <w:szCs w:val="24"/>
        </w:rPr>
        <w:t>Copyright is meant to encourage and stimulate original creations, incorporating both source and object codes that underlie the expressive elements of computer programs. Patents aim to protect technical methods that are meant to be inventions which are acknowledged to include written codes.</w:t>
      </w:r>
      <w:bookmarkEnd w:id="361"/>
      <w:r w:rsidRPr="00774EDB">
        <w:rPr>
          <w:rFonts w:ascii="Times New Roman" w:hAnsi="Times New Roman" w:cs="Times New Roman"/>
          <w:sz w:val="24"/>
          <w:szCs w:val="24"/>
        </w:rPr>
        <w:t xml:space="preserve"> Trade secrets, rather narrowly fashioned in nature, are designed to protect the commercially valuable information that is kept as a secret on the part of the owner. Databases, adding another, fourth layer of protection, are subject to the </w:t>
      </w:r>
      <w:r w:rsidRPr="00774EDB">
        <w:rPr>
          <w:rFonts w:ascii="Times New Roman" w:hAnsi="Times New Roman" w:cs="Times New Roman"/>
          <w:i/>
          <w:sz w:val="24"/>
          <w:szCs w:val="24"/>
        </w:rPr>
        <w:t>sui generis</w:t>
      </w:r>
      <w:r w:rsidRPr="00774EDB">
        <w:rPr>
          <w:rFonts w:ascii="Times New Roman" w:hAnsi="Times New Roman" w:cs="Times New Roman"/>
          <w:sz w:val="24"/>
          <w:szCs w:val="24"/>
        </w:rPr>
        <w:t xml:space="preserve"> database right </w:t>
      </w:r>
      <w:r w:rsidR="000012E1">
        <w:rPr>
          <w:rFonts w:ascii="Times New Roman" w:hAnsi="Times New Roman" w:cs="Times New Roman"/>
          <w:sz w:val="24"/>
          <w:szCs w:val="24"/>
        </w:rPr>
        <w:t>based on</w:t>
      </w:r>
      <w:r w:rsidRPr="00774EDB">
        <w:rPr>
          <w:rFonts w:ascii="Times New Roman" w:hAnsi="Times New Roman" w:cs="Times New Roman"/>
          <w:sz w:val="24"/>
          <w:szCs w:val="24"/>
        </w:rPr>
        <w:t xml:space="preserve"> “a substantial investment in either the obtaining, verification or presentation of the contents”.</w:t>
      </w:r>
    </w:p>
    <w:p w14:paraId="73778A30" w14:textId="64845D74"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Remarkably, while each category of IPR is formulated to build on a distinct purpose and scope, they create di</w:t>
      </w:r>
      <w:r w:rsidR="000012E1">
        <w:rPr>
          <w:rFonts w:ascii="Times New Roman" w:hAnsi="Times New Roman" w:cs="Times New Roman"/>
          <w:sz w:val="24"/>
          <w:szCs w:val="24"/>
        </w:rPr>
        <w:t>stinctive</w:t>
      </w:r>
      <w:r w:rsidRPr="00774EDB">
        <w:rPr>
          <w:rFonts w:ascii="Times New Roman" w:hAnsi="Times New Roman" w:cs="Times New Roman"/>
          <w:sz w:val="24"/>
          <w:szCs w:val="24"/>
        </w:rPr>
        <w:t xml:space="preserve"> layers of protection along with the potential to exclude rivals from </w:t>
      </w:r>
      <w:r w:rsidR="000012E1">
        <w:rPr>
          <w:rFonts w:ascii="Times New Roman" w:hAnsi="Times New Roman" w:cs="Times New Roman"/>
          <w:sz w:val="24"/>
          <w:szCs w:val="24"/>
        </w:rPr>
        <w:t xml:space="preserve">copying, making or using </w:t>
      </w:r>
      <w:r w:rsidRPr="00774EDB">
        <w:rPr>
          <w:rFonts w:ascii="Times New Roman" w:hAnsi="Times New Roman" w:cs="Times New Roman"/>
          <w:sz w:val="24"/>
          <w:szCs w:val="24"/>
        </w:rPr>
        <w:t xml:space="preserve">the subject matter of </w:t>
      </w:r>
      <w:r w:rsidR="000012E1">
        <w:rPr>
          <w:rFonts w:ascii="Times New Roman" w:hAnsi="Times New Roman" w:cs="Times New Roman"/>
          <w:sz w:val="24"/>
          <w:szCs w:val="24"/>
        </w:rPr>
        <w:t>the right</w:t>
      </w:r>
      <w:r w:rsidRPr="00774EDB">
        <w:rPr>
          <w:rFonts w:ascii="Times New Roman" w:hAnsi="Times New Roman" w:cs="Times New Roman"/>
          <w:sz w:val="24"/>
          <w:szCs w:val="24"/>
        </w:rPr>
        <w:t xml:space="preserve">. Against this background, it is remarkable that a type of exclusionary </w:t>
      </w:r>
      <w:r w:rsidR="00393207">
        <w:rPr>
          <w:rFonts w:ascii="Times New Roman" w:hAnsi="Times New Roman" w:cs="Times New Roman"/>
          <w:sz w:val="24"/>
          <w:szCs w:val="24"/>
        </w:rPr>
        <w:t>effect</w:t>
      </w:r>
      <w:r w:rsidRPr="00774EDB">
        <w:rPr>
          <w:rFonts w:ascii="Times New Roman" w:hAnsi="Times New Roman" w:cs="Times New Roman"/>
          <w:sz w:val="24"/>
          <w:szCs w:val="24"/>
        </w:rPr>
        <w:t xml:space="preserve"> is embodied in the IPRs, although this is less persuasive regarding the trade secrets. Given this fact, a long-lasting debate is at stake with regard to the extent to what IPRs should have such </w:t>
      </w:r>
      <w:r w:rsidR="00393207">
        <w:rPr>
          <w:rFonts w:ascii="Times New Roman" w:hAnsi="Times New Roman" w:cs="Times New Roman"/>
          <w:sz w:val="24"/>
          <w:szCs w:val="24"/>
        </w:rPr>
        <w:t xml:space="preserve">an </w:t>
      </w:r>
      <w:r w:rsidRPr="00774EDB">
        <w:rPr>
          <w:rFonts w:ascii="Times New Roman" w:hAnsi="Times New Roman" w:cs="Times New Roman"/>
          <w:sz w:val="24"/>
          <w:szCs w:val="24"/>
        </w:rPr>
        <w:t xml:space="preserve">effect over the rival technologies and would-be products. </w:t>
      </w:r>
      <w:r w:rsidR="00393207">
        <w:rPr>
          <w:rFonts w:ascii="Times New Roman" w:hAnsi="Times New Roman" w:cs="Times New Roman"/>
          <w:sz w:val="24"/>
          <w:szCs w:val="24"/>
        </w:rPr>
        <w:t>For instance, w</w:t>
      </w:r>
      <w:r w:rsidRPr="00774EDB">
        <w:rPr>
          <w:rFonts w:ascii="Times New Roman" w:hAnsi="Times New Roman" w:cs="Times New Roman"/>
          <w:sz w:val="24"/>
          <w:szCs w:val="24"/>
        </w:rPr>
        <w:t xml:space="preserve">hile there is no </w:t>
      </w:r>
      <w:r w:rsidR="00393207">
        <w:rPr>
          <w:rFonts w:ascii="Times New Roman" w:hAnsi="Times New Roman" w:cs="Times New Roman"/>
          <w:sz w:val="24"/>
          <w:szCs w:val="24"/>
        </w:rPr>
        <w:t xml:space="preserve">serious </w:t>
      </w:r>
      <w:r w:rsidRPr="00774EDB">
        <w:rPr>
          <w:rFonts w:ascii="Times New Roman" w:hAnsi="Times New Roman" w:cs="Times New Roman"/>
          <w:sz w:val="24"/>
          <w:szCs w:val="24"/>
        </w:rPr>
        <w:t xml:space="preserve">debate over the </w:t>
      </w:r>
      <w:r w:rsidR="00393207">
        <w:rPr>
          <w:rFonts w:ascii="Times New Roman" w:hAnsi="Times New Roman" w:cs="Times New Roman"/>
          <w:sz w:val="24"/>
          <w:szCs w:val="24"/>
        </w:rPr>
        <w:t>copyrightability</w:t>
      </w:r>
      <w:r w:rsidRPr="00774EDB">
        <w:rPr>
          <w:rFonts w:ascii="Times New Roman" w:hAnsi="Times New Roman" w:cs="Times New Roman"/>
          <w:sz w:val="24"/>
          <w:szCs w:val="24"/>
        </w:rPr>
        <w:t xml:space="preserve"> of hardware elements, against the complex and abstract nature of the software, distinguishing the literary and </w:t>
      </w:r>
      <w:r w:rsidR="00393207">
        <w:rPr>
          <w:rFonts w:ascii="Times New Roman" w:hAnsi="Times New Roman" w:cs="Times New Roman"/>
          <w:sz w:val="24"/>
          <w:szCs w:val="24"/>
        </w:rPr>
        <w:t xml:space="preserve">expressive </w:t>
      </w:r>
      <w:r w:rsidRPr="00774EDB">
        <w:rPr>
          <w:rFonts w:ascii="Times New Roman" w:hAnsi="Times New Roman" w:cs="Times New Roman"/>
          <w:sz w:val="24"/>
          <w:szCs w:val="24"/>
        </w:rPr>
        <w:t xml:space="preserve">parts of software from the non-literary ideas poses a difficult task, having direct implications for the interfaces. In fact, although reverse engineering and decompilation are allowed under copyright </w:t>
      </w:r>
      <w:r w:rsidRPr="00774EDB">
        <w:rPr>
          <w:rFonts w:ascii="Times New Roman" w:hAnsi="Times New Roman" w:cs="Times New Roman"/>
          <w:i/>
          <w:iCs/>
          <w:sz w:val="24"/>
          <w:szCs w:val="24"/>
        </w:rPr>
        <w:t>acquis</w:t>
      </w:r>
      <w:r w:rsidRPr="00774EDB">
        <w:rPr>
          <w:rFonts w:ascii="Times New Roman" w:hAnsi="Times New Roman" w:cs="Times New Roman"/>
          <w:sz w:val="24"/>
          <w:szCs w:val="24"/>
        </w:rPr>
        <w:t xml:space="preserve">, how to treat the APIs discerned through these lawful acts is yet to be settled under EU </w:t>
      </w:r>
      <w:r w:rsidR="00393207">
        <w:rPr>
          <w:rFonts w:ascii="Times New Roman" w:hAnsi="Times New Roman" w:cs="Times New Roman"/>
          <w:sz w:val="24"/>
          <w:szCs w:val="24"/>
        </w:rPr>
        <w:t xml:space="preserve">law and </w:t>
      </w:r>
      <w:r w:rsidRPr="00774EDB">
        <w:rPr>
          <w:rFonts w:ascii="Times New Roman" w:hAnsi="Times New Roman" w:cs="Times New Roman"/>
          <w:sz w:val="24"/>
          <w:szCs w:val="24"/>
        </w:rPr>
        <w:t xml:space="preserve">jurisprudence. Whilst the EU </w:t>
      </w:r>
      <w:r w:rsidRPr="00774EDB">
        <w:rPr>
          <w:rFonts w:ascii="Times New Roman" w:hAnsi="Times New Roman" w:cs="Times New Roman"/>
          <w:sz w:val="24"/>
          <w:szCs w:val="24"/>
        </w:rPr>
        <w:lastRenderedPageBreak/>
        <w:t>copyright regime is acknowledged to cover the source and object codes, uncertainty still exists concerning the nature of APIs which are the key to interoperability.</w:t>
      </w:r>
    </w:p>
    <w:p w14:paraId="4D904E27" w14:textId="450204D4"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Albeit with the uncertainty mentioned above, reverse engineering is permitted in the Software Directive, subject to certain restrictions. The effectiveness of this solution is however challengeable as not representing an unfettered right for access to the interfaces. There are, at least, three reasons why the reverse engineering exception may not go far enough to promote interoperability:</w:t>
      </w:r>
    </w:p>
    <w:p w14:paraId="5B630CA9" w14:textId="77777777" w:rsidR="00BC65AA" w:rsidRPr="00774EDB" w:rsidRDefault="00BC65AA" w:rsidP="00A70042">
      <w:pPr>
        <w:pStyle w:val="ListParagraph"/>
        <w:numPr>
          <w:ilvl w:val="0"/>
          <w:numId w:val="16"/>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Some kinds of computer programs may enjoy dual protection under both patent and copyright law in some countries,</w:t>
      </w:r>
    </w:p>
    <w:p w14:paraId="01E9A0B1" w14:textId="7980231C" w:rsidR="00BC65AA" w:rsidRPr="00A70042" w:rsidRDefault="00BC65AA" w:rsidP="00A70042">
      <w:pPr>
        <w:pStyle w:val="ListParagraph"/>
        <w:numPr>
          <w:ilvl w:val="0"/>
          <w:numId w:val="16"/>
        </w:numPr>
        <w:spacing w:before="240"/>
        <w:ind w:left="714" w:hanging="357"/>
        <w:contextualSpacing w:val="0"/>
        <w:jc w:val="both"/>
        <w:rPr>
          <w:rFonts w:ascii="Times New Roman" w:hAnsi="Times New Roman" w:cs="Times New Roman"/>
          <w:spacing w:val="-4"/>
          <w:sz w:val="24"/>
          <w:szCs w:val="24"/>
        </w:rPr>
      </w:pPr>
      <w:r w:rsidRPr="00A70042">
        <w:rPr>
          <w:rFonts w:ascii="Times New Roman" w:hAnsi="Times New Roman" w:cs="Times New Roman"/>
          <w:spacing w:val="-4"/>
          <w:sz w:val="24"/>
          <w:szCs w:val="24"/>
        </w:rPr>
        <w:t xml:space="preserve">Copyright holders sometimes use TPMs to lock up their programs so that they </w:t>
      </w:r>
      <w:r w:rsidR="00474CDF">
        <w:rPr>
          <w:rFonts w:ascii="Times New Roman" w:hAnsi="Times New Roman" w:cs="Times New Roman"/>
          <w:spacing w:val="-4"/>
          <w:sz w:val="24"/>
          <w:szCs w:val="24"/>
        </w:rPr>
        <w:t xml:space="preserve">may </w:t>
      </w:r>
      <w:r w:rsidRPr="00A70042">
        <w:rPr>
          <w:rFonts w:ascii="Times New Roman" w:hAnsi="Times New Roman" w:cs="Times New Roman"/>
          <w:spacing w:val="-4"/>
          <w:sz w:val="24"/>
          <w:szCs w:val="24"/>
        </w:rPr>
        <w:t>not be lawfully reverse engineered without breaking the lock to access them,</w:t>
      </w:r>
    </w:p>
    <w:p w14:paraId="7AC64BFD" w14:textId="77777777" w:rsidR="00BC65AA" w:rsidRPr="00774EDB" w:rsidRDefault="00BC65AA" w:rsidP="00A70042">
      <w:pPr>
        <w:pStyle w:val="ListParagraph"/>
        <w:numPr>
          <w:ilvl w:val="0"/>
          <w:numId w:val="16"/>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Would-be second comers sometimes require access to more information than just the object code owned by the first-comer in order to design an interoperable software product.</w:t>
      </w:r>
      <w:r w:rsidRPr="00774EDB">
        <w:rPr>
          <w:rStyle w:val="FootnoteReference"/>
          <w:rFonts w:ascii="Times New Roman" w:hAnsi="Times New Roman" w:cs="Times New Roman"/>
          <w:sz w:val="24"/>
          <w:szCs w:val="24"/>
        </w:rPr>
        <w:footnoteReference w:id="408"/>
      </w:r>
    </w:p>
    <w:p w14:paraId="47B5F051" w14:textId="5E9C8DBF" w:rsidR="00BC65AA" w:rsidRPr="00774EDB" w:rsidRDefault="00474CDF" w:rsidP="00A70042">
      <w:pPr>
        <w:spacing w:before="360"/>
        <w:jc w:val="both"/>
        <w:rPr>
          <w:rFonts w:ascii="Times New Roman" w:hAnsi="Times New Roman" w:cs="Times New Roman"/>
          <w:sz w:val="24"/>
          <w:szCs w:val="24"/>
        </w:rPr>
      </w:pPr>
      <w:r>
        <w:rPr>
          <w:rFonts w:ascii="Times New Roman" w:hAnsi="Times New Roman" w:cs="Times New Roman"/>
          <w:sz w:val="24"/>
          <w:szCs w:val="24"/>
        </w:rPr>
        <w:t>On top of</w:t>
      </w:r>
      <w:r w:rsidR="00BC65AA" w:rsidRPr="00774EDB">
        <w:rPr>
          <w:rFonts w:ascii="Times New Roman" w:hAnsi="Times New Roman" w:cs="Times New Roman"/>
          <w:sz w:val="24"/>
          <w:szCs w:val="24"/>
        </w:rPr>
        <w:t xml:space="preserve"> these reasons, it should </w:t>
      </w:r>
      <w:r>
        <w:rPr>
          <w:rFonts w:ascii="Times New Roman" w:hAnsi="Times New Roman" w:cs="Times New Roman"/>
          <w:sz w:val="24"/>
          <w:szCs w:val="24"/>
        </w:rPr>
        <w:t xml:space="preserve">also </w:t>
      </w:r>
      <w:r w:rsidR="00BC65AA" w:rsidRPr="00774EDB">
        <w:rPr>
          <w:rFonts w:ascii="Times New Roman" w:hAnsi="Times New Roman" w:cs="Times New Roman"/>
          <w:sz w:val="24"/>
          <w:szCs w:val="24"/>
        </w:rPr>
        <w:t xml:space="preserve">be kept in mind that no one but the first intruder (access seeker) could benefit from this method of securing interoperability given the fact that dissemination of the decompiled information is prohibited by Article 6 of the Software Directive. Moreover, software interfaces could change frequently and pose a significant uncertainty for the competitors because of the emergent complexity and upfront costs. Thus, reverse engineering arises as an expensive, time-consuming and </w:t>
      </w:r>
      <w:r w:rsidR="00BC65AA" w:rsidRPr="00774EDB">
        <w:rPr>
          <w:rFonts w:ascii="Times New Roman" w:hAnsi="Times New Roman" w:cs="Times New Roman"/>
          <w:sz w:val="24"/>
          <w:szCs w:val="24"/>
        </w:rPr>
        <w:lastRenderedPageBreak/>
        <w:t>unsustainable option to be hardly deemed as a self-standing business model enabling interoperability in the ICT field.</w:t>
      </w:r>
    </w:p>
    <w:p w14:paraId="57DF4597" w14:textId="349B44A7"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While the abovementioned uncertainties are not directly relevant to patents, computer-enabled inventions that are protected by patents might be more restrictive than copyrights in terms of preventing third parties from re-using the protected software, including the </w:t>
      </w:r>
      <w:r w:rsidR="00F6542A">
        <w:rPr>
          <w:rFonts w:ascii="Times New Roman" w:hAnsi="Times New Roman" w:cs="Times New Roman"/>
          <w:sz w:val="24"/>
          <w:szCs w:val="24"/>
        </w:rPr>
        <w:t>APIs</w:t>
      </w:r>
      <w:r w:rsidRPr="00774EDB">
        <w:rPr>
          <w:rFonts w:ascii="Times New Roman" w:hAnsi="Times New Roman" w:cs="Times New Roman"/>
          <w:sz w:val="24"/>
          <w:szCs w:val="24"/>
        </w:rPr>
        <w:t xml:space="preserve">. Principally, when access to information contained in the </w:t>
      </w:r>
      <w:r w:rsidR="00F6542A">
        <w:rPr>
          <w:rFonts w:ascii="Times New Roman" w:hAnsi="Times New Roman" w:cs="Times New Roman"/>
          <w:sz w:val="24"/>
          <w:szCs w:val="24"/>
        </w:rPr>
        <w:t>APIs</w:t>
      </w:r>
      <w:r w:rsidRPr="00774EDB">
        <w:rPr>
          <w:rFonts w:ascii="Times New Roman" w:hAnsi="Times New Roman" w:cs="Times New Roman"/>
          <w:sz w:val="24"/>
          <w:szCs w:val="24"/>
        </w:rPr>
        <w:t xml:space="preserve"> does not involve the “making” or the “using” of the patented invention, no patent infringement would take place. Given this fact, reverse engineering does not amount to patent infringement by itself; yet one could face up to an infringement claim by making use of the protected interfaces. While every interface could not benefit from the protection because of the threshold i.e. ‘technical effect’ within the meaning of invention, the position of the EPO has progressively moved, and more and more inventions related to computer programs have been successfully granted patent protection in the EU.</w:t>
      </w:r>
      <w:r w:rsidRPr="00774EDB">
        <w:rPr>
          <w:rStyle w:val="FootnoteReference"/>
          <w:rFonts w:ascii="Times New Roman" w:hAnsi="Times New Roman" w:cs="Times New Roman"/>
          <w:sz w:val="24"/>
          <w:szCs w:val="24"/>
        </w:rPr>
        <w:footnoteReference w:id="409"/>
      </w:r>
    </w:p>
    <w:p w14:paraId="0D1F7DEA" w14:textId="1C75F271"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view of these facts, the patents’ blocking power against the reusability of software, including the interfaces, could be significant. Essentially, patents may hinder interoperability information being discerned and reused by the third parties, and their cumulative effect would be augmented with other IPRs. In fact, proliferation of IPRs, particularly patents, often accompanies a situation where more parties have the right to exclude their rivals or opt to impose an excessive licence/royalty fee. Absent contractual commitments or licensing obligations i.e. which may be imposed by </w:t>
      </w:r>
      <w:r w:rsidRPr="00774EDB">
        <w:rPr>
          <w:rFonts w:ascii="Times New Roman" w:hAnsi="Times New Roman" w:cs="Times New Roman"/>
          <w:sz w:val="24"/>
          <w:szCs w:val="24"/>
        </w:rPr>
        <w:lastRenderedPageBreak/>
        <w:t>SSOs,</w:t>
      </w:r>
      <w:r w:rsidRPr="00774EDB">
        <w:rPr>
          <w:rStyle w:val="FootnoteReference"/>
          <w:rFonts w:ascii="Times New Roman" w:hAnsi="Times New Roman" w:cs="Times New Roman"/>
          <w:sz w:val="24"/>
          <w:szCs w:val="24"/>
        </w:rPr>
        <w:footnoteReference w:id="410"/>
      </w:r>
      <w:r w:rsidRPr="00774EDB">
        <w:rPr>
          <w:rFonts w:ascii="Times New Roman" w:hAnsi="Times New Roman" w:cs="Times New Roman"/>
          <w:sz w:val="24"/>
          <w:szCs w:val="24"/>
        </w:rPr>
        <w:t xml:space="preserve"> means firms can usually charge higher royalty rates for licensing interface patents than for licensing other patents, regardless of the degree of innovation the interface patents may embody.</w:t>
      </w:r>
      <w:r w:rsidRPr="00774EDB">
        <w:rPr>
          <w:rStyle w:val="FootnoteReference"/>
          <w:rFonts w:ascii="Times New Roman" w:hAnsi="Times New Roman" w:cs="Times New Roman"/>
          <w:sz w:val="24"/>
          <w:szCs w:val="24"/>
        </w:rPr>
        <w:footnoteReference w:id="411"/>
      </w:r>
      <w:r w:rsidRPr="00774EDB">
        <w:rPr>
          <w:rFonts w:ascii="Times New Roman" w:hAnsi="Times New Roman" w:cs="Times New Roman"/>
          <w:sz w:val="24"/>
          <w:szCs w:val="24"/>
        </w:rPr>
        <w:t xml:space="preserve"> This would mean a double-</w:t>
      </w:r>
      <w:r w:rsidR="00FA0531" w:rsidRPr="00774EDB">
        <w:rPr>
          <w:rFonts w:ascii="Times New Roman" w:hAnsi="Times New Roman" w:cs="Times New Roman"/>
          <w:sz w:val="24"/>
          <w:szCs w:val="24"/>
        </w:rPr>
        <w:t xml:space="preserve">edged </w:t>
      </w:r>
      <w:r w:rsidRPr="00774EDB">
        <w:rPr>
          <w:rFonts w:ascii="Times New Roman" w:hAnsi="Times New Roman" w:cs="Times New Roman"/>
          <w:sz w:val="24"/>
          <w:szCs w:val="24"/>
        </w:rPr>
        <w:t xml:space="preserve">threat for the access seekers, having a deterrent effect on the dissemination of knowledge and innovation. </w:t>
      </w:r>
      <w:r w:rsidR="00F6542A">
        <w:rPr>
          <w:rFonts w:ascii="Times New Roman" w:hAnsi="Times New Roman" w:cs="Times New Roman"/>
          <w:sz w:val="24"/>
          <w:szCs w:val="24"/>
        </w:rPr>
        <w:t xml:space="preserve">Crucially, protection of IPRs come up with a remarkable cost as to information flows, as opposed to the very basis of the IPR regimes. </w:t>
      </w:r>
      <w:r w:rsidR="0057686C">
        <w:rPr>
          <w:rFonts w:ascii="Times New Roman" w:hAnsi="Times New Roman" w:cs="Times New Roman"/>
          <w:sz w:val="24"/>
          <w:szCs w:val="24"/>
        </w:rPr>
        <w:t>Under a strict interoperability regime, t</w:t>
      </w:r>
      <w:r w:rsidR="00F6542A">
        <w:rPr>
          <w:rFonts w:ascii="Times New Roman" w:hAnsi="Times New Roman" w:cs="Times New Roman"/>
          <w:sz w:val="24"/>
          <w:szCs w:val="24"/>
        </w:rPr>
        <w:t xml:space="preserve">he intended dissemination would not be realised, nor </w:t>
      </w:r>
      <w:r w:rsidR="0057686C">
        <w:rPr>
          <w:rFonts w:ascii="Times New Roman" w:hAnsi="Times New Roman" w:cs="Times New Roman"/>
          <w:sz w:val="24"/>
          <w:szCs w:val="24"/>
        </w:rPr>
        <w:t>a diverse</w:t>
      </w:r>
      <w:r w:rsidR="00F6542A">
        <w:rPr>
          <w:rFonts w:ascii="Times New Roman" w:hAnsi="Times New Roman" w:cs="Times New Roman"/>
          <w:sz w:val="24"/>
          <w:szCs w:val="24"/>
        </w:rPr>
        <w:t xml:space="preserve"> cultural production based on IPR-protected content. </w:t>
      </w:r>
      <w:r w:rsidRPr="00774EDB">
        <w:rPr>
          <w:rFonts w:ascii="Times New Roman" w:hAnsi="Times New Roman" w:cs="Times New Roman"/>
          <w:sz w:val="24"/>
          <w:szCs w:val="24"/>
        </w:rPr>
        <w:t xml:space="preserve">This is </w:t>
      </w:r>
      <w:r w:rsidR="00F6542A">
        <w:rPr>
          <w:rFonts w:ascii="Times New Roman" w:hAnsi="Times New Roman" w:cs="Times New Roman"/>
          <w:sz w:val="24"/>
          <w:szCs w:val="24"/>
        </w:rPr>
        <w:t>more</w:t>
      </w:r>
      <w:r w:rsidR="00F6542A"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persuasive </w:t>
      </w:r>
      <w:r w:rsidR="0057686C">
        <w:rPr>
          <w:rFonts w:ascii="Times New Roman" w:hAnsi="Times New Roman" w:cs="Times New Roman"/>
          <w:sz w:val="24"/>
          <w:szCs w:val="24"/>
        </w:rPr>
        <w:t>for</w:t>
      </w:r>
      <w:r w:rsidRPr="00774EDB">
        <w:rPr>
          <w:rFonts w:ascii="Times New Roman" w:hAnsi="Times New Roman" w:cs="Times New Roman"/>
          <w:sz w:val="24"/>
          <w:szCs w:val="24"/>
        </w:rPr>
        <w:t xml:space="preserve"> the EU legal system </w:t>
      </w:r>
      <w:r w:rsidR="0057686C">
        <w:rPr>
          <w:rFonts w:ascii="Times New Roman" w:hAnsi="Times New Roman" w:cs="Times New Roman"/>
          <w:sz w:val="24"/>
          <w:szCs w:val="24"/>
        </w:rPr>
        <w:t xml:space="preserve">which </w:t>
      </w:r>
      <w:r w:rsidRPr="00774EDB">
        <w:rPr>
          <w:rFonts w:ascii="Times New Roman" w:hAnsi="Times New Roman" w:cs="Times New Roman"/>
          <w:sz w:val="24"/>
          <w:szCs w:val="24"/>
        </w:rPr>
        <w:t xml:space="preserve">does not have internal IPR safeguards, unlike the US framework, </w:t>
      </w:r>
      <w:r w:rsidR="0057686C">
        <w:rPr>
          <w:rFonts w:ascii="Times New Roman" w:hAnsi="Times New Roman" w:cs="Times New Roman"/>
          <w:sz w:val="24"/>
          <w:szCs w:val="24"/>
        </w:rPr>
        <w:t>that</w:t>
      </w:r>
      <w:r w:rsidRPr="00774EDB">
        <w:rPr>
          <w:rFonts w:ascii="Times New Roman" w:hAnsi="Times New Roman" w:cs="Times New Roman"/>
          <w:sz w:val="24"/>
          <w:szCs w:val="24"/>
        </w:rPr>
        <w:t xml:space="preserve"> enjoys a number of </w:t>
      </w:r>
      <w:r w:rsidR="00FA0531" w:rsidRPr="00774EDB">
        <w:rPr>
          <w:rFonts w:ascii="Times New Roman" w:hAnsi="Times New Roman" w:cs="Times New Roman"/>
          <w:sz w:val="24"/>
          <w:szCs w:val="24"/>
        </w:rPr>
        <w:t>jurisprudential</w:t>
      </w:r>
      <w:r w:rsidRPr="00774EDB">
        <w:rPr>
          <w:rFonts w:ascii="Times New Roman" w:hAnsi="Times New Roman" w:cs="Times New Roman"/>
          <w:sz w:val="24"/>
          <w:szCs w:val="24"/>
        </w:rPr>
        <w:t xml:space="preserve"> tools for mitigation of IPR-based anti-competitive effects i.e. patent misuse, fair use and merger doctrines.</w:t>
      </w:r>
    </w:p>
    <w:p w14:paraId="61EA2759" w14:textId="77777777" w:rsidR="00BC65AA" w:rsidRPr="00A70042" w:rsidRDefault="00BC65AA"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From a broader viewpoint, a similar handicapping effect could arise out of trade secrets, which are also regulated under EU law. While the act of reverse engineering to reach certain information that is already protected by trade secrets is first and foremost legal,</w:t>
      </w:r>
      <w:r w:rsidRPr="00A70042">
        <w:rPr>
          <w:rStyle w:val="FootnoteReference"/>
          <w:rFonts w:ascii="Times New Roman" w:hAnsi="Times New Roman" w:cs="Times New Roman"/>
          <w:spacing w:val="-2"/>
          <w:sz w:val="24"/>
          <w:szCs w:val="24"/>
        </w:rPr>
        <w:footnoteReference w:id="412"/>
      </w:r>
      <w:r w:rsidRPr="00A70042">
        <w:rPr>
          <w:rFonts w:ascii="Times New Roman" w:hAnsi="Times New Roman" w:cs="Times New Roman"/>
          <w:spacing w:val="-2"/>
          <w:sz w:val="24"/>
          <w:szCs w:val="24"/>
        </w:rPr>
        <w:t xml:space="preserve"> unfair competition law and contract law regulations are acknowledged to take precedence over the copyright rules and the exceptions under the Software Directive.</w:t>
      </w:r>
      <w:r w:rsidRPr="00A70042">
        <w:rPr>
          <w:rStyle w:val="FootnoteReference"/>
          <w:rFonts w:ascii="Times New Roman" w:hAnsi="Times New Roman" w:cs="Times New Roman"/>
          <w:spacing w:val="-2"/>
          <w:sz w:val="24"/>
          <w:szCs w:val="24"/>
        </w:rPr>
        <w:footnoteReference w:id="413"/>
      </w:r>
      <w:r w:rsidRPr="00A70042">
        <w:rPr>
          <w:rFonts w:ascii="Times New Roman" w:hAnsi="Times New Roman" w:cs="Times New Roman"/>
          <w:spacing w:val="-2"/>
          <w:sz w:val="24"/>
          <w:szCs w:val="24"/>
        </w:rPr>
        <w:t xml:space="preserve"> By the same token, the wording of the Trade Secrets Directive enables restricting re-use of the interfaces even where no copyright exists, should the interfaces reflect the acquired information under certain limitations e.g. limits regarding decompilation, national unfair competition and contract law obligations.</w:t>
      </w:r>
    </w:p>
    <w:p w14:paraId="313A830F" w14:textId="16D3D044"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 xml:space="preserve">Databases, subject to copyright protection as well as </w:t>
      </w:r>
      <w:r w:rsidRPr="00774EDB">
        <w:rPr>
          <w:rFonts w:ascii="Times New Roman" w:hAnsi="Times New Roman" w:cs="Times New Roman"/>
          <w:i/>
          <w:sz w:val="24"/>
          <w:szCs w:val="24"/>
        </w:rPr>
        <w:t>sui generis</w:t>
      </w:r>
      <w:r w:rsidRPr="00774EDB">
        <w:rPr>
          <w:rFonts w:ascii="Times New Roman" w:hAnsi="Times New Roman" w:cs="Times New Roman"/>
          <w:sz w:val="24"/>
          <w:szCs w:val="24"/>
        </w:rPr>
        <w:t xml:space="preserve"> protection under certain circumstances</w:t>
      </w:r>
      <w:r w:rsidR="0057686C">
        <w:rPr>
          <w:rFonts w:ascii="Times New Roman" w:hAnsi="Times New Roman" w:cs="Times New Roman"/>
          <w:sz w:val="24"/>
          <w:szCs w:val="24"/>
        </w:rPr>
        <w:t>,</w:t>
      </w:r>
      <w:r w:rsidRPr="00774EDB">
        <w:rPr>
          <w:rFonts w:ascii="Times New Roman" w:hAnsi="Times New Roman" w:cs="Times New Roman"/>
          <w:sz w:val="24"/>
          <w:szCs w:val="24"/>
        </w:rPr>
        <w:t xml:space="preserve"> </w:t>
      </w:r>
      <w:r w:rsidR="0057686C">
        <w:rPr>
          <w:rFonts w:ascii="Times New Roman" w:hAnsi="Times New Roman" w:cs="Times New Roman"/>
          <w:sz w:val="24"/>
          <w:szCs w:val="24"/>
        </w:rPr>
        <w:t xml:space="preserve">as </w:t>
      </w:r>
      <w:r w:rsidRPr="00774EDB">
        <w:rPr>
          <w:rFonts w:ascii="Times New Roman" w:hAnsi="Times New Roman" w:cs="Times New Roman"/>
          <w:sz w:val="24"/>
          <w:szCs w:val="24"/>
        </w:rPr>
        <w:t xml:space="preserve">set out under the Database Directive, would involve an added layer of protection, even though they do not pose a barrier to interoperability themselves. Notwithstanding, transcending the outer layers of protection, i.e. other IPRs than databases, by enabling interoperability does not warrant reusability of datasets included within the databases, as this means an infringement under the Database Directive. Therefore, reverse engineering and other attempts to ensure interoperability would </w:t>
      </w:r>
      <w:r w:rsidR="0057686C">
        <w:rPr>
          <w:rFonts w:ascii="Times New Roman" w:hAnsi="Times New Roman" w:cs="Times New Roman"/>
          <w:sz w:val="24"/>
          <w:szCs w:val="24"/>
        </w:rPr>
        <w:t xml:space="preserve">enable </w:t>
      </w:r>
      <w:r w:rsidRPr="00774EDB">
        <w:rPr>
          <w:rFonts w:ascii="Times New Roman" w:hAnsi="Times New Roman" w:cs="Times New Roman"/>
          <w:sz w:val="24"/>
          <w:szCs w:val="24"/>
        </w:rPr>
        <w:t xml:space="preserve">data mining and access, yet not bring an effective result for the databases </w:t>
      </w:r>
      <w:r w:rsidR="0057686C">
        <w:rPr>
          <w:rFonts w:ascii="Times New Roman" w:hAnsi="Times New Roman" w:cs="Times New Roman"/>
          <w:sz w:val="24"/>
          <w:szCs w:val="24"/>
        </w:rPr>
        <w:t>that</w:t>
      </w:r>
      <w:r w:rsidR="0057686C" w:rsidRPr="00774EDB">
        <w:rPr>
          <w:rFonts w:ascii="Times New Roman" w:hAnsi="Times New Roman" w:cs="Times New Roman"/>
          <w:sz w:val="24"/>
          <w:szCs w:val="24"/>
        </w:rPr>
        <w:t xml:space="preserve"> </w:t>
      </w:r>
      <w:r w:rsidRPr="00774EDB">
        <w:rPr>
          <w:rFonts w:ascii="Times New Roman" w:hAnsi="Times New Roman" w:cs="Times New Roman"/>
          <w:sz w:val="24"/>
          <w:szCs w:val="24"/>
        </w:rPr>
        <w:t>are protected by the rights mentioned above, which represent the inner boundaries</w:t>
      </w:r>
      <w:r w:rsidR="0057686C">
        <w:rPr>
          <w:rFonts w:ascii="Times New Roman" w:hAnsi="Times New Roman" w:cs="Times New Roman"/>
          <w:sz w:val="24"/>
          <w:szCs w:val="24"/>
        </w:rPr>
        <w:t xml:space="preserve"> precluding access and/or copying</w:t>
      </w:r>
      <w:r w:rsidRPr="00774EDB">
        <w:rPr>
          <w:rFonts w:ascii="Times New Roman" w:hAnsi="Times New Roman" w:cs="Times New Roman"/>
          <w:sz w:val="24"/>
          <w:szCs w:val="24"/>
        </w:rPr>
        <w:t>.</w:t>
      </w:r>
    </w:p>
    <w:p w14:paraId="443C9531" w14:textId="77777777" w:rsidR="00BC65AA" w:rsidRPr="00774EDB"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an overall perspective, while the IPRs aim to prevent infringement by limiting the user’s ability to copy/lend/modify files and devices, their practical application often goes much further than this purpose, especially through preventing interoperability of file formats and devices.</w:t>
      </w:r>
      <w:r w:rsidRPr="00774EDB">
        <w:rPr>
          <w:rStyle w:val="FootnoteReference"/>
          <w:rFonts w:ascii="Times New Roman" w:hAnsi="Times New Roman" w:cs="Times New Roman"/>
          <w:sz w:val="24"/>
          <w:szCs w:val="24"/>
        </w:rPr>
        <w:footnoteReference w:id="414"/>
      </w:r>
      <w:r w:rsidRPr="00774EDB">
        <w:rPr>
          <w:rFonts w:ascii="Times New Roman" w:hAnsi="Times New Roman" w:cs="Times New Roman"/>
          <w:sz w:val="24"/>
          <w:szCs w:val="24"/>
        </w:rPr>
        <w:t xml:space="preserve"> This problem is also a result of and/or supported by the creation and use of TPMs going beyond their anti-circumvention purpose e.g. through preventing the use of copyrighted works that are legal, such as fair use/dealing or copyright for private/research purposes.</w:t>
      </w:r>
      <w:r w:rsidRPr="00774EDB">
        <w:rPr>
          <w:rStyle w:val="FootnoteReference"/>
          <w:rFonts w:ascii="Times New Roman" w:hAnsi="Times New Roman" w:cs="Times New Roman"/>
          <w:sz w:val="24"/>
          <w:szCs w:val="24"/>
        </w:rPr>
        <w:footnoteReference w:id="415"/>
      </w:r>
      <w:r w:rsidRPr="00774EDB">
        <w:rPr>
          <w:rFonts w:ascii="Times New Roman" w:hAnsi="Times New Roman" w:cs="Times New Roman"/>
          <w:sz w:val="24"/>
          <w:szCs w:val="24"/>
        </w:rPr>
        <w:t xml:space="preserve"> Given this fact, one could mention about an ‘indirect effect’ of implementing IPRs besides their directly attributable original purpose. Having said that, the effect of the IPRs embracing interfaces would entail ‘over-protection’ that goes beyond the very aim of the protection of the innovation, technical invention, commercial secret and valuable information by often displacing the rivals away from the potential competition.</w:t>
      </w:r>
    </w:p>
    <w:p w14:paraId="54BBAF6B" w14:textId="2C8B7D7C" w:rsidR="00753095" w:rsidRDefault="00BC65A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Crucially, the indirect effect of controlling these interfaces impacts competition and innovation.</w:t>
      </w:r>
      <w:r w:rsidRPr="00774EDB">
        <w:rPr>
          <w:rStyle w:val="FootnoteReference"/>
          <w:rFonts w:ascii="Times New Roman" w:hAnsi="Times New Roman" w:cs="Times New Roman"/>
          <w:sz w:val="24"/>
          <w:szCs w:val="24"/>
        </w:rPr>
        <w:footnoteReference w:id="416"/>
      </w:r>
      <w:r w:rsidRPr="00774EDB">
        <w:rPr>
          <w:rFonts w:ascii="Times New Roman" w:hAnsi="Times New Roman" w:cs="Times New Roman"/>
          <w:sz w:val="24"/>
          <w:szCs w:val="24"/>
        </w:rPr>
        <w:t xml:space="preserve"> The increasing number of IPR types and layers would have significant anticompetitive effects for the firms which need interoperability to sell products that either work with or compete with the protected program.</w:t>
      </w:r>
      <w:r w:rsidRPr="00774EDB">
        <w:rPr>
          <w:rStyle w:val="FootnoteReference"/>
          <w:rFonts w:ascii="Times New Roman" w:hAnsi="Times New Roman" w:cs="Times New Roman"/>
          <w:sz w:val="24"/>
          <w:szCs w:val="24"/>
        </w:rPr>
        <w:footnoteReference w:id="417"/>
      </w:r>
      <w:r w:rsidRPr="00774EDB">
        <w:rPr>
          <w:rFonts w:ascii="Times New Roman" w:hAnsi="Times New Roman" w:cs="Times New Roman"/>
          <w:sz w:val="24"/>
          <w:szCs w:val="24"/>
        </w:rPr>
        <w:t xml:space="preserve"> The indirect effect of the protection of the interfaces via IPRs would emerge in the form of blocking the third parties from entering into the relevant market or competing effectively, at the expense of consumer benefits</w:t>
      </w:r>
      <w:r w:rsidR="005A70BC">
        <w:rPr>
          <w:rFonts w:ascii="Times New Roman" w:hAnsi="Times New Roman" w:cs="Times New Roman"/>
          <w:sz w:val="24"/>
          <w:szCs w:val="24"/>
        </w:rPr>
        <w:t xml:space="preserve"> and choices being diminished</w:t>
      </w:r>
      <w:r w:rsidRPr="00774EDB">
        <w:rPr>
          <w:rFonts w:ascii="Times New Roman" w:hAnsi="Times New Roman" w:cs="Times New Roman"/>
          <w:sz w:val="24"/>
          <w:szCs w:val="24"/>
        </w:rPr>
        <w:t>.</w:t>
      </w:r>
      <w:r w:rsidR="005A70BC">
        <w:rPr>
          <w:rFonts w:ascii="Times New Roman" w:hAnsi="Times New Roman" w:cs="Times New Roman"/>
          <w:sz w:val="24"/>
          <w:szCs w:val="24"/>
        </w:rPr>
        <w:t xml:space="preserve"> The indirect effects are extendable to the </w:t>
      </w:r>
      <w:r w:rsidR="00996E1C">
        <w:rPr>
          <w:rFonts w:ascii="Times New Roman" w:hAnsi="Times New Roman" w:cs="Times New Roman"/>
          <w:sz w:val="24"/>
          <w:szCs w:val="24"/>
        </w:rPr>
        <w:t>cultural</w:t>
      </w:r>
      <w:r w:rsidR="005A70BC">
        <w:rPr>
          <w:rFonts w:ascii="Times New Roman" w:hAnsi="Times New Roman" w:cs="Times New Roman"/>
          <w:sz w:val="24"/>
          <w:szCs w:val="24"/>
        </w:rPr>
        <w:t xml:space="preserve"> production and participatory democracy given the major concerns and the inflexible legal regime regarding interoperability.</w:t>
      </w:r>
      <w:r w:rsidR="003B4876">
        <w:rPr>
          <w:rFonts w:ascii="Times New Roman" w:hAnsi="Times New Roman" w:cs="Times New Roman"/>
          <w:sz w:val="24"/>
          <w:szCs w:val="24"/>
        </w:rPr>
        <w:t xml:space="preserve"> </w:t>
      </w:r>
      <w:r w:rsidRPr="00774EDB">
        <w:rPr>
          <w:rFonts w:ascii="Times New Roman" w:hAnsi="Times New Roman" w:cs="Times New Roman"/>
          <w:sz w:val="24"/>
          <w:szCs w:val="24"/>
        </w:rPr>
        <w:t xml:space="preserve">While </w:t>
      </w:r>
      <w:r w:rsidR="003B2CD7">
        <w:rPr>
          <w:rFonts w:ascii="Times New Roman" w:hAnsi="Times New Roman" w:cs="Times New Roman"/>
          <w:sz w:val="24"/>
          <w:szCs w:val="24"/>
        </w:rPr>
        <w:t xml:space="preserve">a fulfilling </w:t>
      </w:r>
      <w:r w:rsidRPr="00774EDB">
        <w:rPr>
          <w:rFonts w:ascii="Times New Roman" w:hAnsi="Times New Roman" w:cs="Times New Roman"/>
          <w:sz w:val="24"/>
          <w:szCs w:val="24"/>
        </w:rPr>
        <w:t xml:space="preserve">analysis of </w:t>
      </w:r>
      <w:r w:rsidR="003B2CD7">
        <w:rPr>
          <w:rFonts w:ascii="Times New Roman" w:hAnsi="Times New Roman" w:cs="Times New Roman"/>
          <w:sz w:val="24"/>
          <w:szCs w:val="24"/>
        </w:rPr>
        <w:t xml:space="preserve">the negative impact of </w:t>
      </w:r>
      <w:r w:rsidR="001B1913">
        <w:rPr>
          <w:rFonts w:ascii="Times New Roman" w:hAnsi="Times New Roman" w:cs="Times New Roman"/>
          <w:sz w:val="24"/>
          <w:szCs w:val="24"/>
        </w:rPr>
        <w:t xml:space="preserve">overzealous use of </w:t>
      </w:r>
      <w:r w:rsidR="003B2CD7">
        <w:rPr>
          <w:rFonts w:ascii="Times New Roman" w:hAnsi="Times New Roman" w:cs="Times New Roman"/>
          <w:sz w:val="24"/>
          <w:szCs w:val="24"/>
        </w:rPr>
        <w:t xml:space="preserve">IPRs </w:t>
      </w:r>
      <w:r w:rsidRPr="00774EDB">
        <w:rPr>
          <w:rFonts w:ascii="Times New Roman" w:hAnsi="Times New Roman" w:cs="Times New Roman"/>
          <w:sz w:val="24"/>
          <w:szCs w:val="24"/>
        </w:rPr>
        <w:t xml:space="preserve">goes beyond the limits of this study, it is fair to say that </w:t>
      </w:r>
      <w:r w:rsidR="003B2CD7">
        <w:rPr>
          <w:rFonts w:ascii="Times New Roman" w:hAnsi="Times New Roman" w:cs="Times New Roman"/>
          <w:sz w:val="24"/>
          <w:szCs w:val="24"/>
        </w:rPr>
        <w:t xml:space="preserve">IPR rules </w:t>
      </w:r>
      <w:r w:rsidRPr="00774EDB">
        <w:rPr>
          <w:rFonts w:ascii="Times New Roman" w:hAnsi="Times New Roman" w:cs="Times New Roman"/>
          <w:sz w:val="24"/>
          <w:szCs w:val="24"/>
        </w:rPr>
        <w:t xml:space="preserve">and </w:t>
      </w:r>
      <w:r w:rsidR="003B2CD7">
        <w:rPr>
          <w:rFonts w:ascii="Times New Roman" w:hAnsi="Times New Roman" w:cs="Times New Roman"/>
          <w:sz w:val="24"/>
          <w:szCs w:val="24"/>
        </w:rPr>
        <w:t xml:space="preserve">safeguards including those related to interoperability </w:t>
      </w:r>
      <w:r w:rsidRPr="00774EDB">
        <w:rPr>
          <w:rFonts w:ascii="Times New Roman" w:hAnsi="Times New Roman" w:cs="Times New Roman"/>
          <w:sz w:val="24"/>
          <w:szCs w:val="24"/>
        </w:rPr>
        <w:t>at the EU level fail to adequately address the indirect effects of the control over interface specifications, on interoperability.</w:t>
      </w:r>
      <w:r w:rsidRPr="00774EDB">
        <w:rPr>
          <w:rStyle w:val="FootnoteReference"/>
          <w:rFonts w:ascii="Times New Roman" w:hAnsi="Times New Roman" w:cs="Times New Roman"/>
          <w:sz w:val="24"/>
          <w:szCs w:val="24"/>
        </w:rPr>
        <w:footnoteReference w:id="418"/>
      </w:r>
    </w:p>
    <w:p w14:paraId="6A72A251" w14:textId="44236A51" w:rsidR="00D30480" w:rsidRPr="00774EDB" w:rsidRDefault="001B1913" w:rsidP="00A70042">
      <w:pPr>
        <w:spacing w:before="360"/>
        <w:jc w:val="both"/>
        <w:rPr>
          <w:rFonts w:ascii="Times New Roman" w:hAnsi="Times New Roman" w:cs="Times New Roman"/>
          <w:sz w:val="24"/>
          <w:szCs w:val="24"/>
        </w:rPr>
      </w:pPr>
      <w:r>
        <w:rPr>
          <w:rFonts w:ascii="Times New Roman" w:hAnsi="Times New Roman" w:cs="Times New Roman"/>
          <w:sz w:val="24"/>
          <w:szCs w:val="24"/>
        </w:rPr>
        <w:t>Against this background</w:t>
      </w:r>
      <w:r w:rsidR="005A70BC">
        <w:rPr>
          <w:rFonts w:ascii="Times New Roman" w:hAnsi="Times New Roman" w:cs="Times New Roman"/>
          <w:sz w:val="24"/>
          <w:szCs w:val="24"/>
        </w:rPr>
        <w:t xml:space="preserve">, the pro-interoperability policy of the Software Directive could </w:t>
      </w:r>
      <w:r w:rsidR="005642E6">
        <w:rPr>
          <w:rFonts w:ascii="Times New Roman" w:hAnsi="Times New Roman" w:cs="Times New Roman"/>
          <w:sz w:val="24"/>
          <w:szCs w:val="24"/>
        </w:rPr>
        <w:t xml:space="preserve">potentially </w:t>
      </w:r>
      <w:r w:rsidR="005A70BC">
        <w:rPr>
          <w:rFonts w:ascii="Times New Roman" w:hAnsi="Times New Roman" w:cs="Times New Roman"/>
          <w:sz w:val="24"/>
          <w:szCs w:val="24"/>
        </w:rPr>
        <w:t xml:space="preserve">be taken as a leverage to </w:t>
      </w:r>
      <w:r w:rsidR="003B2CD7">
        <w:rPr>
          <w:rFonts w:ascii="Times New Roman" w:hAnsi="Times New Roman" w:cs="Times New Roman"/>
          <w:sz w:val="24"/>
          <w:szCs w:val="24"/>
        </w:rPr>
        <w:t>figure out and meet</w:t>
      </w:r>
      <w:r w:rsidR="005A70BC">
        <w:rPr>
          <w:rFonts w:ascii="Times New Roman" w:hAnsi="Times New Roman" w:cs="Times New Roman"/>
          <w:sz w:val="24"/>
          <w:szCs w:val="24"/>
        </w:rPr>
        <w:t xml:space="preserve"> the needs </w:t>
      </w:r>
      <w:r w:rsidR="00DC29CA">
        <w:rPr>
          <w:rFonts w:ascii="Times New Roman" w:hAnsi="Times New Roman" w:cs="Times New Roman"/>
          <w:sz w:val="24"/>
          <w:szCs w:val="24"/>
        </w:rPr>
        <w:t>surrounding</w:t>
      </w:r>
      <w:r w:rsidR="005A70BC">
        <w:rPr>
          <w:rFonts w:ascii="Times New Roman" w:hAnsi="Times New Roman" w:cs="Times New Roman"/>
          <w:sz w:val="24"/>
          <w:szCs w:val="24"/>
        </w:rPr>
        <w:t xml:space="preserve"> </w:t>
      </w:r>
      <w:r w:rsidR="00DC29CA">
        <w:rPr>
          <w:rFonts w:ascii="Times New Roman" w:hAnsi="Times New Roman" w:cs="Times New Roman"/>
          <w:sz w:val="24"/>
          <w:szCs w:val="24"/>
        </w:rPr>
        <w:t>‘information flows’ and from a wider perspective, the</w:t>
      </w:r>
      <w:r w:rsidR="005A70BC">
        <w:rPr>
          <w:rFonts w:ascii="Times New Roman" w:hAnsi="Times New Roman" w:cs="Times New Roman"/>
          <w:sz w:val="24"/>
          <w:szCs w:val="24"/>
        </w:rPr>
        <w:t xml:space="preserve"> ‘global information infrastructure’</w:t>
      </w:r>
      <w:r w:rsidR="00DC29CA">
        <w:rPr>
          <w:rFonts w:ascii="Times New Roman" w:hAnsi="Times New Roman" w:cs="Times New Roman"/>
          <w:sz w:val="24"/>
          <w:szCs w:val="24"/>
        </w:rPr>
        <w:t>.</w:t>
      </w:r>
      <w:r w:rsidR="005A70BC">
        <w:rPr>
          <w:rStyle w:val="FootnoteReference"/>
          <w:rFonts w:ascii="Times New Roman" w:hAnsi="Times New Roman" w:cs="Times New Roman"/>
          <w:sz w:val="24"/>
          <w:szCs w:val="24"/>
        </w:rPr>
        <w:footnoteReference w:id="419"/>
      </w:r>
      <w:r w:rsidR="005A70BC">
        <w:rPr>
          <w:rFonts w:ascii="Times New Roman" w:hAnsi="Times New Roman" w:cs="Times New Roman"/>
          <w:sz w:val="24"/>
          <w:szCs w:val="24"/>
        </w:rPr>
        <w:t xml:space="preserve"> </w:t>
      </w:r>
      <w:r w:rsidR="003B2CD7">
        <w:rPr>
          <w:rFonts w:ascii="Times New Roman" w:hAnsi="Times New Roman" w:cs="Times New Roman"/>
          <w:sz w:val="24"/>
          <w:szCs w:val="24"/>
        </w:rPr>
        <w:t xml:space="preserve">Notwithstanding, the </w:t>
      </w:r>
      <w:r>
        <w:rPr>
          <w:rFonts w:ascii="Times New Roman" w:hAnsi="Times New Roman" w:cs="Times New Roman"/>
          <w:sz w:val="24"/>
          <w:szCs w:val="24"/>
        </w:rPr>
        <w:t xml:space="preserve">limited nature of the </w:t>
      </w:r>
      <w:r w:rsidRPr="00774EDB">
        <w:rPr>
          <w:rFonts w:ascii="Times New Roman" w:hAnsi="Times New Roman" w:cs="Times New Roman"/>
          <w:sz w:val="24"/>
          <w:szCs w:val="24"/>
        </w:rPr>
        <w:t>exception</w:t>
      </w:r>
      <w:r w:rsidR="00DC29CA">
        <w:rPr>
          <w:rFonts w:ascii="Times New Roman" w:hAnsi="Times New Roman" w:cs="Times New Roman"/>
          <w:sz w:val="24"/>
          <w:szCs w:val="24"/>
        </w:rPr>
        <w:t>al rights</w:t>
      </w:r>
      <w:r w:rsidRPr="00774EDB">
        <w:rPr>
          <w:rFonts w:ascii="Times New Roman" w:hAnsi="Times New Roman" w:cs="Times New Roman"/>
          <w:sz w:val="24"/>
          <w:szCs w:val="24"/>
        </w:rPr>
        <w:t xml:space="preserve"> under Articles 5(3) and 6</w:t>
      </w:r>
      <w:r>
        <w:rPr>
          <w:rFonts w:ascii="Times New Roman" w:hAnsi="Times New Roman" w:cs="Times New Roman"/>
          <w:sz w:val="24"/>
          <w:szCs w:val="24"/>
        </w:rPr>
        <w:t xml:space="preserve"> of the Software Directive fall short of meeting the</w:t>
      </w:r>
      <w:r w:rsidR="00DC29CA">
        <w:rPr>
          <w:rFonts w:ascii="Times New Roman" w:hAnsi="Times New Roman" w:cs="Times New Roman"/>
          <w:sz w:val="24"/>
          <w:szCs w:val="24"/>
        </w:rPr>
        <w:t>se broadly minded</w:t>
      </w:r>
      <w:r>
        <w:rPr>
          <w:rFonts w:ascii="Times New Roman" w:hAnsi="Times New Roman" w:cs="Times New Roman"/>
          <w:sz w:val="24"/>
          <w:szCs w:val="24"/>
        </w:rPr>
        <w:t xml:space="preserve"> </w:t>
      </w:r>
      <w:r w:rsidR="00DC29CA">
        <w:rPr>
          <w:rFonts w:ascii="Times New Roman" w:hAnsi="Times New Roman" w:cs="Times New Roman"/>
          <w:sz w:val="24"/>
          <w:szCs w:val="24"/>
        </w:rPr>
        <w:t xml:space="preserve">information and interoperability </w:t>
      </w:r>
      <w:r>
        <w:rPr>
          <w:rFonts w:ascii="Times New Roman" w:hAnsi="Times New Roman" w:cs="Times New Roman"/>
          <w:sz w:val="24"/>
          <w:szCs w:val="24"/>
        </w:rPr>
        <w:t xml:space="preserve">needs as well as coping with the </w:t>
      </w:r>
      <w:r w:rsidR="00DC29CA">
        <w:rPr>
          <w:rFonts w:ascii="Times New Roman" w:hAnsi="Times New Roman" w:cs="Times New Roman"/>
          <w:sz w:val="24"/>
          <w:szCs w:val="24"/>
        </w:rPr>
        <w:t>related</w:t>
      </w:r>
      <w:r>
        <w:rPr>
          <w:rFonts w:ascii="Times New Roman" w:hAnsi="Times New Roman" w:cs="Times New Roman"/>
          <w:sz w:val="24"/>
          <w:szCs w:val="24"/>
        </w:rPr>
        <w:t xml:space="preserve"> concerns highlighted above. Given the wide range of underlying techno-social and competition concerns and the surrounding gatekeeping roles and functionalities, </w:t>
      </w:r>
      <w:r>
        <w:rPr>
          <w:rFonts w:ascii="Times New Roman" w:hAnsi="Times New Roman" w:cs="Times New Roman"/>
          <w:sz w:val="24"/>
          <w:szCs w:val="24"/>
        </w:rPr>
        <w:lastRenderedPageBreak/>
        <w:t>existing tools and measures of the EU law</w:t>
      </w:r>
      <w:r w:rsidR="00DC29CA">
        <w:rPr>
          <w:rFonts w:ascii="Times New Roman" w:hAnsi="Times New Roman" w:cs="Times New Roman"/>
          <w:sz w:val="24"/>
          <w:szCs w:val="24"/>
        </w:rPr>
        <w:t>, being not limited to the Software Directive,</w:t>
      </w:r>
      <w:r>
        <w:rPr>
          <w:rFonts w:ascii="Times New Roman" w:hAnsi="Times New Roman" w:cs="Times New Roman"/>
          <w:sz w:val="24"/>
          <w:szCs w:val="24"/>
        </w:rPr>
        <w:t xml:space="preserve"> appear shortcoming to address the</w:t>
      </w:r>
      <w:r w:rsidR="00DC29CA">
        <w:rPr>
          <w:rFonts w:ascii="Times New Roman" w:hAnsi="Times New Roman" w:cs="Times New Roman"/>
          <w:sz w:val="24"/>
          <w:szCs w:val="24"/>
        </w:rPr>
        <w:t xml:space="preserve"> given</w:t>
      </w:r>
      <w:r>
        <w:rPr>
          <w:rFonts w:ascii="Times New Roman" w:hAnsi="Times New Roman" w:cs="Times New Roman"/>
          <w:sz w:val="24"/>
          <w:szCs w:val="24"/>
        </w:rPr>
        <w:t xml:space="preserve"> concerns</w:t>
      </w:r>
      <w:r w:rsidR="00753095">
        <w:rPr>
          <w:rFonts w:ascii="Times New Roman" w:hAnsi="Times New Roman" w:cs="Times New Roman"/>
          <w:sz w:val="24"/>
          <w:szCs w:val="24"/>
        </w:rPr>
        <w:t>.</w:t>
      </w:r>
      <w:r w:rsidR="00753095" w:rsidRPr="00774EDB">
        <w:rPr>
          <w:rFonts w:ascii="Times New Roman" w:hAnsi="Times New Roman" w:cs="Times New Roman"/>
          <w:sz w:val="24"/>
          <w:szCs w:val="24"/>
        </w:rPr>
        <w:t xml:space="preserve"> </w:t>
      </w:r>
      <w:r w:rsidR="00EF47DC" w:rsidRPr="00774EDB">
        <w:rPr>
          <w:rFonts w:ascii="Times New Roman" w:hAnsi="Times New Roman" w:cs="Times New Roman"/>
          <w:sz w:val="24"/>
          <w:szCs w:val="24"/>
        </w:rPr>
        <w:t xml:space="preserve"> </w:t>
      </w:r>
    </w:p>
    <w:p w14:paraId="489FE37D" w14:textId="322BF495" w:rsidR="00753D9D" w:rsidRPr="00774EDB" w:rsidRDefault="008A287A" w:rsidP="00A70042">
      <w:pPr>
        <w:pStyle w:val="Heading1"/>
        <w:numPr>
          <w:ilvl w:val="0"/>
          <w:numId w:val="33"/>
        </w:numPr>
        <w:spacing w:before="360"/>
        <w:ind w:left="284" w:hanging="284"/>
        <w:jc w:val="both"/>
        <w:rPr>
          <w:rFonts w:ascii="Times New Roman" w:hAnsi="Times New Roman" w:cs="Times New Roman"/>
          <w:b/>
          <w:sz w:val="24"/>
          <w:szCs w:val="24"/>
        </w:rPr>
      </w:pPr>
      <w:bookmarkStart w:id="362" w:name="_Toc17611407"/>
      <w:bookmarkStart w:id="363" w:name="_Toc17611624"/>
      <w:bookmarkStart w:id="364" w:name="_Toc17611836"/>
      <w:bookmarkStart w:id="365" w:name="_Toc17612050"/>
      <w:bookmarkStart w:id="366" w:name="_Toc17612263"/>
      <w:bookmarkStart w:id="367" w:name="_Toc17611408"/>
      <w:bookmarkStart w:id="368" w:name="_Toc53576059"/>
      <w:bookmarkEnd w:id="269"/>
      <w:bookmarkEnd w:id="362"/>
      <w:bookmarkEnd w:id="363"/>
      <w:bookmarkEnd w:id="364"/>
      <w:bookmarkEnd w:id="365"/>
      <w:bookmarkEnd w:id="366"/>
      <w:r w:rsidRPr="00774EDB">
        <w:rPr>
          <w:rFonts w:ascii="Times New Roman" w:hAnsi="Times New Roman" w:cs="Times New Roman"/>
          <w:b/>
          <w:color w:val="auto"/>
          <w:sz w:val="24"/>
          <w:szCs w:val="24"/>
        </w:rPr>
        <w:t>EU Competition Law</w:t>
      </w:r>
      <w:bookmarkEnd w:id="367"/>
      <w:bookmarkEnd w:id="368"/>
    </w:p>
    <w:p w14:paraId="126369B6" w14:textId="77777777" w:rsidR="00B51D78" w:rsidRPr="00A70042" w:rsidRDefault="0035578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EU competition law is one of the areas where interoperability is regulated for the purpose of protecting, ensuring and restoring competition. In this regard, structural and/or behavioural measures are resorted to through a wide range of tools to deal with abuse of dominance, collaborative acts, i.e. agreements, concerted practices and market concentrations i.e. merger and acquisitions. These so-called situations are examined respectively under Article 101 and 102 of the TFEU and the 2004 Merger Regulation. Such instruments are invoked to investigate whether abusive behaviours e.g. refusal to supply, discrimination, tying; collaborative or concentrative undertakings under question pose any threat for competition over the relevant market(s). While the anti-competitive effects need not necessarily be actual or experienced, but exceed some thresholds in the sense that they create some risk and likelihood as to create unintended consequences e.g. reduced competition, lessened innovation, increased prices and/or deteriorated quality.  </w:t>
      </w:r>
      <w:r w:rsidR="00005D86" w:rsidRPr="00820EF9">
        <w:rPr>
          <w:rFonts w:ascii="Times New Roman" w:hAnsi="Times New Roman" w:cs="Times New Roman"/>
          <w:sz w:val="24"/>
          <w:szCs w:val="24"/>
        </w:rPr>
        <w:t xml:space="preserve"> </w:t>
      </w:r>
    </w:p>
    <w:p w14:paraId="12FAE15A" w14:textId="77777777" w:rsidR="00F86AD5" w:rsidRPr="00A70042" w:rsidRDefault="0035578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Under EU competition law, in almost all cases, ‘market definition’ is the first step that needs to be fulfilled to identify the competitive products which are substitutable (interchangeable) with each other. Once the market is defined, it should be ascertained whether market power is foreseen to arise or already present in the relevant market(s). This latter step means designation of dominant undertakings, which has a key effect particularly to reach any finding of abuse of dominant position. During the assessment of abusive behaviours, the scrutiny is focused on the actual or realised conducts to </w:t>
      </w:r>
      <w:r w:rsidRPr="00774EDB">
        <w:rPr>
          <w:rFonts w:ascii="Times New Roman" w:hAnsi="Times New Roman" w:cs="Times New Roman"/>
          <w:sz w:val="24"/>
          <w:szCs w:val="24"/>
        </w:rPr>
        <w:lastRenderedPageBreak/>
        <w:t>analyse whether any anti-competitive behaviour has taken place, whereas other analyses, i.e. under Article 101 of the TFEU or merger controls, mostly depend on an ex-ante assessment of the undertakings in question. Below, the competition law tools and remedies available under EU competition law are analysed along with the case law. In this regard, ‘market definition’ is analysed first, to be followed by Articles 101 and 102 of the TFEU and merger controls. In so doing, the focus is intensified on interoperability-based concerns and remedies followed in the EU precedents, particularly CJ judgments.</w:t>
      </w:r>
      <w:r w:rsidR="00CF3541" w:rsidRPr="00820EF9">
        <w:rPr>
          <w:rFonts w:ascii="Times New Roman" w:hAnsi="Times New Roman" w:cs="Times New Roman"/>
          <w:sz w:val="24"/>
          <w:szCs w:val="24"/>
        </w:rPr>
        <w:t xml:space="preserve"> </w:t>
      </w:r>
    </w:p>
    <w:p w14:paraId="54F9A0B7" w14:textId="77777777" w:rsidR="008A287A" w:rsidRPr="00774EDB" w:rsidRDefault="008A287A" w:rsidP="00A70042">
      <w:pPr>
        <w:pStyle w:val="Heading2"/>
        <w:numPr>
          <w:ilvl w:val="1"/>
          <w:numId w:val="33"/>
        </w:numPr>
        <w:spacing w:before="360"/>
        <w:ind w:left="0" w:firstLine="0"/>
        <w:jc w:val="both"/>
        <w:rPr>
          <w:rFonts w:ascii="Times New Roman" w:hAnsi="Times New Roman" w:cs="Times New Roman"/>
          <w:b/>
          <w:sz w:val="24"/>
          <w:szCs w:val="24"/>
        </w:rPr>
      </w:pPr>
      <w:bookmarkStart w:id="369" w:name="_Toc17611409"/>
      <w:bookmarkStart w:id="370" w:name="_Toc17611626"/>
      <w:bookmarkStart w:id="371" w:name="_Toc17611838"/>
      <w:bookmarkStart w:id="372" w:name="_Toc17612052"/>
      <w:bookmarkStart w:id="373" w:name="_Toc17612265"/>
      <w:bookmarkStart w:id="374" w:name="_Toc17611410"/>
      <w:bookmarkStart w:id="375" w:name="_Toc53576060"/>
      <w:bookmarkEnd w:id="369"/>
      <w:bookmarkEnd w:id="370"/>
      <w:bookmarkEnd w:id="371"/>
      <w:bookmarkEnd w:id="372"/>
      <w:bookmarkEnd w:id="373"/>
      <w:r w:rsidRPr="00774EDB">
        <w:rPr>
          <w:rFonts w:ascii="Times New Roman" w:hAnsi="Times New Roman" w:cs="Times New Roman"/>
          <w:b/>
          <w:color w:val="auto"/>
          <w:sz w:val="24"/>
          <w:szCs w:val="24"/>
        </w:rPr>
        <w:t>Market definition</w:t>
      </w:r>
      <w:bookmarkEnd w:id="374"/>
      <w:bookmarkEnd w:id="375"/>
    </w:p>
    <w:p w14:paraId="5867F080" w14:textId="77777777" w:rsidR="004A54A0" w:rsidRPr="00774EDB" w:rsidRDefault="00CA1B4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Structural and/or behavioural remedies to be invoked under EU competition law primarily depend on a ‘market definition’ that represents the first step. The relevant products market comprises all those products and/or services which are regarded as substitutable by the consumer by reason of the products’ characteristics, prices and intended use.</w:t>
      </w:r>
      <w:r w:rsidRPr="00774EDB">
        <w:rPr>
          <w:rStyle w:val="FootnoteReference"/>
          <w:rFonts w:ascii="Times New Roman" w:hAnsi="Times New Roman" w:cs="Times New Roman"/>
          <w:sz w:val="24"/>
          <w:szCs w:val="24"/>
        </w:rPr>
        <w:footnoteReference w:id="420"/>
      </w:r>
      <w:r w:rsidRPr="00774EDB">
        <w:rPr>
          <w:rFonts w:ascii="Times New Roman" w:hAnsi="Times New Roman" w:cs="Times New Roman"/>
          <w:sz w:val="24"/>
          <w:szCs w:val="24"/>
        </w:rPr>
        <w:t xml:space="preserve"> The </w:t>
      </w:r>
      <w:r w:rsidRPr="00774EDB">
        <w:rPr>
          <w:rFonts w:ascii="Times New Roman" w:hAnsi="Times New Roman" w:cs="Times New Roman"/>
          <w:i/>
          <w:sz w:val="24"/>
          <w:szCs w:val="24"/>
        </w:rPr>
        <w:t>relevant market</w:t>
      </w:r>
      <w:r w:rsidRPr="00774EDB">
        <w:rPr>
          <w:rFonts w:ascii="Times New Roman" w:hAnsi="Times New Roman" w:cs="Times New Roman"/>
          <w:sz w:val="24"/>
          <w:szCs w:val="24"/>
        </w:rPr>
        <w:t xml:space="preserve"> implies that “there can be effective competition between the products which form part of it”,</w:t>
      </w:r>
      <w:r w:rsidRPr="00774EDB">
        <w:rPr>
          <w:rStyle w:val="FootnoteReference"/>
          <w:rFonts w:ascii="Times New Roman" w:hAnsi="Times New Roman" w:cs="Times New Roman"/>
          <w:sz w:val="24"/>
          <w:szCs w:val="24"/>
        </w:rPr>
        <w:footnoteReference w:id="421"/>
      </w:r>
      <w:r w:rsidRPr="00774EDB">
        <w:rPr>
          <w:rFonts w:ascii="Times New Roman" w:hAnsi="Times New Roman" w:cs="Times New Roman"/>
          <w:sz w:val="24"/>
          <w:szCs w:val="24"/>
        </w:rPr>
        <w:t xml:space="preserve"> revealing a dynamic concept in nature. Such dynamic features create a difficulty in demarcation of innovative i.e. ICT-based products, in a market.</w:t>
      </w:r>
      <w:r w:rsidRPr="00774EDB">
        <w:rPr>
          <w:rStyle w:val="FootnoteReference"/>
          <w:rFonts w:ascii="Times New Roman" w:hAnsi="Times New Roman" w:cs="Times New Roman"/>
          <w:sz w:val="24"/>
          <w:szCs w:val="24"/>
        </w:rPr>
        <w:footnoteReference w:id="422"/>
      </w:r>
      <w:r w:rsidRPr="00774EDB">
        <w:rPr>
          <w:rFonts w:ascii="Times New Roman" w:hAnsi="Times New Roman" w:cs="Times New Roman"/>
          <w:sz w:val="24"/>
          <w:szCs w:val="24"/>
        </w:rPr>
        <w:t xml:space="preserve"> Further to this dynamic nature, multi-sided markets e.g. online </w:t>
      </w:r>
      <w:r w:rsidRPr="00774EDB">
        <w:rPr>
          <w:rFonts w:ascii="Times New Roman" w:hAnsi="Times New Roman" w:cs="Times New Roman"/>
          <w:sz w:val="24"/>
          <w:szCs w:val="24"/>
        </w:rPr>
        <w:lastRenderedPageBreak/>
        <w:t>platforms similarly complicate the issue of market definition, which typically relies on one-sided approach based on a centralised product.</w:t>
      </w:r>
      <w:r w:rsidRPr="00774EDB">
        <w:rPr>
          <w:rStyle w:val="FootnoteReference"/>
          <w:rFonts w:ascii="Times New Roman" w:hAnsi="Times New Roman" w:cs="Times New Roman"/>
          <w:sz w:val="24"/>
          <w:szCs w:val="24"/>
        </w:rPr>
        <w:footnoteReference w:id="423"/>
      </w:r>
    </w:p>
    <w:p w14:paraId="6E30C255" w14:textId="77777777" w:rsidR="0088770C" w:rsidRPr="00774EDB" w:rsidRDefault="00CA1B4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lang w:val="tr-TR"/>
        </w:rPr>
        <w:t>The primary</w:t>
      </w:r>
      <w:r w:rsidRPr="00774EDB">
        <w:rPr>
          <w:rFonts w:ascii="Times New Roman" w:hAnsi="Times New Roman" w:cs="Times New Roman"/>
          <w:sz w:val="24"/>
          <w:szCs w:val="24"/>
        </w:rPr>
        <w:t xml:space="preserve"> tool to define the markets is testing the price elasticities of the relevant products. If the cross-price elasticities denote a set of products that consumers are willing to have within the price limits that exclude other products, such products could be said to demonstrate a market within the meaning of competition law. This is and figured and shaped out mainly through the ‘hypothetical monopoly test’. According to this test, the relevant products market includes all products to which consumers would most likely switch in response to a “small but significant and non-transitory increase in price” (SSNIP).</w:t>
      </w:r>
      <w:r w:rsidRPr="00774EDB">
        <w:rPr>
          <w:rStyle w:val="FootnoteReference"/>
          <w:rFonts w:ascii="Times New Roman" w:hAnsi="Times New Roman" w:cs="Times New Roman"/>
          <w:sz w:val="24"/>
          <w:szCs w:val="24"/>
        </w:rPr>
        <w:footnoteReference w:id="424"/>
      </w:r>
      <w:r w:rsidRPr="00774EDB">
        <w:rPr>
          <w:rFonts w:ascii="Times New Roman" w:hAnsi="Times New Roman" w:cs="Times New Roman"/>
          <w:sz w:val="24"/>
          <w:szCs w:val="24"/>
        </w:rPr>
        <w:t xml:space="preserve"> This test simply measures substitutability by asking whether a ‘small but non-transitory increase in price’ (usually 5-10%) of a one product will cause purchasers to purchase sufficient of another product instead to make the price increase unsustainable.</w:t>
      </w:r>
      <w:r w:rsidRPr="00774EDB">
        <w:rPr>
          <w:rStyle w:val="FootnoteReference"/>
          <w:rFonts w:ascii="Times New Roman" w:hAnsi="Times New Roman" w:cs="Times New Roman"/>
          <w:sz w:val="24"/>
          <w:szCs w:val="24"/>
        </w:rPr>
        <w:footnoteReference w:id="425"/>
      </w:r>
      <w:r w:rsidRPr="00774EDB">
        <w:rPr>
          <w:rFonts w:ascii="Times New Roman" w:hAnsi="Times New Roman" w:cs="Times New Roman"/>
          <w:sz w:val="24"/>
          <w:szCs w:val="24"/>
        </w:rPr>
        <w:t xml:space="preserve"> The Commission has thus far tended to favour demand-side tests partly because the exercise emphasizes products markets from the viewpoint of consumers and user preferences.</w:t>
      </w:r>
      <w:r w:rsidRPr="00774EDB">
        <w:rPr>
          <w:rStyle w:val="FootnoteReference"/>
          <w:rFonts w:ascii="Times New Roman" w:hAnsi="Times New Roman" w:cs="Times New Roman"/>
          <w:sz w:val="24"/>
          <w:szCs w:val="24"/>
        </w:rPr>
        <w:footnoteReference w:id="426"/>
      </w:r>
      <w:r w:rsidRPr="00774EDB">
        <w:rPr>
          <w:rFonts w:ascii="Times New Roman" w:hAnsi="Times New Roman" w:cs="Times New Roman"/>
          <w:sz w:val="24"/>
          <w:szCs w:val="24"/>
        </w:rPr>
        <w:t xml:space="preserve"> Therefore, supply-side substitutability, which means to evaluate capabilities of the undertakings to provide competing products, is of a subordinated role during the course of market definition.</w:t>
      </w:r>
    </w:p>
    <w:p w14:paraId="067E57DE" w14:textId="77777777" w:rsidR="004F364F" w:rsidRPr="00774EDB" w:rsidRDefault="004F364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Not only the</w:t>
      </w:r>
      <w:r w:rsidR="00655044" w:rsidRPr="00774EDB">
        <w:rPr>
          <w:rFonts w:ascii="Times New Roman" w:hAnsi="Times New Roman" w:cs="Times New Roman"/>
          <w:sz w:val="24"/>
          <w:szCs w:val="24"/>
        </w:rPr>
        <w:t xml:space="preserve"> </w:t>
      </w:r>
      <w:r w:rsidRPr="00774EDB">
        <w:rPr>
          <w:rFonts w:ascii="Times New Roman" w:hAnsi="Times New Roman" w:cs="Times New Roman"/>
          <w:sz w:val="24"/>
          <w:szCs w:val="24"/>
        </w:rPr>
        <w:t>price elasticities</w:t>
      </w:r>
      <w:r w:rsidR="00655044" w:rsidRPr="00774EDB">
        <w:rPr>
          <w:rFonts w:ascii="Times New Roman" w:hAnsi="Times New Roman" w:cs="Times New Roman"/>
          <w:sz w:val="24"/>
          <w:szCs w:val="24"/>
        </w:rPr>
        <w:t xml:space="preserve"> of relevant products</w:t>
      </w:r>
      <w:r w:rsidRPr="00774EDB">
        <w:rPr>
          <w:rFonts w:ascii="Times New Roman" w:hAnsi="Times New Roman" w:cs="Times New Roman"/>
          <w:sz w:val="24"/>
          <w:szCs w:val="24"/>
        </w:rPr>
        <w:t>, but also consumers’ inaction, particularly against the switching costs, might be a significant factor affecting their preferences. The Commission, in its 2002 Guidelines regarding market analysis in the electronic communications sector, points out this issue as follows:</w:t>
      </w:r>
    </w:p>
    <w:p w14:paraId="13C03E4B" w14:textId="48A74DD5" w:rsidR="004F364F" w:rsidRPr="00774EDB" w:rsidRDefault="004F364F" w:rsidP="00A70042">
      <w:pPr>
        <w:spacing w:before="360"/>
        <w:ind w:left="720" w:right="720"/>
        <w:jc w:val="both"/>
        <w:rPr>
          <w:rFonts w:ascii="Times New Roman" w:hAnsi="Times New Roman" w:cs="Times New Roman"/>
          <w:sz w:val="24"/>
          <w:szCs w:val="24"/>
        </w:rPr>
      </w:pPr>
      <w:r w:rsidRPr="00774EDB">
        <w:rPr>
          <w:rFonts w:ascii="Times New Roman" w:hAnsi="Times New Roman" w:cs="Times New Roman"/>
          <w:sz w:val="24"/>
          <w:szCs w:val="24"/>
        </w:rPr>
        <w:t>Consumers who have invested in technology or made any other necessary investments in order to receive a service, or use a product, may be unwilling to incur any additional costs involved in switching to an otherwise substitutable service or product (…) Accordingly, in a situation where end users face significant switching costs in order to substitute product A for product B, these two products should not be included in the same relevant market</w:t>
      </w:r>
      <w:r w:rsidR="00187482"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427"/>
      </w:r>
    </w:p>
    <w:p w14:paraId="35872278" w14:textId="77777777" w:rsidR="004F364F" w:rsidRPr="00774EDB" w:rsidRDefault="004F364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From this point of view, ‘lack of interoperability’ between a dominant platform and complementary products e.g. apps and devices, might characterise the situation in the marketplace, so that the difficulty of switching across the platforms could be very determinant in market definition. A market power, usually a ‘dominant position’, could then be conferred onto the product in question, should the switching costs be dissuasive enough to deter end-users from opting for alternative products. This logic also represents the policy approach pursued by the Commission in many antitrust cases, including </w:t>
      </w:r>
      <w:r w:rsidRPr="00774EDB">
        <w:rPr>
          <w:rFonts w:ascii="Times New Roman" w:hAnsi="Times New Roman" w:cs="Times New Roman"/>
          <w:i/>
          <w:sz w:val="24"/>
          <w:szCs w:val="24"/>
        </w:rPr>
        <w:t>Hugin</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428"/>
      </w:r>
      <w:r w:rsidRPr="00774EDB">
        <w:rPr>
          <w:rFonts w:ascii="Times New Roman" w:hAnsi="Times New Roman" w:cs="Times New Roman"/>
          <w:sz w:val="24"/>
          <w:szCs w:val="24"/>
        </w:rPr>
        <w:t xml:space="preserve"> </w:t>
      </w:r>
      <w:r w:rsidRPr="00774EDB">
        <w:rPr>
          <w:rFonts w:ascii="Times New Roman" w:hAnsi="Times New Roman" w:cs="Times New Roman"/>
          <w:i/>
          <w:sz w:val="24"/>
          <w:szCs w:val="24"/>
        </w:rPr>
        <w:t>Hilti</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429"/>
      </w:r>
      <w:r w:rsidRPr="00774EDB">
        <w:rPr>
          <w:rFonts w:ascii="Times New Roman" w:hAnsi="Times New Roman" w:cs="Times New Roman"/>
          <w:sz w:val="24"/>
          <w:szCs w:val="24"/>
        </w:rPr>
        <w:t xml:space="preserve"> </w:t>
      </w:r>
      <w:r w:rsidRPr="00774EDB">
        <w:rPr>
          <w:rFonts w:ascii="Times New Roman" w:hAnsi="Times New Roman" w:cs="Times New Roman"/>
          <w:i/>
          <w:sz w:val="24"/>
          <w:szCs w:val="24"/>
        </w:rPr>
        <w:t>Volvo</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430"/>
      </w:r>
      <w:r w:rsidRPr="00774EDB">
        <w:rPr>
          <w:rFonts w:ascii="Times New Roman" w:hAnsi="Times New Roman" w:cs="Times New Roman"/>
          <w:sz w:val="24"/>
          <w:szCs w:val="24"/>
        </w:rPr>
        <w:t xml:space="preserve"> </w:t>
      </w:r>
      <w:r w:rsidRPr="00774EDB">
        <w:rPr>
          <w:rFonts w:ascii="Times New Roman" w:hAnsi="Times New Roman" w:cs="Times New Roman"/>
          <w:i/>
          <w:sz w:val="24"/>
          <w:szCs w:val="24"/>
        </w:rPr>
        <w:t>Renault</w:t>
      </w:r>
      <w:r w:rsidRPr="00774EDB">
        <w:rPr>
          <w:rStyle w:val="FootnoteReference"/>
          <w:rFonts w:ascii="Times New Roman" w:hAnsi="Times New Roman" w:cs="Times New Roman"/>
          <w:sz w:val="24"/>
          <w:szCs w:val="24"/>
        </w:rPr>
        <w:footnoteReference w:id="431"/>
      </w:r>
      <w:r w:rsidRPr="00774EDB">
        <w:rPr>
          <w:rFonts w:ascii="Times New Roman" w:hAnsi="Times New Roman" w:cs="Times New Roman"/>
          <w:sz w:val="24"/>
          <w:szCs w:val="24"/>
        </w:rPr>
        <w:t xml:space="preserve"> and </w:t>
      </w:r>
      <w:r w:rsidRPr="00774EDB">
        <w:rPr>
          <w:rFonts w:ascii="Times New Roman" w:hAnsi="Times New Roman" w:cs="Times New Roman"/>
          <w:i/>
          <w:sz w:val="24"/>
          <w:szCs w:val="24"/>
        </w:rPr>
        <w:t>Tetra Pak II</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432"/>
      </w:r>
    </w:p>
    <w:p w14:paraId="329E2170" w14:textId="77777777" w:rsidR="00027D5B" w:rsidRPr="00774EDB" w:rsidRDefault="001156C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 xml:space="preserve">Lack of interoperability often comes up with the related IPRs upheld for the products that constitute the primary (upstream) market on which the secondary (downstream) competition relies. This much more reflects the </w:t>
      </w:r>
      <w:r w:rsidRPr="00774EDB">
        <w:rPr>
          <w:rFonts w:ascii="Times New Roman" w:hAnsi="Times New Roman" w:cs="Times New Roman"/>
          <w:i/>
          <w:sz w:val="24"/>
          <w:szCs w:val="24"/>
        </w:rPr>
        <w:t>Hilti</w:t>
      </w:r>
      <w:r w:rsidRPr="00774EDB">
        <w:rPr>
          <w:rFonts w:ascii="Times New Roman" w:hAnsi="Times New Roman" w:cs="Times New Roman"/>
          <w:sz w:val="24"/>
          <w:szCs w:val="24"/>
        </w:rPr>
        <w:t xml:space="preserve"> case, whereby the Commission defined the relevant market for the cartridge strips to be used in Hilti nail guns. The main specific source of dominant position appears to have been the patent protection on these cartridge strips, which was Community-wide at the time.</w:t>
      </w:r>
      <w:r w:rsidRPr="00774EDB">
        <w:rPr>
          <w:rStyle w:val="FootnoteReference"/>
          <w:rFonts w:ascii="Times New Roman" w:hAnsi="Times New Roman" w:cs="Times New Roman"/>
          <w:sz w:val="24"/>
          <w:szCs w:val="24"/>
        </w:rPr>
        <w:footnoteReference w:id="433"/>
      </w:r>
      <w:r w:rsidRPr="00774EDB">
        <w:rPr>
          <w:rFonts w:ascii="Times New Roman" w:hAnsi="Times New Roman" w:cs="Times New Roman"/>
          <w:sz w:val="24"/>
          <w:szCs w:val="24"/>
        </w:rPr>
        <w:t xml:space="preserve"> By the same token, in </w:t>
      </w:r>
      <w:r w:rsidRPr="00774EDB">
        <w:rPr>
          <w:rFonts w:ascii="Times New Roman" w:hAnsi="Times New Roman" w:cs="Times New Roman"/>
          <w:i/>
          <w:sz w:val="24"/>
          <w:szCs w:val="24"/>
        </w:rPr>
        <w:t xml:space="preserve">Volvo </w:t>
      </w:r>
      <w:r w:rsidRPr="00774EDB">
        <w:rPr>
          <w:rFonts w:ascii="Times New Roman" w:hAnsi="Times New Roman" w:cs="Times New Roman"/>
          <w:sz w:val="24"/>
          <w:szCs w:val="24"/>
        </w:rPr>
        <w:t>and</w:t>
      </w:r>
      <w:r w:rsidRPr="00774EDB">
        <w:rPr>
          <w:rFonts w:ascii="Times New Roman" w:hAnsi="Times New Roman" w:cs="Times New Roman"/>
          <w:i/>
          <w:sz w:val="24"/>
          <w:szCs w:val="24"/>
        </w:rPr>
        <w:t xml:space="preserve"> Renault, </w:t>
      </w:r>
      <w:r w:rsidRPr="00774EDB">
        <w:rPr>
          <w:rFonts w:ascii="Times New Roman" w:hAnsi="Times New Roman" w:cs="Times New Roman"/>
          <w:sz w:val="24"/>
          <w:szCs w:val="24"/>
        </w:rPr>
        <w:t>the relevant primary market was defined based on the products (car components) protected by IPRs. Arguably, this would not have been the case if the components, e.g. body panels protected by the design rights, were interoperable with those of competitors, although being IPR-protected.</w:t>
      </w:r>
      <w:r w:rsidRPr="00774EDB">
        <w:rPr>
          <w:rStyle w:val="FootnoteReference"/>
          <w:rFonts w:ascii="Times New Roman" w:hAnsi="Times New Roman" w:cs="Times New Roman"/>
          <w:sz w:val="24"/>
          <w:szCs w:val="24"/>
        </w:rPr>
        <w:footnoteReference w:id="434"/>
      </w:r>
    </w:p>
    <w:p w14:paraId="72D5597C" w14:textId="77777777" w:rsidR="009B55C6" w:rsidRPr="00A70042" w:rsidRDefault="001156C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While the EU precedents do not mean that the IPRs under scrutiny are directly and automatically to be translated to market power (e.g. dominance),</w:t>
      </w:r>
      <w:r w:rsidRPr="00774EDB">
        <w:rPr>
          <w:rStyle w:val="FootnoteReference"/>
          <w:rFonts w:ascii="Times New Roman" w:hAnsi="Times New Roman" w:cs="Times New Roman"/>
          <w:sz w:val="24"/>
          <w:szCs w:val="24"/>
        </w:rPr>
        <w:footnoteReference w:id="435"/>
      </w:r>
      <w:r w:rsidRPr="00774EDB">
        <w:rPr>
          <w:rFonts w:ascii="Times New Roman" w:hAnsi="Times New Roman" w:cs="Times New Roman"/>
          <w:sz w:val="24"/>
          <w:szCs w:val="24"/>
        </w:rPr>
        <w:t xml:space="preserve"> there is an apparent risk that associated IPRs would cause definition of market(s) in a narrow fashion. Considering the Commission’s decisional practice, this risk is remarkably high in the case where interoperability is absent between the competing products. On the other hand, if the primary market is competitive, an undertaking could hardly exploit its position over customers in a secondary market by raising prices.</w:t>
      </w:r>
      <w:r w:rsidRPr="00774EDB">
        <w:rPr>
          <w:rStyle w:val="FootnoteReference"/>
          <w:rFonts w:ascii="Times New Roman" w:hAnsi="Times New Roman" w:cs="Times New Roman"/>
          <w:sz w:val="24"/>
          <w:szCs w:val="24"/>
        </w:rPr>
        <w:footnoteReference w:id="436"/>
      </w:r>
      <w:r w:rsidRPr="00774EDB">
        <w:rPr>
          <w:rFonts w:ascii="Times New Roman" w:hAnsi="Times New Roman" w:cs="Times New Roman"/>
          <w:sz w:val="24"/>
          <w:szCs w:val="24"/>
        </w:rPr>
        <w:t xml:space="preserve"> That is to say, a correlation exists between definition of narrower markets and lack of interoperability, as being featured in IPR-protected dominant products. </w:t>
      </w:r>
      <w:r w:rsidR="00C814AF" w:rsidRPr="00820EF9">
        <w:rPr>
          <w:rFonts w:ascii="Times New Roman" w:hAnsi="Times New Roman" w:cs="Times New Roman"/>
          <w:sz w:val="24"/>
          <w:szCs w:val="24"/>
        </w:rPr>
        <w:t xml:space="preserve"> </w:t>
      </w:r>
    </w:p>
    <w:p w14:paraId="37197FB1" w14:textId="77777777" w:rsidR="0055455D" w:rsidRPr="00774EDB" w:rsidRDefault="0055455D" w:rsidP="00A70042">
      <w:pPr>
        <w:pStyle w:val="Heading2"/>
        <w:numPr>
          <w:ilvl w:val="1"/>
          <w:numId w:val="33"/>
        </w:numPr>
        <w:tabs>
          <w:tab w:val="left" w:pos="426"/>
        </w:tabs>
        <w:spacing w:before="360"/>
        <w:ind w:left="0" w:firstLine="0"/>
        <w:jc w:val="both"/>
        <w:rPr>
          <w:rFonts w:ascii="Times New Roman" w:hAnsi="Times New Roman" w:cs="Times New Roman"/>
          <w:b/>
          <w:sz w:val="24"/>
          <w:szCs w:val="24"/>
        </w:rPr>
      </w:pPr>
      <w:bookmarkStart w:id="376" w:name="_Toc17611411"/>
      <w:bookmarkStart w:id="377" w:name="_Toc17611628"/>
      <w:bookmarkStart w:id="378" w:name="_Toc17611840"/>
      <w:bookmarkStart w:id="379" w:name="_Toc17612054"/>
      <w:bookmarkStart w:id="380" w:name="_Toc17612267"/>
      <w:bookmarkStart w:id="381" w:name="_Toc17611412"/>
      <w:bookmarkStart w:id="382" w:name="_Toc53576061"/>
      <w:bookmarkEnd w:id="376"/>
      <w:bookmarkEnd w:id="377"/>
      <w:bookmarkEnd w:id="378"/>
      <w:bookmarkEnd w:id="379"/>
      <w:bookmarkEnd w:id="380"/>
      <w:r w:rsidRPr="00774EDB">
        <w:rPr>
          <w:rFonts w:ascii="Times New Roman" w:hAnsi="Times New Roman" w:cs="Times New Roman"/>
          <w:b/>
          <w:color w:val="auto"/>
          <w:sz w:val="24"/>
          <w:szCs w:val="24"/>
        </w:rPr>
        <w:lastRenderedPageBreak/>
        <w:t xml:space="preserve">Article 101 </w:t>
      </w:r>
      <w:r w:rsidR="00EF47A5" w:rsidRPr="00774EDB">
        <w:rPr>
          <w:rFonts w:ascii="Times New Roman" w:hAnsi="Times New Roman" w:cs="Times New Roman"/>
          <w:b/>
          <w:color w:val="auto"/>
          <w:sz w:val="24"/>
          <w:szCs w:val="24"/>
        </w:rPr>
        <w:t xml:space="preserve">of the </w:t>
      </w:r>
      <w:r w:rsidRPr="00774EDB">
        <w:rPr>
          <w:rFonts w:ascii="Times New Roman" w:hAnsi="Times New Roman" w:cs="Times New Roman"/>
          <w:b/>
          <w:color w:val="auto"/>
          <w:sz w:val="24"/>
          <w:szCs w:val="24"/>
        </w:rPr>
        <w:t>TFEU</w:t>
      </w:r>
      <w:bookmarkEnd w:id="381"/>
      <w:bookmarkEnd w:id="382"/>
    </w:p>
    <w:p w14:paraId="23B8F82C" w14:textId="77777777" w:rsidR="000631C2" w:rsidRPr="00774EDB" w:rsidRDefault="000631C2" w:rsidP="00A70042">
      <w:pPr>
        <w:pStyle w:val="Heading3"/>
        <w:numPr>
          <w:ilvl w:val="2"/>
          <w:numId w:val="33"/>
        </w:numPr>
        <w:spacing w:before="360"/>
        <w:ind w:left="0" w:firstLine="0"/>
        <w:jc w:val="both"/>
        <w:rPr>
          <w:rFonts w:ascii="Times New Roman" w:hAnsi="Times New Roman" w:cs="Times New Roman"/>
          <w:b/>
        </w:rPr>
      </w:pPr>
      <w:bookmarkStart w:id="383" w:name="_Toc17611413"/>
      <w:bookmarkStart w:id="384" w:name="_Toc17611630"/>
      <w:bookmarkStart w:id="385" w:name="_Toc17611842"/>
      <w:bookmarkStart w:id="386" w:name="_Toc17612056"/>
      <w:bookmarkStart w:id="387" w:name="_Toc17612269"/>
      <w:bookmarkStart w:id="388" w:name="_Toc17611414"/>
      <w:bookmarkStart w:id="389" w:name="_Toc53576062"/>
      <w:bookmarkEnd w:id="383"/>
      <w:bookmarkEnd w:id="384"/>
      <w:bookmarkEnd w:id="385"/>
      <w:bookmarkEnd w:id="386"/>
      <w:bookmarkEnd w:id="387"/>
      <w:r w:rsidRPr="00774EDB">
        <w:rPr>
          <w:rFonts w:ascii="Times New Roman" w:hAnsi="Times New Roman" w:cs="Times New Roman"/>
          <w:b/>
          <w:color w:val="auto"/>
        </w:rPr>
        <w:t>General overview</w:t>
      </w:r>
      <w:bookmarkEnd w:id="388"/>
      <w:bookmarkEnd w:id="389"/>
    </w:p>
    <w:p w14:paraId="72DD28CB" w14:textId="77777777" w:rsidR="003F160E" w:rsidRPr="00774EDB" w:rsidRDefault="002630A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Article 101 of the TFEU aims at determining whether any kind of collaboration between the undertakings is pro or anti-competitive. In this regard, Article 101(1) of the TFEU prohibits agreements and concerted practices between two or more undertakings “which may affect trade between Member States and which have as their object or effect, the prevention, restriction or distortion of competition within the internal market”.</w:t>
      </w:r>
      <w:r w:rsidRPr="00774EDB">
        <w:rPr>
          <w:rStyle w:val="FootnoteReference"/>
          <w:rFonts w:ascii="Times New Roman" w:hAnsi="Times New Roman" w:cs="Times New Roman"/>
          <w:sz w:val="24"/>
          <w:szCs w:val="24"/>
        </w:rPr>
        <w:footnoteReference w:id="437"/>
      </w:r>
      <w:r w:rsidRPr="00774EDB">
        <w:rPr>
          <w:rFonts w:ascii="Times New Roman" w:hAnsi="Times New Roman" w:cs="Times New Roman"/>
          <w:sz w:val="24"/>
          <w:szCs w:val="24"/>
        </w:rPr>
        <w:t xml:space="preserve"> All vertical and horizontal agreements and concerted practices are encompassed by Article 101(1), which gives several non-exhaustive examples to illustrate anti-competitive collaborations. For Article 101(1) to be applied, there should be an ‘appreciable’ effect on interstate trade within the meaning of EU Competition Law.</w:t>
      </w:r>
      <w:r w:rsidRPr="00774EDB">
        <w:rPr>
          <w:rStyle w:val="FootnoteReference"/>
          <w:rFonts w:ascii="Times New Roman" w:hAnsi="Times New Roman" w:cs="Times New Roman"/>
          <w:sz w:val="24"/>
          <w:szCs w:val="24"/>
        </w:rPr>
        <w:footnoteReference w:id="438"/>
      </w:r>
      <w:r w:rsidRPr="00774EDB">
        <w:rPr>
          <w:rFonts w:ascii="Times New Roman" w:hAnsi="Times New Roman" w:cs="Times New Roman"/>
          <w:sz w:val="24"/>
          <w:szCs w:val="24"/>
        </w:rPr>
        <w:t xml:space="preserve"> Agreements or decisions that are found to have such effects are declared as “automatically void” as per the Article 101(2) of the TFEU.</w:t>
      </w:r>
    </w:p>
    <w:p w14:paraId="388A1419" w14:textId="7DB5D03D" w:rsidR="00434A80" w:rsidRPr="00774EDB" w:rsidRDefault="003674A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mentioned above, in an Article 101 case, it is sought to find out whether pro-competitive effects outweigh the restrictive (anti-competitive) effects. Article 101(3) is the legal means enlightening this comparative exercise. According to Article 101(3), Article 101(1) might not apply to acts of collaboration in the cases that they contribute to “improving the production or distribution of goods or to promoting technical or economic progress, while allowing consumers a fair share of the resulting benefit” and as long as such restrictions are “indispensable to the attainment of these objectives” and do not “eliminat</w:t>
      </w:r>
      <w:r w:rsidR="00D854D4" w:rsidRPr="00774EDB">
        <w:rPr>
          <w:rFonts w:ascii="Times New Roman" w:hAnsi="Times New Roman" w:cs="Times New Roman"/>
          <w:sz w:val="24"/>
          <w:szCs w:val="24"/>
        </w:rPr>
        <w:t xml:space="preserve">[e] </w:t>
      </w:r>
      <w:r w:rsidRPr="00774EDB">
        <w:rPr>
          <w:rFonts w:ascii="Times New Roman" w:hAnsi="Times New Roman" w:cs="Times New Roman"/>
          <w:sz w:val="24"/>
          <w:szCs w:val="24"/>
        </w:rPr>
        <w:t xml:space="preserve">competition in respect of a substantial part of the products in </w:t>
      </w:r>
      <w:r w:rsidRPr="00774EDB">
        <w:rPr>
          <w:rFonts w:ascii="Times New Roman" w:hAnsi="Times New Roman" w:cs="Times New Roman"/>
          <w:sz w:val="24"/>
          <w:szCs w:val="24"/>
        </w:rPr>
        <w:lastRenderedPageBreak/>
        <w:t>question”.</w:t>
      </w:r>
      <w:r w:rsidRPr="00774EDB">
        <w:rPr>
          <w:rStyle w:val="FootnoteReference"/>
          <w:rFonts w:ascii="Times New Roman" w:hAnsi="Times New Roman" w:cs="Times New Roman"/>
          <w:sz w:val="24"/>
          <w:szCs w:val="24"/>
        </w:rPr>
        <w:footnoteReference w:id="439"/>
      </w:r>
      <w:r w:rsidRPr="00774EDB">
        <w:rPr>
          <w:rFonts w:ascii="Times New Roman" w:hAnsi="Times New Roman" w:cs="Times New Roman"/>
          <w:sz w:val="24"/>
          <w:szCs w:val="24"/>
        </w:rPr>
        <w:t xml:space="preserve"> Following modernisation of the EU Competition Law tracing back to 1999, the EU Commission has issued Guidelines to clarify implementation of such conditions based on a more ‘effects-based approach’,</w:t>
      </w:r>
      <w:r w:rsidRPr="00774EDB">
        <w:rPr>
          <w:rStyle w:val="FootnoteReference"/>
          <w:rFonts w:ascii="Times New Roman" w:hAnsi="Times New Roman" w:cs="Times New Roman"/>
          <w:sz w:val="24"/>
          <w:szCs w:val="24"/>
        </w:rPr>
        <w:footnoteReference w:id="440"/>
      </w:r>
      <w:r w:rsidRPr="00774EDB">
        <w:rPr>
          <w:rFonts w:ascii="Times New Roman" w:hAnsi="Times New Roman" w:cs="Times New Roman"/>
          <w:sz w:val="24"/>
          <w:szCs w:val="24"/>
        </w:rPr>
        <w:t xml:space="preserve"> focusing on the concept of ‘consumer welfare’.</w:t>
      </w:r>
    </w:p>
    <w:p w14:paraId="2437E679" w14:textId="7B624228" w:rsidR="001D7261" w:rsidRPr="00774EDB" w:rsidRDefault="00434A8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Article 101 is invoked by the Commission to assess the horizontal</w:t>
      </w:r>
      <w:r w:rsidR="00D854D4" w:rsidRPr="00774EDB">
        <w:rPr>
          <w:rFonts w:ascii="Times New Roman" w:hAnsi="Times New Roman" w:cs="Times New Roman"/>
          <w:sz w:val="24"/>
          <w:szCs w:val="24"/>
        </w:rPr>
        <w:t xml:space="preserve"> and</w:t>
      </w:r>
      <w:r w:rsidRPr="00774EDB">
        <w:rPr>
          <w:rFonts w:ascii="Times New Roman" w:hAnsi="Times New Roman" w:cs="Times New Roman"/>
          <w:sz w:val="24"/>
          <w:szCs w:val="24"/>
        </w:rPr>
        <w:t xml:space="preserve"> vertical </w:t>
      </w:r>
      <w:r w:rsidR="00D854D4" w:rsidRPr="00774EDB">
        <w:rPr>
          <w:rFonts w:ascii="Times New Roman" w:hAnsi="Times New Roman" w:cs="Times New Roman"/>
          <w:sz w:val="24"/>
          <w:szCs w:val="24"/>
        </w:rPr>
        <w:t xml:space="preserve">agreements including licensing </w:t>
      </w:r>
      <w:r w:rsidRPr="00774EDB">
        <w:rPr>
          <w:rFonts w:ascii="Times New Roman" w:hAnsi="Times New Roman" w:cs="Times New Roman"/>
          <w:sz w:val="24"/>
          <w:szCs w:val="24"/>
        </w:rPr>
        <w:t>e.g. technology transfer agreements to ensure that they do not contain any clauses that would be anti-competitive by object or by effect. In this regard, restrictions agreed on by the parties are assessed by the Commission as to whether they would potentially exclude the rivals from the possible channels of competition e.g. distribution, sale, marketing. Whereas this assessment used to be done on a formalistic approach until the late 1990s, this approach was replaced by an effects-based approach in 1999 and 2004. A wide range of agreements potentially to be deemed as anti-competitive fall outside of Article 101(3) because of the more flexible and lenient rules adopted in time. The block exemptions</w:t>
      </w:r>
      <w:r w:rsidRPr="00774EDB">
        <w:rPr>
          <w:rStyle w:val="FootnoteReference"/>
          <w:rFonts w:ascii="Times New Roman" w:hAnsi="Times New Roman" w:cs="Times New Roman"/>
          <w:sz w:val="24"/>
          <w:szCs w:val="24"/>
        </w:rPr>
        <w:footnoteReference w:id="441"/>
      </w:r>
      <w:r w:rsidRPr="00774EDB">
        <w:rPr>
          <w:rFonts w:ascii="Times New Roman" w:hAnsi="Times New Roman" w:cs="Times New Roman"/>
          <w:sz w:val="24"/>
          <w:szCs w:val="24"/>
        </w:rPr>
        <w:t xml:space="preserve"> issued by the Commission, serving this effects-based approach, have a wide coverage as they exempt a great many vertical agreements potentially to be prohibited under Article 101(1). In particular, the block exemption applies so long as 30% market share threshold is me</w:t>
      </w:r>
      <w:r w:rsidR="00365DC7" w:rsidRPr="00774EDB">
        <w:rPr>
          <w:rFonts w:ascii="Times New Roman" w:hAnsi="Times New Roman" w:cs="Times New Roman"/>
          <w:sz w:val="24"/>
          <w:szCs w:val="24"/>
        </w:rPr>
        <w:t>t</w:t>
      </w:r>
      <w:r w:rsidRPr="00774EDB">
        <w:rPr>
          <w:rFonts w:ascii="Times New Roman" w:hAnsi="Times New Roman" w:cs="Times New Roman"/>
          <w:sz w:val="24"/>
          <w:szCs w:val="24"/>
        </w:rPr>
        <w:t xml:space="preserve"> and the </w:t>
      </w:r>
      <w:r w:rsidRPr="00774EDB">
        <w:rPr>
          <w:rFonts w:ascii="Times New Roman" w:hAnsi="Times New Roman" w:cs="Times New Roman"/>
          <w:sz w:val="24"/>
          <w:szCs w:val="24"/>
        </w:rPr>
        <w:lastRenderedPageBreak/>
        <w:t>agreement does not contain any hardcore restraints i.e. imposing price or territorial restraints.</w:t>
      </w:r>
      <w:r w:rsidRPr="00774EDB">
        <w:rPr>
          <w:rStyle w:val="FootnoteReference"/>
          <w:rFonts w:ascii="Times New Roman" w:hAnsi="Times New Roman" w:cs="Times New Roman"/>
          <w:sz w:val="24"/>
          <w:szCs w:val="24"/>
        </w:rPr>
        <w:footnoteReference w:id="442"/>
      </w:r>
    </w:p>
    <w:p w14:paraId="5BFE98B0" w14:textId="77777777" w:rsidR="005F5862" w:rsidRPr="00774EDB" w:rsidRDefault="000631C2" w:rsidP="00A70042">
      <w:pPr>
        <w:pStyle w:val="Heading3"/>
        <w:numPr>
          <w:ilvl w:val="2"/>
          <w:numId w:val="33"/>
        </w:numPr>
        <w:spacing w:before="360"/>
        <w:ind w:left="0" w:firstLine="0"/>
        <w:jc w:val="both"/>
        <w:rPr>
          <w:rFonts w:ascii="Times New Roman" w:hAnsi="Times New Roman" w:cs="Times New Roman"/>
          <w:b/>
        </w:rPr>
      </w:pPr>
      <w:bookmarkStart w:id="390" w:name="_Toc17611415"/>
      <w:bookmarkStart w:id="391" w:name="_Toc17611632"/>
      <w:bookmarkStart w:id="392" w:name="_Toc17611844"/>
      <w:bookmarkStart w:id="393" w:name="_Toc17612058"/>
      <w:bookmarkStart w:id="394" w:name="_Toc17612271"/>
      <w:bookmarkStart w:id="395" w:name="_Toc17611416"/>
      <w:bookmarkStart w:id="396" w:name="_Toc53576063"/>
      <w:bookmarkEnd w:id="390"/>
      <w:bookmarkEnd w:id="391"/>
      <w:bookmarkEnd w:id="392"/>
      <w:bookmarkEnd w:id="393"/>
      <w:bookmarkEnd w:id="394"/>
      <w:r w:rsidRPr="00774EDB">
        <w:rPr>
          <w:rFonts w:ascii="Times New Roman" w:hAnsi="Times New Roman" w:cs="Times New Roman"/>
          <w:b/>
          <w:color w:val="auto"/>
        </w:rPr>
        <w:t>Standardisation</w:t>
      </w:r>
      <w:r w:rsidR="00F61252" w:rsidRPr="00774EDB">
        <w:rPr>
          <w:rFonts w:ascii="Times New Roman" w:hAnsi="Times New Roman" w:cs="Times New Roman"/>
          <w:b/>
          <w:color w:val="auto"/>
        </w:rPr>
        <w:t xml:space="preserve"> </w:t>
      </w:r>
      <w:r w:rsidR="002256C2" w:rsidRPr="00774EDB">
        <w:rPr>
          <w:rFonts w:ascii="Times New Roman" w:hAnsi="Times New Roman" w:cs="Times New Roman"/>
          <w:b/>
          <w:color w:val="auto"/>
        </w:rPr>
        <w:t>agreements</w:t>
      </w:r>
      <w:bookmarkEnd w:id="395"/>
      <w:bookmarkEnd w:id="396"/>
    </w:p>
    <w:p w14:paraId="74CF67DB" w14:textId="6A8BB5CA" w:rsidR="001D7261" w:rsidRPr="00774EDB" w:rsidRDefault="007C218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 the context of horizontal agreements, standardisation agreements have a significant stake, representing an important playing field for the market actors and incorporating significant interplay between IPRs, openness and interoperability. In principle, a rather positive stance is adopted by the EU Competition Law towards standard-setting agreements. According to the Commission’s Guidelines on the applicability of Article 101 of the TFEU to horizontal co-operation agreements,</w:t>
      </w:r>
      <w:r w:rsidRPr="00774EDB">
        <w:rPr>
          <w:rStyle w:val="footnote"/>
          <w:rFonts w:ascii="Times New Roman" w:hAnsi="Times New Roman" w:cs="Times New Roman"/>
          <w:sz w:val="24"/>
          <w:szCs w:val="24"/>
        </w:rPr>
        <w:t> </w:t>
      </w:r>
      <w:r w:rsidRPr="00774EDB">
        <w:rPr>
          <w:rFonts w:ascii="Times New Roman" w:hAnsi="Times New Roman" w:cs="Times New Roman"/>
          <w:sz w:val="24"/>
          <w:szCs w:val="24"/>
        </w:rPr>
        <w:t>it is affirmed that standardisation agreements are usually pro-competitive as they tend to promote the internal market, encourage development of new and improved products or markets and ensure interoperability and compatibility to the benefit of consumers.</w:t>
      </w:r>
      <w:r w:rsidRPr="00774EDB">
        <w:rPr>
          <w:rStyle w:val="FootnoteReference"/>
          <w:rFonts w:ascii="Times New Roman" w:hAnsi="Times New Roman" w:cs="Times New Roman"/>
          <w:sz w:val="24"/>
          <w:szCs w:val="24"/>
        </w:rPr>
        <w:footnoteReference w:id="443"/>
      </w:r>
      <w:r w:rsidRPr="00774EDB">
        <w:rPr>
          <w:rFonts w:ascii="Times New Roman" w:hAnsi="Times New Roman" w:cs="Times New Roman"/>
          <w:sz w:val="24"/>
          <w:szCs w:val="24"/>
        </w:rPr>
        <w:t xml:space="preserve"> However, a partially cautious approach is reflected in the way standardisation takes place, particularly in view of the far-reaching implications on how competition and follow on innovation would be impacted by would-be standards. It is acknowledged that:</w:t>
      </w:r>
    </w:p>
    <w:p w14:paraId="7502EA3E" w14:textId="5360EFFD" w:rsidR="001B6AF2" w:rsidRPr="00774EDB" w:rsidRDefault="007C2181" w:rsidP="00A70042">
      <w:pPr>
        <w:spacing w:before="360"/>
        <w:ind w:left="720" w:right="720"/>
        <w:jc w:val="both"/>
        <w:rPr>
          <w:rFonts w:ascii="Times New Roman" w:hAnsi="Times New Roman" w:cs="Times New Roman"/>
          <w:sz w:val="24"/>
          <w:szCs w:val="24"/>
        </w:rPr>
      </w:pPr>
      <w:r w:rsidRPr="00774EDB">
        <w:rPr>
          <w:rFonts w:ascii="Times New Roman" w:hAnsi="Times New Roman" w:cs="Times New Roman"/>
          <w:sz w:val="24"/>
          <w:szCs w:val="24"/>
        </w:rPr>
        <w:t>W</w:t>
      </w:r>
      <w:r w:rsidR="00F84927" w:rsidRPr="00774EDB">
        <w:rPr>
          <w:rFonts w:ascii="Times New Roman" w:hAnsi="Times New Roman" w:cs="Times New Roman"/>
          <w:sz w:val="24"/>
          <w:szCs w:val="24"/>
        </w:rPr>
        <w:t xml:space="preserve">here </w:t>
      </w:r>
      <w:r w:rsidR="006D5EE0" w:rsidRPr="00774EDB">
        <w:rPr>
          <w:rFonts w:ascii="Times New Roman" w:hAnsi="Times New Roman" w:cs="Times New Roman"/>
          <w:sz w:val="24"/>
          <w:szCs w:val="24"/>
        </w:rPr>
        <w:t xml:space="preserve">participation in standard-setting is unrestricted and the procedure for adopting the standard in question is transparent, standardisation agreements which contain no obligation to comply with the standard and provide access to the standard on fair, reasonable and </w:t>
      </w:r>
      <w:r w:rsidR="006D5EE0" w:rsidRPr="00774EDB">
        <w:rPr>
          <w:rFonts w:ascii="Times New Roman" w:hAnsi="Times New Roman" w:cs="Times New Roman"/>
          <w:sz w:val="24"/>
          <w:szCs w:val="24"/>
        </w:rPr>
        <w:lastRenderedPageBreak/>
        <w:t>non-discriminatory terms will normally not restrict competition within the meaning of Article 101(1)</w:t>
      </w:r>
      <w:r w:rsidR="00FB25AC" w:rsidRPr="00774EDB">
        <w:rPr>
          <w:rFonts w:ascii="Times New Roman" w:hAnsi="Times New Roman" w:cs="Times New Roman"/>
          <w:sz w:val="24"/>
          <w:szCs w:val="24"/>
        </w:rPr>
        <w:t>.</w:t>
      </w:r>
      <w:r w:rsidR="0040221C" w:rsidRPr="00774EDB">
        <w:rPr>
          <w:rStyle w:val="FootnoteReference"/>
          <w:rFonts w:ascii="Times New Roman" w:hAnsi="Times New Roman" w:cs="Times New Roman"/>
          <w:sz w:val="24"/>
          <w:szCs w:val="24"/>
        </w:rPr>
        <w:footnoteReference w:id="444"/>
      </w:r>
      <w:r w:rsidR="00373DD8" w:rsidRPr="00774EDB">
        <w:rPr>
          <w:rFonts w:ascii="Times New Roman" w:hAnsi="Times New Roman" w:cs="Times New Roman"/>
          <w:sz w:val="24"/>
          <w:szCs w:val="24"/>
        </w:rPr>
        <w:t xml:space="preserve"> </w:t>
      </w:r>
    </w:p>
    <w:p w14:paraId="0BE13979" w14:textId="77777777" w:rsidR="0076260C" w:rsidRPr="00774EDB" w:rsidRDefault="007C218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the viewpoint of the Commission Guidelines it is possible to derive that SSOs might pose some risks because of; the followed procedures, the degree of openness and transparency and possible restrictions to participation. Likewise, standards might incorporate a number of IPRs,</w:t>
      </w:r>
      <w:r w:rsidRPr="00774EDB">
        <w:rPr>
          <w:rStyle w:val="FootnoteReference"/>
          <w:rFonts w:ascii="Times New Roman" w:hAnsi="Times New Roman" w:cs="Times New Roman"/>
          <w:sz w:val="24"/>
          <w:szCs w:val="24"/>
        </w:rPr>
        <w:footnoteReference w:id="445"/>
      </w:r>
      <w:r w:rsidRPr="00774EDB">
        <w:rPr>
          <w:rFonts w:ascii="Times New Roman" w:hAnsi="Times New Roman" w:cs="Times New Roman"/>
          <w:sz w:val="24"/>
          <w:szCs w:val="24"/>
        </w:rPr>
        <w:t xml:space="preserve"> which are naturally infringed until and unless rights holders accede not to claim as such. As a matter of fact, IPRs which represent the Achilles heel of the SSOs would affect not only the viability of would-be standards but also the interoperability of the potential products to be forged in the relevant market(s). Thus, interoperability is closely linked to and would be significantly affected by, the extent to which SSO processes are open and inclusive.</w:t>
      </w:r>
    </w:p>
    <w:p w14:paraId="17C35AE8" w14:textId="48E3ADAD" w:rsidR="004B4A51" w:rsidRPr="00774EDB" w:rsidRDefault="007C218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problem arises that the natural monopoly created via standardisation on the technology for interoperability, may have IPRs associated with it, and these rights may be owned by one market player or a consortium.</w:t>
      </w:r>
      <w:r w:rsidRPr="00774EDB">
        <w:rPr>
          <w:rStyle w:val="FootnoteReference"/>
          <w:rFonts w:ascii="Times New Roman" w:hAnsi="Times New Roman" w:cs="Times New Roman"/>
          <w:sz w:val="24"/>
          <w:szCs w:val="24"/>
        </w:rPr>
        <w:footnoteReference w:id="446"/>
      </w:r>
      <w:r w:rsidRPr="00774EDB">
        <w:rPr>
          <w:rFonts w:ascii="Times New Roman" w:hAnsi="Times New Roman" w:cs="Times New Roman"/>
          <w:sz w:val="24"/>
          <w:szCs w:val="24"/>
        </w:rPr>
        <w:t xml:space="preserve"> In fact, interoperability related problems might arise should the IPRs embedded into a standard be hidden by the rights holder and kept outside of the SSO procedure - usually for extraction of larger royalty fees (the “hold-up” problem). Furthermore, rights holders can use their licensing policies to control further development of the standard, and to influence the market of products and services around the standardisation.</w:t>
      </w:r>
      <w:r w:rsidRPr="00774EDB">
        <w:rPr>
          <w:rStyle w:val="FootnoteReference"/>
          <w:rFonts w:ascii="Times New Roman" w:hAnsi="Times New Roman" w:cs="Times New Roman"/>
          <w:sz w:val="24"/>
          <w:szCs w:val="24"/>
        </w:rPr>
        <w:footnoteReference w:id="447"/>
      </w:r>
      <w:r w:rsidRPr="00774EDB">
        <w:rPr>
          <w:rFonts w:ascii="Times New Roman" w:hAnsi="Times New Roman" w:cs="Times New Roman"/>
          <w:sz w:val="24"/>
          <w:szCs w:val="24"/>
        </w:rPr>
        <w:t xml:space="preserve"> Such problems are closely related </w:t>
      </w:r>
      <w:r w:rsidRPr="00774EDB">
        <w:rPr>
          <w:rFonts w:ascii="Times New Roman" w:hAnsi="Times New Roman" w:cs="Times New Roman"/>
          <w:sz w:val="24"/>
          <w:szCs w:val="24"/>
        </w:rPr>
        <w:lastRenderedPageBreak/>
        <w:t>to the intellectual property incorporated into the standardisation processes, without access to which relevant standards could not be implemented.</w:t>
      </w:r>
    </w:p>
    <w:p w14:paraId="104D18FC" w14:textId="618AADD9" w:rsidR="001D7261" w:rsidRPr="00774EDB" w:rsidRDefault="007C218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Such IPRs that are essential to using the standards i.e. standard essential patents (SEPs),</w:t>
      </w:r>
      <w:r w:rsidRPr="00774EDB">
        <w:rPr>
          <w:rStyle w:val="FootnoteReference"/>
          <w:rFonts w:ascii="Times New Roman" w:hAnsi="Times New Roman" w:cs="Times New Roman"/>
          <w:sz w:val="24"/>
          <w:szCs w:val="24"/>
        </w:rPr>
        <w:footnoteReference w:id="448"/>
      </w:r>
      <w:r w:rsidRPr="00774EDB">
        <w:rPr>
          <w:rFonts w:ascii="Times New Roman" w:hAnsi="Times New Roman" w:cs="Times New Roman"/>
          <w:sz w:val="24"/>
          <w:szCs w:val="24"/>
        </w:rPr>
        <w:t xml:space="preserve"> are thus central to the standardisation process and could affect interoperability indirectly, but also significantly. Given the fact that exclusionary impact would come up with the closed standards, lack of interoperability would be an indirect result of the standardisation process. Having said that, lack of interoperability does not directly trigger enforcement of Article 101 by itself, yet this would happen through other factors such as limited openness and hampered innovation.</w:t>
      </w:r>
      <w:r w:rsidR="00714FAD" w:rsidRPr="00774EDB">
        <w:rPr>
          <w:rFonts w:ascii="Times New Roman" w:hAnsi="Times New Roman" w:cs="Times New Roman"/>
          <w:sz w:val="24"/>
          <w:szCs w:val="24"/>
        </w:rPr>
        <w:t xml:space="preserve"> </w:t>
      </w:r>
    </w:p>
    <w:p w14:paraId="1C85C5BD" w14:textId="0A2F30AA" w:rsidR="001D7261" w:rsidRPr="00820EF9" w:rsidRDefault="00EB1B38" w:rsidP="00A70042">
      <w:pPr>
        <w:pStyle w:val="Heading2"/>
        <w:numPr>
          <w:ilvl w:val="1"/>
          <w:numId w:val="33"/>
        </w:numPr>
        <w:tabs>
          <w:tab w:val="left" w:pos="567"/>
        </w:tabs>
        <w:spacing w:before="360"/>
        <w:ind w:left="0" w:firstLine="0"/>
        <w:jc w:val="both"/>
        <w:rPr>
          <w:rFonts w:ascii="Times New Roman" w:hAnsi="Times New Roman" w:cs="Times New Roman"/>
          <w:b/>
          <w:sz w:val="24"/>
          <w:szCs w:val="24"/>
        </w:rPr>
      </w:pPr>
      <w:bookmarkStart w:id="397" w:name="_Toc17611417"/>
      <w:bookmarkStart w:id="398" w:name="_Toc53576064"/>
      <w:r w:rsidRPr="00A70042">
        <w:rPr>
          <w:rFonts w:ascii="Times New Roman" w:hAnsi="Times New Roman" w:cs="Times New Roman"/>
          <w:b/>
          <w:color w:val="000000" w:themeColor="text1"/>
          <w:sz w:val="24"/>
          <w:szCs w:val="24"/>
        </w:rPr>
        <w:t>Article 102</w:t>
      </w:r>
      <w:r w:rsidR="00A50B13" w:rsidRPr="00A70042">
        <w:rPr>
          <w:rFonts w:ascii="Times New Roman" w:hAnsi="Times New Roman" w:cs="Times New Roman"/>
          <w:b/>
          <w:color w:val="000000" w:themeColor="text1"/>
          <w:sz w:val="24"/>
          <w:szCs w:val="24"/>
        </w:rPr>
        <w:t xml:space="preserve"> </w:t>
      </w:r>
      <w:r w:rsidR="007C2181" w:rsidRPr="00A70042">
        <w:rPr>
          <w:rFonts w:ascii="Times New Roman" w:hAnsi="Times New Roman" w:cs="Times New Roman"/>
          <w:b/>
          <w:color w:val="000000" w:themeColor="text1"/>
          <w:sz w:val="24"/>
          <w:szCs w:val="24"/>
        </w:rPr>
        <w:t xml:space="preserve">of the </w:t>
      </w:r>
      <w:r w:rsidR="00A50B13" w:rsidRPr="00A70042">
        <w:rPr>
          <w:rFonts w:ascii="Times New Roman" w:hAnsi="Times New Roman" w:cs="Times New Roman"/>
          <w:b/>
          <w:color w:val="000000" w:themeColor="text1"/>
          <w:sz w:val="24"/>
          <w:szCs w:val="24"/>
        </w:rPr>
        <w:t>TFEU</w:t>
      </w:r>
      <w:bookmarkStart w:id="399" w:name="_Toc17611418"/>
      <w:bookmarkEnd w:id="397"/>
      <w:bookmarkEnd w:id="398"/>
      <w:bookmarkEnd w:id="399"/>
    </w:p>
    <w:p w14:paraId="52FF9D47" w14:textId="77777777" w:rsidR="00EB1B38" w:rsidRPr="00774EDB" w:rsidRDefault="008C757A" w:rsidP="00A70042">
      <w:pPr>
        <w:pStyle w:val="Heading3"/>
        <w:numPr>
          <w:ilvl w:val="2"/>
          <w:numId w:val="33"/>
        </w:numPr>
        <w:spacing w:before="360"/>
        <w:ind w:left="0" w:firstLine="0"/>
        <w:jc w:val="both"/>
        <w:rPr>
          <w:rFonts w:ascii="Times New Roman" w:hAnsi="Times New Roman" w:cs="Times New Roman"/>
          <w:b/>
        </w:rPr>
      </w:pPr>
      <w:bookmarkStart w:id="400" w:name="_Toc17611419"/>
      <w:bookmarkStart w:id="401" w:name="_Toc53576065"/>
      <w:r w:rsidRPr="00774EDB">
        <w:rPr>
          <w:rFonts w:ascii="Times New Roman" w:hAnsi="Times New Roman" w:cs="Times New Roman"/>
          <w:b/>
          <w:color w:val="auto"/>
        </w:rPr>
        <w:t>Abuse of dominant position</w:t>
      </w:r>
      <w:r w:rsidR="005B295A" w:rsidRPr="00774EDB">
        <w:rPr>
          <w:rFonts w:ascii="Times New Roman" w:hAnsi="Times New Roman" w:cs="Times New Roman"/>
          <w:b/>
          <w:color w:val="auto"/>
        </w:rPr>
        <w:t xml:space="preserve">: Main </w:t>
      </w:r>
      <w:r w:rsidRPr="00774EDB">
        <w:rPr>
          <w:rFonts w:ascii="Times New Roman" w:hAnsi="Times New Roman" w:cs="Times New Roman"/>
          <w:b/>
          <w:color w:val="auto"/>
        </w:rPr>
        <w:t>thrusts, types and conducts</w:t>
      </w:r>
      <w:bookmarkEnd w:id="400"/>
      <w:bookmarkEnd w:id="401"/>
    </w:p>
    <w:p w14:paraId="678937E9" w14:textId="590D1153" w:rsidR="007C2181" w:rsidRPr="00774EDB" w:rsidRDefault="007C2181"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rPr>
        <w:t>Whereas</w:t>
      </w:r>
      <w:r w:rsidRPr="00774EDB">
        <w:rPr>
          <w:rFonts w:ascii="Times New Roman" w:hAnsi="Times New Roman" w:cs="Times New Roman"/>
          <w:sz w:val="24"/>
          <w:szCs w:val="24"/>
          <w:lang w:val="en-US"/>
        </w:rPr>
        <w:t xml:space="preserve"> Article 101 of the TFEU deals with the </w:t>
      </w:r>
      <w:r w:rsidRPr="00774EDB">
        <w:rPr>
          <w:rFonts w:ascii="Times New Roman" w:hAnsi="Times New Roman" w:cs="Times New Roman"/>
          <w:sz w:val="24"/>
          <w:szCs w:val="24"/>
        </w:rPr>
        <w:t>agreements and concerted practices</w:t>
      </w:r>
      <w:r w:rsidRPr="00774EDB">
        <w:rPr>
          <w:rFonts w:ascii="Times New Roman" w:hAnsi="Times New Roman" w:cs="Times New Roman"/>
          <w:sz w:val="24"/>
          <w:szCs w:val="24"/>
          <w:lang w:val="en-US"/>
        </w:rPr>
        <w:t xml:space="preserve">, Article 102 of the TFEU focuses on the unilateral and joint abusive behaviours, the latter being encountered quite rarely. Article 102 aims to prevent dominant undertakings from driving out their competitors from the marketplace and/or </w:t>
      </w:r>
      <w:r w:rsidR="006939D1" w:rsidRPr="00774EDB">
        <w:rPr>
          <w:rFonts w:ascii="Times New Roman" w:hAnsi="Times New Roman" w:cs="Times New Roman"/>
          <w:sz w:val="24"/>
          <w:szCs w:val="24"/>
          <w:lang w:val="en-US"/>
        </w:rPr>
        <w:t>us</w:t>
      </w:r>
      <w:r w:rsidRPr="00774EDB">
        <w:rPr>
          <w:rFonts w:ascii="Times New Roman" w:hAnsi="Times New Roman" w:cs="Times New Roman"/>
          <w:sz w:val="24"/>
          <w:szCs w:val="24"/>
          <w:lang w:val="en-US"/>
        </w:rPr>
        <w:t>ing their market power to make consumers’ conditions worse. Such conducts, which are deemed to have a commercially excessive nature and anti-competitive effect, are regarded as legally void insofar as that they meet the threshold of ‘abuse of dominant position’ under Article 102.</w:t>
      </w:r>
      <w:r w:rsidR="006939D1" w:rsidRPr="00774EDB">
        <w:rPr>
          <w:rStyle w:val="FootnoteReference"/>
          <w:rFonts w:ascii="Times New Roman" w:hAnsi="Times New Roman" w:cs="Times New Roman"/>
          <w:sz w:val="24"/>
          <w:szCs w:val="24"/>
          <w:lang w:val="en-US"/>
        </w:rPr>
        <w:footnoteReference w:id="449"/>
      </w:r>
      <w:r w:rsidR="006939D1" w:rsidRPr="00774EDB">
        <w:rPr>
          <w:rFonts w:ascii="Times New Roman" w:hAnsi="Times New Roman" w:cs="Times New Roman"/>
          <w:sz w:val="24"/>
          <w:szCs w:val="24"/>
          <w:lang w:val="en-US"/>
        </w:rPr>
        <w:t xml:space="preserve"> </w:t>
      </w:r>
      <w:r w:rsidRPr="00774EDB">
        <w:rPr>
          <w:rFonts w:ascii="Times New Roman" w:hAnsi="Times New Roman" w:cs="Times New Roman"/>
          <w:sz w:val="24"/>
          <w:szCs w:val="24"/>
        </w:rPr>
        <w:t>Abuse of dominant position</w:t>
      </w:r>
      <w:r w:rsidRPr="00774EDB">
        <w:rPr>
          <w:rFonts w:ascii="Times New Roman" w:hAnsi="Times New Roman" w:cs="Times New Roman"/>
          <w:sz w:val="24"/>
          <w:szCs w:val="24"/>
          <w:lang w:val="en-US"/>
        </w:rPr>
        <w:t xml:space="preserve">, as contemplated by Article </w:t>
      </w:r>
      <w:r w:rsidRPr="00774EDB">
        <w:rPr>
          <w:rFonts w:ascii="Times New Roman" w:hAnsi="Times New Roman" w:cs="Times New Roman"/>
          <w:sz w:val="24"/>
          <w:szCs w:val="24"/>
          <w:lang w:val="en-US"/>
        </w:rPr>
        <w:lastRenderedPageBreak/>
        <w:t>102, encompasses both</w:t>
      </w:r>
      <w:r w:rsidR="006939D1" w:rsidRPr="00774EDB">
        <w:rPr>
          <w:rFonts w:ascii="Times New Roman" w:hAnsi="Times New Roman" w:cs="Times New Roman"/>
          <w:sz w:val="24"/>
          <w:szCs w:val="24"/>
          <w:lang w:val="en-US"/>
        </w:rPr>
        <w:t xml:space="preserve"> ‘exclusionary’</w:t>
      </w:r>
      <w:r w:rsidRPr="00774EDB">
        <w:rPr>
          <w:rFonts w:ascii="Times New Roman" w:hAnsi="Times New Roman" w:cs="Times New Roman"/>
          <w:sz w:val="24"/>
          <w:szCs w:val="24"/>
          <w:lang w:val="en-US"/>
        </w:rPr>
        <w:t xml:space="preserve"> and </w:t>
      </w:r>
      <w:r w:rsidR="006939D1" w:rsidRPr="00774EDB">
        <w:rPr>
          <w:rFonts w:ascii="Times New Roman" w:hAnsi="Times New Roman" w:cs="Times New Roman"/>
          <w:sz w:val="24"/>
          <w:szCs w:val="24"/>
          <w:lang w:val="en-US"/>
        </w:rPr>
        <w:t>‘exploitative’</w:t>
      </w:r>
      <w:r w:rsidRPr="00774EDB">
        <w:rPr>
          <w:rFonts w:ascii="Times New Roman" w:hAnsi="Times New Roman" w:cs="Times New Roman"/>
          <w:sz w:val="24"/>
          <w:szCs w:val="24"/>
          <w:lang w:val="en-US"/>
        </w:rPr>
        <w:t xml:space="preserve"> conducts. While the </w:t>
      </w:r>
      <w:r w:rsidR="006939D1" w:rsidRPr="00774EDB">
        <w:rPr>
          <w:rFonts w:ascii="Times New Roman" w:hAnsi="Times New Roman" w:cs="Times New Roman"/>
          <w:sz w:val="24"/>
          <w:szCs w:val="24"/>
          <w:lang w:val="en-US"/>
        </w:rPr>
        <w:t>form</w:t>
      </w:r>
      <w:r w:rsidRPr="00774EDB">
        <w:rPr>
          <w:rFonts w:ascii="Times New Roman" w:hAnsi="Times New Roman" w:cs="Times New Roman"/>
          <w:sz w:val="24"/>
          <w:szCs w:val="24"/>
          <w:lang w:val="en-US"/>
        </w:rPr>
        <w:t xml:space="preserve">er category means </w:t>
      </w:r>
      <w:r w:rsidRPr="00774EDB">
        <w:rPr>
          <w:rFonts w:ascii="Times New Roman" w:hAnsi="Times New Roman" w:cs="Times New Roman"/>
          <w:sz w:val="24"/>
          <w:szCs w:val="24"/>
        </w:rPr>
        <w:t>conducts attempting to exclude competitors i.e. refusal to supply, discrimination, tying, the former covers misuse of market power to obtain extra gains from consumers i.e. unfair pricing and limiting supply to markets.</w:t>
      </w:r>
      <w:r w:rsidRPr="00774EDB">
        <w:rPr>
          <w:rStyle w:val="FootnoteReference"/>
          <w:rFonts w:ascii="Times New Roman" w:hAnsi="Times New Roman" w:cs="Times New Roman"/>
          <w:sz w:val="24"/>
          <w:szCs w:val="24"/>
        </w:rPr>
        <w:footnoteReference w:id="450"/>
      </w:r>
      <w:r w:rsidRPr="00774EDB">
        <w:rPr>
          <w:rFonts w:ascii="Times New Roman" w:hAnsi="Times New Roman" w:cs="Times New Roman"/>
          <w:sz w:val="24"/>
          <w:szCs w:val="24"/>
        </w:rPr>
        <w:t xml:space="preserve"> Article 102 of the TFEU exemplifies </w:t>
      </w:r>
      <w:r w:rsidRPr="00774EDB">
        <w:rPr>
          <w:rFonts w:ascii="Times New Roman" w:hAnsi="Times New Roman" w:cs="Times New Roman"/>
          <w:sz w:val="24"/>
          <w:szCs w:val="24"/>
          <w:lang w:val="en-US"/>
        </w:rPr>
        <w:t>abusive behaviours</w:t>
      </w:r>
      <w:r w:rsidRPr="00774EDB">
        <w:rPr>
          <w:rFonts w:ascii="Times New Roman" w:hAnsi="Times New Roman" w:cs="Times New Roman"/>
          <w:sz w:val="24"/>
          <w:szCs w:val="24"/>
        </w:rPr>
        <w:t xml:space="preserve"> by giving a non-exhaustive list of conducts.</w:t>
      </w:r>
      <w:r w:rsidRPr="00774EDB">
        <w:rPr>
          <w:rStyle w:val="FootnoteReference"/>
          <w:rFonts w:ascii="Times New Roman" w:hAnsi="Times New Roman" w:cs="Times New Roman"/>
          <w:sz w:val="24"/>
          <w:szCs w:val="24"/>
        </w:rPr>
        <w:footnoteReference w:id="451"/>
      </w:r>
    </w:p>
    <w:p w14:paraId="1632C3AF" w14:textId="7E656AAC" w:rsidR="009E7375" w:rsidRPr="00774EDB" w:rsidRDefault="00725A17"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Article 102 covers exclusionary and exploitative type abusive conducts that are also based on the lack of interoperability. Stretching from de jure or de facto standards to non-standardised products, lack of interoperability could thus be the source of antitrust concerns that could warrant the application of Article 102. Broadly speaking, Article 102 is considered to be an important last resort to prevent the worst excesses of a lack of interoperability, but only available where there is dominance.</w:t>
      </w:r>
      <w:r w:rsidRPr="00774EDB">
        <w:rPr>
          <w:rStyle w:val="FootnoteReference"/>
          <w:rFonts w:ascii="Times New Roman" w:hAnsi="Times New Roman" w:cs="Times New Roman"/>
          <w:sz w:val="24"/>
          <w:szCs w:val="24"/>
          <w:lang w:val="en-US"/>
        </w:rPr>
        <w:footnoteReference w:id="452"/>
      </w:r>
      <w:r w:rsidRPr="00774EDB">
        <w:rPr>
          <w:rFonts w:ascii="Times New Roman" w:hAnsi="Times New Roman" w:cs="Times New Roman"/>
          <w:sz w:val="24"/>
          <w:szCs w:val="24"/>
          <w:lang w:val="en-US"/>
        </w:rPr>
        <w:t xml:space="preserve"> Practices of dominant undertakings, which aggravate the conditions of interoperability but also have not got a correcting response from either the market itself or coercive legal tools, could be challenged under Article 102 of the TFEU. However, interoperability is not an end goal of competition law tools itself</w:t>
      </w:r>
      <w:r w:rsidR="002D51BF" w:rsidRPr="00774EDB">
        <w:rPr>
          <w:rFonts w:ascii="Times New Roman" w:hAnsi="Times New Roman" w:cs="Times New Roman"/>
          <w:sz w:val="24"/>
          <w:szCs w:val="24"/>
          <w:lang w:val="en-US"/>
        </w:rPr>
        <w:t>;</w:t>
      </w:r>
      <w:r w:rsidRPr="00774EDB">
        <w:rPr>
          <w:rFonts w:ascii="Times New Roman" w:hAnsi="Times New Roman" w:cs="Times New Roman"/>
          <w:sz w:val="24"/>
          <w:szCs w:val="24"/>
          <w:lang w:val="en-US"/>
        </w:rPr>
        <w:t xml:space="preserve"> yet </w:t>
      </w:r>
      <w:r w:rsidR="002D51BF" w:rsidRPr="00774EDB">
        <w:rPr>
          <w:rFonts w:ascii="Times New Roman" w:hAnsi="Times New Roman" w:cs="Times New Roman"/>
          <w:sz w:val="24"/>
          <w:szCs w:val="24"/>
          <w:lang w:val="en-US"/>
        </w:rPr>
        <w:t xml:space="preserve">it </w:t>
      </w:r>
      <w:r w:rsidRPr="00774EDB">
        <w:rPr>
          <w:rFonts w:ascii="Times New Roman" w:hAnsi="Times New Roman" w:cs="Times New Roman"/>
          <w:sz w:val="24"/>
          <w:szCs w:val="24"/>
          <w:lang w:val="en-US"/>
        </w:rPr>
        <w:t xml:space="preserve">could be considered as such where consumer harm emerges because of the dominant undertaking’s </w:t>
      </w:r>
      <w:r w:rsidRPr="00774EDB">
        <w:rPr>
          <w:rFonts w:ascii="Times New Roman" w:hAnsi="Times New Roman" w:cs="Times New Roman"/>
          <w:sz w:val="24"/>
          <w:szCs w:val="24"/>
        </w:rPr>
        <w:t>practices.</w:t>
      </w:r>
    </w:p>
    <w:p w14:paraId="23F69B1D" w14:textId="77777777" w:rsidR="00952BFB" w:rsidRPr="00774EDB" w:rsidRDefault="00725A17"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This rule of thumb, first </w:t>
      </w:r>
      <w:r w:rsidRPr="00774EDB">
        <w:rPr>
          <w:rFonts w:ascii="Times New Roman" w:hAnsi="Times New Roman" w:cs="Times New Roman"/>
          <w:sz w:val="24"/>
          <w:szCs w:val="24"/>
          <w:lang w:val="en-US"/>
        </w:rPr>
        <w:t xml:space="preserve">and foremost, is based on the presumption that ICT companies can freely decide on the degree to which their products and services would interoperate </w:t>
      </w:r>
      <w:r w:rsidRPr="00774EDB">
        <w:rPr>
          <w:rFonts w:ascii="Times New Roman" w:hAnsi="Times New Roman" w:cs="Times New Roman"/>
          <w:sz w:val="24"/>
          <w:szCs w:val="24"/>
          <w:lang w:val="en-US"/>
        </w:rPr>
        <w:lastRenderedPageBreak/>
        <w:t>with those of their rivals.</w:t>
      </w:r>
      <w:r w:rsidRPr="00774EDB">
        <w:rPr>
          <w:rStyle w:val="FootnoteReference"/>
          <w:rFonts w:ascii="Times New Roman" w:hAnsi="Times New Roman" w:cs="Times New Roman"/>
          <w:sz w:val="24"/>
          <w:szCs w:val="24"/>
        </w:rPr>
        <w:footnoteReference w:id="453"/>
      </w:r>
      <w:r w:rsidRPr="00774EDB">
        <w:rPr>
          <w:rFonts w:ascii="Times New Roman" w:hAnsi="Times New Roman" w:cs="Times New Roman"/>
          <w:sz w:val="24"/>
          <w:szCs w:val="24"/>
          <w:lang w:val="en-US"/>
        </w:rPr>
        <w:t xml:space="preserve"> Secondly, there might be some points at which lack of interoperability is likely to have anti-competitive effect, because of the likelihood that competitors might be driven out of the market, along with actual or potential consumer harm e.g. increased prices, reduced innovation. Against such circumstances, Article 102 is the primary legal means to deter, and where necessary penalize, the so-called abusive behaviours. </w:t>
      </w:r>
      <w:r w:rsidRPr="00774EDB">
        <w:rPr>
          <w:rFonts w:ascii="Times New Roman" w:hAnsi="Times New Roman" w:cs="Times New Roman"/>
          <w:sz w:val="24"/>
          <w:szCs w:val="24"/>
        </w:rPr>
        <w:t>In ICT markets, signs of abuses would particularly come out with the gatekeeper positions created by network effects and/or de facto standards, which are typified by exclusionary behaviours targeting the foreclosure of competitors and incorporating ‘refusal to supply’, ‘tying’ and ‘discrimination’.</w:t>
      </w:r>
    </w:p>
    <w:p w14:paraId="6B7CA398" w14:textId="77777777" w:rsidR="00751762" w:rsidRPr="00774EDB" w:rsidRDefault="0075176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particular, ‘refusal to supply’ signifies so-called gatekeeper positions and foreclosure attempts based on hindering or restricting interoperability. For instance, in the case of a dominant product i.e. an operating system whose interfaces are kept closed after a long-lasting disclosure strategy, competitors might be seriously disadvantaged and/or face the risk of exiting the market. In such cases, risk of market foreclosure is usually followed by the consumers being locked into the dominant product. Given this fact, refusal to deal or supply, which also </w:t>
      </w:r>
      <w:r w:rsidR="002403E4" w:rsidRPr="00774EDB">
        <w:rPr>
          <w:rFonts w:ascii="Times New Roman" w:hAnsi="Times New Roman" w:cs="Times New Roman"/>
          <w:sz w:val="24"/>
          <w:szCs w:val="24"/>
        </w:rPr>
        <w:t>embodies</w:t>
      </w:r>
      <w:r w:rsidRPr="00774EDB">
        <w:rPr>
          <w:rFonts w:ascii="Times New Roman" w:hAnsi="Times New Roman" w:cs="Times New Roman"/>
          <w:sz w:val="24"/>
          <w:szCs w:val="24"/>
        </w:rPr>
        <w:t xml:space="preserve"> discrimination to an extent, represents the most remarkable abusive conduct in relation to ‘interoperability’. The focal point behind this proposition is that lack of interoperability mainly stems from restricted or withdrawn interfaces, also revealing an area of intersection between the exploitation of IPRs and antitrust interventions.</w:t>
      </w:r>
      <w:r w:rsidRPr="00774EDB">
        <w:rPr>
          <w:rStyle w:val="FootnoteReference"/>
          <w:rFonts w:ascii="Times New Roman" w:hAnsi="Times New Roman" w:cs="Times New Roman"/>
          <w:sz w:val="24"/>
          <w:szCs w:val="24"/>
        </w:rPr>
        <w:footnoteReference w:id="454"/>
      </w:r>
    </w:p>
    <w:p w14:paraId="7C80E9DD" w14:textId="3BAC0CCD" w:rsidR="001D7261" w:rsidRPr="00774EDB" w:rsidRDefault="009B3A28"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lastRenderedPageBreak/>
        <w:t xml:space="preserve">As far as exploitative </w:t>
      </w:r>
      <w:r w:rsidRPr="00774EDB">
        <w:rPr>
          <w:rFonts w:ascii="Times New Roman" w:hAnsi="Times New Roman" w:cs="Times New Roman"/>
          <w:sz w:val="24"/>
          <w:szCs w:val="24"/>
        </w:rPr>
        <w:t>abuses are concerned, the most remarkable scenario would be consumers being worse off in terms of quality and price indicators. In such a marketplace, consumers do suffer from the absence of competitive restraints, often resulting in excessive prices and/or deteriorated quality. In such cases, market failures are by and large depicted by more structural problems, mostly requiring ex-ante measures such as open access requirements and price regulation, i.e. cost oriented prices, in the first place. Given this fact, Article 102 of the TFEU has so far been, and is still, predominantly used against ‘exclusionary’ abuses.</w:t>
      </w:r>
      <w:r w:rsidRPr="00774EDB">
        <w:rPr>
          <w:rStyle w:val="FootnoteReference"/>
          <w:rFonts w:ascii="Times New Roman" w:hAnsi="Times New Roman" w:cs="Times New Roman"/>
          <w:sz w:val="24"/>
          <w:szCs w:val="24"/>
        </w:rPr>
        <w:footnoteReference w:id="455"/>
      </w:r>
      <w:r w:rsidRPr="00774EDB">
        <w:rPr>
          <w:rFonts w:ascii="Times New Roman" w:hAnsi="Times New Roman" w:cs="Times New Roman"/>
          <w:sz w:val="24"/>
          <w:szCs w:val="24"/>
        </w:rPr>
        <w:t xml:space="preserve"> From this point of view, ‘refusal to supply’ is examined in this thesis as representing the typical exclusionary conduct mirroring interoperability-based abuses.</w:t>
      </w:r>
      <w:r w:rsidR="00693645">
        <w:rPr>
          <w:rStyle w:val="FootnoteReference"/>
          <w:rFonts w:ascii="Times New Roman" w:hAnsi="Times New Roman" w:cs="Times New Roman"/>
          <w:sz w:val="24"/>
          <w:szCs w:val="24"/>
        </w:rPr>
        <w:footnoteReference w:id="456"/>
      </w:r>
      <w:r w:rsidRPr="00774EDB">
        <w:rPr>
          <w:rFonts w:ascii="Times New Roman" w:hAnsi="Times New Roman" w:cs="Times New Roman"/>
          <w:sz w:val="24"/>
          <w:szCs w:val="24"/>
        </w:rPr>
        <w:t xml:space="preserve"> In this context, firstly, ‘refusal to supply’ is elaborated under the light of EU precedents, comprising the most relevant case law i.e. ‘essential facility’ and ‘refusal to license’ cases. In so doing, ‘refusal to supply interoperability information’ is also dealt with as a subcategory of the ‘refusal to license’ cases under EU </w:t>
      </w:r>
      <w:r w:rsidRPr="00774EDB">
        <w:rPr>
          <w:rFonts w:ascii="Times New Roman" w:hAnsi="Times New Roman" w:cs="Times New Roman"/>
          <w:sz w:val="24"/>
          <w:szCs w:val="24"/>
          <w:lang w:val="en-US"/>
        </w:rPr>
        <w:t>competition law.</w:t>
      </w:r>
      <w:r w:rsidR="00225E3D" w:rsidRPr="00774EDB">
        <w:rPr>
          <w:rFonts w:ascii="Times New Roman" w:hAnsi="Times New Roman" w:cs="Times New Roman"/>
          <w:sz w:val="24"/>
          <w:szCs w:val="24"/>
          <w:lang w:val="en-US"/>
        </w:rPr>
        <w:t xml:space="preserve">   </w:t>
      </w:r>
      <w:r w:rsidR="00A96E17" w:rsidRPr="00774EDB">
        <w:rPr>
          <w:rFonts w:ascii="Times New Roman" w:hAnsi="Times New Roman" w:cs="Times New Roman"/>
          <w:sz w:val="24"/>
          <w:szCs w:val="24"/>
          <w:lang w:val="en-US"/>
        </w:rPr>
        <w:t xml:space="preserve">  </w:t>
      </w:r>
    </w:p>
    <w:p w14:paraId="1953AFC8" w14:textId="4E80B291" w:rsidR="001D7261" w:rsidRPr="00820EF9" w:rsidRDefault="007F7837" w:rsidP="00A70042">
      <w:pPr>
        <w:pStyle w:val="Heading4"/>
        <w:numPr>
          <w:ilvl w:val="3"/>
          <w:numId w:val="33"/>
        </w:numPr>
        <w:tabs>
          <w:tab w:val="left" w:pos="851"/>
        </w:tabs>
        <w:spacing w:before="360"/>
        <w:ind w:left="0" w:firstLine="0"/>
        <w:jc w:val="both"/>
        <w:rPr>
          <w:rFonts w:ascii="Times New Roman" w:hAnsi="Times New Roman" w:cs="Times New Roman"/>
          <w:b/>
          <w:sz w:val="24"/>
          <w:szCs w:val="24"/>
          <w:lang w:val="en-US"/>
        </w:rPr>
      </w:pPr>
      <w:bookmarkStart w:id="402" w:name="_Toc17611420"/>
      <w:bookmarkStart w:id="403" w:name="_Toc53576066"/>
      <w:r w:rsidRPr="00A70042">
        <w:rPr>
          <w:rFonts w:ascii="Times New Roman" w:hAnsi="Times New Roman" w:cs="Times New Roman"/>
          <w:b/>
          <w:i w:val="0"/>
          <w:color w:val="000000" w:themeColor="text1"/>
          <w:sz w:val="24"/>
          <w:szCs w:val="24"/>
        </w:rPr>
        <w:t>Refusal to supply</w:t>
      </w:r>
      <w:bookmarkStart w:id="404" w:name="_Toc17611421"/>
      <w:bookmarkEnd w:id="402"/>
      <w:bookmarkEnd w:id="403"/>
      <w:bookmarkEnd w:id="404"/>
    </w:p>
    <w:p w14:paraId="3A8B43EE" w14:textId="77777777" w:rsidR="007819EE" w:rsidRPr="00774EDB" w:rsidRDefault="00091782" w:rsidP="00A70042">
      <w:pPr>
        <w:pStyle w:val="Heading5"/>
        <w:numPr>
          <w:ilvl w:val="4"/>
          <w:numId w:val="33"/>
        </w:numPr>
        <w:tabs>
          <w:tab w:val="left" w:pos="1134"/>
        </w:tabs>
        <w:spacing w:before="360"/>
        <w:ind w:left="0" w:firstLine="0"/>
        <w:jc w:val="both"/>
        <w:rPr>
          <w:rFonts w:ascii="Times New Roman" w:hAnsi="Times New Roman" w:cs="Times New Roman"/>
          <w:b/>
          <w:sz w:val="24"/>
          <w:szCs w:val="24"/>
          <w:lang w:val="en-US"/>
        </w:rPr>
      </w:pPr>
      <w:bookmarkStart w:id="405" w:name="_Toc17611422"/>
      <w:bookmarkStart w:id="406" w:name="_Toc53576067"/>
      <w:r w:rsidRPr="00774EDB">
        <w:rPr>
          <w:rFonts w:ascii="Times New Roman" w:hAnsi="Times New Roman" w:cs="Times New Roman"/>
          <w:b/>
          <w:color w:val="auto"/>
          <w:sz w:val="24"/>
          <w:szCs w:val="24"/>
          <w:lang w:val="en-US"/>
        </w:rPr>
        <w:t>Historical and jurisprudential background</w:t>
      </w:r>
      <w:bookmarkEnd w:id="405"/>
      <w:bookmarkEnd w:id="406"/>
      <w:r w:rsidRPr="00774EDB">
        <w:rPr>
          <w:rFonts w:ascii="Times New Roman" w:hAnsi="Times New Roman" w:cs="Times New Roman"/>
          <w:b/>
          <w:color w:val="auto"/>
          <w:sz w:val="24"/>
          <w:szCs w:val="24"/>
          <w:lang w:val="en-US"/>
        </w:rPr>
        <w:t xml:space="preserve"> </w:t>
      </w:r>
    </w:p>
    <w:p w14:paraId="70BDB192" w14:textId="77777777" w:rsidR="00AB6764" w:rsidRPr="00774EDB" w:rsidRDefault="002D72D8"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lang w:val="en-US"/>
        </w:rPr>
        <w:t xml:space="preserve">‘Refusal </w:t>
      </w:r>
      <w:r w:rsidRPr="00774EDB">
        <w:rPr>
          <w:rFonts w:ascii="Times New Roman" w:hAnsi="Times New Roman" w:cs="Times New Roman"/>
          <w:sz w:val="24"/>
          <w:szCs w:val="24"/>
        </w:rPr>
        <w:t xml:space="preserve">to supply’ is an old antitrust problem, built on precedents from the early years of the US Sherman Act. Evolving from </w:t>
      </w:r>
      <w:r w:rsidRPr="00774EDB">
        <w:rPr>
          <w:rFonts w:ascii="Times New Roman" w:hAnsi="Times New Roman" w:cs="Times New Roman"/>
          <w:i/>
          <w:sz w:val="24"/>
          <w:szCs w:val="24"/>
        </w:rPr>
        <w:t>U.S. v. Terminal Railroad Association</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457"/>
      </w:r>
      <w:r w:rsidRPr="00774EDB">
        <w:rPr>
          <w:rFonts w:ascii="Times New Roman" w:hAnsi="Times New Roman" w:cs="Times New Roman"/>
          <w:sz w:val="24"/>
          <w:szCs w:val="24"/>
        </w:rPr>
        <w:t xml:space="preserve"> refusal cases were brought before the antitrust courts, drawing on an evolutionary jurisprudence echoing the ‘essential facilities doctrine’.</w:t>
      </w:r>
      <w:r w:rsidRPr="00774EDB">
        <w:rPr>
          <w:rStyle w:val="FootnoteReference"/>
          <w:rFonts w:ascii="Times New Roman" w:hAnsi="Times New Roman" w:cs="Times New Roman"/>
          <w:sz w:val="24"/>
          <w:szCs w:val="24"/>
        </w:rPr>
        <w:footnoteReference w:id="458"/>
      </w:r>
      <w:r w:rsidRPr="00774EDB">
        <w:rPr>
          <w:rFonts w:ascii="Times New Roman" w:hAnsi="Times New Roman" w:cs="Times New Roman"/>
          <w:sz w:val="24"/>
          <w:szCs w:val="24"/>
        </w:rPr>
        <w:t xml:space="preserve"> Following a nearly century-</w:t>
      </w:r>
      <w:r w:rsidRPr="00774EDB">
        <w:rPr>
          <w:rFonts w:ascii="Times New Roman" w:hAnsi="Times New Roman" w:cs="Times New Roman"/>
          <w:sz w:val="24"/>
          <w:szCs w:val="24"/>
        </w:rPr>
        <w:lastRenderedPageBreak/>
        <w:t xml:space="preserve">long collection of case law ending up with the US Supreme Court’s </w:t>
      </w:r>
      <w:r w:rsidRPr="00774EDB">
        <w:rPr>
          <w:rFonts w:ascii="Times New Roman" w:hAnsi="Times New Roman" w:cs="Times New Roman"/>
          <w:i/>
          <w:sz w:val="24"/>
          <w:szCs w:val="24"/>
        </w:rPr>
        <w:t>Trinko</w:t>
      </w:r>
      <w:r w:rsidRPr="00774EDB">
        <w:rPr>
          <w:rStyle w:val="FootnoteReference"/>
          <w:rFonts w:ascii="Times New Roman" w:hAnsi="Times New Roman" w:cs="Times New Roman"/>
          <w:sz w:val="24"/>
          <w:szCs w:val="24"/>
        </w:rPr>
        <w:footnoteReference w:id="459"/>
      </w:r>
      <w:r w:rsidRPr="00774EDB">
        <w:rPr>
          <w:rFonts w:ascii="Times New Roman" w:hAnsi="Times New Roman" w:cs="Times New Roman"/>
          <w:sz w:val="24"/>
          <w:szCs w:val="24"/>
        </w:rPr>
        <w:t xml:space="preserve"> judgement, remedying ‘refusal to supply’ by a monopolist firm was considered to be very exceptional. Since then, under US antitrust law, it is acknowledged this problem could be solved by antitrust mechanisms, provided that the specific problem has arisen from the withdrawal of a contract, namely when a dominant actor has decided to reverse away from dealing with its competitors.</w:t>
      </w:r>
      <w:r w:rsidRPr="00774EDB">
        <w:rPr>
          <w:rStyle w:val="FootnoteReference"/>
          <w:rFonts w:ascii="Times New Roman" w:hAnsi="Times New Roman" w:cs="Times New Roman"/>
          <w:sz w:val="24"/>
          <w:szCs w:val="24"/>
        </w:rPr>
        <w:footnoteReference w:id="460"/>
      </w:r>
      <w:r w:rsidRPr="00774EDB">
        <w:rPr>
          <w:rFonts w:ascii="Times New Roman" w:hAnsi="Times New Roman" w:cs="Times New Roman"/>
          <w:sz w:val="24"/>
          <w:szCs w:val="24"/>
        </w:rPr>
        <w:t xml:space="preserve"> On the other hand, ‘refusal to supply’ has greater repercussions under EU competition law, involving not only </w:t>
      </w:r>
      <w:r w:rsidRPr="00774EDB">
        <w:rPr>
          <w:rFonts w:ascii="Times New Roman" w:hAnsi="Times New Roman" w:cs="Times New Roman"/>
          <w:sz w:val="24"/>
          <w:szCs w:val="24"/>
          <w:lang w:val="tr-TR"/>
        </w:rPr>
        <w:t>cessation of supplies but also denial of new offers</w:t>
      </w:r>
      <w:r w:rsidRPr="00774EDB">
        <w:rPr>
          <w:rFonts w:ascii="Times New Roman" w:hAnsi="Times New Roman" w:cs="Times New Roman"/>
          <w:sz w:val="24"/>
          <w:szCs w:val="24"/>
        </w:rPr>
        <w:t>.</w:t>
      </w:r>
    </w:p>
    <w:p w14:paraId="3FDF5F12" w14:textId="77777777" w:rsidR="00832B44" w:rsidRPr="00774EDB" w:rsidRDefault="00814CC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Within the EU framework, Article 102 has been widely used to remedy dominant undertakings’ refusals to deal with their competitors, unless this is justified by an objective reasoning. This abusive behaviour, involving wide-ranging relationships consisting of competitors, customers and distributors, has been affirmed to potentially affect competitive functioning of the markets, under EU jurisprudence. Marking a contrast to the US law, the ‘essential facilities doctrine’ was more clearly acknowledged by the EU Courts, as having evolved through the case law based on ‘refusal to deal’, which traces back to the </w:t>
      </w:r>
      <w:r w:rsidRPr="00774EDB">
        <w:rPr>
          <w:rFonts w:ascii="Times New Roman" w:hAnsi="Times New Roman" w:cs="Times New Roman"/>
          <w:i/>
          <w:sz w:val="24"/>
          <w:szCs w:val="24"/>
        </w:rPr>
        <w:t>Commercial Solvents</w:t>
      </w:r>
      <w:r w:rsidRPr="00820EF9">
        <w:rPr>
          <w:rStyle w:val="FootnoteReference"/>
          <w:rFonts w:ascii="Times New Roman" w:hAnsi="Times New Roman" w:cs="Times New Roman"/>
          <w:sz w:val="24"/>
          <w:szCs w:val="24"/>
        </w:rPr>
        <w:footnoteReference w:id="461"/>
      </w:r>
      <w:r w:rsidRPr="00774EDB">
        <w:rPr>
          <w:rFonts w:ascii="Times New Roman" w:hAnsi="Times New Roman" w:cs="Times New Roman"/>
          <w:sz w:val="24"/>
          <w:szCs w:val="24"/>
        </w:rPr>
        <w:t xml:space="preserve"> case in the 1970s.</w:t>
      </w:r>
    </w:p>
    <w:p w14:paraId="66C31459" w14:textId="38646831" w:rsidR="009A3DDE" w:rsidRPr="00774EDB" w:rsidRDefault="009A3DD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w:t>
      </w:r>
      <w:r w:rsidRPr="00774EDB">
        <w:rPr>
          <w:rFonts w:ascii="Times New Roman" w:hAnsi="Times New Roman" w:cs="Times New Roman"/>
          <w:i/>
          <w:sz w:val="24"/>
          <w:szCs w:val="24"/>
        </w:rPr>
        <w:t>Commercial Solvents</w:t>
      </w:r>
      <w:r w:rsidRPr="00774EDB">
        <w:rPr>
          <w:rFonts w:ascii="Times New Roman" w:hAnsi="Times New Roman" w:cs="Times New Roman"/>
          <w:sz w:val="24"/>
          <w:szCs w:val="24"/>
        </w:rPr>
        <w:t xml:space="preserve">, which represents the leading ‘refusal to supply’ case under EU competition law, the condemned behaviour was a dominant company’s refusal to </w:t>
      </w:r>
      <w:r w:rsidRPr="00774EDB">
        <w:rPr>
          <w:rFonts w:ascii="Times New Roman" w:hAnsi="Times New Roman" w:cs="Times New Roman"/>
          <w:sz w:val="24"/>
          <w:szCs w:val="24"/>
        </w:rPr>
        <w:lastRenderedPageBreak/>
        <w:t xml:space="preserve">supply the raw material of amino-butanol, used for manufacturing ethambutol, which is an anti-tuberculosis drug. Commercial Solvents, a dominant company in the (upstream) market for amino-butanol, after having cut its supplies to its competitor Zoja, was found to have abused their dominant position, particularly as this happened following its subsidiary ICI starting to manufacture ethambutol. The CoJ’s judgement was based on the finding that: </w:t>
      </w:r>
    </w:p>
    <w:p w14:paraId="64F07BBD" w14:textId="42BBF7A4" w:rsidR="00810F80" w:rsidRPr="00774EDB" w:rsidRDefault="002132C9" w:rsidP="00A70042">
      <w:pPr>
        <w:spacing w:before="360"/>
        <w:ind w:left="720" w:right="720"/>
        <w:jc w:val="both"/>
        <w:rPr>
          <w:rFonts w:ascii="Times New Roman" w:hAnsi="Times New Roman" w:cs="Times New Roman"/>
          <w:sz w:val="24"/>
          <w:szCs w:val="24"/>
        </w:rPr>
      </w:pPr>
      <w:r w:rsidRPr="00774EDB">
        <w:rPr>
          <w:rFonts w:ascii="Times New Roman" w:hAnsi="Times New Roman" w:cs="Times New Roman"/>
          <w:sz w:val="24"/>
          <w:szCs w:val="24"/>
        </w:rPr>
        <w:t>A</w:t>
      </w:r>
      <w:r w:rsidR="009A3DDE" w:rsidRPr="00774EDB">
        <w:rPr>
          <w:rFonts w:ascii="Times New Roman" w:hAnsi="Times New Roman" w:cs="Times New Roman"/>
          <w:sz w:val="24"/>
          <w:szCs w:val="24"/>
        </w:rPr>
        <w:t>n undertaking which has a dominant position in the market in raw materials and which, with the object of reserving such raw material for manufacturing its own derivatives, refuses to supply a customer, which is itself a manufacturer of these derivatives, and therefore risks eliminating all competition on the part of customer, is abusing its dominant position within the meaning of Article 86 [ex-102]</w:t>
      </w:r>
      <w:r w:rsidR="007F4478" w:rsidRPr="00774EDB">
        <w:rPr>
          <w:rFonts w:ascii="Times New Roman" w:hAnsi="Times New Roman" w:cs="Times New Roman"/>
          <w:sz w:val="24"/>
          <w:szCs w:val="24"/>
        </w:rPr>
        <w:t>.</w:t>
      </w:r>
      <w:r w:rsidR="009A3DDE" w:rsidRPr="00774EDB">
        <w:rPr>
          <w:rStyle w:val="FootnoteReference"/>
          <w:rFonts w:ascii="Times New Roman" w:hAnsi="Times New Roman" w:cs="Times New Roman"/>
          <w:sz w:val="24"/>
          <w:szCs w:val="24"/>
        </w:rPr>
        <w:footnoteReference w:id="462"/>
      </w:r>
    </w:p>
    <w:p w14:paraId="27000661" w14:textId="77777777" w:rsidR="00530E75" w:rsidRPr="00774EDB" w:rsidRDefault="009A3DDE" w:rsidP="00A70042">
      <w:pPr>
        <w:spacing w:before="360"/>
        <w:jc w:val="both"/>
        <w:rPr>
          <w:rFonts w:ascii="Times New Roman" w:hAnsi="Times New Roman" w:cs="Times New Roman"/>
          <w:sz w:val="24"/>
          <w:szCs w:val="24"/>
        </w:rPr>
      </w:pPr>
      <w:r w:rsidRPr="00774EDB">
        <w:rPr>
          <w:rFonts w:ascii="Times New Roman" w:hAnsi="Times New Roman" w:cs="Times New Roman"/>
          <w:i/>
          <w:sz w:val="24"/>
          <w:szCs w:val="24"/>
        </w:rPr>
        <w:t>Commercial Solvents</w:t>
      </w:r>
      <w:r w:rsidRPr="00774EDB">
        <w:rPr>
          <w:rFonts w:ascii="Times New Roman" w:hAnsi="Times New Roman" w:cs="Times New Roman"/>
          <w:sz w:val="24"/>
          <w:szCs w:val="24"/>
        </w:rPr>
        <w:t xml:space="preserve"> was followed by further judgments with similar revelations in different contexts. In </w:t>
      </w:r>
      <w:r w:rsidRPr="00774EDB">
        <w:rPr>
          <w:rFonts w:ascii="Times New Roman" w:hAnsi="Times New Roman" w:cs="Times New Roman"/>
          <w:i/>
          <w:sz w:val="24"/>
          <w:szCs w:val="24"/>
        </w:rPr>
        <w:t>United Brands</w:t>
      </w:r>
      <w:r w:rsidRPr="00774EDB">
        <w:rPr>
          <w:rFonts w:ascii="Times New Roman" w:hAnsi="Times New Roman" w:cs="Times New Roman"/>
          <w:sz w:val="24"/>
          <w:szCs w:val="24"/>
        </w:rPr>
        <w:t>,</w:t>
      </w:r>
      <w:r w:rsidRPr="00A70042">
        <w:rPr>
          <w:rStyle w:val="FootnoteReference"/>
          <w:rFonts w:ascii="Times New Roman" w:hAnsi="Times New Roman" w:cs="Times New Roman"/>
          <w:sz w:val="24"/>
          <w:szCs w:val="24"/>
        </w:rPr>
        <w:footnoteReference w:id="463"/>
      </w:r>
      <w:r w:rsidRPr="00774EDB">
        <w:rPr>
          <w:rFonts w:ascii="Times New Roman" w:hAnsi="Times New Roman" w:cs="Times New Roman"/>
          <w:sz w:val="24"/>
          <w:szCs w:val="24"/>
        </w:rPr>
        <w:t xml:space="preserve"> a dominant company’s (United Brands) cutting off the deliveries of Chiquita branded bananas to its customer, Olesen, subsequent to its decision to promote and advertise a rival brand, was found as abusive under Article 102.</w:t>
      </w:r>
      <w:r w:rsidRPr="00774EDB">
        <w:rPr>
          <w:rStyle w:val="FootnoteReference"/>
          <w:rFonts w:ascii="Times New Roman" w:hAnsi="Times New Roman" w:cs="Times New Roman"/>
          <w:sz w:val="24"/>
          <w:szCs w:val="24"/>
        </w:rPr>
        <w:footnoteReference w:id="464"/>
      </w:r>
      <w:r w:rsidRPr="00774EDB">
        <w:rPr>
          <w:rFonts w:ascii="Times New Roman" w:hAnsi="Times New Roman" w:cs="Times New Roman"/>
          <w:sz w:val="24"/>
          <w:szCs w:val="24"/>
        </w:rPr>
        <w:t xml:space="preserve"> By the same token, in </w:t>
      </w:r>
      <w:r w:rsidRPr="00774EDB">
        <w:rPr>
          <w:rFonts w:ascii="Times New Roman" w:hAnsi="Times New Roman" w:cs="Times New Roman"/>
          <w:i/>
          <w:sz w:val="24"/>
          <w:szCs w:val="24"/>
        </w:rPr>
        <w:t>Telemarketing</w:t>
      </w:r>
      <w:r w:rsidRPr="00774EDB">
        <w:rPr>
          <w:rFonts w:ascii="Times New Roman" w:hAnsi="Times New Roman" w:cs="Times New Roman"/>
          <w:sz w:val="24"/>
          <w:szCs w:val="24"/>
        </w:rPr>
        <w:t xml:space="preserve">, the General Court (GC) condemned a dominant TV broadcaster’s tying up would-be telemarketing advertisements to the condition that its subsidiary was to be the contractor to answer the calls coming from </w:t>
      </w:r>
      <w:r w:rsidRPr="00774EDB">
        <w:rPr>
          <w:rFonts w:ascii="Times New Roman" w:hAnsi="Times New Roman" w:cs="Times New Roman"/>
          <w:sz w:val="24"/>
          <w:szCs w:val="24"/>
        </w:rPr>
        <w:lastRenderedPageBreak/>
        <w:t>the viewers. Considering this as a “refusal to supply the services of that [TV] station to any other telemarketing undertaking”, the European Court upheld the following:</w:t>
      </w:r>
    </w:p>
    <w:p w14:paraId="47018517" w14:textId="2E02ED2A" w:rsidR="00FC4B73" w:rsidRPr="00A70042" w:rsidRDefault="00530E75" w:rsidP="00A70042">
      <w:pPr>
        <w:pStyle w:val="NormalWeb"/>
        <w:spacing w:before="360" w:beforeAutospacing="0" w:after="0" w:afterAutospacing="0" w:line="480" w:lineRule="auto"/>
        <w:ind w:left="720" w:right="720"/>
        <w:jc w:val="both"/>
        <w:rPr>
          <w:spacing w:val="-4"/>
        </w:rPr>
      </w:pPr>
      <w:r w:rsidRPr="00A70042">
        <w:rPr>
          <w:spacing w:val="-4"/>
        </w:rPr>
        <w:t xml:space="preserve">If, further, that refusal is not justified by technical or commercial requirements relating to the nature of the television, but is intended to reserve to the agent any telemarketing operation broadcast by the said station, with the possibility of eliminating all competition from another undertaking, such conduct amounts to an abuse prohibited by Article 86 </w:t>
      </w:r>
      <w:r w:rsidRPr="00A70042">
        <w:rPr>
          <w:spacing w:val="-4"/>
        </w:rPr>
        <w:sym w:font="Symbol" w:char="F05B"/>
      </w:r>
      <w:r w:rsidRPr="00A70042">
        <w:rPr>
          <w:spacing w:val="-4"/>
        </w:rPr>
        <w:t xml:space="preserve">now </w:t>
      </w:r>
      <w:r w:rsidR="00EA6205" w:rsidRPr="00A70042">
        <w:rPr>
          <w:spacing w:val="-4"/>
        </w:rPr>
        <w:t>10</w:t>
      </w:r>
      <w:r w:rsidRPr="00A70042">
        <w:rPr>
          <w:spacing w:val="-4"/>
        </w:rPr>
        <w:t>2</w:t>
      </w:r>
      <w:r w:rsidRPr="00A70042">
        <w:rPr>
          <w:spacing w:val="-4"/>
        </w:rPr>
        <w:sym w:font="Symbol" w:char="F05D"/>
      </w:r>
      <w:r w:rsidRPr="00A70042">
        <w:rPr>
          <w:spacing w:val="-4"/>
        </w:rPr>
        <w:t>, provided that the other conditions of that article are satisfied</w:t>
      </w:r>
      <w:r w:rsidR="007F4478" w:rsidRPr="00A70042">
        <w:rPr>
          <w:spacing w:val="-4"/>
        </w:rPr>
        <w:t>.</w:t>
      </w:r>
      <w:r w:rsidR="001B2413" w:rsidRPr="00A70042">
        <w:rPr>
          <w:rStyle w:val="FootnoteReference"/>
          <w:rFonts w:eastAsiaTheme="majorEastAsia"/>
          <w:spacing w:val="-4"/>
        </w:rPr>
        <w:footnoteReference w:id="465"/>
      </w:r>
    </w:p>
    <w:p w14:paraId="74150B11" w14:textId="41511DBA" w:rsidR="001D7261" w:rsidRPr="00774EDB" w:rsidRDefault="009A3DDE" w:rsidP="00A70042">
      <w:pPr>
        <w:spacing w:before="360"/>
        <w:jc w:val="both"/>
        <w:rPr>
          <w:rFonts w:ascii="Times New Roman" w:hAnsi="Times New Roman" w:cs="Times New Roman"/>
          <w:b/>
          <w:sz w:val="24"/>
          <w:szCs w:val="24"/>
        </w:rPr>
      </w:pPr>
      <w:r w:rsidRPr="00774EDB">
        <w:rPr>
          <w:rFonts w:ascii="Times New Roman" w:hAnsi="Times New Roman" w:cs="Times New Roman"/>
          <w:sz w:val="24"/>
          <w:szCs w:val="24"/>
        </w:rPr>
        <w:t>As seen above, ‘refusal to deal’ was found to be abusive based on some behavioural elements seen in many EU precedents. In this regard, ‘termination of contract while entering into the downstream market’ (</w:t>
      </w:r>
      <w:r w:rsidRPr="00774EDB">
        <w:rPr>
          <w:rFonts w:ascii="Times New Roman" w:hAnsi="Times New Roman" w:cs="Times New Roman"/>
          <w:i/>
          <w:sz w:val="24"/>
          <w:szCs w:val="24"/>
        </w:rPr>
        <w:t>Commercial Solvents</w:t>
      </w:r>
      <w:r w:rsidRPr="00774EDB">
        <w:rPr>
          <w:rFonts w:ascii="Times New Roman" w:hAnsi="Times New Roman" w:cs="Times New Roman"/>
          <w:sz w:val="24"/>
          <w:szCs w:val="24"/>
        </w:rPr>
        <w:t>), ‘refusal to provide services to the customers who decide not to cooperate any more’ (</w:t>
      </w:r>
      <w:r w:rsidRPr="00774EDB">
        <w:rPr>
          <w:rFonts w:ascii="Times New Roman" w:hAnsi="Times New Roman" w:cs="Times New Roman"/>
          <w:i/>
          <w:sz w:val="24"/>
          <w:szCs w:val="24"/>
        </w:rPr>
        <w:t>United Brands</w:t>
      </w:r>
      <w:r w:rsidRPr="00774EDB">
        <w:rPr>
          <w:rFonts w:ascii="Times New Roman" w:hAnsi="Times New Roman" w:cs="Times New Roman"/>
          <w:sz w:val="24"/>
          <w:szCs w:val="24"/>
        </w:rPr>
        <w:t>) and ‘reserving an ancillary market by tying up purchases to buying an ancillary product’ (</w:t>
      </w:r>
      <w:r w:rsidRPr="00774EDB">
        <w:rPr>
          <w:rFonts w:ascii="Times New Roman" w:hAnsi="Times New Roman" w:cs="Times New Roman"/>
          <w:i/>
          <w:sz w:val="24"/>
          <w:szCs w:val="24"/>
        </w:rPr>
        <w:t>Telemarketing</w:t>
      </w:r>
      <w:r w:rsidRPr="00774EDB">
        <w:rPr>
          <w:rFonts w:ascii="Times New Roman" w:hAnsi="Times New Roman" w:cs="Times New Roman"/>
          <w:sz w:val="24"/>
          <w:szCs w:val="24"/>
        </w:rPr>
        <w:t xml:space="preserve">) come to the fore in the antitrust liability arising from a dominant firm’s refusal to deal.  Additionally, it is noticeable that the European Courts ruling on antitrust liability sought that ‘elimination of </w:t>
      </w:r>
      <w:r w:rsidRPr="00774EDB">
        <w:rPr>
          <w:rFonts w:ascii="Times New Roman" w:hAnsi="Times New Roman" w:cs="Times New Roman"/>
          <w:i/>
          <w:sz w:val="24"/>
          <w:szCs w:val="24"/>
        </w:rPr>
        <w:t>all</w:t>
      </w:r>
      <w:r w:rsidRPr="00774EDB">
        <w:rPr>
          <w:rFonts w:ascii="Times New Roman" w:hAnsi="Times New Roman" w:cs="Times New Roman"/>
          <w:sz w:val="24"/>
          <w:szCs w:val="24"/>
        </w:rPr>
        <w:t xml:space="preserve"> competition’ be risked following such a behaviour. Such case law infused the subsequent litigations based on ‘refusal to deal’ with wider implications, which are detailed below.</w:t>
      </w:r>
    </w:p>
    <w:p w14:paraId="6656908C" w14:textId="77777777" w:rsidR="00ED69A7" w:rsidRPr="00774EDB" w:rsidRDefault="00ED69A7" w:rsidP="00A70042">
      <w:pPr>
        <w:pStyle w:val="Heading5"/>
        <w:numPr>
          <w:ilvl w:val="4"/>
          <w:numId w:val="33"/>
        </w:numPr>
        <w:tabs>
          <w:tab w:val="left" w:pos="993"/>
        </w:tabs>
        <w:spacing w:before="360"/>
        <w:ind w:left="0" w:firstLine="0"/>
        <w:jc w:val="both"/>
        <w:rPr>
          <w:rFonts w:ascii="Times New Roman" w:hAnsi="Times New Roman" w:cs="Times New Roman"/>
          <w:b/>
          <w:color w:val="auto"/>
          <w:sz w:val="24"/>
          <w:szCs w:val="24"/>
          <w:lang w:val="en-US"/>
        </w:rPr>
      </w:pPr>
      <w:bookmarkStart w:id="407" w:name="_Toc17611423"/>
      <w:bookmarkStart w:id="408" w:name="_Toc53576068"/>
      <w:r w:rsidRPr="00774EDB">
        <w:rPr>
          <w:rFonts w:ascii="Times New Roman" w:hAnsi="Times New Roman" w:cs="Times New Roman"/>
          <w:b/>
          <w:color w:val="auto"/>
          <w:sz w:val="24"/>
          <w:szCs w:val="24"/>
          <w:lang w:val="en-US"/>
        </w:rPr>
        <w:t xml:space="preserve">Essential facilities </w:t>
      </w:r>
      <w:r w:rsidR="00A50B13" w:rsidRPr="00774EDB">
        <w:rPr>
          <w:rFonts w:ascii="Times New Roman" w:hAnsi="Times New Roman" w:cs="Times New Roman"/>
          <w:b/>
          <w:color w:val="auto"/>
          <w:sz w:val="24"/>
          <w:szCs w:val="24"/>
          <w:lang w:val="en-US"/>
        </w:rPr>
        <w:t xml:space="preserve">doctrine and related </w:t>
      </w:r>
      <w:r w:rsidRPr="00774EDB">
        <w:rPr>
          <w:rFonts w:ascii="Times New Roman" w:hAnsi="Times New Roman" w:cs="Times New Roman"/>
          <w:b/>
          <w:color w:val="auto"/>
          <w:sz w:val="24"/>
          <w:szCs w:val="24"/>
          <w:lang w:val="en-US"/>
        </w:rPr>
        <w:t>cases</w:t>
      </w:r>
      <w:bookmarkEnd w:id="407"/>
      <w:bookmarkEnd w:id="408"/>
      <w:r w:rsidRPr="00774EDB">
        <w:rPr>
          <w:rFonts w:ascii="Times New Roman" w:hAnsi="Times New Roman" w:cs="Times New Roman"/>
          <w:b/>
          <w:color w:val="auto"/>
          <w:sz w:val="24"/>
          <w:szCs w:val="24"/>
          <w:lang w:val="en-US"/>
        </w:rPr>
        <w:t xml:space="preserve"> </w:t>
      </w:r>
    </w:p>
    <w:p w14:paraId="3008237E" w14:textId="77777777" w:rsidR="00FA1D96" w:rsidRPr="00A70042" w:rsidRDefault="009A3DDE" w:rsidP="00A70042">
      <w:pPr>
        <w:spacing w:before="360"/>
        <w:jc w:val="both"/>
        <w:rPr>
          <w:rFonts w:ascii="Times New Roman" w:hAnsi="Times New Roman" w:cs="Times New Roman"/>
          <w:spacing w:val="-4"/>
          <w:sz w:val="24"/>
          <w:szCs w:val="24"/>
        </w:rPr>
      </w:pPr>
      <w:r w:rsidRPr="00A70042">
        <w:rPr>
          <w:rFonts w:ascii="Times New Roman" w:hAnsi="Times New Roman" w:cs="Times New Roman"/>
          <w:spacing w:val="-4"/>
          <w:sz w:val="24"/>
          <w:szCs w:val="24"/>
        </w:rPr>
        <w:t xml:space="preserve">While the mainstream ‘refusal to deal’ cases could be matched with common features that depend on ‘behavioural’ elements, another stream of cases emerge alongside these cases </w:t>
      </w:r>
      <w:r w:rsidRPr="00A70042">
        <w:rPr>
          <w:rFonts w:ascii="Times New Roman" w:hAnsi="Times New Roman" w:cs="Times New Roman"/>
          <w:spacing w:val="-4"/>
          <w:sz w:val="24"/>
          <w:szCs w:val="24"/>
        </w:rPr>
        <w:lastRenderedPageBreak/>
        <w:t>with more ‘structural’ aspects. The notion of ‘essential facilities’ and the need to open up such facilities to competition portrayed these cases, which have been mostly resolved by the Commission in the early 1990s, during the years when liberalisation figured on the EU agenda. In this emerging part of case law, Article 102 has been construed as containing an obligation for dominant undertakings to share access where a facility under their control is necessary for the exercise of activities in an adjacent market.</w:t>
      </w:r>
      <w:r w:rsidRPr="00A70042">
        <w:rPr>
          <w:rStyle w:val="FootnoteReference"/>
          <w:rFonts w:ascii="Times New Roman" w:hAnsi="Times New Roman" w:cs="Times New Roman"/>
          <w:spacing w:val="-4"/>
          <w:sz w:val="24"/>
          <w:szCs w:val="24"/>
        </w:rPr>
        <w:footnoteReference w:id="466"/>
      </w:r>
    </w:p>
    <w:p w14:paraId="7D0A2C59" w14:textId="77777777" w:rsidR="006E18BB" w:rsidRPr="00774EDB" w:rsidRDefault="006E18B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Signifying this approach, the </w:t>
      </w:r>
      <w:r w:rsidRPr="00774EDB">
        <w:rPr>
          <w:rFonts w:ascii="Times New Roman" w:hAnsi="Times New Roman" w:cs="Times New Roman"/>
          <w:i/>
          <w:sz w:val="24"/>
          <w:szCs w:val="24"/>
        </w:rPr>
        <w:t>London European/Sabena</w:t>
      </w:r>
      <w:r w:rsidRPr="00774EDB">
        <w:rPr>
          <w:rStyle w:val="FootnoteReference"/>
          <w:rFonts w:ascii="Times New Roman" w:hAnsi="Times New Roman" w:cs="Times New Roman"/>
          <w:sz w:val="24"/>
          <w:szCs w:val="24"/>
        </w:rPr>
        <w:footnoteReference w:id="467"/>
      </w:r>
      <w:r w:rsidRPr="00774EDB">
        <w:rPr>
          <w:rFonts w:ascii="Times New Roman" w:hAnsi="Times New Roman" w:cs="Times New Roman"/>
          <w:i/>
          <w:sz w:val="24"/>
          <w:szCs w:val="24"/>
        </w:rPr>
        <w:t xml:space="preserve"> </w:t>
      </w:r>
      <w:r w:rsidRPr="00774EDB">
        <w:rPr>
          <w:rFonts w:ascii="Times New Roman" w:hAnsi="Times New Roman" w:cs="Times New Roman"/>
          <w:sz w:val="24"/>
          <w:szCs w:val="24"/>
        </w:rPr>
        <w:t xml:space="preserve">and </w:t>
      </w:r>
      <w:r w:rsidRPr="00774EDB">
        <w:rPr>
          <w:rFonts w:ascii="Times New Roman" w:hAnsi="Times New Roman" w:cs="Times New Roman"/>
          <w:i/>
          <w:sz w:val="24"/>
          <w:szCs w:val="24"/>
        </w:rPr>
        <w:t>British Midland/Aer Lingus</w:t>
      </w:r>
      <w:r w:rsidRPr="00774EDB">
        <w:rPr>
          <w:rStyle w:val="FootnoteReference"/>
          <w:rFonts w:ascii="Times New Roman" w:hAnsi="Times New Roman" w:cs="Times New Roman"/>
          <w:sz w:val="24"/>
          <w:szCs w:val="24"/>
        </w:rPr>
        <w:footnoteReference w:id="468"/>
      </w:r>
      <w:r w:rsidRPr="00774EDB">
        <w:rPr>
          <w:rFonts w:ascii="Times New Roman" w:hAnsi="Times New Roman" w:cs="Times New Roman"/>
          <w:sz w:val="24"/>
          <w:szCs w:val="24"/>
        </w:rPr>
        <w:t xml:space="preserve"> decisions came up, laying down the milestones for a competition law ‘duty to deal’ by dominant companies. The former case originates from a dominant undertaking’s refusal to allow access to its computerised reservation system by another undertaking, which the Commission found abusive for it “could have resulted in London European [applicant] abandoning its plan to open a route between Brussels and Luton”. In the latter, the Commission found a dominant undertaking’s (Aer Lingus) refusal to interline</w:t>
      </w:r>
      <w:r w:rsidRPr="00774EDB">
        <w:rPr>
          <w:rStyle w:val="FootnoteReference"/>
          <w:rFonts w:ascii="Times New Roman" w:hAnsi="Times New Roman" w:cs="Times New Roman"/>
          <w:sz w:val="24"/>
          <w:szCs w:val="24"/>
        </w:rPr>
        <w:footnoteReference w:id="469"/>
      </w:r>
      <w:r w:rsidRPr="00774EDB">
        <w:rPr>
          <w:rFonts w:ascii="Times New Roman" w:hAnsi="Times New Roman" w:cs="Times New Roman"/>
          <w:sz w:val="24"/>
          <w:szCs w:val="24"/>
        </w:rPr>
        <w:t xml:space="preserve"> with another undertaking (British Midland) on a certain route as an infringement of Article 102. In this latter case, as a matter of fact, Aer Lingus’s strategy had not resulted in British Midland’s departure from the route, and it is difficult to see that the interlining could be classified as an ‘indispensable’ input, or an ‘essential facility’.</w:t>
      </w:r>
      <w:r w:rsidRPr="00774EDB">
        <w:rPr>
          <w:rStyle w:val="FootnoteReference"/>
          <w:rFonts w:ascii="Times New Roman" w:hAnsi="Times New Roman" w:cs="Times New Roman"/>
          <w:sz w:val="24"/>
          <w:szCs w:val="24"/>
        </w:rPr>
        <w:footnoteReference w:id="470"/>
      </w:r>
      <w:r w:rsidRPr="00774EDB">
        <w:rPr>
          <w:rFonts w:ascii="Times New Roman" w:hAnsi="Times New Roman" w:cs="Times New Roman"/>
          <w:sz w:val="24"/>
          <w:szCs w:val="24"/>
        </w:rPr>
        <w:t xml:space="preserve"> Moreover, it was not clear in both cases that the denial of access towards the new entrants threatened their survival as opposed to merely creating a competitive disadvantage.</w:t>
      </w:r>
      <w:r w:rsidRPr="00774EDB">
        <w:rPr>
          <w:rStyle w:val="FootnoteReference"/>
          <w:rFonts w:ascii="Times New Roman" w:hAnsi="Times New Roman" w:cs="Times New Roman"/>
          <w:sz w:val="24"/>
          <w:szCs w:val="24"/>
        </w:rPr>
        <w:footnoteReference w:id="471"/>
      </w:r>
    </w:p>
    <w:p w14:paraId="68C906ED" w14:textId="03CB6F7A" w:rsidR="00FD7EFB" w:rsidRPr="00774EDB" w:rsidRDefault="00BF34E6" w:rsidP="00A70042">
      <w:pPr>
        <w:spacing w:before="360"/>
        <w:jc w:val="both"/>
        <w:rPr>
          <w:rFonts w:ascii="Times New Roman" w:hAnsi="Times New Roman" w:cs="Times New Roman"/>
          <w:iCs/>
          <w:sz w:val="24"/>
          <w:szCs w:val="24"/>
        </w:rPr>
      </w:pPr>
      <w:r w:rsidRPr="00A70042">
        <w:rPr>
          <w:rFonts w:ascii="Times New Roman" w:hAnsi="Times New Roman" w:cs="Times New Roman"/>
          <w:spacing w:val="-2"/>
          <w:sz w:val="24"/>
          <w:szCs w:val="24"/>
        </w:rPr>
        <w:lastRenderedPageBreak/>
        <w:t xml:space="preserve">Subsequently, two interim Commission decisions; </w:t>
      </w:r>
      <w:r w:rsidRPr="00A70042">
        <w:rPr>
          <w:rFonts w:ascii="Times New Roman" w:hAnsi="Times New Roman" w:cs="Times New Roman"/>
          <w:i/>
          <w:iCs/>
          <w:spacing w:val="-2"/>
          <w:sz w:val="24"/>
          <w:szCs w:val="24"/>
        </w:rPr>
        <w:t>Sealink Harbours Ltd</w:t>
      </w:r>
      <w:r w:rsidRPr="00A70042">
        <w:rPr>
          <w:rFonts w:ascii="Times New Roman" w:hAnsi="Times New Roman" w:cs="Times New Roman"/>
          <w:spacing w:val="-2"/>
          <w:sz w:val="24"/>
          <w:szCs w:val="24"/>
        </w:rPr>
        <w:t>/</w:t>
      </w:r>
      <w:r w:rsidRPr="00A70042">
        <w:rPr>
          <w:rFonts w:ascii="Times New Roman" w:hAnsi="Times New Roman" w:cs="Times New Roman"/>
          <w:i/>
          <w:iCs/>
          <w:spacing w:val="-2"/>
          <w:sz w:val="24"/>
          <w:szCs w:val="24"/>
        </w:rPr>
        <w:t>B&amp;I Line plc</w:t>
      </w:r>
      <w:r w:rsidRPr="00A70042">
        <w:rPr>
          <w:rStyle w:val="FootnoteReference"/>
          <w:rFonts w:ascii="Times New Roman" w:hAnsi="Times New Roman" w:cs="Times New Roman"/>
          <w:spacing w:val="-2"/>
          <w:sz w:val="24"/>
          <w:szCs w:val="24"/>
        </w:rPr>
        <w:footnoteReference w:id="472"/>
      </w:r>
      <w:r w:rsidRPr="00A70042">
        <w:rPr>
          <w:rFonts w:ascii="Times New Roman" w:hAnsi="Times New Roman" w:cs="Times New Roman"/>
          <w:spacing w:val="-2"/>
          <w:sz w:val="24"/>
          <w:szCs w:val="24"/>
        </w:rPr>
        <w:t>and</w:t>
      </w:r>
      <w:r w:rsidRPr="00A70042">
        <w:rPr>
          <w:rFonts w:ascii="Times New Roman" w:hAnsi="Times New Roman" w:cs="Times New Roman"/>
          <w:i/>
          <w:iCs/>
          <w:spacing w:val="-2"/>
          <w:sz w:val="24"/>
          <w:szCs w:val="24"/>
        </w:rPr>
        <w:t xml:space="preserve"> Sea Containers</w:t>
      </w:r>
      <w:r w:rsidRPr="00A70042">
        <w:rPr>
          <w:rFonts w:ascii="Times New Roman" w:hAnsi="Times New Roman" w:cs="Times New Roman"/>
          <w:iCs/>
          <w:spacing w:val="-2"/>
          <w:sz w:val="24"/>
          <w:szCs w:val="24"/>
        </w:rPr>
        <w:t>/</w:t>
      </w:r>
      <w:r w:rsidRPr="00A70042">
        <w:rPr>
          <w:rFonts w:ascii="Times New Roman" w:hAnsi="Times New Roman" w:cs="Times New Roman"/>
          <w:i/>
          <w:iCs/>
          <w:spacing w:val="-2"/>
          <w:sz w:val="24"/>
          <w:szCs w:val="24"/>
        </w:rPr>
        <w:t>Stena Sealink,</w:t>
      </w:r>
      <w:r w:rsidRPr="00A70042">
        <w:rPr>
          <w:rStyle w:val="FootnoteReference"/>
          <w:rFonts w:ascii="Times New Roman" w:hAnsi="Times New Roman" w:cs="Times New Roman"/>
          <w:spacing w:val="-2"/>
          <w:sz w:val="24"/>
          <w:szCs w:val="24"/>
        </w:rPr>
        <w:footnoteReference w:id="473"/>
      </w:r>
      <w:r w:rsidRPr="00A70042">
        <w:rPr>
          <w:rFonts w:ascii="Times New Roman" w:hAnsi="Times New Roman" w:cs="Times New Roman"/>
          <w:spacing w:val="-2"/>
          <w:sz w:val="24"/>
          <w:szCs w:val="24"/>
        </w:rPr>
        <w:t xml:space="preserve"> could be said to have developed along the same lines. In these cases, which originated from the complaints of ferry operators who were not allowed, or allowed under onerous conditions, to use the port, the Commission found the dominant port owners liable for their actions, and concluded as follows:</w:t>
      </w:r>
    </w:p>
    <w:p w14:paraId="031B9E60" w14:textId="5582963D" w:rsidR="00683C30" w:rsidRPr="00A70042" w:rsidRDefault="0056138E" w:rsidP="00A70042">
      <w:pPr>
        <w:spacing w:before="360"/>
        <w:ind w:left="720" w:right="720"/>
        <w:jc w:val="both"/>
        <w:rPr>
          <w:rFonts w:ascii="Times New Roman" w:hAnsi="Times New Roman" w:cs="Times New Roman"/>
          <w:iCs/>
          <w:spacing w:val="-4"/>
          <w:sz w:val="24"/>
          <w:szCs w:val="24"/>
        </w:rPr>
      </w:pPr>
      <w:r w:rsidRPr="00A70042">
        <w:rPr>
          <w:rFonts w:ascii="Times New Roman" w:hAnsi="Times New Roman" w:cs="Times New Roman"/>
          <w:iCs/>
          <w:spacing w:val="-4"/>
          <w:sz w:val="24"/>
          <w:szCs w:val="24"/>
        </w:rPr>
        <w:t xml:space="preserve">An undertaking which occupies a dominant position in the provision of an </w:t>
      </w:r>
      <w:r w:rsidRPr="00A70042">
        <w:rPr>
          <w:rFonts w:ascii="Times New Roman" w:hAnsi="Times New Roman" w:cs="Times New Roman"/>
          <w:i/>
          <w:iCs/>
          <w:spacing w:val="-4"/>
          <w:sz w:val="24"/>
          <w:szCs w:val="24"/>
        </w:rPr>
        <w:t>essential facility</w:t>
      </w:r>
      <w:r w:rsidRPr="00A70042">
        <w:rPr>
          <w:rFonts w:ascii="Times New Roman" w:hAnsi="Times New Roman" w:cs="Times New Roman"/>
          <w:iCs/>
          <w:spacing w:val="-4"/>
          <w:sz w:val="24"/>
          <w:szCs w:val="24"/>
        </w:rPr>
        <w:t xml:space="preserve"> and itself uses that facility (i.e., a facility or infrastructure, without access to which competitors cannot provide services to their customers), and which refuses other companies access to that facility </w:t>
      </w:r>
      <w:r w:rsidRPr="00A70042">
        <w:rPr>
          <w:rFonts w:ascii="Times New Roman" w:hAnsi="Times New Roman" w:cs="Times New Roman"/>
          <w:i/>
          <w:iCs/>
          <w:spacing w:val="-4"/>
          <w:sz w:val="24"/>
          <w:szCs w:val="24"/>
        </w:rPr>
        <w:t xml:space="preserve">without objective justification </w:t>
      </w:r>
      <w:r w:rsidRPr="00A70042">
        <w:rPr>
          <w:rFonts w:ascii="Times New Roman" w:hAnsi="Times New Roman" w:cs="Times New Roman"/>
          <w:iCs/>
          <w:spacing w:val="-4"/>
          <w:sz w:val="24"/>
          <w:szCs w:val="24"/>
        </w:rPr>
        <w:t>or</w:t>
      </w:r>
      <w:r w:rsidRPr="00A70042">
        <w:rPr>
          <w:rFonts w:ascii="Times New Roman" w:hAnsi="Times New Roman" w:cs="Times New Roman"/>
          <w:i/>
          <w:iCs/>
          <w:spacing w:val="-4"/>
          <w:sz w:val="24"/>
          <w:szCs w:val="24"/>
        </w:rPr>
        <w:t xml:space="preserve"> </w:t>
      </w:r>
      <w:r w:rsidRPr="00A70042">
        <w:rPr>
          <w:rFonts w:ascii="Times New Roman" w:hAnsi="Times New Roman" w:cs="Times New Roman"/>
          <w:iCs/>
          <w:spacing w:val="-4"/>
          <w:sz w:val="24"/>
          <w:szCs w:val="24"/>
        </w:rPr>
        <w:t>grants access to competitors only</w:t>
      </w:r>
      <w:r w:rsidRPr="00A70042">
        <w:rPr>
          <w:rFonts w:ascii="Times New Roman" w:hAnsi="Times New Roman" w:cs="Times New Roman"/>
          <w:i/>
          <w:iCs/>
          <w:spacing w:val="-4"/>
          <w:sz w:val="24"/>
          <w:szCs w:val="24"/>
        </w:rPr>
        <w:t xml:space="preserve"> on terms less favourable than those which it gives its own services</w:t>
      </w:r>
      <w:r w:rsidRPr="00A70042">
        <w:rPr>
          <w:rFonts w:ascii="Times New Roman" w:hAnsi="Times New Roman" w:cs="Times New Roman"/>
          <w:iCs/>
          <w:spacing w:val="-4"/>
          <w:sz w:val="24"/>
          <w:szCs w:val="24"/>
        </w:rPr>
        <w:t>, infringes Article 86 [ex-102] if the other conditions of that Article are met.</w:t>
      </w:r>
      <w:r w:rsidR="00683C30" w:rsidRPr="00A70042">
        <w:rPr>
          <w:rStyle w:val="FootnoteReference"/>
          <w:rFonts w:ascii="Times New Roman" w:hAnsi="Times New Roman" w:cs="Times New Roman"/>
          <w:spacing w:val="-4"/>
          <w:sz w:val="24"/>
          <w:szCs w:val="24"/>
        </w:rPr>
        <w:footnoteReference w:id="474"/>
      </w:r>
      <w:r w:rsidR="00683C30" w:rsidRPr="00A70042">
        <w:rPr>
          <w:rFonts w:ascii="Times New Roman" w:hAnsi="Times New Roman" w:cs="Times New Roman"/>
          <w:iCs/>
          <w:spacing w:val="-4"/>
          <w:sz w:val="24"/>
          <w:szCs w:val="24"/>
        </w:rPr>
        <w:t xml:space="preserve"> </w:t>
      </w:r>
    </w:p>
    <w:p w14:paraId="2C7F5D6B" w14:textId="61BC3552" w:rsidR="00DB1ED3" w:rsidRPr="00774EDB" w:rsidRDefault="00BF34E6"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One of the most peculiar characteristics of these harbour cases is the implicit ‘special responsibility’ resulting merely from controlling bottleneck-type facilities, which are by and large attributed to a ‘duty to deal’, without any behavioural considerations.</w:t>
      </w:r>
      <w:r w:rsidRPr="00774EDB">
        <w:rPr>
          <w:rStyle w:val="FootnoteReference"/>
          <w:rFonts w:ascii="Times New Roman" w:hAnsi="Times New Roman" w:cs="Times New Roman"/>
          <w:sz w:val="24"/>
          <w:szCs w:val="24"/>
        </w:rPr>
        <w:footnoteReference w:id="475"/>
      </w:r>
      <w:r w:rsidRPr="00774EDB">
        <w:rPr>
          <w:rFonts w:ascii="Times New Roman" w:hAnsi="Times New Roman" w:cs="Times New Roman"/>
          <w:sz w:val="24"/>
          <w:szCs w:val="24"/>
        </w:rPr>
        <w:t xml:space="preserve"> Behavioural elements, framing the ‘refusal to deal’ cases i.e. </w:t>
      </w:r>
      <w:r w:rsidRPr="00774EDB">
        <w:rPr>
          <w:rFonts w:ascii="Times New Roman" w:hAnsi="Times New Roman" w:cs="Times New Roman"/>
          <w:i/>
          <w:sz w:val="24"/>
          <w:szCs w:val="24"/>
        </w:rPr>
        <w:t>Commercial Solvents,</w:t>
      </w:r>
      <w:r w:rsidRPr="00820EF9">
        <w:rPr>
          <w:rStyle w:val="FootnoteReference"/>
          <w:rFonts w:ascii="Times New Roman" w:hAnsi="Times New Roman" w:cs="Times New Roman"/>
          <w:sz w:val="24"/>
          <w:szCs w:val="24"/>
        </w:rPr>
        <w:footnoteReference w:id="476"/>
      </w:r>
      <w:r w:rsidRPr="00774EDB">
        <w:rPr>
          <w:rFonts w:ascii="Times New Roman" w:hAnsi="Times New Roman" w:cs="Times New Roman"/>
          <w:sz w:val="24"/>
          <w:szCs w:val="24"/>
        </w:rPr>
        <w:t xml:space="preserve"> are far less emphasized in this continuum of case law. In contrast to the previous case law, risks over ‘elimination of all competition’ do not constitute a subject matter of the analysis conducted. While a number of related cases were handled by the European </w:t>
      </w:r>
      <w:r w:rsidRPr="00774EDB">
        <w:rPr>
          <w:rFonts w:ascii="Times New Roman" w:hAnsi="Times New Roman" w:cs="Times New Roman"/>
          <w:sz w:val="24"/>
          <w:szCs w:val="24"/>
        </w:rPr>
        <w:lastRenderedPageBreak/>
        <w:t xml:space="preserve">Courts in the 1990s, i.e. </w:t>
      </w:r>
      <w:r w:rsidRPr="00774EDB">
        <w:rPr>
          <w:rFonts w:ascii="Times New Roman" w:hAnsi="Times New Roman" w:cs="Times New Roman"/>
          <w:i/>
          <w:sz w:val="24"/>
          <w:szCs w:val="24"/>
        </w:rPr>
        <w:t>Magill</w:t>
      </w:r>
      <w:r w:rsidRPr="00774EDB">
        <w:rPr>
          <w:rStyle w:val="FootnoteReference"/>
          <w:rFonts w:ascii="Times New Roman" w:hAnsi="Times New Roman" w:cs="Times New Roman"/>
          <w:iCs/>
          <w:sz w:val="24"/>
          <w:szCs w:val="24"/>
        </w:rPr>
        <w:footnoteReference w:id="477"/>
      </w:r>
      <w:r w:rsidRPr="00774EDB">
        <w:rPr>
          <w:rFonts w:ascii="Times New Roman" w:hAnsi="Times New Roman" w:cs="Times New Roman"/>
          <w:i/>
          <w:sz w:val="24"/>
          <w:szCs w:val="24"/>
        </w:rPr>
        <w:t xml:space="preserve">, </w:t>
      </w:r>
      <w:r w:rsidR="005D6BAB" w:rsidRPr="00774EDB">
        <w:rPr>
          <w:rFonts w:ascii="Times New Roman" w:hAnsi="Times New Roman" w:cs="Times New Roman"/>
          <w:i/>
          <w:sz w:val="24"/>
          <w:szCs w:val="24"/>
        </w:rPr>
        <w:t>Tiercé</w:t>
      </w:r>
      <w:r w:rsidRPr="00774EDB">
        <w:rPr>
          <w:rFonts w:ascii="Times New Roman" w:hAnsi="Times New Roman" w:cs="Times New Roman"/>
          <w:i/>
          <w:sz w:val="24"/>
          <w:szCs w:val="24"/>
        </w:rPr>
        <w:t xml:space="preserve"> Ladbroke</w:t>
      </w:r>
      <w:r w:rsidRPr="00774EDB">
        <w:rPr>
          <w:rFonts w:ascii="Times New Roman" w:hAnsi="Times New Roman" w:cs="Times New Roman"/>
          <w:iCs/>
          <w:sz w:val="24"/>
          <w:szCs w:val="24"/>
        </w:rPr>
        <w:t>,</w:t>
      </w:r>
      <w:r w:rsidRPr="00774EDB">
        <w:rPr>
          <w:rStyle w:val="FootnoteReference"/>
          <w:rFonts w:ascii="Times New Roman" w:hAnsi="Times New Roman" w:cs="Times New Roman"/>
          <w:sz w:val="24"/>
          <w:szCs w:val="24"/>
        </w:rPr>
        <w:footnoteReference w:id="478"/>
      </w:r>
      <w:r w:rsidRPr="00774EDB">
        <w:rPr>
          <w:rFonts w:ascii="Times New Roman" w:hAnsi="Times New Roman" w:cs="Times New Roman"/>
          <w:i/>
          <w:sz w:val="24"/>
          <w:szCs w:val="24"/>
        </w:rPr>
        <w:t xml:space="preserve"> Oscar Bronner</w:t>
      </w:r>
      <w:r w:rsidRPr="00774EDB">
        <w:rPr>
          <w:rStyle w:val="FootnoteReference"/>
          <w:rFonts w:ascii="Times New Roman" w:hAnsi="Times New Roman" w:cs="Times New Roman"/>
          <w:sz w:val="24"/>
          <w:szCs w:val="24"/>
        </w:rPr>
        <w:footnoteReference w:id="479"/>
      </w:r>
      <w:r w:rsidRPr="00774EDB">
        <w:rPr>
          <w:rFonts w:ascii="Times New Roman" w:hAnsi="Times New Roman" w:cs="Times New Roman"/>
          <w:i/>
          <w:sz w:val="24"/>
          <w:szCs w:val="24"/>
        </w:rPr>
        <w:t xml:space="preserve">, </w:t>
      </w:r>
      <w:r w:rsidRPr="00774EDB">
        <w:rPr>
          <w:rFonts w:ascii="Times New Roman" w:hAnsi="Times New Roman" w:cs="Times New Roman"/>
          <w:iCs/>
          <w:sz w:val="24"/>
          <w:szCs w:val="24"/>
        </w:rPr>
        <w:t>the latter</w:t>
      </w:r>
      <w:r w:rsidRPr="00774EDB">
        <w:rPr>
          <w:rFonts w:ascii="Times New Roman" w:hAnsi="Times New Roman" w:cs="Times New Roman"/>
          <w:sz w:val="24"/>
          <w:szCs w:val="24"/>
        </w:rPr>
        <w:t xml:space="preserve"> is widely acknowledged as the most remarkable EU case for drawing the scope and constraining the limits of the essential facilities doctrine, particularly for the tangible (physical) assets.</w:t>
      </w:r>
    </w:p>
    <w:p w14:paraId="17208AB5" w14:textId="6EA5FF6D" w:rsidR="00683C30" w:rsidRPr="00774EDB" w:rsidRDefault="00431EF9"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i/>
          <w:sz w:val="24"/>
          <w:szCs w:val="24"/>
        </w:rPr>
        <w:t xml:space="preserve">Oscar Bronner </w:t>
      </w:r>
      <w:r w:rsidRPr="00774EDB">
        <w:rPr>
          <w:rFonts w:ascii="Times New Roman" w:hAnsi="Times New Roman" w:cs="Times New Roman"/>
          <w:sz w:val="24"/>
          <w:szCs w:val="24"/>
        </w:rPr>
        <w:t xml:space="preserve">originated from an attempt by a publisher of an Austrian daily newspaper, Oscar Bronner, to get access to the only existing nationwide delivery scheme which was run by another publisher, Mediaprint, who held dominance in the Austrian daily newspaper market. Having faced a refusal from Mediaprint, Oscar Bronner took legal action before the Austrian Court, which then applied to the </w:t>
      </w:r>
      <w:r w:rsidR="00982C52" w:rsidRPr="00774EDB">
        <w:rPr>
          <w:rFonts w:ascii="Times New Roman" w:hAnsi="Times New Roman" w:cs="Times New Roman"/>
          <w:sz w:val="24"/>
          <w:szCs w:val="24"/>
        </w:rPr>
        <w:t>CoJ</w:t>
      </w:r>
      <w:r w:rsidRPr="00774EDB">
        <w:rPr>
          <w:rFonts w:ascii="Times New Roman" w:hAnsi="Times New Roman" w:cs="Times New Roman"/>
          <w:sz w:val="24"/>
          <w:szCs w:val="24"/>
        </w:rPr>
        <w:t xml:space="preserve"> with a preliminary question. The CoJ focused on the economic viability of access seeker(s) in the relevant market, and concluded that the following cumulative conditions need to be met for a refusal to grant access to an allegedly essential facility to be unlawful:</w:t>
      </w:r>
      <w:r w:rsidRPr="00774EDB">
        <w:rPr>
          <w:rStyle w:val="FootnoteReference"/>
          <w:rFonts w:ascii="Times New Roman" w:hAnsi="Times New Roman" w:cs="Times New Roman"/>
          <w:sz w:val="24"/>
          <w:szCs w:val="24"/>
        </w:rPr>
        <w:footnoteReference w:id="480"/>
      </w:r>
    </w:p>
    <w:p w14:paraId="5676099C" w14:textId="17B810EE" w:rsidR="00431EF9" w:rsidRPr="00774EDB" w:rsidRDefault="00431EF9" w:rsidP="00A70042">
      <w:pPr>
        <w:pStyle w:val="NormalWeb"/>
        <w:numPr>
          <w:ilvl w:val="0"/>
          <w:numId w:val="9"/>
        </w:numPr>
        <w:tabs>
          <w:tab w:val="clear" w:pos="1776"/>
        </w:tabs>
        <w:spacing w:before="240" w:beforeAutospacing="0" w:after="0" w:afterAutospacing="0" w:line="468" w:lineRule="auto"/>
        <w:ind w:left="709" w:hanging="352"/>
        <w:jc w:val="both"/>
      </w:pPr>
      <w:r w:rsidRPr="00774EDB">
        <w:t xml:space="preserve">The refusal must be </w:t>
      </w:r>
      <w:r w:rsidRPr="00774EDB">
        <w:rPr>
          <w:i/>
        </w:rPr>
        <w:t>likely to eliminate all competition</w:t>
      </w:r>
      <w:r w:rsidRPr="00774EDB">
        <w:t xml:space="preserve"> in the relevant market</w:t>
      </w:r>
      <w:r w:rsidR="00D10CA4">
        <w:t xml:space="preserve"> on</w:t>
      </w:r>
      <w:r w:rsidRPr="00774EDB">
        <w:t xml:space="preserve"> the requesting party,</w:t>
      </w:r>
    </w:p>
    <w:p w14:paraId="095B86EF" w14:textId="77777777" w:rsidR="00431EF9" w:rsidRPr="00774EDB" w:rsidRDefault="00431EF9" w:rsidP="00A70042">
      <w:pPr>
        <w:pStyle w:val="NormalWeb"/>
        <w:numPr>
          <w:ilvl w:val="0"/>
          <w:numId w:val="9"/>
        </w:numPr>
        <w:tabs>
          <w:tab w:val="clear" w:pos="1776"/>
        </w:tabs>
        <w:spacing w:before="240" w:beforeAutospacing="0" w:after="0" w:afterAutospacing="0" w:line="468" w:lineRule="auto"/>
        <w:ind w:left="709" w:hanging="352"/>
        <w:jc w:val="both"/>
      </w:pPr>
      <w:r w:rsidRPr="00774EDB">
        <w:t xml:space="preserve">The refusal must be incapable of being </w:t>
      </w:r>
      <w:r w:rsidRPr="00774EDB">
        <w:rPr>
          <w:i/>
        </w:rPr>
        <w:t>objectively justified</w:t>
      </w:r>
      <w:r w:rsidRPr="00774EDB">
        <w:t>,</w:t>
      </w:r>
    </w:p>
    <w:p w14:paraId="17542976" w14:textId="77777777" w:rsidR="00431EF9" w:rsidRPr="00774EDB" w:rsidRDefault="00431EF9" w:rsidP="00A70042">
      <w:pPr>
        <w:pStyle w:val="NormalWeb"/>
        <w:numPr>
          <w:ilvl w:val="0"/>
          <w:numId w:val="9"/>
        </w:numPr>
        <w:tabs>
          <w:tab w:val="clear" w:pos="1776"/>
        </w:tabs>
        <w:spacing w:before="240" w:beforeAutospacing="0" w:after="0" w:afterAutospacing="0" w:line="468" w:lineRule="auto"/>
        <w:ind w:left="709" w:hanging="352"/>
        <w:jc w:val="both"/>
      </w:pPr>
      <w:r w:rsidRPr="00774EDB">
        <w:t xml:space="preserve">The facility in question must be </w:t>
      </w:r>
      <w:r w:rsidRPr="00774EDB">
        <w:rPr>
          <w:i/>
        </w:rPr>
        <w:t>indispensable</w:t>
      </w:r>
      <w:r w:rsidRPr="00774EDB">
        <w:t xml:space="preserve"> in order for the business of the requesting person to be carried on (inasmuch as there is </w:t>
      </w:r>
      <w:r w:rsidRPr="00774EDB">
        <w:rPr>
          <w:i/>
        </w:rPr>
        <w:t>“no actual or potential substitute in existence”</w:t>
      </w:r>
      <w:r w:rsidRPr="00774EDB">
        <w:t>).</w:t>
      </w:r>
    </w:p>
    <w:p w14:paraId="0411153D" w14:textId="1F468672" w:rsidR="00380B7F" w:rsidRPr="00774EDB" w:rsidRDefault="00431EF9" w:rsidP="00A70042">
      <w:pPr>
        <w:spacing w:before="360" w:line="468" w:lineRule="auto"/>
        <w:jc w:val="both"/>
        <w:rPr>
          <w:rFonts w:ascii="Times New Roman" w:hAnsi="Times New Roman" w:cs="Times New Roman"/>
          <w:sz w:val="24"/>
          <w:szCs w:val="24"/>
        </w:rPr>
      </w:pPr>
      <w:r w:rsidRPr="00A70042">
        <w:rPr>
          <w:rFonts w:ascii="Times New Roman" w:hAnsi="Times New Roman" w:cs="Times New Roman"/>
          <w:spacing w:val="-4"/>
          <w:sz w:val="24"/>
          <w:szCs w:val="24"/>
        </w:rPr>
        <w:lastRenderedPageBreak/>
        <w:t xml:space="preserve">According to the </w:t>
      </w:r>
      <w:r w:rsidRPr="00A70042">
        <w:rPr>
          <w:rFonts w:ascii="Times New Roman" w:hAnsi="Times New Roman" w:cs="Times New Roman"/>
          <w:i/>
          <w:spacing w:val="-4"/>
          <w:sz w:val="24"/>
          <w:szCs w:val="24"/>
        </w:rPr>
        <w:t xml:space="preserve">Oscar Bronner </w:t>
      </w:r>
      <w:r w:rsidRPr="00A70042">
        <w:rPr>
          <w:rFonts w:ascii="Times New Roman" w:hAnsi="Times New Roman" w:cs="Times New Roman"/>
          <w:spacing w:val="-4"/>
          <w:sz w:val="24"/>
          <w:szCs w:val="24"/>
        </w:rPr>
        <w:t xml:space="preserve">case, a primary source, i.e. critical physical infrastructure, which is economically non-substitutable, is sought for a mandatory sharing, signifying a much higher (‘natural monopoly’ type) </w:t>
      </w:r>
      <w:r w:rsidRPr="00A70042">
        <w:rPr>
          <w:rFonts w:ascii="Times New Roman" w:hAnsi="Times New Roman" w:cs="Times New Roman"/>
          <w:i/>
          <w:iCs/>
          <w:spacing w:val="-4"/>
          <w:sz w:val="24"/>
          <w:szCs w:val="24"/>
        </w:rPr>
        <w:t>indispensability</w:t>
      </w:r>
      <w:r w:rsidRPr="00A70042">
        <w:rPr>
          <w:rFonts w:ascii="Times New Roman" w:hAnsi="Times New Roman" w:cs="Times New Roman"/>
          <w:spacing w:val="-4"/>
          <w:sz w:val="24"/>
          <w:szCs w:val="24"/>
        </w:rPr>
        <w:t xml:space="preserve"> threshold. In fact, there arises an economics-based formulation of the ‘essential facilities doctrine’ comparable to the ‘natural monopoly’ theory. Although considerable as a context-specific ruling, </w:t>
      </w:r>
      <w:r w:rsidRPr="00A70042">
        <w:rPr>
          <w:rFonts w:ascii="Times New Roman" w:hAnsi="Times New Roman" w:cs="Times New Roman"/>
          <w:i/>
          <w:spacing w:val="-4"/>
          <w:sz w:val="24"/>
          <w:szCs w:val="24"/>
        </w:rPr>
        <w:t>Oscar Bronner</w:t>
      </w:r>
      <w:r w:rsidRPr="00A70042">
        <w:rPr>
          <w:rFonts w:ascii="Times New Roman" w:hAnsi="Times New Roman" w:cs="Times New Roman"/>
          <w:spacing w:val="-4"/>
          <w:sz w:val="24"/>
          <w:szCs w:val="24"/>
        </w:rPr>
        <w:t xml:space="preserve"> is noteworthy for drawing up the jurisprudential lines, not only for ‘essential facilities’ type cases, but also, much more broadly speaking, ‘refusal to deal’ cases. On its own facts, i.e. based on a privately owned physical infrastructure, </w:t>
      </w:r>
      <w:r w:rsidRPr="00A70042">
        <w:rPr>
          <w:rFonts w:ascii="Times New Roman" w:hAnsi="Times New Roman" w:cs="Times New Roman"/>
          <w:i/>
          <w:spacing w:val="-4"/>
          <w:sz w:val="24"/>
          <w:szCs w:val="24"/>
        </w:rPr>
        <w:t>Oscar Bronner</w:t>
      </w:r>
      <w:r w:rsidRPr="00A70042">
        <w:rPr>
          <w:rFonts w:ascii="Times New Roman" w:hAnsi="Times New Roman" w:cs="Times New Roman"/>
          <w:spacing w:val="-4"/>
          <w:sz w:val="24"/>
          <w:szCs w:val="24"/>
        </w:rPr>
        <w:t xml:space="preserve"> appears as a perfectly justifiable decision, revealing a salutary reminder that the redress for refusals to supply under Article 102 is limited to those affecting the ‘process of competition’, not individual competitors.</w:t>
      </w:r>
      <w:r w:rsidRPr="00A70042">
        <w:rPr>
          <w:rStyle w:val="FootnoteReference"/>
          <w:rFonts w:ascii="Times New Roman" w:hAnsi="Times New Roman" w:cs="Times New Roman"/>
          <w:spacing w:val="-4"/>
          <w:sz w:val="24"/>
          <w:szCs w:val="24"/>
        </w:rPr>
        <w:footnoteReference w:id="481"/>
      </w:r>
      <w:r w:rsidR="00FD7EFB" w:rsidRPr="00A70042">
        <w:rPr>
          <w:rFonts w:ascii="Times New Roman" w:hAnsi="Times New Roman" w:cs="Times New Roman"/>
          <w:spacing w:val="-4"/>
          <w:sz w:val="24"/>
          <w:szCs w:val="24"/>
        </w:rPr>
        <w:t xml:space="preserve"> </w:t>
      </w:r>
      <w:r w:rsidR="00E628FC" w:rsidRPr="00A70042">
        <w:rPr>
          <w:rFonts w:ascii="Times New Roman" w:hAnsi="Times New Roman" w:cs="Times New Roman"/>
          <w:spacing w:val="-4"/>
          <w:sz w:val="24"/>
          <w:szCs w:val="24"/>
        </w:rPr>
        <w:t xml:space="preserve">  </w:t>
      </w:r>
    </w:p>
    <w:p w14:paraId="1E68672E" w14:textId="77777777" w:rsidR="00683C30" w:rsidRPr="00774EDB" w:rsidRDefault="00225E3D" w:rsidP="00A70042">
      <w:pPr>
        <w:pStyle w:val="Heading4"/>
        <w:numPr>
          <w:ilvl w:val="3"/>
          <w:numId w:val="33"/>
        </w:numPr>
        <w:tabs>
          <w:tab w:val="left" w:pos="851"/>
        </w:tabs>
        <w:spacing w:before="360"/>
        <w:ind w:left="0" w:firstLine="0"/>
        <w:jc w:val="both"/>
        <w:rPr>
          <w:rFonts w:ascii="Times New Roman" w:hAnsi="Times New Roman" w:cs="Times New Roman"/>
          <w:b/>
          <w:i w:val="0"/>
          <w:color w:val="auto"/>
          <w:sz w:val="24"/>
          <w:szCs w:val="24"/>
        </w:rPr>
      </w:pPr>
      <w:bookmarkStart w:id="409" w:name="_Toc17611424"/>
      <w:bookmarkStart w:id="410" w:name="_Toc53576069"/>
      <w:r w:rsidRPr="00774EDB">
        <w:rPr>
          <w:rFonts w:ascii="Times New Roman" w:hAnsi="Times New Roman" w:cs="Times New Roman"/>
          <w:b/>
          <w:i w:val="0"/>
          <w:color w:val="auto"/>
          <w:sz w:val="24"/>
          <w:szCs w:val="24"/>
        </w:rPr>
        <w:t>Refusal to licence</w:t>
      </w:r>
      <w:bookmarkEnd w:id="409"/>
      <w:bookmarkEnd w:id="410"/>
    </w:p>
    <w:p w14:paraId="29723B55" w14:textId="77777777" w:rsidR="00CA0E33" w:rsidRPr="00A70042" w:rsidRDefault="00431EF9" w:rsidP="00A70042">
      <w:pPr>
        <w:spacing w:before="360"/>
        <w:jc w:val="both"/>
        <w:rPr>
          <w:rFonts w:ascii="Times New Roman" w:hAnsi="Times New Roman" w:cs="Times New Roman"/>
          <w:spacing w:val="-2"/>
          <w:sz w:val="24"/>
          <w:szCs w:val="24"/>
          <w:lang w:val="tr-TR"/>
        </w:rPr>
      </w:pPr>
      <w:r w:rsidRPr="00A70042">
        <w:rPr>
          <w:rFonts w:ascii="Times New Roman" w:hAnsi="Times New Roman" w:cs="Times New Roman"/>
          <w:spacing w:val="-2"/>
          <w:sz w:val="24"/>
          <w:szCs w:val="24"/>
          <w:lang w:val="tr-TR"/>
        </w:rPr>
        <w:t>‘Refusal to license’ by a dominant undertaking represents an exclusionary abuse having unique features as well as building on the course of the ‘refusal to deal’ cases. Under EU competition law, ‘refusal to license’ ignites a more comprehensive scrutiny, when compared with conventional ‘refusal to deal’ cases. This stems from the very nature of the IPRs, which ban non-authorized use of the protected subject matter, which often consists of original (intellectual) creations or inventions based on some qualitative and/or quantitative work. Notably, a dominant undertaking holding an IPR, which is normally of an exclusionary nature, can not be considered as an abusive practice itself, as acknowledged by the CoJ.</w:t>
      </w:r>
      <w:r w:rsidRPr="00A70042">
        <w:rPr>
          <w:rStyle w:val="FootnoteReference"/>
          <w:rFonts w:ascii="Times New Roman" w:hAnsi="Times New Roman" w:cs="Times New Roman"/>
          <w:spacing w:val="-2"/>
          <w:sz w:val="24"/>
          <w:szCs w:val="24"/>
        </w:rPr>
        <w:footnoteReference w:id="482"/>
      </w:r>
      <w:r w:rsidRPr="00A70042">
        <w:rPr>
          <w:rFonts w:ascii="Times New Roman" w:hAnsi="Times New Roman" w:cs="Times New Roman"/>
          <w:spacing w:val="-2"/>
          <w:sz w:val="24"/>
          <w:szCs w:val="24"/>
          <w:lang w:val="tr-TR"/>
        </w:rPr>
        <w:t xml:space="preserve"> CoJ jurisprudence, while prepared to allow that even </w:t>
      </w:r>
      <w:r w:rsidRPr="00A70042">
        <w:rPr>
          <w:rFonts w:ascii="Times New Roman" w:hAnsi="Times New Roman" w:cs="Times New Roman"/>
          <w:spacing w:val="-2"/>
          <w:sz w:val="24"/>
          <w:szCs w:val="24"/>
          <w:lang w:val="tr-TR"/>
        </w:rPr>
        <w:lastRenderedPageBreak/>
        <w:t>dominant intellectual property owning firms should be free to choose their licensees, also concedes that ‘exceptional circumstances’ might nevertheless exist in which a refusal to license IPRs might constitute an abuse of dominant position.</w:t>
      </w:r>
      <w:r w:rsidRPr="00A70042">
        <w:rPr>
          <w:rStyle w:val="FootnoteReference"/>
          <w:rFonts w:ascii="Times New Roman" w:hAnsi="Times New Roman" w:cs="Times New Roman"/>
          <w:spacing w:val="-2"/>
          <w:sz w:val="24"/>
          <w:szCs w:val="24"/>
        </w:rPr>
        <w:footnoteReference w:id="483"/>
      </w:r>
    </w:p>
    <w:p w14:paraId="21A45BCC" w14:textId="4F85F557" w:rsidR="0075339D" w:rsidRPr="00774EDB" w:rsidRDefault="00CC2F9B"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i/>
          <w:sz w:val="24"/>
          <w:szCs w:val="24"/>
          <w:lang w:val="tr-TR"/>
        </w:rPr>
        <w:t>Magill</w:t>
      </w:r>
      <w:r w:rsidRPr="00774EDB">
        <w:rPr>
          <w:rFonts w:ascii="Times New Roman" w:hAnsi="Times New Roman" w:cs="Times New Roman"/>
          <w:sz w:val="24"/>
          <w:szCs w:val="24"/>
          <w:lang w:val="tr-TR"/>
        </w:rPr>
        <w:t xml:space="preserve">, a landmark judgement on ‘refusal to license’, for the first time set out the so-called ‘exceptional circumstances’ that warrant sharing of dominant IPR-protected products. </w:t>
      </w:r>
      <w:r w:rsidRPr="00774EDB">
        <w:rPr>
          <w:rFonts w:ascii="Times New Roman" w:hAnsi="Times New Roman" w:cs="Times New Roman"/>
          <w:sz w:val="24"/>
          <w:szCs w:val="24"/>
        </w:rPr>
        <w:t xml:space="preserve">In the </w:t>
      </w:r>
      <w:r w:rsidRPr="00774EDB">
        <w:rPr>
          <w:rFonts w:ascii="Times New Roman" w:hAnsi="Times New Roman" w:cs="Times New Roman"/>
          <w:i/>
          <w:sz w:val="24"/>
          <w:szCs w:val="24"/>
        </w:rPr>
        <w:t>Magill</w:t>
      </w:r>
      <w:r w:rsidRPr="00774EDB">
        <w:rPr>
          <w:rFonts w:ascii="Times New Roman" w:hAnsi="Times New Roman" w:cs="Times New Roman"/>
          <w:sz w:val="24"/>
          <w:szCs w:val="24"/>
        </w:rPr>
        <w:t xml:space="preserve"> case, three European television companies (RTE, BBC, and ITP) refused to disclose their weekly programme listings which a publisher (Magill) needed in order to create a weekly guide compiling all the programme listings at the time. Refusal to disclose such information was justified by the three television companies on the basis that their programme listings had been protected with copyright according to UK and Irish laws. The Commission held that the television companies abused their dominant position on the (downstream) market for weekly television magazines and regarded the non-disclosure as a prohibited conduct under Article 102 since they hindered the creation of a </w:t>
      </w:r>
      <w:r w:rsidRPr="00774EDB">
        <w:rPr>
          <w:rFonts w:ascii="Times New Roman" w:hAnsi="Times New Roman" w:cs="Times New Roman"/>
          <w:i/>
          <w:sz w:val="24"/>
          <w:szCs w:val="24"/>
        </w:rPr>
        <w:t>new product,</w:t>
      </w:r>
      <w:r w:rsidRPr="00774EDB">
        <w:rPr>
          <w:rFonts w:ascii="Times New Roman" w:hAnsi="Times New Roman" w:cs="Times New Roman"/>
          <w:sz w:val="24"/>
          <w:szCs w:val="24"/>
        </w:rPr>
        <w:t xml:space="preserve"> as well as retaining the downstream market to themselves. On appeal, both the</w:t>
      </w:r>
      <w:r w:rsidR="00B15309" w:rsidRPr="00774EDB">
        <w:rPr>
          <w:rFonts w:ascii="Times New Roman" w:hAnsi="Times New Roman" w:cs="Times New Roman"/>
          <w:sz w:val="24"/>
          <w:szCs w:val="24"/>
        </w:rPr>
        <w:t xml:space="preserve"> GC</w:t>
      </w:r>
      <w:r w:rsidRPr="00774EDB">
        <w:rPr>
          <w:rFonts w:ascii="Times New Roman" w:hAnsi="Times New Roman" w:cs="Times New Roman"/>
          <w:sz w:val="24"/>
          <w:szCs w:val="24"/>
        </w:rPr>
        <w:t xml:space="preserve"> and CoJ rejected the arguments related to copyright protection, upholding the Commission’s decision.</w:t>
      </w:r>
    </w:p>
    <w:p w14:paraId="10D75C2E" w14:textId="77777777" w:rsidR="0075339D" w:rsidRPr="00774EDB" w:rsidRDefault="00CC2F9B" w:rsidP="00A70042">
      <w:pPr>
        <w:spacing w:before="360" w:line="468" w:lineRule="auto"/>
        <w:jc w:val="both"/>
        <w:rPr>
          <w:rFonts w:ascii="Times New Roman" w:hAnsi="Times New Roman" w:cs="Times New Roman"/>
          <w:bCs/>
          <w:sz w:val="24"/>
          <w:szCs w:val="24"/>
          <w:lang w:val="tr-TR"/>
        </w:rPr>
      </w:pPr>
      <w:r w:rsidRPr="00774EDB">
        <w:rPr>
          <w:rFonts w:ascii="Times New Roman" w:hAnsi="Times New Roman" w:cs="Times New Roman"/>
          <w:bCs/>
          <w:sz w:val="24"/>
          <w:szCs w:val="24"/>
        </w:rPr>
        <w:t xml:space="preserve">The CoJ specified three reasons, naming them as the “exceptional circumstances” which render the television companies’ refusal to license unlawful. First, the television companies’ refusal prevented the </w:t>
      </w:r>
      <w:r w:rsidRPr="00774EDB">
        <w:rPr>
          <w:rFonts w:ascii="Times New Roman" w:hAnsi="Times New Roman" w:cs="Times New Roman"/>
          <w:bCs/>
          <w:i/>
          <w:sz w:val="24"/>
          <w:szCs w:val="24"/>
        </w:rPr>
        <w:t>appearance of a new product</w:t>
      </w:r>
      <w:r w:rsidRPr="00774EDB">
        <w:rPr>
          <w:rFonts w:ascii="Times New Roman" w:hAnsi="Times New Roman" w:cs="Times New Roman"/>
          <w:bCs/>
          <w:sz w:val="24"/>
          <w:szCs w:val="24"/>
        </w:rPr>
        <w:t xml:space="preserve">, a comprehensive weekly guide to television programs for which there was a </w:t>
      </w:r>
      <w:r w:rsidRPr="00774EDB">
        <w:rPr>
          <w:rFonts w:ascii="Times New Roman" w:hAnsi="Times New Roman" w:cs="Times New Roman"/>
          <w:bCs/>
          <w:iCs/>
          <w:sz w:val="24"/>
          <w:szCs w:val="24"/>
        </w:rPr>
        <w:t>potential consumer demand</w:t>
      </w:r>
      <w:r w:rsidRPr="00774EDB">
        <w:rPr>
          <w:rFonts w:ascii="Times New Roman" w:hAnsi="Times New Roman" w:cs="Times New Roman"/>
          <w:bCs/>
          <w:sz w:val="24"/>
          <w:szCs w:val="24"/>
        </w:rPr>
        <w:t xml:space="preserve">. Second, there was </w:t>
      </w:r>
      <w:r w:rsidRPr="00774EDB">
        <w:rPr>
          <w:rFonts w:ascii="Times New Roman" w:hAnsi="Times New Roman" w:cs="Times New Roman"/>
          <w:bCs/>
          <w:i/>
          <w:sz w:val="24"/>
          <w:szCs w:val="24"/>
        </w:rPr>
        <w:t>no objective justification</w:t>
      </w:r>
      <w:r w:rsidRPr="00774EDB">
        <w:rPr>
          <w:rFonts w:ascii="Times New Roman" w:hAnsi="Times New Roman" w:cs="Times New Roman"/>
          <w:bCs/>
          <w:sz w:val="24"/>
          <w:szCs w:val="24"/>
        </w:rPr>
        <w:t xml:space="preserve"> for their refusal. Third, “the appellants, by </w:t>
      </w:r>
      <w:r w:rsidRPr="00774EDB">
        <w:rPr>
          <w:rFonts w:ascii="Times New Roman" w:hAnsi="Times New Roman" w:cs="Times New Roman"/>
          <w:bCs/>
          <w:sz w:val="24"/>
          <w:szCs w:val="24"/>
        </w:rPr>
        <w:lastRenderedPageBreak/>
        <w:t xml:space="preserve">their conduct, reserved to themselves the secondary market of the weekly television guides by </w:t>
      </w:r>
      <w:r w:rsidRPr="00774EDB">
        <w:rPr>
          <w:rFonts w:ascii="Times New Roman" w:hAnsi="Times New Roman" w:cs="Times New Roman"/>
          <w:bCs/>
          <w:i/>
          <w:sz w:val="24"/>
          <w:szCs w:val="24"/>
        </w:rPr>
        <w:t>excluding all competition</w:t>
      </w:r>
      <w:r w:rsidRPr="00774EDB">
        <w:rPr>
          <w:rFonts w:ascii="Times New Roman" w:hAnsi="Times New Roman" w:cs="Times New Roman"/>
          <w:bCs/>
          <w:sz w:val="24"/>
          <w:szCs w:val="24"/>
        </w:rPr>
        <w:t xml:space="preserve"> in that market </w:t>
      </w:r>
      <w:r w:rsidRPr="00774EDB">
        <w:rPr>
          <w:rFonts w:ascii="Times New Roman" w:hAnsi="Times New Roman" w:cs="Times New Roman"/>
          <w:bCs/>
          <w:sz w:val="24"/>
          <w:szCs w:val="24"/>
        </w:rPr>
        <w:sym w:font="Symbol" w:char="F05B"/>
      </w:r>
      <w:r w:rsidRPr="00774EDB">
        <w:rPr>
          <w:rFonts w:ascii="Times New Roman" w:hAnsi="Times New Roman" w:cs="Times New Roman"/>
          <w:bCs/>
          <w:sz w:val="24"/>
          <w:szCs w:val="24"/>
        </w:rPr>
        <w:t xml:space="preserve">with reference to </w:t>
      </w:r>
      <w:r w:rsidRPr="00774EDB">
        <w:rPr>
          <w:rFonts w:ascii="Times New Roman" w:hAnsi="Times New Roman" w:cs="Times New Roman"/>
          <w:bCs/>
          <w:i/>
          <w:iCs/>
          <w:sz w:val="24"/>
          <w:szCs w:val="24"/>
        </w:rPr>
        <w:t>Commercial Solvents</w:t>
      </w:r>
      <w:r w:rsidRPr="00774EDB">
        <w:rPr>
          <w:rFonts w:ascii="Times New Roman" w:hAnsi="Times New Roman" w:cs="Times New Roman"/>
          <w:bCs/>
          <w:sz w:val="24"/>
          <w:szCs w:val="24"/>
        </w:rPr>
        <w:sym w:font="Symbol" w:char="F05D"/>
      </w:r>
      <w:r w:rsidRPr="00774EDB">
        <w:rPr>
          <w:rFonts w:ascii="Times New Roman" w:hAnsi="Times New Roman" w:cs="Times New Roman"/>
          <w:bCs/>
          <w:sz w:val="24"/>
          <w:szCs w:val="24"/>
        </w:rPr>
        <w:t xml:space="preserve">, since they denied access to the basic information which is the raw material </w:t>
      </w:r>
      <w:r w:rsidRPr="00774EDB">
        <w:rPr>
          <w:rFonts w:ascii="Times New Roman" w:hAnsi="Times New Roman" w:cs="Times New Roman"/>
          <w:bCs/>
          <w:i/>
          <w:sz w:val="24"/>
          <w:szCs w:val="24"/>
        </w:rPr>
        <w:t>indispensable</w:t>
      </w:r>
      <w:r w:rsidRPr="00774EDB">
        <w:rPr>
          <w:rFonts w:ascii="Times New Roman" w:hAnsi="Times New Roman" w:cs="Times New Roman"/>
          <w:bCs/>
          <w:sz w:val="24"/>
          <w:szCs w:val="24"/>
        </w:rPr>
        <w:t xml:space="preserve"> for the compilation of such a guide.</w:t>
      </w:r>
      <w:r w:rsidRPr="00774EDB">
        <w:rPr>
          <w:rStyle w:val="FootnoteReference"/>
          <w:rFonts w:ascii="Times New Roman" w:hAnsi="Times New Roman" w:cs="Times New Roman"/>
          <w:bCs/>
          <w:sz w:val="24"/>
          <w:szCs w:val="24"/>
        </w:rPr>
        <w:footnoteReference w:id="484"/>
      </w:r>
      <w:r w:rsidR="00BB505E" w:rsidRPr="00774EDB">
        <w:rPr>
          <w:rFonts w:ascii="Times New Roman" w:hAnsi="Times New Roman" w:cs="Times New Roman"/>
          <w:bCs/>
          <w:sz w:val="24"/>
          <w:szCs w:val="24"/>
        </w:rPr>
        <w:t xml:space="preserve"> </w:t>
      </w:r>
    </w:p>
    <w:p w14:paraId="34A6040B" w14:textId="77777777" w:rsidR="000914E6" w:rsidRPr="00A70042" w:rsidRDefault="00CC2F9B" w:rsidP="00A70042">
      <w:pPr>
        <w:spacing w:before="360" w:line="468" w:lineRule="auto"/>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The</w:t>
      </w:r>
      <w:r w:rsidRPr="00A70042">
        <w:rPr>
          <w:rFonts w:ascii="Times New Roman" w:hAnsi="Times New Roman" w:cs="Times New Roman"/>
          <w:i/>
          <w:spacing w:val="-2"/>
          <w:sz w:val="24"/>
          <w:szCs w:val="24"/>
        </w:rPr>
        <w:t xml:space="preserve"> Magill</w:t>
      </w:r>
      <w:r w:rsidRPr="00A70042">
        <w:rPr>
          <w:rFonts w:ascii="Times New Roman" w:hAnsi="Times New Roman" w:cs="Times New Roman"/>
          <w:spacing w:val="-2"/>
          <w:sz w:val="24"/>
          <w:szCs w:val="24"/>
        </w:rPr>
        <w:t xml:space="preserve"> judgement clearly builds on the previous case law regarding ‘refusal to deal’, such as in</w:t>
      </w:r>
      <w:r w:rsidRPr="00A70042">
        <w:rPr>
          <w:rFonts w:ascii="Times New Roman" w:hAnsi="Times New Roman" w:cs="Times New Roman"/>
          <w:i/>
          <w:spacing w:val="-2"/>
          <w:sz w:val="24"/>
          <w:szCs w:val="24"/>
        </w:rPr>
        <w:t xml:space="preserve"> Commercial Solvents</w:t>
      </w:r>
      <w:r w:rsidRPr="00A70042">
        <w:rPr>
          <w:rFonts w:ascii="Times New Roman" w:hAnsi="Times New Roman" w:cs="Times New Roman"/>
          <w:spacing w:val="-2"/>
          <w:sz w:val="24"/>
          <w:szCs w:val="24"/>
        </w:rPr>
        <w:t>, incorporating the key elements such as ‘objective justification’, ‘elimination of all competition’ and ‘indispensability’,</w:t>
      </w:r>
      <w:r w:rsidRPr="00A70042">
        <w:rPr>
          <w:rStyle w:val="FootnoteReference"/>
          <w:rFonts w:ascii="Times New Roman" w:hAnsi="Times New Roman" w:cs="Times New Roman"/>
          <w:spacing w:val="-2"/>
          <w:sz w:val="24"/>
          <w:szCs w:val="24"/>
        </w:rPr>
        <w:footnoteReference w:id="485"/>
      </w:r>
      <w:r w:rsidRPr="00A70042">
        <w:rPr>
          <w:rFonts w:ascii="Times New Roman" w:hAnsi="Times New Roman" w:cs="Times New Roman"/>
          <w:spacing w:val="-2"/>
          <w:sz w:val="24"/>
          <w:szCs w:val="24"/>
        </w:rPr>
        <w:t xml:space="preserve"> which reflect the baseline of ‘exceptional circumstances’ that is also applicable to IPR-protected dominant products. Further to these elements, the </w:t>
      </w:r>
      <w:r w:rsidRPr="00A70042">
        <w:rPr>
          <w:rFonts w:ascii="Times New Roman" w:hAnsi="Times New Roman" w:cs="Times New Roman"/>
          <w:i/>
          <w:spacing w:val="-2"/>
          <w:sz w:val="24"/>
          <w:szCs w:val="24"/>
        </w:rPr>
        <w:t>Magill</w:t>
      </w:r>
      <w:r w:rsidRPr="00A70042">
        <w:rPr>
          <w:rFonts w:ascii="Times New Roman" w:hAnsi="Times New Roman" w:cs="Times New Roman"/>
          <w:spacing w:val="-2"/>
          <w:sz w:val="24"/>
          <w:szCs w:val="24"/>
        </w:rPr>
        <w:t xml:space="preserve"> judgement created the ‘new product’ test, a new element, to investigate ‘refusal to license’ cases within the context of ‘exceptional circumstances’. That is to say, the ‘refusal to license’ analysis has been taken up a notch by the CoJ</w:t>
      </w:r>
      <w:r w:rsidR="00571094" w:rsidRPr="00A70042">
        <w:rPr>
          <w:rFonts w:ascii="Times New Roman" w:hAnsi="Times New Roman" w:cs="Times New Roman"/>
          <w:spacing w:val="-2"/>
          <w:sz w:val="24"/>
          <w:szCs w:val="24"/>
        </w:rPr>
        <w:t>,</w:t>
      </w:r>
      <w:r w:rsidR="00480923" w:rsidRPr="00A70042">
        <w:rPr>
          <w:rFonts w:ascii="Times New Roman" w:hAnsi="Times New Roman" w:cs="Times New Roman"/>
          <w:spacing w:val="-2"/>
          <w:sz w:val="24"/>
          <w:szCs w:val="24"/>
        </w:rPr>
        <w:t xml:space="preserve"> which</w:t>
      </w:r>
      <w:r w:rsidRPr="00A70042">
        <w:rPr>
          <w:rFonts w:ascii="Times New Roman" w:hAnsi="Times New Roman" w:cs="Times New Roman"/>
          <w:spacing w:val="-2"/>
          <w:sz w:val="24"/>
          <w:szCs w:val="24"/>
        </w:rPr>
        <w:t xml:space="preserve"> </w:t>
      </w:r>
      <w:r w:rsidR="00480923" w:rsidRPr="00A70042">
        <w:rPr>
          <w:rFonts w:ascii="Times New Roman" w:hAnsi="Times New Roman" w:cs="Times New Roman"/>
          <w:spacing w:val="-2"/>
          <w:sz w:val="24"/>
          <w:szCs w:val="24"/>
        </w:rPr>
        <w:t>went</w:t>
      </w:r>
      <w:r w:rsidRPr="00A70042">
        <w:rPr>
          <w:rFonts w:ascii="Times New Roman" w:hAnsi="Times New Roman" w:cs="Times New Roman"/>
          <w:spacing w:val="-2"/>
          <w:sz w:val="24"/>
          <w:szCs w:val="24"/>
        </w:rPr>
        <w:t xml:space="preserve"> bey</w:t>
      </w:r>
      <w:r w:rsidR="00480923" w:rsidRPr="00A70042">
        <w:rPr>
          <w:rFonts w:ascii="Times New Roman" w:hAnsi="Times New Roman" w:cs="Times New Roman"/>
          <w:spacing w:val="-2"/>
          <w:sz w:val="24"/>
          <w:szCs w:val="24"/>
        </w:rPr>
        <w:t>ond</w:t>
      </w:r>
      <w:r w:rsidRPr="00A70042">
        <w:rPr>
          <w:rFonts w:ascii="Times New Roman" w:hAnsi="Times New Roman" w:cs="Times New Roman"/>
          <w:spacing w:val="-2"/>
          <w:sz w:val="24"/>
          <w:szCs w:val="24"/>
        </w:rPr>
        <w:t xml:space="preserve"> the ‘refusal to deal’ analysis.</w:t>
      </w:r>
    </w:p>
    <w:p w14:paraId="780B7C42" w14:textId="67F94423" w:rsidR="00276445" w:rsidRPr="00774EDB" w:rsidRDefault="00571094"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The</w:t>
      </w:r>
      <w:r w:rsidRPr="00774EDB">
        <w:rPr>
          <w:rFonts w:ascii="Times New Roman" w:hAnsi="Times New Roman" w:cs="Times New Roman"/>
          <w:i/>
          <w:sz w:val="24"/>
          <w:szCs w:val="24"/>
        </w:rPr>
        <w:t xml:space="preserve"> Magill</w:t>
      </w:r>
      <w:r w:rsidRPr="00774EDB">
        <w:rPr>
          <w:rFonts w:ascii="Times New Roman" w:hAnsi="Times New Roman" w:cs="Times New Roman"/>
          <w:sz w:val="24"/>
          <w:szCs w:val="24"/>
        </w:rPr>
        <w:t xml:space="preserve"> judgment has had its repercussions in the subsequent Court decisions, including in </w:t>
      </w:r>
      <w:r w:rsidRPr="00774EDB">
        <w:rPr>
          <w:rFonts w:ascii="Times New Roman" w:hAnsi="Times New Roman" w:cs="Times New Roman"/>
          <w:i/>
          <w:sz w:val="24"/>
          <w:szCs w:val="24"/>
        </w:rPr>
        <w:t>Tierce Ladbroke</w:t>
      </w:r>
      <w:r w:rsidRPr="00774EDB">
        <w:rPr>
          <w:rStyle w:val="FootnoteReference"/>
          <w:rFonts w:ascii="Times New Roman" w:hAnsi="Times New Roman" w:cs="Times New Roman"/>
          <w:sz w:val="24"/>
          <w:szCs w:val="24"/>
        </w:rPr>
        <w:footnoteReference w:id="486"/>
      </w:r>
      <w:r w:rsidRPr="00774EDB">
        <w:rPr>
          <w:rFonts w:ascii="Times New Roman" w:hAnsi="Times New Roman" w:cs="Times New Roman"/>
          <w:sz w:val="24"/>
          <w:szCs w:val="24"/>
        </w:rPr>
        <w:t xml:space="preserve"> and </w:t>
      </w:r>
      <w:r w:rsidRPr="00774EDB">
        <w:rPr>
          <w:rFonts w:ascii="Times New Roman" w:hAnsi="Times New Roman" w:cs="Times New Roman"/>
          <w:i/>
          <w:sz w:val="24"/>
          <w:szCs w:val="24"/>
        </w:rPr>
        <w:t>IMS Health</w:t>
      </w:r>
      <w:r w:rsidRPr="00774EDB">
        <w:rPr>
          <w:rFonts w:ascii="Times New Roman" w:hAnsi="Times New Roman" w:cs="Times New Roman"/>
          <w:sz w:val="24"/>
          <w:szCs w:val="24"/>
        </w:rPr>
        <w:t xml:space="preserve">, where </w:t>
      </w:r>
      <w:r w:rsidRPr="00774EDB">
        <w:rPr>
          <w:rFonts w:ascii="Times New Roman" w:hAnsi="Times New Roman" w:cs="Times New Roman"/>
          <w:i/>
          <w:sz w:val="24"/>
          <w:szCs w:val="24"/>
        </w:rPr>
        <w:t>Magill</w:t>
      </w:r>
      <w:r w:rsidRPr="00774EDB">
        <w:rPr>
          <w:rFonts w:ascii="Times New Roman" w:hAnsi="Times New Roman" w:cs="Times New Roman"/>
          <w:sz w:val="24"/>
          <w:szCs w:val="24"/>
        </w:rPr>
        <w:t xml:space="preserve"> criteria were elaborated and reinforced. Particularly, </w:t>
      </w:r>
      <w:r w:rsidRPr="00774EDB">
        <w:rPr>
          <w:rFonts w:ascii="Times New Roman" w:hAnsi="Times New Roman" w:cs="Times New Roman"/>
          <w:i/>
          <w:sz w:val="24"/>
          <w:szCs w:val="24"/>
        </w:rPr>
        <w:t>IMS Health</w:t>
      </w:r>
      <w:r w:rsidRPr="00774EDB">
        <w:rPr>
          <w:rFonts w:ascii="Times New Roman" w:hAnsi="Times New Roman" w:cs="Times New Roman"/>
          <w:sz w:val="24"/>
          <w:szCs w:val="24"/>
        </w:rPr>
        <w:t xml:space="preserve"> represents a landmark judgement, whereby the ‘exceptional circumstances’ test was revisited and demystified. In </w:t>
      </w:r>
      <w:r w:rsidRPr="00774EDB">
        <w:rPr>
          <w:rFonts w:ascii="Times New Roman" w:hAnsi="Times New Roman" w:cs="Times New Roman"/>
          <w:i/>
          <w:sz w:val="24"/>
          <w:szCs w:val="24"/>
        </w:rPr>
        <w:t>IMS Health</w:t>
      </w:r>
      <w:r w:rsidRPr="00774EDB">
        <w:rPr>
          <w:rFonts w:ascii="Times New Roman" w:hAnsi="Times New Roman" w:cs="Times New Roman"/>
          <w:sz w:val="24"/>
          <w:szCs w:val="24"/>
        </w:rPr>
        <w:t>, the conflict between the parties began after a new entrant PII, afterwards acquired by NDC, initiated to use a copyrighted database concerning pharmaceutical sales in Germany</w:t>
      </w:r>
      <w:r w:rsidRPr="00774EDB">
        <w:rPr>
          <w:rStyle w:val="FootnoteReference"/>
          <w:rFonts w:ascii="Times New Roman" w:hAnsi="Times New Roman" w:cs="Times New Roman"/>
          <w:sz w:val="24"/>
          <w:szCs w:val="24"/>
        </w:rPr>
        <w:footnoteReference w:id="487"/>
      </w:r>
      <w:r w:rsidRPr="00774EDB">
        <w:rPr>
          <w:rFonts w:ascii="Times New Roman" w:hAnsi="Times New Roman" w:cs="Times New Roman"/>
          <w:sz w:val="24"/>
          <w:szCs w:val="24"/>
        </w:rPr>
        <w:t xml:space="preserve"> for its market sales’ services. During the judicial proceedings before the </w:t>
      </w:r>
      <w:r w:rsidRPr="00774EDB">
        <w:rPr>
          <w:rFonts w:ascii="Times New Roman" w:hAnsi="Times New Roman" w:cs="Times New Roman"/>
          <w:sz w:val="24"/>
          <w:szCs w:val="24"/>
        </w:rPr>
        <w:lastRenderedPageBreak/>
        <w:t xml:space="preserve">national German court, a preliminary question as to whether the claimant’s (IMS) refusal to license could amount to an abuse was referred to the CoJ. Meanwhile, NDC applied to the Commission with the allegation that IMS breached Article 102. Despite the Commission’s finding as to the existence of ‘exceptional circumstances’ by mentioning that the so-called copyrighted database has been a </w:t>
      </w:r>
      <w:r w:rsidRPr="00774EDB">
        <w:rPr>
          <w:rFonts w:ascii="Times New Roman" w:hAnsi="Times New Roman" w:cs="Times New Roman"/>
          <w:i/>
          <w:sz w:val="24"/>
          <w:szCs w:val="24"/>
        </w:rPr>
        <w:t>de facto</w:t>
      </w:r>
      <w:r w:rsidRPr="00774EDB">
        <w:rPr>
          <w:rFonts w:ascii="Times New Roman" w:hAnsi="Times New Roman" w:cs="Times New Roman"/>
          <w:sz w:val="24"/>
          <w:szCs w:val="24"/>
        </w:rPr>
        <w:t xml:space="preserve"> industrial standard,</w:t>
      </w:r>
      <w:r w:rsidRPr="00774EDB">
        <w:rPr>
          <w:rStyle w:val="FootnoteReference"/>
          <w:rFonts w:ascii="Times New Roman" w:hAnsi="Times New Roman" w:cs="Times New Roman"/>
          <w:sz w:val="24"/>
          <w:szCs w:val="24"/>
        </w:rPr>
        <w:footnoteReference w:id="488"/>
      </w:r>
      <w:r w:rsidRPr="00774EDB">
        <w:rPr>
          <w:rFonts w:ascii="Times New Roman" w:hAnsi="Times New Roman" w:cs="Times New Roman"/>
          <w:sz w:val="24"/>
          <w:szCs w:val="24"/>
        </w:rPr>
        <w:t xml:space="preserve"> the</w:t>
      </w:r>
      <w:r w:rsidR="005D6BAB" w:rsidRPr="00774EDB">
        <w:rPr>
          <w:rFonts w:ascii="Times New Roman" w:hAnsi="Times New Roman" w:cs="Times New Roman"/>
          <w:sz w:val="24"/>
          <w:szCs w:val="24"/>
        </w:rPr>
        <w:t xml:space="preserve"> GC</w:t>
      </w:r>
      <w:r w:rsidRPr="00774EDB">
        <w:rPr>
          <w:rFonts w:ascii="Times New Roman" w:hAnsi="Times New Roman" w:cs="Times New Roman"/>
          <w:sz w:val="24"/>
          <w:szCs w:val="24"/>
        </w:rPr>
        <w:t xml:space="preserve"> suspended the Commission’s interim decision.</w:t>
      </w:r>
      <w:r w:rsidRPr="00774EDB">
        <w:rPr>
          <w:rStyle w:val="FootnoteReference"/>
          <w:rFonts w:ascii="Times New Roman" w:hAnsi="Times New Roman" w:cs="Times New Roman"/>
          <w:sz w:val="24"/>
          <w:szCs w:val="24"/>
        </w:rPr>
        <w:footnoteReference w:id="489"/>
      </w:r>
    </w:p>
    <w:p w14:paraId="504A416F" w14:textId="4F859771" w:rsidR="0090682A" w:rsidRPr="00774EDB" w:rsidRDefault="003B0A2C" w:rsidP="00A70042">
      <w:pPr>
        <w:spacing w:before="360"/>
        <w:jc w:val="both"/>
        <w:rPr>
          <w:rStyle w:val="PageNumber"/>
          <w:rFonts w:ascii="Times New Roman" w:hAnsi="Times New Roman" w:cs="Times New Roman"/>
          <w:sz w:val="24"/>
          <w:szCs w:val="24"/>
        </w:rPr>
      </w:pPr>
      <w:r w:rsidRPr="00774EDB">
        <w:rPr>
          <w:rFonts w:ascii="Times New Roman" w:hAnsi="Times New Roman" w:cs="Times New Roman"/>
          <w:sz w:val="24"/>
          <w:szCs w:val="24"/>
        </w:rPr>
        <w:t xml:space="preserve">Rendering a preliminary ruling under Article 267 (formerly Article 234) of the TFEU, the CoJ stated that the ‘exceptional circumstances’ of </w:t>
      </w:r>
      <w:r w:rsidRPr="00774EDB">
        <w:rPr>
          <w:rFonts w:ascii="Times New Roman" w:hAnsi="Times New Roman" w:cs="Times New Roman"/>
          <w:i/>
          <w:iCs/>
          <w:sz w:val="24"/>
          <w:szCs w:val="24"/>
        </w:rPr>
        <w:t>Magill</w:t>
      </w:r>
      <w:r w:rsidRPr="00774EDB">
        <w:rPr>
          <w:rFonts w:ascii="Times New Roman" w:hAnsi="Times New Roman" w:cs="Times New Roman"/>
          <w:sz w:val="24"/>
          <w:szCs w:val="24"/>
        </w:rPr>
        <w:t xml:space="preserve"> were to be applied </w:t>
      </w:r>
      <w:r w:rsidRPr="00774EDB">
        <w:rPr>
          <w:rFonts w:ascii="Times New Roman" w:hAnsi="Times New Roman" w:cs="Times New Roman"/>
          <w:i/>
          <w:sz w:val="24"/>
          <w:szCs w:val="24"/>
        </w:rPr>
        <w:t>cumulatively</w:t>
      </w:r>
      <w:r w:rsidRPr="00774EDB">
        <w:rPr>
          <w:rFonts w:ascii="Times New Roman" w:hAnsi="Times New Roman" w:cs="Times New Roman"/>
          <w:sz w:val="24"/>
          <w:szCs w:val="24"/>
        </w:rPr>
        <w:t>. According to the CoJ, in order for a dominant firm’s</w:t>
      </w:r>
      <w:r w:rsidRPr="00774EDB">
        <w:rPr>
          <w:rFonts w:ascii="Times New Roman" w:hAnsi="Times New Roman" w:cs="Times New Roman"/>
          <w:i/>
          <w:iCs/>
          <w:sz w:val="24"/>
          <w:szCs w:val="24"/>
        </w:rPr>
        <w:t xml:space="preserve"> </w:t>
      </w:r>
      <w:r w:rsidRPr="00774EDB">
        <w:rPr>
          <w:rFonts w:ascii="Times New Roman" w:hAnsi="Times New Roman" w:cs="Times New Roman"/>
          <w:sz w:val="24"/>
          <w:szCs w:val="24"/>
        </w:rPr>
        <w:t xml:space="preserve">refusal to licence a competitor who is carrying out a business dependent on the former’s </w:t>
      </w:r>
      <w:r w:rsidRPr="00774EDB">
        <w:rPr>
          <w:rFonts w:ascii="Times New Roman" w:hAnsi="Times New Roman" w:cs="Times New Roman"/>
          <w:i/>
          <w:sz w:val="24"/>
          <w:szCs w:val="24"/>
        </w:rPr>
        <w:t>indispensable</w:t>
      </w:r>
      <w:r w:rsidRPr="00774EDB">
        <w:rPr>
          <w:rFonts w:ascii="Times New Roman" w:hAnsi="Times New Roman" w:cs="Times New Roman"/>
          <w:sz w:val="24"/>
          <w:szCs w:val="24"/>
        </w:rPr>
        <w:t xml:space="preserve"> IPR to be an abuse, all the following three conditions have to be fulfilled:</w:t>
      </w:r>
      <w:r w:rsidRPr="00774EDB">
        <w:rPr>
          <w:rStyle w:val="FootnoteReference"/>
          <w:rFonts w:ascii="Times New Roman" w:hAnsi="Times New Roman" w:cs="Times New Roman"/>
          <w:sz w:val="24"/>
          <w:szCs w:val="24"/>
        </w:rPr>
        <w:footnoteReference w:id="490"/>
      </w:r>
    </w:p>
    <w:p w14:paraId="4BBD12CB" w14:textId="77777777" w:rsidR="00A652D8" w:rsidRPr="00774EDB" w:rsidRDefault="00A652D8" w:rsidP="00A70042">
      <w:pPr>
        <w:numPr>
          <w:ilvl w:val="0"/>
          <w:numId w:val="10"/>
        </w:numPr>
        <w:spacing w:before="240"/>
        <w:ind w:left="714" w:hanging="357"/>
        <w:jc w:val="both"/>
        <w:rPr>
          <w:rFonts w:ascii="Times New Roman" w:hAnsi="Times New Roman" w:cs="Times New Roman"/>
          <w:sz w:val="24"/>
          <w:szCs w:val="24"/>
        </w:rPr>
      </w:pPr>
      <w:r w:rsidRPr="00774EDB">
        <w:rPr>
          <w:rFonts w:ascii="Times New Roman" w:hAnsi="Times New Roman" w:cs="Times New Roman"/>
          <w:sz w:val="24"/>
          <w:szCs w:val="24"/>
        </w:rPr>
        <w:t xml:space="preserve">the undertaking which requests the licence intends to offer, on the market for the supply of data in question, </w:t>
      </w:r>
      <w:r w:rsidRPr="00774EDB">
        <w:rPr>
          <w:rFonts w:ascii="Times New Roman" w:hAnsi="Times New Roman" w:cs="Times New Roman"/>
          <w:i/>
          <w:sz w:val="24"/>
          <w:szCs w:val="24"/>
        </w:rPr>
        <w:t>new products or services not offered by the copyright owner and for which there is potential consumer demand</w:t>
      </w:r>
      <w:r w:rsidRPr="00774EDB">
        <w:rPr>
          <w:rFonts w:ascii="Times New Roman" w:hAnsi="Times New Roman" w:cs="Times New Roman"/>
          <w:sz w:val="24"/>
          <w:szCs w:val="24"/>
        </w:rPr>
        <w:t>;</w:t>
      </w:r>
    </w:p>
    <w:p w14:paraId="2F86DCEC" w14:textId="77777777" w:rsidR="00A652D8" w:rsidRPr="00774EDB" w:rsidRDefault="00A652D8" w:rsidP="00A70042">
      <w:pPr>
        <w:numPr>
          <w:ilvl w:val="0"/>
          <w:numId w:val="10"/>
        </w:numPr>
        <w:spacing w:before="240"/>
        <w:ind w:left="714" w:hanging="357"/>
        <w:jc w:val="both"/>
        <w:rPr>
          <w:rFonts w:ascii="Times New Roman" w:hAnsi="Times New Roman" w:cs="Times New Roman"/>
          <w:sz w:val="24"/>
          <w:szCs w:val="24"/>
        </w:rPr>
      </w:pPr>
      <w:r w:rsidRPr="00774EDB">
        <w:rPr>
          <w:rFonts w:ascii="Times New Roman" w:hAnsi="Times New Roman" w:cs="Times New Roman"/>
          <w:sz w:val="24"/>
          <w:szCs w:val="24"/>
        </w:rPr>
        <w:t xml:space="preserve">the refusal is </w:t>
      </w:r>
      <w:r w:rsidRPr="00774EDB">
        <w:rPr>
          <w:rFonts w:ascii="Times New Roman" w:hAnsi="Times New Roman" w:cs="Times New Roman"/>
          <w:i/>
          <w:sz w:val="24"/>
          <w:szCs w:val="24"/>
        </w:rPr>
        <w:t>not justified by objective considerations</w:t>
      </w:r>
      <w:r w:rsidRPr="00774EDB">
        <w:rPr>
          <w:rFonts w:ascii="Times New Roman" w:hAnsi="Times New Roman" w:cs="Times New Roman"/>
          <w:sz w:val="24"/>
          <w:szCs w:val="24"/>
        </w:rPr>
        <w:t>;</w:t>
      </w:r>
    </w:p>
    <w:p w14:paraId="63D62824" w14:textId="77777777" w:rsidR="00A652D8" w:rsidRPr="00774EDB" w:rsidRDefault="00A652D8" w:rsidP="00A70042">
      <w:pPr>
        <w:numPr>
          <w:ilvl w:val="0"/>
          <w:numId w:val="10"/>
        </w:numPr>
        <w:spacing w:before="240"/>
        <w:ind w:left="714" w:hanging="357"/>
        <w:jc w:val="both"/>
        <w:rPr>
          <w:rFonts w:ascii="Times New Roman" w:hAnsi="Times New Roman" w:cs="Times New Roman"/>
          <w:sz w:val="24"/>
          <w:szCs w:val="24"/>
        </w:rPr>
      </w:pPr>
      <w:r w:rsidRPr="00774EDB">
        <w:rPr>
          <w:rFonts w:ascii="Times New Roman" w:hAnsi="Times New Roman" w:cs="Times New Roman"/>
          <w:sz w:val="24"/>
          <w:szCs w:val="24"/>
        </w:rPr>
        <w:t>the refusal is such as to reserve to the cop</w:t>
      </w:r>
      <w:r w:rsidR="002C6EA5" w:rsidRPr="00774EDB">
        <w:rPr>
          <w:rFonts w:ascii="Times New Roman" w:hAnsi="Times New Roman" w:cs="Times New Roman"/>
          <w:sz w:val="24"/>
          <w:szCs w:val="24"/>
        </w:rPr>
        <w:t>yright owner the market for the</w:t>
      </w:r>
      <w:r w:rsidRPr="00774EDB">
        <w:rPr>
          <w:rFonts w:ascii="Times New Roman" w:hAnsi="Times New Roman" w:cs="Times New Roman"/>
          <w:sz w:val="24"/>
          <w:szCs w:val="24"/>
        </w:rPr>
        <w:t xml:space="preserve"> supply of data on sales of pharmaceutical products in the Member State concerned by </w:t>
      </w:r>
      <w:r w:rsidRPr="00774EDB">
        <w:rPr>
          <w:rFonts w:ascii="Times New Roman" w:hAnsi="Times New Roman" w:cs="Times New Roman"/>
          <w:i/>
          <w:sz w:val="24"/>
          <w:szCs w:val="24"/>
        </w:rPr>
        <w:t>eliminating all competition on that market</w:t>
      </w:r>
      <w:r w:rsidRPr="00774EDB">
        <w:rPr>
          <w:rFonts w:ascii="Times New Roman" w:hAnsi="Times New Roman" w:cs="Times New Roman"/>
          <w:sz w:val="24"/>
          <w:szCs w:val="24"/>
        </w:rPr>
        <w:t xml:space="preserve">. </w:t>
      </w:r>
    </w:p>
    <w:p w14:paraId="016965FE" w14:textId="530FBC8A" w:rsidR="005B4017" w:rsidRPr="00774EDB" w:rsidRDefault="003B0A2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 xml:space="preserve">The EU Court seems to have carefully crafted the ‘exceptional circumstances’ within the specific context of the </w:t>
      </w:r>
      <w:r w:rsidRPr="00774EDB">
        <w:rPr>
          <w:rFonts w:ascii="Times New Roman" w:hAnsi="Times New Roman" w:cs="Times New Roman"/>
          <w:i/>
          <w:sz w:val="24"/>
          <w:szCs w:val="24"/>
        </w:rPr>
        <w:t xml:space="preserve">IMS Health </w:t>
      </w:r>
      <w:r w:rsidRPr="00774EDB">
        <w:rPr>
          <w:rFonts w:ascii="Times New Roman" w:hAnsi="Times New Roman" w:cs="Times New Roman"/>
          <w:sz w:val="24"/>
          <w:szCs w:val="24"/>
        </w:rPr>
        <w:t xml:space="preserve">case. First of all, ‘exceptional circumstances’ originating from </w:t>
      </w:r>
      <w:r w:rsidRPr="00774EDB">
        <w:rPr>
          <w:rFonts w:ascii="Times New Roman" w:hAnsi="Times New Roman" w:cs="Times New Roman"/>
          <w:i/>
          <w:sz w:val="24"/>
          <w:szCs w:val="24"/>
        </w:rPr>
        <w:t>Magill</w:t>
      </w:r>
      <w:r w:rsidRPr="00774EDB">
        <w:rPr>
          <w:rFonts w:ascii="Times New Roman" w:hAnsi="Times New Roman" w:cs="Times New Roman"/>
          <w:sz w:val="24"/>
          <w:szCs w:val="24"/>
        </w:rPr>
        <w:t xml:space="preserve"> with regard to mandatory licensing were acknowledged to be applied ‘cumulatively’, not on an alternative basis. It was thereby affirmed that the ‘new product test’ needs to be applied as an inseparable component of the so-called </w:t>
      </w:r>
      <w:r w:rsidRPr="00774EDB">
        <w:rPr>
          <w:rFonts w:ascii="Times New Roman" w:hAnsi="Times New Roman" w:cs="Times New Roman"/>
          <w:i/>
          <w:iCs/>
          <w:sz w:val="24"/>
          <w:szCs w:val="24"/>
        </w:rPr>
        <w:t>Magill</w:t>
      </w:r>
      <w:r w:rsidRPr="00774EDB">
        <w:rPr>
          <w:rFonts w:ascii="Times New Roman" w:hAnsi="Times New Roman" w:cs="Times New Roman"/>
          <w:sz w:val="24"/>
          <w:szCs w:val="24"/>
        </w:rPr>
        <w:t xml:space="preserve">-origin test. Secondly, well-established cumulative conditions of </w:t>
      </w:r>
      <w:r w:rsidRPr="00774EDB">
        <w:rPr>
          <w:rFonts w:ascii="Times New Roman" w:hAnsi="Times New Roman" w:cs="Times New Roman"/>
          <w:i/>
          <w:sz w:val="24"/>
          <w:szCs w:val="24"/>
        </w:rPr>
        <w:t>Magill</w:t>
      </w:r>
      <w:r w:rsidRPr="00774EDB">
        <w:rPr>
          <w:rFonts w:ascii="Times New Roman" w:hAnsi="Times New Roman" w:cs="Times New Roman"/>
          <w:sz w:val="24"/>
          <w:szCs w:val="24"/>
        </w:rPr>
        <w:t xml:space="preserve"> were construed to be not exhaustive, but ‘sufficient’ for a mandatory licensing under Article 102.</w:t>
      </w:r>
      <w:r w:rsidRPr="00774EDB">
        <w:rPr>
          <w:rStyle w:val="FootnoteReference"/>
          <w:rFonts w:ascii="Times New Roman" w:hAnsi="Times New Roman" w:cs="Times New Roman"/>
          <w:sz w:val="24"/>
          <w:szCs w:val="24"/>
        </w:rPr>
        <w:footnoteReference w:id="491"/>
      </w:r>
      <w:r w:rsidRPr="00774EDB">
        <w:rPr>
          <w:rFonts w:ascii="Times New Roman" w:hAnsi="Times New Roman" w:cs="Times New Roman"/>
          <w:sz w:val="24"/>
          <w:szCs w:val="24"/>
        </w:rPr>
        <w:t xml:space="preserve"> That proposition seems to follow the purpose of Article 102(b), which is to prohibit abusive conducts by dominant firms where such conduct limits </w:t>
      </w:r>
      <w:r w:rsidRPr="00774EDB">
        <w:rPr>
          <w:rFonts w:ascii="Times New Roman" w:hAnsi="Times New Roman" w:cs="Times New Roman"/>
          <w:i/>
          <w:sz w:val="24"/>
          <w:szCs w:val="24"/>
        </w:rPr>
        <w:t>technical development of markets</w:t>
      </w:r>
      <w:r w:rsidRPr="00774EDB">
        <w:rPr>
          <w:rFonts w:ascii="Times New Roman" w:hAnsi="Times New Roman" w:cs="Times New Roman"/>
          <w:sz w:val="24"/>
          <w:szCs w:val="24"/>
        </w:rPr>
        <w:t xml:space="preserve"> to the detriment of consumers.</w:t>
      </w:r>
      <w:r w:rsidRPr="00774EDB">
        <w:rPr>
          <w:rStyle w:val="FootnoteReference"/>
          <w:rFonts w:ascii="Times New Roman" w:hAnsi="Times New Roman" w:cs="Times New Roman"/>
          <w:sz w:val="24"/>
          <w:szCs w:val="24"/>
        </w:rPr>
        <w:footnoteReference w:id="492"/>
      </w:r>
      <w:r w:rsidRPr="00774EDB">
        <w:rPr>
          <w:rFonts w:ascii="Times New Roman" w:hAnsi="Times New Roman" w:cs="Times New Roman"/>
          <w:sz w:val="24"/>
          <w:szCs w:val="24"/>
        </w:rPr>
        <w:t xml:space="preserve"> Last but not least, the Court has taken a wider perspective entailing horizontal competition along with no necessity of two market structures,</w:t>
      </w:r>
      <w:r w:rsidRPr="00774EDB">
        <w:rPr>
          <w:rStyle w:val="FootnoteReference"/>
          <w:rFonts w:ascii="Times New Roman" w:hAnsi="Times New Roman" w:cs="Times New Roman"/>
          <w:sz w:val="24"/>
          <w:szCs w:val="24"/>
        </w:rPr>
        <w:footnoteReference w:id="493"/>
      </w:r>
      <w:r w:rsidRPr="00774EDB">
        <w:rPr>
          <w:rFonts w:ascii="Times New Roman" w:hAnsi="Times New Roman" w:cs="Times New Roman"/>
          <w:sz w:val="24"/>
          <w:szCs w:val="24"/>
        </w:rPr>
        <w:t xml:space="preserve"> which typically characterises the refusal to deal cases. Within the light of the Court’s interpretation, </w:t>
      </w:r>
      <w:r w:rsidRPr="00774EDB">
        <w:rPr>
          <w:rFonts w:ascii="Times New Roman" w:hAnsi="Times New Roman" w:cs="Times New Roman"/>
          <w:i/>
          <w:sz w:val="24"/>
          <w:szCs w:val="24"/>
        </w:rPr>
        <w:t>IMS Health</w:t>
      </w:r>
      <w:r w:rsidRPr="00774EDB">
        <w:rPr>
          <w:rFonts w:ascii="Times New Roman" w:hAnsi="Times New Roman" w:cs="Times New Roman"/>
          <w:sz w:val="24"/>
          <w:szCs w:val="24"/>
        </w:rPr>
        <w:t xml:space="preserve"> could be said to have broadened the legal playing ground of the ‘exceptional circumstances’ test.</w:t>
      </w:r>
    </w:p>
    <w:p w14:paraId="147EE1D8" w14:textId="77777777" w:rsidR="00D42BDF" w:rsidRPr="00774EDB" w:rsidRDefault="00285567" w:rsidP="00A70042">
      <w:pPr>
        <w:pStyle w:val="Heading4"/>
        <w:numPr>
          <w:ilvl w:val="3"/>
          <w:numId w:val="33"/>
        </w:numPr>
        <w:tabs>
          <w:tab w:val="left" w:pos="851"/>
        </w:tabs>
        <w:spacing w:before="360"/>
        <w:ind w:left="0" w:firstLine="0"/>
        <w:jc w:val="both"/>
        <w:rPr>
          <w:rFonts w:ascii="Times New Roman" w:hAnsi="Times New Roman" w:cs="Times New Roman"/>
          <w:b/>
          <w:sz w:val="24"/>
          <w:szCs w:val="24"/>
          <w:lang w:val="en-US"/>
        </w:rPr>
      </w:pPr>
      <w:bookmarkStart w:id="411" w:name="_Hlk502177563"/>
      <w:bookmarkStart w:id="412" w:name="_Toc17611425"/>
      <w:bookmarkStart w:id="413" w:name="_Toc53576070"/>
      <w:r w:rsidRPr="00774EDB">
        <w:rPr>
          <w:rFonts w:ascii="Times New Roman" w:hAnsi="Times New Roman" w:cs="Times New Roman"/>
          <w:b/>
          <w:i w:val="0"/>
          <w:color w:val="auto"/>
          <w:sz w:val="24"/>
          <w:szCs w:val="24"/>
        </w:rPr>
        <w:t xml:space="preserve">Refusal to </w:t>
      </w:r>
      <w:r w:rsidR="00742742" w:rsidRPr="00774EDB">
        <w:rPr>
          <w:rFonts w:ascii="Times New Roman" w:hAnsi="Times New Roman" w:cs="Times New Roman"/>
          <w:b/>
          <w:i w:val="0"/>
          <w:color w:val="auto"/>
          <w:sz w:val="24"/>
          <w:szCs w:val="24"/>
        </w:rPr>
        <w:t xml:space="preserve">license/supply </w:t>
      </w:r>
      <w:r w:rsidRPr="00774EDB">
        <w:rPr>
          <w:rFonts w:ascii="Times New Roman" w:hAnsi="Times New Roman" w:cs="Times New Roman"/>
          <w:b/>
          <w:i w:val="0"/>
          <w:color w:val="auto"/>
          <w:sz w:val="24"/>
          <w:szCs w:val="24"/>
        </w:rPr>
        <w:t>interoperability information</w:t>
      </w:r>
      <w:bookmarkEnd w:id="411"/>
      <w:bookmarkEnd w:id="412"/>
      <w:bookmarkEnd w:id="413"/>
    </w:p>
    <w:p w14:paraId="4E02E064" w14:textId="77777777" w:rsidR="00AC4F0D" w:rsidRPr="00774EDB" w:rsidRDefault="00BE4D90"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Interoperability based antitrust problems are often visible with the exclusionary conducts of dominant undertakings, as typified with refusal to deal or license. While ‘interoperability’ would be the subject matter of a great many conflicts between rivals e.g. quality degradation and security, the antitrust lens to be taken under Article 102 would mainly look to the likelihood of market foreclosure and consumer harm. </w:t>
      </w:r>
      <w:r w:rsidR="00010673" w:rsidRPr="00774EDB">
        <w:rPr>
          <w:rFonts w:ascii="Times New Roman" w:hAnsi="Times New Roman" w:cs="Times New Roman"/>
          <w:sz w:val="24"/>
          <w:szCs w:val="24"/>
          <w:lang w:val="en-US"/>
        </w:rPr>
        <w:t>I</w:t>
      </w:r>
      <w:r w:rsidRPr="00774EDB">
        <w:rPr>
          <w:rFonts w:ascii="Times New Roman" w:hAnsi="Times New Roman" w:cs="Times New Roman"/>
          <w:sz w:val="24"/>
          <w:szCs w:val="24"/>
          <w:lang w:val="en-US"/>
        </w:rPr>
        <w:t xml:space="preserve">n </w:t>
      </w:r>
      <w:r w:rsidR="00010673" w:rsidRPr="00774EDB">
        <w:rPr>
          <w:rFonts w:ascii="Times New Roman" w:hAnsi="Times New Roman" w:cs="Times New Roman"/>
          <w:sz w:val="24"/>
          <w:szCs w:val="24"/>
          <w:lang w:val="en-US"/>
        </w:rPr>
        <w:t>the absence of</w:t>
      </w:r>
      <w:r w:rsidRPr="00774EDB">
        <w:rPr>
          <w:rFonts w:ascii="Times New Roman" w:hAnsi="Times New Roman" w:cs="Times New Roman"/>
          <w:sz w:val="24"/>
          <w:szCs w:val="24"/>
          <w:lang w:val="en-US"/>
        </w:rPr>
        <w:t xml:space="preserve"> </w:t>
      </w:r>
      <w:r w:rsidR="00010673" w:rsidRPr="00774EDB">
        <w:rPr>
          <w:rFonts w:ascii="Times New Roman" w:hAnsi="Times New Roman" w:cs="Times New Roman"/>
          <w:sz w:val="24"/>
          <w:szCs w:val="24"/>
          <w:lang w:val="en-US"/>
        </w:rPr>
        <w:t xml:space="preserve">any </w:t>
      </w:r>
      <w:r w:rsidRPr="00774EDB">
        <w:rPr>
          <w:rFonts w:ascii="Times New Roman" w:hAnsi="Times New Roman" w:cs="Times New Roman"/>
          <w:sz w:val="24"/>
          <w:szCs w:val="24"/>
          <w:lang w:val="en-US"/>
        </w:rPr>
        <w:t xml:space="preserve">likelihood regarding exclusion of competitors and consumer harm, e.g. </w:t>
      </w:r>
      <w:r w:rsidR="00010673" w:rsidRPr="00774EDB">
        <w:rPr>
          <w:rFonts w:ascii="Times New Roman" w:hAnsi="Times New Roman" w:cs="Times New Roman"/>
          <w:sz w:val="24"/>
          <w:szCs w:val="24"/>
          <w:lang w:val="en-US"/>
        </w:rPr>
        <w:lastRenderedPageBreak/>
        <w:t>risk of heightened</w:t>
      </w:r>
      <w:r w:rsidRPr="00774EDB">
        <w:rPr>
          <w:rFonts w:ascii="Times New Roman" w:hAnsi="Times New Roman" w:cs="Times New Roman"/>
          <w:sz w:val="24"/>
          <w:szCs w:val="24"/>
          <w:lang w:val="en-US"/>
        </w:rPr>
        <w:t xml:space="preserve"> switching cost, non-disclosure of interoperability information would not be considered as a competition law problem by itself. EU competition law and precedents, on this basis, reveal a case law concerning antitrust treatment from the refusal to disclose interoperability information.</w:t>
      </w:r>
      <w:r w:rsidR="00AC4F0D" w:rsidRPr="00774EDB">
        <w:rPr>
          <w:rFonts w:ascii="Times New Roman" w:hAnsi="Times New Roman" w:cs="Times New Roman"/>
          <w:sz w:val="24"/>
          <w:szCs w:val="24"/>
          <w:lang w:val="en-US"/>
        </w:rPr>
        <w:t xml:space="preserve">  </w:t>
      </w:r>
    </w:p>
    <w:p w14:paraId="537D1BCA" w14:textId="3739921E" w:rsidR="0090682A" w:rsidRPr="00774EDB" w:rsidRDefault="00BA53A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first antitrust investigation took place in the </w:t>
      </w:r>
      <w:r w:rsidRPr="00774EDB">
        <w:rPr>
          <w:rFonts w:ascii="Times New Roman" w:hAnsi="Times New Roman" w:cs="Times New Roman"/>
          <w:i/>
          <w:sz w:val="24"/>
          <w:szCs w:val="24"/>
        </w:rPr>
        <w:t>IBM</w:t>
      </w:r>
      <w:r w:rsidRPr="00774EDB">
        <w:rPr>
          <w:rStyle w:val="FootnoteReference"/>
          <w:rFonts w:ascii="Times New Roman" w:hAnsi="Times New Roman" w:cs="Times New Roman"/>
          <w:sz w:val="24"/>
          <w:szCs w:val="24"/>
        </w:rPr>
        <w:footnoteReference w:id="494"/>
      </w:r>
      <w:r w:rsidRPr="00774EDB">
        <w:rPr>
          <w:rFonts w:ascii="Times New Roman" w:hAnsi="Times New Roman" w:cs="Times New Roman"/>
          <w:i/>
          <w:sz w:val="24"/>
          <w:szCs w:val="24"/>
        </w:rPr>
        <w:t xml:space="preserve"> </w:t>
      </w:r>
      <w:r w:rsidRPr="00774EDB">
        <w:rPr>
          <w:rFonts w:ascii="Times New Roman" w:hAnsi="Times New Roman" w:cs="Times New Roman"/>
          <w:sz w:val="24"/>
          <w:szCs w:val="24"/>
        </w:rPr>
        <w:t>case, which was related to IBM’s “failing to supply other manufacturers in sufficient time with the technical information needed to permit competitive products to be used with System/370 (interface information)”.</w:t>
      </w:r>
      <w:r w:rsidRPr="00774EDB">
        <w:rPr>
          <w:rStyle w:val="FootnoteReference"/>
          <w:rFonts w:ascii="Times New Roman" w:hAnsi="Times New Roman" w:cs="Times New Roman"/>
          <w:sz w:val="24"/>
          <w:szCs w:val="24"/>
        </w:rPr>
        <w:footnoteReference w:id="495"/>
      </w:r>
      <w:r w:rsidRPr="00774EDB">
        <w:rPr>
          <w:rFonts w:ascii="Times New Roman" w:hAnsi="Times New Roman" w:cs="Times New Roman"/>
          <w:sz w:val="24"/>
          <w:szCs w:val="24"/>
        </w:rPr>
        <w:t xml:space="preserve">As this would deprive competing manufacturers of the related software and their updates, leading to potential competition problems, the Commission sent its statement to IBM, seeking a solution based on the disclosure of interfaces. After several rounds of negotiations, IBM committed to disclose the interface information under “reasonable and non-discriminatory” (RAND) charges to ensure the competing manufacturers would attach their hardware and software designs to IBM System/370 during a 5-year period. The case was resolved following IBM’s commitment being accepted by the Commission as to be enforced by 1 August 1984 until the end of 1989. Throughout the process, the Commission aimed not only to ensure that “non-IBM suppliers would be able to remain System/370-compatible into the foreseeable future”, but also not to “have a negative effect on IBM’s interests in </w:t>
      </w:r>
      <w:r w:rsidRPr="00774EDB">
        <w:rPr>
          <w:rFonts w:ascii="Times New Roman" w:hAnsi="Times New Roman" w:cs="Times New Roman"/>
          <w:sz w:val="24"/>
          <w:szCs w:val="24"/>
        </w:rPr>
        <w:lastRenderedPageBreak/>
        <w:t>developing new products”.</w:t>
      </w:r>
      <w:r w:rsidRPr="00774EDB">
        <w:rPr>
          <w:rStyle w:val="FootnoteReference"/>
          <w:rFonts w:ascii="Times New Roman" w:hAnsi="Times New Roman" w:cs="Times New Roman"/>
          <w:sz w:val="24"/>
          <w:szCs w:val="24"/>
        </w:rPr>
        <w:footnoteReference w:id="496"/>
      </w:r>
      <w:r w:rsidRPr="00774EDB">
        <w:rPr>
          <w:rFonts w:ascii="Times New Roman" w:hAnsi="Times New Roman" w:cs="Times New Roman"/>
          <w:sz w:val="24"/>
          <w:szCs w:val="24"/>
        </w:rPr>
        <w:t xml:space="preserve"> Later on, the settlement, or undertaking, as agreed by the Commission, was earmarked to have had positive effects as follows:</w:t>
      </w:r>
    </w:p>
    <w:p w14:paraId="019FFABD" w14:textId="26B11E2D" w:rsidR="0010229E" w:rsidRPr="00774EDB" w:rsidRDefault="0010229E" w:rsidP="00A70042">
      <w:pPr>
        <w:spacing w:before="360"/>
        <w:ind w:left="720" w:right="720"/>
        <w:jc w:val="both"/>
        <w:rPr>
          <w:rFonts w:ascii="Times New Roman" w:hAnsi="Times New Roman" w:cs="Times New Roman"/>
          <w:sz w:val="24"/>
          <w:szCs w:val="24"/>
        </w:rPr>
      </w:pPr>
      <w:r w:rsidRPr="00774EDB">
        <w:rPr>
          <w:rFonts w:ascii="Times New Roman" w:hAnsi="Times New Roman" w:cs="Times New Roman"/>
          <w:sz w:val="24"/>
          <w:szCs w:val="24"/>
        </w:rPr>
        <w:t>The U/T [undertaking] therefore not only stimulated competition in that it removed a major obstacle for IBM’s competitors to offer innovative System/370 products at an earlier moment in time than they could have done in the absence of the U/T, if at all, but also because of this reinforced competition it put pressure on IBM to innovate and improve upon its own products.</w:t>
      </w:r>
      <w:r w:rsidR="00200E61" w:rsidRPr="00774EDB">
        <w:rPr>
          <w:rStyle w:val="FootnoteReference"/>
          <w:rFonts w:ascii="Times New Roman" w:hAnsi="Times New Roman" w:cs="Times New Roman"/>
          <w:sz w:val="24"/>
          <w:szCs w:val="24"/>
        </w:rPr>
        <w:footnoteReference w:id="497"/>
      </w:r>
    </w:p>
    <w:p w14:paraId="78BCC05E" w14:textId="77777777" w:rsidR="008B2498" w:rsidRPr="00774EDB" w:rsidRDefault="008B2498"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the subsequent period, interoperability again figured on the agenda of EU competition law with the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case, which relates to both ‘refusal to supply’ and ‘tying’ practices of Microsoft.</w:t>
      </w:r>
      <w:r w:rsidRPr="00774EDB">
        <w:rPr>
          <w:rStyle w:val="FootnoteReference"/>
          <w:rFonts w:ascii="Times New Roman" w:hAnsi="Times New Roman" w:cs="Times New Roman"/>
          <w:sz w:val="24"/>
          <w:szCs w:val="24"/>
        </w:rPr>
        <w:footnoteReference w:id="498"/>
      </w:r>
      <w:r w:rsidRPr="00774EDB">
        <w:rPr>
          <w:rFonts w:ascii="Times New Roman" w:hAnsi="Times New Roman" w:cs="Times New Roman"/>
          <w:sz w:val="24"/>
          <w:szCs w:val="24"/>
        </w:rPr>
        <w:t xml:space="preserve"> The case originated in December 1998 from Sun Microsystems’s (now ‘Oracle’) allegations based on Microsoft’s abuse of its dominant position. Sun, in their application, claimed that Microsoft had been leveraging its dominant position in the client PC OS market to work in the group server OS market, by refusing to supply the interface information (that serves interoperability between Windows PC OS and non-Microsoft work group servers) to them. The Commission opened up two investigations and sent three statements of objection, and at the end of a nearly 5-year scrutiny period, found a breach of Article 102 in April 2004, and ordered Microsoft to </w:t>
      </w:r>
      <w:r w:rsidRPr="00774EDB">
        <w:rPr>
          <w:rFonts w:ascii="Times New Roman" w:hAnsi="Times New Roman" w:cs="Times New Roman"/>
          <w:sz w:val="24"/>
          <w:szCs w:val="24"/>
          <w:lang w:val="en-US"/>
        </w:rPr>
        <w:t xml:space="preserve">disclose the access-cut (withdrawn) interface information and with a fine of 479 million Euros. On appeal, the GC upheld the Commission’s decision along the same line of reasoning, arriving at the conclusion that Microsoft abused its </w:t>
      </w:r>
      <w:r w:rsidRPr="00774EDB">
        <w:rPr>
          <w:rFonts w:ascii="Times New Roman" w:hAnsi="Times New Roman" w:cs="Times New Roman"/>
          <w:sz w:val="24"/>
          <w:szCs w:val="24"/>
          <w:lang w:val="en-US"/>
        </w:rPr>
        <w:lastRenderedPageBreak/>
        <w:t>dominant position by not disclosing its interfaces that would enable competitors to have interoperability with Windows OS architecture</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499"/>
      </w:r>
    </w:p>
    <w:p w14:paraId="462F9442" w14:textId="77777777" w:rsidR="008A089D" w:rsidRPr="00774EDB" w:rsidRDefault="008B2498"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Commission’s legal and economic assessment mostly depends on the indirect network effects,</w:t>
      </w:r>
      <w:r w:rsidRPr="00774EDB">
        <w:rPr>
          <w:rStyle w:val="FootnoteReference"/>
          <w:rFonts w:ascii="Times New Roman" w:hAnsi="Times New Roman" w:cs="Times New Roman"/>
          <w:sz w:val="24"/>
          <w:szCs w:val="24"/>
        </w:rPr>
        <w:footnoteReference w:id="500"/>
      </w:r>
      <w:r w:rsidRPr="00774EDB">
        <w:rPr>
          <w:rFonts w:ascii="Times New Roman" w:hAnsi="Times New Roman" w:cs="Times New Roman"/>
          <w:sz w:val="24"/>
          <w:szCs w:val="24"/>
        </w:rPr>
        <w:t xml:space="preserve"> which were presumed to pose a ‘structural’ entry barrier.</w:t>
      </w:r>
      <w:r w:rsidRPr="00774EDB">
        <w:rPr>
          <w:rStyle w:val="FootnoteReference"/>
          <w:rFonts w:ascii="Times New Roman" w:hAnsi="Times New Roman" w:cs="Times New Roman"/>
          <w:sz w:val="24"/>
          <w:szCs w:val="24"/>
        </w:rPr>
        <w:footnoteReference w:id="501"/>
      </w:r>
      <w:r w:rsidRPr="00774EDB">
        <w:rPr>
          <w:rFonts w:ascii="Times New Roman" w:hAnsi="Times New Roman" w:cs="Times New Roman"/>
          <w:sz w:val="24"/>
          <w:szCs w:val="24"/>
        </w:rPr>
        <w:t xml:space="preserve"> According to the Commission, such barriers to entry, when combined with Microsoft’s refusal to </w:t>
      </w:r>
      <w:r w:rsidRPr="00774EDB">
        <w:rPr>
          <w:rFonts w:ascii="Times New Roman" w:hAnsi="Times New Roman" w:cs="Times New Roman"/>
          <w:i/>
          <w:sz w:val="24"/>
          <w:szCs w:val="24"/>
        </w:rPr>
        <w:t>continue to</w:t>
      </w:r>
      <w:r w:rsidRPr="00774EDB">
        <w:rPr>
          <w:rFonts w:ascii="Times New Roman" w:hAnsi="Times New Roman" w:cs="Times New Roman"/>
          <w:sz w:val="24"/>
          <w:szCs w:val="24"/>
        </w:rPr>
        <w:t xml:space="preserve"> supply, namely withdrawal of interoperability information,</w:t>
      </w:r>
      <w:r w:rsidRPr="00774EDB">
        <w:rPr>
          <w:rStyle w:val="FootnoteReference"/>
          <w:rFonts w:ascii="Times New Roman" w:hAnsi="Times New Roman" w:cs="Times New Roman"/>
          <w:sz w:val="24"/>
          <w:szCs w:val="24"/>
        </w:rPr>
        <w:footnoteReference w:id="502"/>
      </w:r>
      <w:r w:rsidRPr="00774EDB">
        <w:rPr>
          <w:rFonts w:ascii="Times New Roman" w:hAnsi="Times New Roman" w:cs="Times New Roman"/>
          <w:sz w:val="24"/>
          <w:szCs w:val="24"/>
        </w:rPr>
        <w:t xml:space="preserve"> resulted in an abuse of dominance.</w:t>
      </w:r>
      <w:r w:rsidRPr="00774EDB">
        <w:rPr>
          <w:rStyle w:val="FootnoteReference"/>
          <w:rFonts w:ascii="Times New Roman" w:hAnsi="Times New Roman" w:cs="Times New Roman"/>
          <w:sz w:val="24"/>
          <w:szCs w:val="24"/>
        </w:rPr>
        <w:footnoteReference w:id="503"/>
      </w:r>
      <w:r w:rsidRPr="00774EDB">
        <w:rPr>
          <w:rFonts w:ascii="Times New Roman" w:hAnsi="Times New Roman" w:cs="Times New Roman"/>
          <w:sz w:val="24"/>
          <w:szCs w:val="24"/>
        </w:rPr>
        <w:t xml:space="preserve"> This behaviour of Microsoft, in the Commission’s view, was found to be detrimental to the consumers, who would otherwise benefit from innovative products to be introduced by competing vendors.</w:t>
      </w:r>
      <w:r w:rsidRPr="00774EDB">
        <w:rPr>
          <w:rStyle w:val="FootnoteReference"/>
          <w:rFonts w:ascii="Times New Roman" w:hAnsi="Times New Roman" w:cs="Times New Roman"/>
          <w:sz w:val="24"/>
          <w:szCs w:val="24"/>
        </w:rPr>
        <w:footnoteReference w:id="504"/>
      </w:r>
      <w:r w:rsidRPr="00774EDB">
        <w:rPr>
          <w:rFonts w:ascii="Times New Roman" w:hAnsi="Times New Roman" w:cs="Times New Roman"/>
          <w:sz w:val="24"/>
          <w:szCs w:val="24"/>
        </w:rPr>
        <w:t xml:space="preserve"> In the </w:t>
      </w:r>
      <w:r w:rsidRPr="00774EDB">
        <w:rPr>
          <w:rFonts w:ascii="Times New Roman" w:hAnsi="Times New Roman" w:cs="Times New Roman"/>
          <w:i/>
          <w:sz w:val="24"/>
          <w:szCs w:val="24"/>
        </w:rPr>
        <w:t xml:space="preserve">Microsoft </w:t>
      </w:r>
      <w:r w:rsidRPr="00774EDB">
        <w:rPr>
          <w:rFonts w:ascii="Times New Roman" w:hAnsi="Times New Roman" w:cs="Times New Roman"/>
          <w:iCs/>
          <w:sz w:val="24"/>
          <w:szCs w:val="24"/>
        </w:rPr>
        <w:t>case</w:t>
      </w:r>
      <w:r w:rsidRPr="00774EDB">
        <w:rPr>
          <w:rFonts w:ascii="Times New Roman" w:hAnsi="Times New Roman" w:cs="Times New Roman"/>
          <w:sz w:val="24"/>
          <w:szCs w:val="24"/>
        </w:rPr>
        <w:t>, which marks a stark distinction from previous case law, an imminent risk of exclusion of competitor(s) and directly attributable consumer harm were not sought to reach to an antitrust liability.</w:t>
      </w:r>
      <w:r w:rsidRPr="00774EDB">
        <w:rPr>
          <w:rStyle w:val="FootnoteReference"/>
          <w:rFonts w:ascii="Times New Roman" w:hAnsi="Times New Roman" w:cs="Times New Roman"/>
          <w:sz w:val="24"/>
          <w:szCs w:val="24"/>
        </w:rPr>
        <w:footnoteReference w:id="505"/>
      </w:r>
      <w:r w:rsidRPr="00774EDB">
        <w:rPr>
          <w:rFonts w:ascii="Times New Roman" w:hAnsi="Times New Roman" w:cs="Times New Roman"/>
          <w:sz w:val="24"/>
          <w:szCs w:val="24"/>
        </w:rPr>
        <w:t xml:space="preserve"> Relying on and giving an emphasis </w:t>
      </w:r>
      <w:r w:rsidRPr="00774EDB">
        <w:rPr>
          <w:rFonts w:ascii="Times New Roman" w:hAnsi="Times New Roman" w:cs="Times New Roman"/>
          <w:sz w:val="24"/>
          <w:szCs w:val="24"/>
        </w:rPr>
        <w:lastRenderedPageBreak/>
        <w:t>to the wording of Article 102(b), the Commission was satisfied with the foreseeability of possible harms towards follow-on innovation rather than the hindrance of new product(s) in the particular case.</w:t>
      </w:r>
      <w:r w:rsidRPr="00774EDB">
        <w:rPr>
          <w:rStyle w:val="FootnoteReference"/>
          <w:rFonts w:ascii="Times New Roman" w:hAnsi="Times New Roman" w:cs="Times New Roman"/>
          <w:sz w:val="24"/>
          <w:szCs w:val="24"/>
        </w:rPr>
        <w:footnoteReference w:id="506"/>
      </w:r>
      <w:r w:rsidR="0072711D" w:rsidRPr="00774EDB">
        <w:rPr>
          <w:rFonts w:ascii="Times New Roman" w:hAnsi="Times New Roman" w:cs="Times New Roman"/>
          <w:sz w:val="24"/>
          <w:szCs w:val="24"/>
        </w:rPr>
        <w:t xml:space="preserve">  </w:t>
      </w:r>
      <w:r w:rsidR="00523B82" w:rsidRPr="00774EDB">
        <w:rPr>
          <w:rFonts w:ascii="Times New Roman" w:hAnsi="Times New Roman" w:cs="Times New Roman"/>
          <w:sz w:val="24"/>
          <w:szCs w:val="24"/>
        </w:rPr>
        <w:t xml:space="preserve">  </w:t>
      </w:r>
    </w:p>
    <w:p w14:paraId="79A06628" w14:textId="77777777" w:rsidR="00E539B5" w:rsidRPr="00774EDB" w:rsidRDefault="00871A6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Commission, not strictly confining itself to the already set rules of case law</w:t>
      </w:r>
      <w:r w:rsidRPr="00774EDB">
        <w:rPr>
          <w:rStyle w:val="FootnoteReference"/>
          <w:rFonts w:ascii="Times New Roman" w:hAnsi="Times New Roman" w:cs="Times New Roman"/>
          <w:sz w:val="24"/>
          <w:szCs w:val="24"/>
          <w:lang w:eastAsia="tr-TR"/>
        </w:rPr>
        <w:footnoteReference w:id="507"/>
      </w:r>
      <w:r w:rsidRPr="00774EDB">
        <w:rPr>
          <w:rFonts w:ascii="Times New Roman" w:hAnsi="Times New Roman" w:cs="Times New Roman"/>
          <w:sz w:val="24"/>
          <w:szCs w:val="24"/>
        </w:rPr>
        <w:t xml:space="preserve">, underscored the need to “analyse </w:t>
      </w:r>
      <w:r w:rsidRPr="00774EDB">
        <w:rPr>
          <w:rFonts w:ascii="Times New Roman" w:hAnsi="Times New Roman" w:cs="Times New Roman"/>
          <w:i/>
          <w:sz w:val="24"/>
          <w:szCs w:val="24"/>
        </w:rPr>
        <w:t>the entirety of the circumstances</w:t>
      </w:r>
      <w:r w:rsidRPr="00774EDB">
        <w:rPr>
          <w:rFonts w:ascii="Times New Roman" w:hAnsi="Times New Roman" w:cs="Times New Roman"/>
          <w:sz w:val="24"/>
          <w:szCs w:val="24"/>
        </w:rPr>
        <w:t xml:space="preserve"> surrounding a specific instance of a refusal to supply”.</w:t>
      </w:r>
      <w:r w:rsidRPr="00774EDB">
        <w:rPr>
          <w:rStyle w:val="FootnoteReference"/>
          <w:rFonts w:ascii="Times New Roman" w:hAnsi="Times New Roman" w:cs="Times New Roman"/>
          <w:sz w:val="24"/>
          <w:szCs w:val="24"/>
        </w:rPr>
        <w:footnoteReference w:id="508"/>
      </w:r>
      <w:r w:rsidRPr="00774EDB">
        <w:rPr>
          <w:rFonts w:ascii="Times New Roman" w:hAnsi="Times New Roman" w:cs="Times New Roman"/>
          <w:sz w:val="24"/>
          <w:szCs w:val="24"/>
        </w:rPr>
        <w:t xml:space="preserve"> Having particular concerns about the potential risk of ‘market tipping’ in the downstream (work group OS) market, the Commission seems to have developed a distinct ‘theory of harm’, getting away from the </w:t>
      </w:r>
      <w:r w:rsidRPr="00774EDB">
        <w:rPr>
          <w:rFonts w:ascii="Times New Roman" w:hAnsi="Times New Roman" w:cs="Times New Roman"/>
          <w:sz w:val="24"/>
          <w:szCs w:val="24"/>
          <w:lang w:eastAsia="tr-TR"/>
        </w:rPr>
        <w:t>four-partite ‘exceptional circumstances’ test</w:t>
      </w:r>
      <w:r w:rsidRPr="00774EDB">
        <w:rPr>
          <w:rFonts w:ascii="Times New Roman" w:hAnsi="Times New Roman" w:cs="Times New Roman"/>
          <w:sz w:val="24"/>
          <w:szCs w:val="24"/>
        </w:rPr>
        <w:t>. The Commission’s deviation from the previous case law is however worth being criticised for the social and legal costs to be attached to it.</w:t>
      </w:r>
      <w:r w:rsidRPr="00774EDB">
        <w:rPr>
          <w:rStyle w:val="FootnoteReference"/>
          <w:rFonts w:ascii="Times New Roman" w:hAnsi="Times New Roman" w:cs="Times New Roman"/>
          <w:sz w:val="24"/>
          <w:szCs w:val="24"/>
          <w:lang w:eastAsia="tr-TR"/>
        </w:rPr>
        <w:footnoteReference w:id="509"/>
      </w:r>
    </w:p>
    <w:p w14:paraId="44BF941D" w14:textId="77777777" w:rsidR="00BD193D" w:rsidRPr="00774EDB" w:rsidRDefault="002A730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From a broader point of view, the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formula could be considered to reveal an uneven interoperability policy design towards strategically optimised competition law </w:t>
      </w:r>
      <w:r w:rsidRPr="00774EDB">
        <w:rPr>
          <w:rFonts w:ascii="Times New Roman" w:hAnsi="Times New Roman" w:cs="Times New Roman"/>
          <w:sz w:val="24"/>
          <w:szCs w:val="24"/>
        </w:rPr>
        <w:lastRenderedPageBreak/>
        <w:t xml:space="preserve">goals. The optimised character of the interoperability solution of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is rationalised by the absence of substitutable tools to ensure interoperability. The Commission, in its comparative analysis refers to three categories of technical tools; </w:t>
      </w:r>
      <w:r w:rsidRPr="00774EDB">
        <w:rPr>
          <w:rFonts w:ascii="Times New Roman" w:hAnsi="Times New Roman" w:cs="Times New Roman"/>
          <w:sz w:val="24"/>
          <w:szCs w:val="24"/>
          <w:lang w:val="tr-TR" w:eastAsia="tr-TR"/>
        </w:rPr>
        <w:t>the use of open industry standards supported in Windows; the distribution of client-side software on the client PC; and the reverse engineering of Microsoft’s products</w:t>
      </w:r>
      <w:r w:rsidRPr="00774EDB">
        <w:rPr>
          <w:rFonts w:ascii="Times New Roman" w:hAnsi="Times New Roman" w:cs="Times New Roman"/>
          <w:sz w:val="24"/>
          <w:szCs w:val="24"/>
        </w:rPr>
        <w:t xml:space="preserve">, and concludes that none of them is </w:t>
      </w:r>
      <w:r w:rsidRPr="00774EDB">
        <w:rPr>
          <w:rFonts w:ascii="Times New Roman" w:hAnsi="Times New Roman" w:cs="Times New Roman"/>
          <w:sz w:val="24"/>
          <w:szCs w:val="24"/>
          <w:lang w:val="tr-TR" w:eastAsia="tr-TR"/>
        </w:rPr>
        <w:t>a viable solution for the companies willing to compete with Microsoft on the work group server OS market.</w:t>
      </w:r>
      <w:r w:rsidRPr="00774EDB">
        <w:rPr>
          <w:rStyle w:val="FootnoteReference"/>
          <w:rFonts w:ascii="Times New Roman" w:hAnsi="Times New Roman" w:cs="Times New Roman"/>
          <w:sz w:val="24"/>
          <w:szCs w:val="24"/>
        </w:rPr>
        <w:footnoteReference w:id="510"/>
      </w:r>
      <w:r w:rsidRPr="00774EDB">
        <w:rPr>
          <w:rFonts w:ascii="Times New Roman" w:hAnsi="Times New Roman" w:cs="Times New Roman"/>
          <w:sz w:val="24"/>
          <w:szCs w:val="24"/>
        </w:rPr>
        <w:t xml:space="preserve"> The GC’s analysis draws a similar and comparably clearer framework regarding Windows work group server OS interfaces. The Court considers ‘indispensability’ as a phenomenon having varying degrees and that the ideal level of interoperability is the one by which a server running a non-Microsoft work group server OS is able to act as a domain controller within a Windows domain using Active Directory and is capable of participating in the multimaster replication mechanism with the other domain controllers.</w:t>
      </w:r>
      <w:r w:rsidRPr="00774EDB">
        <w:rPr>
          <w:rStyle w:val="FootnoteReference"/>
          <w:rFonts w:ascii="Times New Roman" w:hAnsi="Times New Roman" w:cs="Times New Roman"/>
          <w:sz w:val="24"/>
          <w:szCs w:val="24"/>
          <w:lang w:eastAsia="tr-TR"/>
        </w:rPr>
        <w:footnoteReference w:id="511"/>
      </w:r>
      <w:r w:rsidRPr="00774EDB">
        <w:rPr>
          <w:rFonts w:ascii="Times New Roman" w:hAnsi="Times New Roman" w:cs="Times New Roman"/>
          <w:sz w:val="24"/>
          <w:szCs w:val="24"/>
        </w:rPr>
        <w:t xml:space="preserve"> Across this picture, it is fair to say that although the instruments invoked by the Commission originate from and subsist within the EU competition law, the idealised market structure and theory of harm behind this finding suggest a semi-regulatory policy for software interoperability.</w:t>
      </w:r>
    </w:p>
    <w:p w14:paraId="5422364C" w14:textId="77777777" w:rsidR="00D42BDF" w:rsidRPr="00774EDB" w:rsidRDefault="00B747D4" w:rsidP="00A70042">
      <w:pPr>
        <w:pStyle w:val="Heading3"/>
        <w:numPr>
          <w:ilvl w:val="2"/>
          <w:numId w:val="33"/>
        </w:numPr>
        <w:spacing w:before="360"/>
        <w:ind w:left="0" w:firstLine="0"/>
        <w:jc w:val="both"/>
        <w:rPr>
          <w:rFonts w:ascii="Times New Roman" w:hAnsi="Times New Roman" w:cs="Times New Roman"/>
          <w:b/>
        </w:rPr>
      </w:pPr>
      <w:bookmarkStart w:id="414" w:name="_Toc17611426"/>
      <w:bookmarkStart w:id="415" w:name="_Toc17611643"/>
      <w:bookmarkStart w:id="416" w:name="_Toc17611855"/>
      <w:bookmarkStart w:id="417" w:name="_Toc17612069"/>
      <w:bookmarkStart w:id="418" w:name="_Toc17612282"/>
      <w:bookmarkStart w:id="419" w:name="_Toc17611427"/>
      <w:bookmarkStart w:id="420" w:name="_Toc53576071"/>
      <w:bookmarkEnd w:id="414"/>
      <w:bookmarkEnd w:id="415"/>
      <w:bookmarkEnd w:id="416"/>
      <w:bookmarkEnd w:id="417"/>
      <w:bookmarkEnd w:id="418"/>
      <w:r w:rsidRPr="00774EDB">
        <w:rPr>
          <w:rFonts w:ascii="Times New Roman" w:hAnsi="Times New Roman" w:cs="Times New Roman"/>
          <w:b/>
          <w:color w:val="auto"/>
          <w:lang w:val="en-US"/>
        </w:rPr>
        <w:t xml:space="preserve">Commission </w:t>
      </w:r>
      <w:r w:rsidR="00610DDE" w:rsidRPr="00774EDB">
        <w:rPr>
          <w:rFonts w:ascii="Times New Roman" w:hAnsi="Times New Roman" w:cs="Times New Roman"/>
          <w:b/>
          <w:color w:val="auto"/>
          <w:lang w:val="en-US"/>
        </w:rPr>
        <w:t xml:space="preserve">Guidance on Article 102: Filtered </w:t>
      </w:r>
      <w:r w:rsidR="00BD193D" w:rsidRPr="00774EDB">
        <w:rPr>
          <w:rFonts w:ascii="Times New Roman" w:hAnsi="Times New Roman" w:cs="Times New Roman"/>
          <w:b/>
          <w:color w:val="auto"/>
          <w:lang w:val="en-US"/>
        </w:rPr>
        <w:t>criteria and effects-based approach</w:t>
      </w:r>
      <w:bookmarkEnd w:id="419"/>
      <w:bookmarkEnd w:id="420"/>
    </w:p>
    <w:p w14:paraId="274CF599" w14:textId="77777777" w:rsidR="009C76A9" w:rsidRPr="00774EDB" w:rsidRDefault="009466B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Commission initiated a soft law making process to demarcate the lines concerning the exclusionary abuses under Article 102 and ended up with the issuance of ‘Guidance on the Commission’s Enforcement Priorities in Applying Article 102 of the EC Treaty </w:t>
      </w:r>
      <w:r w:rsidRPr="00774EDB">
        <w:rPr>
          <w:rFonts w:ascii="Times New Roman" w:hAnsi="Times New Roman" w:cs="Times New Roman"/>
          <w:sz w:val="24"/>
          <w:szCs w:val="24"/>
        </w:rPr>
        <w:lastRenderedPageBreak/>
        <w:t>to Abusive Exclusionary Conduct by Dominant Undertakings’</w:t>
      </w:r>
      <w:r w:rsidRPr="00774EDB">
        <w:rPr>
          <w:rStyle w:val="FootnoteReference"/>
          <w:rFonts w:ascii="Times New Roman" w:hAnsi="Times New Roman" w:cs="Times New Roman"/>
          <w:sz w:val="24"/>
          <w:szCs w:val="24"/>
        </w:rPr>
        <w:footnoteReference w:id="512"/>
      </w:r>
      <w:r w:rsidRPr="00774EDB">
        <w:rPr>
          <w:rFonts w:ascii="Times New Roman" w:hAnsi="Times New Roman" w:cs="Times New Roman"/>
          <w:sz w:val="24"/>
          <w:szCs w:val="24"/>
        </w:rPr>
        <w:t xml:space="preserve"> i.e. ‘Commission Guidance’, in 2009. Reflecting the mainstream dynamic in the modernisation of EU competition law, the effects-based approach finds its expression regarding exclusionary type abusive behaviours within the ‘Commission Guidance’. The leading aim for adoption of this Guidance could be described as filtering the previous case law through a lens of an economics-based approach, rather than a formalistic approach based on the ordoliberal principles which were predominantly pursued throughout the decades since the first adoption of TEEC competition rules. Having said that, of more significance than the attempt in the Guidance to incorporate the prior case law into its methodology, is its emphasis on the integration of more econometric analysis into abuse cases, including refusals, through the adoption of an ‘effects-based approach’, an approach the Commission supposes to be more in tune with that of the United States and considered less prone to ‘type’ errors.</w:t>
      </w:r>
      <w:r w:rsidRPr="00774EDB">
        <w:rPr>
          <w:rStyle w:val="FootnoteReference"/>
          <w:rFonts w:ascii="Times New Roman" w:hAnsi="Times New Roman" w:cs="Times New Roman"/>
          <w:sz w:val="24"/>
          <w:szCs w:val="24"/>
          <w:lang w:eastAsia="en-GB"/>
        </w:rPr>
        <w:footnoteReference w:id="513"/>
      </w:r>
    </w:p>
    <w:p w14:paraId="46585324" w14:textId="3C5F3909" w:rsidR="0090682A" w:rsidRPr="00774EDB" w:rsidRDefault="00D77F1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As a result of the effects-based approach being taken, ‘consumer welfare’ is conferred a </w:t>
      </w:r>
      <w:r w:rsidR="00B82B21">
        <w:rPr>
          <w:rFonts w:ascii="Times New Roman" w:hAnsi="Times New Roman" w:cs="Times New Roman"/>
          <w:sz w:val="24"/>
          <w:szCs w:val="24"/>
        </w:rPr>
        <w:t>more crucial</w:t>
      </w:r>
      <w:r w:rsidR="00B82B21"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role under the Guidance. Consumers are put at the centre, as it is affirmed that they need to be protected from the adverse effects stemming from a dominant undertakings’ exclusionary behaviours. Not in all cases of exclusion, but when a competitor who is as </w:t>
      </w:r>
      <w:r w:rsidRPr="00774EDB">
        <w:rPr>
          <w:rFonts w:ascii="Times New Roman" w:hAnsi="Times New Roman" w:cs="Times New Roman"/>
          <w:i/>
          <w:sz w:val="24"/>
          <w:szCs w:val="24"/>
        </w:rPr>
        <w:t>equally efficient</w:t>
      </w:r>
      <w:r w:rsidRPr="00774EDB">
        <w:rPr>
          <w:rFonts w:ascii="Times New Roman" w:hAnsi="Times New Roman" w:cs="Times New Roman"/>
          <w:sz w:val="24"/>
          <w:szCs w:val="24"/>
        </w:rPr>
        <w:t xml:space="preserve"> as a dominant undertakings is excluded, a potential grounds for intervention will be relevant following the enforcement </w:t>
      </w:r>
      <w:r w:rsidRPr="00774EDB">
        <w:rPr>
          <w:rFonts w:ascii="Times New Roman" w:hAnsi="Times New Roman" w:cs="Times New Roman"/>
          <w:sz w:val="24"/>
          <w:szCs w:val="24"/>
        </w:rPr>
        <w:lastRenderedPageBreak/>
        <w:t>priorities enshrined under the Guidance.</w:t>
      </w:r>
      <w:r w:rsidRPr="00774EDB">
        <w:rPr>
          <w:rStyle w:val="FootnoteReference"/>
          <w:rFonts w:ascii="Times New Roman" w:hAnsi="Times New Roman" w:cs="Times New Roman"/>
          <w:sz w:val="24"/>
          <w:szCs w:val="24"/>
        </w:rPr>
        <w:footnoteReference w:id="514"/>
      </w:r>
      <w:r w:rsidRPr="00774EDB">
        <w:rPr>
          <w:rFonts w:ascii="Times New Roman" w:hAnsi="Times New Roman" w:cs="Times New Roman"/>
          <w:sz w:val="24"/>
          <w:szCs w:val="24"/>
        </w:rPr>
        <w:t xml:space="preserve"> Furthermore, the Guidance acknowledges that ‘efficiencies’ would be put forth so as to justify the exclusionary behaviour and their constraints on competition, insofar as overweighing benefits are established to pass on to the consumers with no or minimised harm to competition. In this context, the dominant undertakings are required to demonstrate, with a sufficient degree of probability and on the basis of verifiable evidence, that the following cumulative conditions are fulfilled:</w:t>
      </w:r>
    </w:p>
    <w:p w14:paraId="457A6C83" w14:textId="77777777" w:rsidR="00BC18FA" w:rsidRPr="00774EDB" w:rsidRDefault="00BC18FA" w:rsidP="00A70042">
      <w:pPr>
        <w:pStyle w:val="ListParagraph"/>
        <w:numPr>
          <w:ilvl w:val="0"/>
          <w:numId w:val="13"/>
        </w:numPr>
        <w:spacing w:before="12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 xml:space="preserve">the efficiencies have been, or are likely to be, realised as a result of the conduct. </w:t>
      </w:r>
    </w:p>
    <w:p w14:paraId="04A1AEAB" w14:textId="77777777" w:rsidR="00BC18FA" w:rsidRPr="00774EDB" w:rsidRDefault="00BC18FA" w:rsidP="00A70042">
      <w:pPr>
        <w:pStyle w:val="ListParagraph"/>
        <w:numPr>
          <w:ilvl w:val="0"/>
          <w:numId w:val="13"/>
        </w:numPr>
        <w:spacing w:before="12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the conduct is indispensable to the realisation of those efficiencies</w:t>
      </w:r>
      <w:r w:rsidR="00D77F1A" w:rsidRPr="00774EDB">
        <w:rPr>
          <w:rFonts w:ascii="Times New Roman" w:hAnsi="Times New Roman" w:cs="Times New Roman"/>
          <w:sz w:val="24"/>
          <w:szCs w:val="24"/>
        </w:rPr>
        <w:t>.</w:t>
      </w:r>
      <w:r w:rsidRPr="00774EDB">
        <w:rPr>
          <w:rFonts w:ascii="Times New Roman" w:hAnsi="Times New Roman" w:cs="Times New Roman"/>
          <w:sz w:val="24"/>
          <w:szCs w:val="24"/>
        </w:rPr>
        <w:t xml:space="preserve"> </w:t>
      </w:r>
    </w:p>
    <w:p w14:paraId="49B677C3" w14:textId="77777777" w:rsidR="001F0136" w:rsidRPr="00774EDB" w:rsidRDefault="00BC18FA" w:rsidP="00A70042">
      <w:pPr>
        <w:pStyle w:val="ListParagraph"/>
        <w:numPr>
          <w:ilvl w:val="0"/>
          <w:numId w:val="13"/>
        </w:numPr>
        <w:spacing w:before="12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the likely efficiencies brought about by the conduct outweigh any likely negative effects on competition and consumer welfare in the affected markets</w:t>
      </w:r>
      <w:r w:rsidR="00D77F1A" w:rsidRPr="00774EDB">
        <w:rPr>
          <w:rFonts w:ascii="Times New Roman" w:hAnsi="Times New Roman" w:cs="Times New Roman"/>
          <w:sz w:val="24"/>
          <w:szCs w:val="24"/>
        </w:rPr>
        <w:t>.</w:t>
      </w:r>
    </w:p>
    <w:p w14:paraId="781D6308" w14:textId="77777777" w:rsidR="005110AD" w:rsidRPr="00774EDB" w:rsidRDefault="00BC18FA" w:rsidP="00A70042">
      <w:pPr>
        <w:pStyle w:val="ListParagraph"/>
        <w:numPr>
          <w:ilvl w:val="0"/>
          <w:numId w:val="13"/>
        </w:numPr>
        <w:spacing w:before="12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the conduct does not eliminate effective competition, by removing all or most existing sources of actual or potential competition.</w:t>
      </w:r>
      <w:r w:rsidR="004A7FC9" w:rsidRPr="00820EF9">
        <w:rPr>
          <w:rStyle w:val="FootnoteReference"/>
          <w:rFonts w:ascii="Times New Roman" w:hAnsi="Times New Roman" w:cs="Times New Roman"/>
          <w:sz w:val="24"/>
          <w:szCs w:val="24"/>
        </w:rPr>
        <w:footnoteReference w:id="515"/>
      </w:r>
    </w:p>
    <w:p w14:paraId="6665E367" w14:textId="491B72C3" w:rsidR="007F55D3" w:rsidRPr="00774EDB" w:rsidRDefault="00D77F1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Despite the acknowledgement of an efficiency defence, a pro-competitive stance built on the ordoliberal roots could still be inferred from the Commission’s Guidance. In this regard, the idea of the ‘protection of competitors’ is discernibly </w:t>
      </w:r>
      <w:r w:rsidR="008939F2" w:rsidRPr="00774EDB">
        <w:rPr>
          <w:rFonts w:ascii="Times New Roman" w:hAnsi="Times New Roman" w:cs="Times New Roman"/>
          <w:sz w:val="24"/>
          <w:szCs w:val="24"/>
        </w:rPr>
        <w:t>injected</w:t>
      </w:r>
      <w:r w:rsidRPr="00774EDB">
        <w:rPr>
          <w:rFonts w:ascii="Times New Roman" w:hAnsi="Times New Roman" w:cs="Times New Roman"/>
          <w:sz w:val="24"/>
          <w:szCs w:val="24"/>
        </w:rPr>
        <w:t xml:space="preserve"> </w:t>
      </w:r>
      <w:r w:rsidR="008939F2" w:rsidRPr="00774EDB">
        <w:rPr>
          <w:rFonts w:ascii="Times New Roman" w:hAnsi="Times New Roman" w:cs="Times New Roman"/>
          <w:sz w:val="24"/>
          <w:szCs w:val="24"/>
        </w:rPr>
        <w:t>into</w:t>
      </w:r>
      <w:r w:rsidRPr="00774EDB">
        <w:rPr>
          <w:rFonts w:ascii="Times New Roman" w:hAnsi="Times New Roman" w:cs="Times New Roman"/>
          <w:sz w:val="24"/>
          <w:szCs w:val="24"/>
        </w:rPr>
        <w:t xml:space="preserve"> the Commission’s effects-based approach that targets both ‘protection of competition’ and ‘consumer welfare’.</w:t>
      </w:r>
      <w:r w:rsidRPr="00774EDB">
        <w:rPr>
          <w:rStyle w:val="FootnoteReference"/>
          <w:rFonts w:ascii="Times New Roman" w:hAnsi="Times New Roman" w:cs="Times New Roman"/>
          <w:sz w:val="24"/>
          <w:szCs w:val="24"/>
        </w:rPr>
        <w:footnoteReference w:id="516"/>
      </w:r>
      <w:r w:rsidRPr="00774EDB">
        <w:rPr>
          <w:rFonts w:ascii="Times New Roman" w:hAnsi="Times New Roman" w:cs="Times New Roman"/>
          <w:sz w:val="24"/>
          <w:szCs w:val="24"/>
        </w:rPr>
        <w:t xml:space="preserve"> Particularly in the context of non-price based exclusionary </w:t>
      </w:r>
      <w:r w:rsidRPr="00774EDB">
        <w:rPr>
          <w:rFonts w:ascii="Times New Roman" w:hAnsi="Times New Roman" w:cs="Times New Roman"/>
          <w:sz w:val="24"/>
          <w:szCs w:val="24"/>
        </w:rPr>
        <w:lastRenderedPageBreak/>
        <w:t>conducts, the given ambiguity is much more visible, and is also reflected in the context of ‘refusal to supply’ behaviours.</w:t>
      </w:r>
    </w:p>
    <w:p w14:paraId="2697E9CF" w14:textId="77777777" w:rsidR="000956D5" w:rsidRPr="00820EF9" w:rsidRDefault="00D77F1A"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rPr>
        <w:t>According to the Guidance, if a dominant undertaking has refused to supply or license to his competitors, this is considered as a significant reason to presume an existent ‘consumer harm’ under certain circumstances.</w:t>
      </w:r>
      <w:r w:rsidRPr="00774EDB">
        <w:rPr>
          <w:rStyle w:val="FootnoteReference"/>
          <w:rFonts w:ascii="Times New Roman" w:hAnsi="Times New Roman" w:cs="Times New Roman"/>
          <w:sz w:val="24"/>
          <w:szCs w:val="24"/>
        </w:rPr>
        <w:footnoteReference w:id="517"/>
      </w:r>
      <w:r w:rsidRPr="00774EDB">
        <w:rPr>
          <w:rFonts w:ascii="Times New Roman" w:hAnsi="Times New Roman" w:cs="Times New Roman"/>
          <w:sz w:val="24"/>
          <w:szCs w:val="24"/>
        </w:rPr>
        <w:t xml:space="preserve"> Should the so-called circumstances be proven to have existed, the dominant undertakings could be held liable for effective competition being eliminated owing to their refusal to deal with their downstream competitors regardless of the negative effects to the consumers.</w:t>
      </w:r>
      <w:r w:rsidRPr="00774EDB">
        <w:rPr>
          <w:rStyle w:val="FootnoteReference"/>
          <w:rFonts w:ascii="Times New Roman" w:hAnsi="Times New Roman" w:cs="Times New Roman"/>
          <w:sz w:val="24"/>
          <w:szCs w:val="24"/>
        </w:rPr>
        <w:footnoteReference w:id="518"/>
      </w:r>
      <w:r w:rsidRPr="00774EDB">
        <w:rPr>
          <w:rFonts w:ascii="Times New Roman" w:hAnsi="Times New Roman" w:cs="Times New Roman"/>
          <w:sz w:val="24"/>
          <w:szCs w:val="24"/>
        </w:rPr>
        <w:t xml:space="preserve"> To cover all the relevant scenarios, the Guidance seems to have filtered the exceptional circumstances under which refusal to deal is to be regarded as an ‘abuse of dominance’. According to this consolidated formula, for a dominant undertaking’s refusal to supply to amount to an abuse the following conditions need to be met cumulatively:</w:t>
      </w:r>
      <w:r w:rsidRPr="00774EDB">
        <w:rPr>
          <w:rStyle w:val="FootnoteReference"/>
          <w:rFonts w:ascii="Times New Roman" w:hAnsi="Times New Roman" w:cs="Times New Roman"/>
          <w:sz w:val="24"/>
          <w:szCs w:val="24"/>
        </w:rPr>
        <w:footnoteReference w:id="519"/>
      </w:r>
    </w:p>
    <w:p w14:paraId="45F0A17F" w14:textId="77777777" w:rsidR="000956D5" w:rsidRPr="00A70042" w:rsidRDefault="000956D5" w:rsidP="00A70042">
      <w:pPr>
        <w:numPr>
          <w:ilvl w:val="0"/>
          <w:numId w:val="12"/>
        </w:numPr>
        <w:autoSpaceDE w:val="0"/>
        <w:autoSpaceDN w:val="0"/>
        <w:adjustRightInd w:val="0"/>
        <w:spacing w:before="240"/>
        <w:jc w:val="both"/>
        <w:rPr>
          <w:rFonts w:ascii="Times New Roman" w:hAnsi="Times New Roman" w:cs="Times New Roman"/>
          <w:sz w:val="24"/>
          <w:szCs w:val="24"/>
          <w:lang w:val="tr-TR"/>
        </w:rPr>
      </w:pPr>
      <w:r w:rsidRPr="00A70042">
        <w:rPr>
          <w:rFonts w:ascii="Times New Roman" w:hAnsi="Times New Roman" w:cs="Times New Roman"/>
          <w:sz w:val="24"/>
          <w:szCs w:val="24"/>
          <w:lang w:val="tr-TR"/>
        </w:rPr>
        <w:t xml:space="preserve">the refusal relates to a product or service that is </w:t>
      </w:r>
      <w:r w:rsidRPr="00A70042">
        <w:rPr>
          <w:rFonts w:ascii="Times New Roman" w:hAnsi="Times New Roman" w:cs="Times New Roman"/>
          <w:i/>
          <w:sz w:val="24"/>
          <w:szCs w:val="24"/>
          <w:lang w:val="tr-TR"/>
        </w:rPr>
        <w:t>objectively necessary to be able to compete effectively</w:t>
      </w:r>
      <w:r w:rsidRPr="00A70042">
        <w:rPr>
          <w:rFonts w:ascii="Times New Roman" w:hAnsi="Times New Roman" w:cs="Times New Roman"/>
          <w:sz w:val="24"/>
          <w:szCs w:val="24"/>
          <w:lang w:val="tr-TR"/>
        </w:rPr>
        <w:t xml:space="preserve"> on a downstream market;</w:t>
      </w:r>
    </w:p>
    <w:p w14:paraId="3B706E90" w14:textId="77777777" w:rsidR="000956D5" w:rsidRPr="00A70042" w:rsidRDefault="000956D5" w:rsidP="00A70042">
      <w:pPr>
        <w:numPr>
          <w:ilvl w:val="0"/>
          <w:numId w:val="12"/>
        </w:numPr>
        <w:autoSpaceDE w:val="0"/>
        <w:autoSpaceDN w:val="0"/>
        <w:adjustRightInd w:val="0"/>
        <w:spacing w:before="240"/>
        <w:ind w:left="714" w:hanging="357"/>
        <w:jc w:val="both"/>
        <w:rPr>
          <w:rFonts w:ascii="Times New Roman" w:hAnsi="Times New Roman" w:cs="Times New Roman"/>
          <w:sz w:val="24"/>
          <w:szCs w:val="24"/>
          <w:lang w:val="tr-TR"/>
        </w:rPr>
      </w:pPr>
      <w:r w:rsidRPr="00A70042">
        <w:rPr>
          <w:rFonts w:ascii="Times New Roman" w:hAnsi="Times New Roman" w:cs="Times New Roman"/>
          <w:sz w:val="24"/>
          <w:szCs w:val="24"/>
          <w:lang w:val="tr-TR"/>
        </w:rPr>
        <w:t xml:space="preserve">the refusal is </w:t>
      </w:r>
      <w:r w:rsidRPr="00A70042">
        <w:rPr>
          <w:rFonts w:ascii="Times New Roman" w:hAnsi="Times New Roman" w:cs="Times New Roman"/>
          <w:i/>
          <w:sz w:val="24"/>
          <w:szCs w:val="24"/>
          <w:lang w:val="tr-TR"/>
        </w:rPr>
        <w:t>likely to lead to the elimination of effective competition</w:t>
      </w:r>
      <w:r w:rsidRPr="00A70042">
        <w:rPr>
          <w:rFonts w:ascii="Times New Roman" w:hAnsi="Times New Roman" w:cs="Times New Roman"/>
          <w:sz w:val="24"/>
          <w:szCs w:val="24"/>
          <w:lang w:val="tr-TR"/>
        </w:rPr>
        <w:t xml:space="preserve"> on the downstream market; and</w:t>
      </w:r>
    </w:p>
    <w:p w14:paraId="634E5397" w14:textId="77777777" w:rsidR="000956D5" w:rsidRPr="00A70042" w:rsidRDefault="000956D5" w:rsidP="00A70042">
      <w:pPr>
        <w:numPr>
          <w:ilvl w:val="0"/>
          <w:numId w:val="12"/>
        </w:numPr>
        <w:autoSpaceDE w:val="0"/>
        <w:autoSpaceDN w:val="0"/>
        <w:adjustRightInd w:val="0"/>
        <w:spacing w:before="240"/>
        <w:ind w:left="714" w:hanging="357"/>
        <w:jc w:val="both"/>
        <w:rPr>
          <w:rFonts w:ascii="Times New Roman" w:hAnsi="Times New Roman" w:cs="Times New Roman"/>
          <w:sz w:val="24"/>
          <w:szCs w:val="24"/>
          <w:lang w:val="tr-TR"/>
        </w:rPr>
      </w:pPr>
      <w:r w:rsidRPr="00A70042">
        <w:rPr>
          <w:rFonts w:ascii="Times New Roman" w:hAnsi="Times New Roman" w:cs="Times New Roman"/>
          <w:sz w:val="24"/>
          <w:szCs w:val="24"/>
          <w:lang w:val="tr-TR"/>
        </w:rPr>
        <w:t xml:space="preserve">the refusal is </w:t>
      </w:r>
      <w:r w:rsidRPr="00A70042">
        <w:rPr>
          <w:rFonts w:ascii="Times New Roman" w:hAnsi="Times New Roman" w:cs="Times New Roman"/>
          <w:i/>
          <w:sz w:val="24"/>
          <w:szCs w:val="24"/>
          <w:lang w:val="tr-TR"/>
        </w:rPr>
        <w:t>likely to lead to consumer harm</w:t>
      </w:r>
      <w:r w:rsidRPr="00A70042">
        <w:rPr>
          <w:rFonts w:ascii="Times New Roman" w:hAnsi="Times New Roman" w:cs="Times New Roman"/>
          <w:sz w:val="24"/>
          <w:szCs w:val="24"/>
          <w:lang w:val="tr-TR"/>
        </w:rPr>
        <w:t>.</w:t>
      </w:r>
    </w:p>
    <w:p w14:paraId="77A190A8" w14:textId="77777777" w:rsidR="00D42138" w:rsidRPr="00820EF9" w:rsidRDefault="00D77F1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 xml:space="preserve">Under this comprehensive and generic formula, a divergence from the original strand of ‘exceptional circumstances’ must be noted whereby the conditions have a less sharpened and more simplified character. In addition, after a careful reading, it could be found that this tripartite test has remarkable traces leading out from the stand-alone formulation of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For instance, for a finding of an abusive refusal to supply, ‘indispensability’ is no longer required to be a featured aspect of the access denied asset.</w:t>
      </w:r>
      <w:r w:rsidRPr="00774EDB">
        <w:rPr>
          <w:rStyle w:val="FootnoteReference"/>
          <w:rFonts w:ascii="Times New Roman" w:hAnsi="Times New Roman" w:cs="Times New Roman"/>
          <w:sz w:val="24"/>
          <w:szCs w:val="24"/>
        </w:rPr>
        <w:footnoteReference w:id="520"/>
      </w:r>
      <w:r w:rsidRPr="00774EDB">
        <w:rPr>
          <w:rFonts w:ascii="Times New Roman" w:hAnsi="Times New Roman" w:cs="Times New Roman"/>
          <w:sz w:val="24"/>
          <w:szCs w:val="24"/>
        </w:rPr>
        <w:t xml:space="preserve"> Instead, ‘objectively necessary’ is created as a comparably less bold requirement, reminiscent of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where there was no reference to ‘indispensability’ as opposed to previous case law i.e. </w:t>
      </w:r>
      <w:r w:rsidRPr="00774EDB">
        <w:rPr>
          <w:rFonts w:ascii="Times New Roman" w:hAnsi="Times New Roman" w:cs="Times New Roman"/>
          <w:i/>
          <w:sz w:val="24"/>
          <w:szCs w:val="24"/>
        </w:rPr>
        <w:t xml:space="preserve">Magill, IMS health </w:t>
      </w:r>
      <w:r w:rsidRPr="00774EDB">
        <w:rPr>
          <w:rFonts w:ascii="Times New Roman" w:hAnsi="Times New Roman" w:cs="Times New Roman"/>
          <w:sz w:val="24"/>
          <w:szCs w:val="24"/>
        </w:rPr>
        <w:t>or</w:t>
      </w:r>
      <w:r w:rsidRPr="00774EDB">
        <w:rPr>
          <w:rFonts w:ascii="Times New Roman" w:hAnsi="Times New Roman" w:cs="Times New Roman"/>
          <w:i/>
          <w:sz w:val="24"/>
          <w:szCs w:val="24"/>
        </w:rPr>
        <w:t xml:space="preserve"> Oscar Bronner</w:t>
      </w:r>
      <w:r w:rsidRPr="00774EDB">
        <w:rPr>
          <w:rFonts w:ascii="Times New Roman" w:hAnsi="Times New Roman" w:cs="Times New Roman"/>
          <w:sz w:val="24"/>
          <w:szCs w:val="24"/>
        </w:rPr>
        <w:t>. Likewise, ‘elimination of effective competition’</w:t>
      </w:r>
      <w:r w:rsidRPr="00774EDB">
        <w:rPr>
          <w:rStyle w:val="FootnoteReference"/>
          <w:rFonts w:ascii="Times New Roman" w:hAnsi="Times New Roman" w:cs="Times New Roman"/>
          <w:sz w:val="24"/>
          <w:szCs w:val="24"/>
        </w:rPr>
        <w:footnoteReference w:id="521"/>
      </w:r>
      <w:r w:rsidRPr="00774EDB">
        <w:rPr>
          <w:rFonts w:ascii="Times New Roman" w:hAnsi="Times New Roman" w:cs="Times New Roman"/>
          <w:sz w:val="24"/>
          <w:szCs w:val="24"/>
        </w:rPr>
        <w:t xml:space="preserve"> seems to be opted for instead of ‘elimination of all competition’ as the pre-requisite, demonstrating a loosening of grounds for finding an abuse, just like in the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formula. Along the same lines, ‘consumer harm’ is presupposed to arise “where the competitors that the dominant undertaking forecloses are, as a result of the refusal, prevented from bringing innovative goods or services to market and/or where follow-on innovation is likely to be stifled”.</w:t>
      </w:r>
      <w:r w:rsidRPr="00774EDB">
        <w:rPr>
          <w:rStyle w:val="FootnoteReference"/>
          <w:rFonts w:ascii="Times New Roman" w:hAnsi="Times New Roman" w:cs="Times New Roman"/>
          <w:sz w:val="24"/>
          <w:szCs w:val="24"/>
        </w:rPr>
        <w:footnoteReference w:id="522"/>
      </w:r>
      <w:r w:rsidRPr="00774EDB">
        <w:rPr>
          <w:rFonts w:ascii="Times New Roman" w:hAnsi="Times New Roman" w:cs="Times New Roman"/>
          <w:sz w:val="24"/>
          <w:szCs w:val="24"/>
        </w:rPr>
        <w:t xml:space="preserve"> This point of view draws on the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judgement, where the main focus was on the ‘follow-on innovation’ rather than  the ‘new product test’, and the burden of proof was imposed onto the dominant firm for proving that mandatory sharing harmed its innovation incentives.</w:t>
      </w:r>
      <w:r w:rsidRPr="00774EDB">
        <w:rPr>
          <w:rStyle w:val="FootnoteReference"/>
          <w:rFonts w:ascii="Times New Roman" w:hAnsi="Times New Roman" w:cs="Times New Roman"/>
          <w:sz w:val="24"/>
          <w:szCs w:val="24"/>
        </w:rPr>
        <w:footnoteReference w:id="523"/>
      </w:r>
      <w:r w:rsidRPr="00774EDB">
        <w:rPr>
          <w:rFonts w:ascii="Times New Roman" w:hAnsi="Times New Roman" w:cs="Times New Roman"/>
          <w:sz w:val="24"/>
          <w:szCs w:val="24"/>
        </w:rPr>
        <w:t xml:space="preserve"> It seems that the Guidance, without deeply questioning, seems to acknowledge this presumptive approach as the </w:t>
      </w:r>
      <w:r w:rsidRPr="00774EDB">
        <w:rPr>
          <w:rFonts w:ascii="Times New Roman" w:hAnsi="Times New Roman" w:cs="Times New Roman"/>
          <w:sz w:val="24"/>
          <w:szCs w:val="24"/>
        </w:rPr>
        <w:lastRenderedPageBreak/>
        <w:t>baseline for efficiency claims,</w:t>
      </w:r>
      <w:r w:rsidRPr="00774EDB">
        <w:rPr>
          <w:rStyle w:val="FootnoteReference"/>
          <w:rFonts w:ascii="Times New Roman" w:hAnsi="Times New Roman" w:cs="Times New Roman"/>
          <w:sz w:val="24"/>
          <w:szCs w:val="24"/>
        </w:rPr>
        <w:footnoteReference w:id="524"/>
      </w:r>
      <w:r w:rsidRPr="00774EDB">
        <w:rPr>
          <w:rFonts w:ascii="Times New Roman" w:hAnsi="Times New Roman" w:cs="Times New Roman"/>
          <w:sz w:val="24"/>
          <w:szCs w:val="24"/>
        </w:rPr>
        <w:t xml:space="preserve"> whilst also bearing some risks of having a unilateral and formalistic approach.</w:t>
      </w:r>
    </w:p>
    <w:p w14:paraId="4525D711" w14:textId="77777777" w:rsidR="0022232B" w:rsidRPr="00820EF9" w:rsidRDefault="004E5CF8"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an overall perspective and reading of the Guidance, a looser characterisation of the ‘exceptional circumstances’ to warrant mandatory sharing and interoperability suggest</w:t>
      </w:r>
      <w:r w:rsidR="00D872EC" w:rsidRPr="00774EDB">
        <w:rPr>
          <w:rFonts w:ascii="Times New Roman" w:hAnsi="Times New Roman" w:cs="Times New Roman"/>
          <w:sz w:val="24"/>
          <w:szCs w:val="24"/>
        </w:rPr>
        <w:t>s</w:t>
      </w:r>
      <w:r w:rsidRPr="00774EDB">
        <w:rPr>
          <w:rFonts w:ascii="Times New Roman" w:hAnsi="Times New Roman" w:cs="Times New Roman"/>
          <w:sz w:val="24"/>
          <w:szCs w:val="24"/>
        </w:rPr>
        <w:t xml:space="preserve"> more discretion being left to the Commission, marking a contrast to the effects-based approach. The Commission, in assuming more discretionary power, particularly concerning the refusal cases, might have considered the possibility of having to deal with cases similar to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which cut across EU case law with uneven criteria. This however does not disperse the uncertainty, even potentially increasing it concerning the antitrust treatment of prospective refusal cases. Against the uncertainty as to what extent the effects-based approach is applicable in the analysis of abusive conducts, harmful consequences would emerge, along with irrevocable outcomes regarding the dominant undertakings’ incentives towards innovation and efficiency.</w:t>
      </w:r>
      <w:r w:rsidRPr="00774EDB">
        <w:rPr>
          <w:rStyle w:val="FootnoteReference"/>
          <w:rFonts w:ascii="Times New Roman" w:hAnsi="Times New Roman" w:cs="Times New Roman"/>
          <w:sz w:val="24"/>
          <w:szCs w:val="24"/>
        </w:rPr>
        <w:footnoteReference w:id="525"/>
      </w:r>
    </w:p>
    <w:p w14:paraId="597A07CF" w14:textId="77777777" w:rsidR="00076A53" w:rsidRPr="00774EDB" w:rsidRDefault="00076A53" w:rsidP="00A70042">
      <w:pPr>
        <w:pStyle w:val="Heading2"/>
        <w:numPr>
          <w:ilvl w:val="1"/>
          <w:numId w:val="33"/>
        </w:numPr>
        <w:spacing w:before="360"/>
        <w:ind w:left="0" w:firstLine="0"/>
        <w:jc w:val="both"/>
        <w:rPr>
          <w:rFonts w:ascii="Times New Roman" w:hAnsi="Times New Roman" w:cs="Times New Roman"/>
          <w:b/>
          <w:color w:val="auto"/>
          <w:sz w:val="24"/>
          <w:szCs w:val="24"/>
          <w:lang w:val="en-US"/>
        </w:rPr>
      </w:pPr>
      <w:bookmarkStart w:id="422" w:name="_Toc17611428"/>
      <w:bookmarkStart w:id="423" w:name="_Toc17611645"/>
      <w:bookmarkStart w:id="424" w:name="_Toc17611857"/>
      <w:bookmarkStart w:id="425" w:name="_Toc17612071"/>
      <w:bookmarkStart w:id="426" w:name="_Toc17612284"/>
      <w:bookmarkStart w:id="427" w:name="_Toc17611429"/>
      <w:bookmarkStart w:id="428" w:name="_Toc53576072"/>
      <w:bookmarkEnd w:id="422"/>
      <w:bookmarkEnd w:id="423"/>
      <w:bookmarkEnd w:id="424"/>
      <w:bookmarkEnd w:id="425"/>
      <w:bookmarkEnd w:id="426"/>
      <w:r w:rsidRPr="00774EDB">
        <w:rPr>
          <w:rFonts w:ascii="Times New Roman" w:hAnsi="Times New Roman" w:cs="Times New Roman"/>
          <w:b/>
          <w:color w:val="auto"/>
          <w:sz w:val="24"/>
          <w:szCs w:val="24"/>
          <w:lang w:val="en-US"/>
        </w:rPr>
        <w:t xml:space="preserve">Merger </w:t>
      </w:r>
      <w:r w:rsidR="004E5CF8" w:rsidRPr="00774EDB">
        <w:rPr>
          <w:rFonts w:ascii="Times New Roman" w:hAnsi="Times New Roman" w:cs="Times New Roman"/>
          <w:b/>
          <w:color w:val="auto"/>
          <w:sz w:val="24"/>
          <w:szCs w:val="24"/>
          <w:lang w:val="en-US"/>
        </w:rPr>
        <w:t>r</w:t>
      </w:r>
      <w:r w:rsidRPr="00774EDB">
        <w:rPr>
          <w:rFonts w:ascii="Times New Roman" w:hAnsi="Times New Roman" w:cs="Times New Roman"/>
          <w:b/>
          <w:color w:val="auto"/>
          <w:sz w:val="24"/>
          <w:szCs w:val="24"/>
          <w:lang w:val="en-US"/>
        </w:rPr>
        <w:t>egulation</w:t>
      </w:r>
      <w:bookmarkEnd w:id="427"/>
      <w:bookmarkEnd w:id="428"/>
    </w:p>
    <w:p w14:paraId="0FD61F01" w14:textId="77777777" w:rsidR="000B0738" w:rsidRPr="00774EDB" w:rsidRDefault="000B0738" w:rsidP="00A70042">
      <w:pPr>
        <w:pStyle w:val="Heading3"/>
        <w:numPr>
          <w:ilvl w:val="2"/>
          <w:numId w:val="33"/>
        </w:numPr>
        <w:spacing w:before="360"/>
        <w:ind w:left="0" w:firstLine="0"/>
        <w:jc w:val="both"/>
        <w:rPr>
          <w:rFonts w:ascii="Times New Roman" w:hAnsi="Times New Roman" w:cs="Times New Roman"/>
          <w:b/>
          <w:lang w:val="en-US"/>
        </w:rPr>
      </w:pPr>
      <w:bookmarkStart w:id="429" w:name="_Toc17611430"/>
      <w:bookmarkStart w:id="430" w:name="_Toc17611647"/>
      <w:bookmarkStart w:id="431" w:name="_Toc17611859"/>
      <w:bookmarkStart w:id="432" w:name="_Toc17612073"/>
      <w:bookmarkStart w:id="433" w:name="_Toc17612286"/>
      <w:bookmarkStart w:id="434" w:name="_Toc17611431"/>
      <w:bookmarkStart w:id="435" w:name="_Toc53576073"/>
      <w:bookmarkEnd w:id="429"/>
      <w:bookmarkEnd w:id="430"/>
      <w:bookmarkEnd w:id="431"/>
      <w:bookmarkEnd w:id="432"/>
      <w:bookmarkEnd w:id="433"/>
      <w:r w:rsidRPr="00774EDB">
        <w:rPr>
          <w:rFonts w:ascii="Times New Roman" w:hAnsi="Times New Roman" w:cs="Times New Roman"/>
          <w:b/>
          <w:color w:val="auto"/>
          <w:lang w:val="en-US"/>
        </w:rPr>
        <w:t>General overview</w:t>
      </w:r>
      <w:bookmarkEnd w:id="434"/>
      <w:bookmarkEnd w:id="435"/>
    </w:p>
    <w:p w14:paraId="7CC44DA0" w14:textId="77777777" w:rsidR="00901A6D" w:rsidRPr="00774EDB" w:rsidRDefault="009D5E98"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Mergers and acquisitions (M&amp;As), or broadly speaking ‘concentrations’, have since the mid-1980s been subject to the Commission’s scrutiny because of their potential to </w:t>
      </w:r>
      <w:r w:rsidRPr="00774EDB">
        <w:rPr>
          <w:rFonts w:ascii="Times New Roman" w:hAnsi="Times New Roman" w:cs="Times New Roman"/>
          <w:sz w:val="24"/>
          <w:szCs w:val="24"/>
          <w:lang w:val="en-US"/>
        </w:rPr>
        <w:lastRenderedPageBreak/>
        <w:t>affect both the structure and functioning of the relevant markets.</w:t>
      </w:r>
      <w:r w:rsidRPr="00774EDB">
        <w:rPr>
          <w:rStyle w:val="FootnoteReference"/>
          <w:rFonts w:ascii="Times New Roman" w:hAnsi="Times New Roman" w:cs="Times New Roman"/>
          <w:sz w:val="24"/>
          <w:szCs w:val="24"/>
          <w:lang w:val="en-US"/>
        </w:rPr>
        <w:footnoteReference w:id="526"/>
      </w:r>
      <w:r w:rsidRPr="00774EDB">
        <w:rPr>
          <w:rFonts w:ascii="Times New Roman" w:hAnsi="Times New Roman" w:cs="Times New Roman"/>
          <w:sz w:val="24"/>
          <w:szCs w:val="24"/>
          <w:lang w:val="en-US"/>
        </w:rPr>
        <w:t xml:space="preserve"> However, this monitoring was limited due to the lack of a particular provision tailored for controlling M&amp;As under the TFEU. Uncertainty could not be resolved fully despite the Commission’s efforts to use Article 101 and 102, albeit with the preference to use the latter. This preference did not help so much as the pre-requisite to apply Article 102 to the existence of a dominant position in the relevant market. In the light of such restraints, a Merger Control Regulation (MCR) was issued by the European Council and Parliament in late 1989.</w:t>
      </w:r>
      <w:r w:rsidRPr="00774EDB">
        <w:rPr>
          <w:rStyle w:val="FootnoteReference"/>
          <w:rFonts w:ascii="Times New Roman" w:hAnsi="Times New Roman" w:cs="Times New Roman"/>
          <w:sz w:val="24"/>
          <w:szCs w:val="24"/>
          <w:lang w:val="en-US"/>
        </w:rPr>
        <w:footnoteReference w:id="527"/>
      </w:r>
    </w:p>
    <w:p w14:paraId="2558378C" w14:textId="2CABE169" w:rsidR="00340655" w:rsidRPr="00774EDB" w:rsidRDefault="009D5E98"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The so-called first Regulation (MCR) has set out procedural and substantive tests to evaluate the changes of control on a lasting basis by means of M&amp;As and structural type (concentrative) joint ventures. With regards to the jurisdictional thresholds, it was set out that all concentrations with an EU (Community) dimension were required to be notified to and approved by the Commission.</w:t>
      </w:r>
      <w:r w:rsidRPr="00774EDB">
        <w:rPr>
          <w:rStyle w:val="FootnoteReference"/>
          <w:rFonts w:ascii="Times New Roman" w:hAnsi="Times New Roman" w:cs="Times New Roman"/>
          <w:sz w:val="24"/>
          <w:szCs w:val="24"/>
          <w:lang w:val="en-US"/>
        </w:rPr>
        <w:footnoteReference w:id="528"/>
      </w:r>
      <w:r w:rsidRPr="00774EDB">
        <w:rPr>
          <w:rFonts w:ascii="Times New Roman" w:hAnsi="Times New Roman" w:cs="Times New Roman"/>
          <w:sz w:val="24"/>
          <w:szCs w:val="24"/>
          <w:lang w:val="en-US"/>
        </w:rPr>
        <w:t xml:space="preserve"> Regarding the appraisal of the concentrations, the ‘dominance test’ was adopted under the MCR</w:t>
      </w:r>
      <w:r w:rsidR="00340655" w:rsidRPr="00774EDB">
        <w:rPr>
          <w:rFonts w:ascii="Times New Roman" w:hAnsi="Times New Roman" w:cs="Times New Roman"/>
          <w:sz w:val="24"/>
          <w:szCs w:val="24"/>
          <w:lang w:val="en-US"/>
        </w:rPr>
        <w:t>.</w:t>
      </w:r>
      <w:r w:rsidR="00340655" w:rsidRPr="00774EDB">
        <w:rPr>
          <w:rStyle w:val="FootnoteReference"/>
          <w:rFonts w:ascii="Times New Roman" w:hAnsi="Times New Roman" w:cs="Times New Roman"/>
          <w:sz w:val="24"/>
          <w:szCs w:val="24"/>
          <w:lang w:val="en-US"/>
        </w:rPr>
        <w:footnoteReference w:id="529"/>
      </w:r>
      <w:r w:rsidR="00340655" w:rsidRPr="00774EDB">
        <w:rPr>
          <w:rFonts w:ascii="Times New Roman" w:hAnsi="Times New Roman" w:cs="Times New Roman"/>
          <w:sz w:val="24"/>
          <w:szCs w:val="24"/>
          <w:lang w:val="en-US"/>
        </w:rPr>
        <w:t xml:space="preserve"> This rule </w:t>
      </w:r>
      <w:r w:rsidR="00340655" w:rsidRPr="00774EDB">
        <w:rPr>
          <w:rFonts w:ascii="Times New Roman" w:hAnsi="Times New Roman" w:cs="Times New Roman"/>
          <w:sz w:val="24"/>
          <w:szCs w:val="24"/>
          <w:lang w:val="en-US"/>
        </w:rPr>
        <w:lastRenderedPageBreak/>
        <w:t>(dominance test) had not been changed until the introduction of the new regulation, namely the ‘European Union Merger Regulation’ (EUMR).</w:t>
      </w:r>
      <w:r w:rsidR="00340655" w:rsidRPr="00774EDB">
        <w:rPr>
          <w:rStyle w:val="FootnoteReference"/>
          <w:rFonts w:ascii="Times New Roman" w:hAnsi="Times New Roman" w:cs="Times New Roman"/>
          <w:sz w:val="24"/>
          <w:szCs w:val="24"/>
          <w:lang w:val="en-US"/>
        </w:rPr>
        <w:footnoteReference w:id="530"/>
      </w:r>
      <w:r w:rsidR="00340655" w:rsidRPr="00774EDB">
        <w:rPr>
          <w:rFonts w:ascii="Times New Roman" w:hAnsi="Times New Roman" w:cs="Times New Roman"/>
          <w:sz w:val="24"/>
          <w:szCs w:val="24"/>
          <w:lang w:val="en-US"/>
        </w:rPr>
        <w:t xml:space="preserve"> A new substantive test called the ‘Significant Impediment of Effective Competition’ (SIEC) has been adopted as the new rule for appraisal of the concentrations. This test </w:t>
      </w:r>
      <w:r w:rsidR="00110897" w:rsidRPr="00774EDB">
        <w:rPr>
          <w:rFonts w:ascii="Times New Roman" w:hAnsi="Times New Roman" w:cs="Times New Roman"/>
          <w:sz w:val="24"/>
          <w:szCs w:val="24"/>
          <w:lang w:val="en-US"/>
        </w:rPr>
        <w:t>i</w:t>
      </w:r>
      <w:r w:rsidR="00340655" w:rsidRPr="00774EDB">
        <w:rPr>
          <w:rFonts w:ascii="Times New Roman" w:hAnsi="Times New Roman" w:cs="Times New Roman"/>
          <w:sz w:val="24"/>
          <w:szCs w:val="24"/>
          <w:lang w:val="en-US"/>
        </w:rPr>
        <w:t>s reflected in the Article 2(3) of the EUMR as follows:</w:t>
      </w:r>
    </w:p>
    <w:p w14:paraId="6C02D2F8" w14:textId="76132BB8" w:rsidR="00896BD6" w:rsidRPr="00774EDB" w:rsidRDefault="00DE4A33" w:rsidP="00A70042">
      <w:pPr>
        <w:spacing w:before="360"/>
        <w:ind w:left="720" w:right="72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A concentration which would </w:t>
      </w:r>
      <w:r w:rsidRPr="00774EDB">
        <w:rPr>
          <w:rFonts w:ascii="Times New Roman" w:hAnsi="Times New Roman" w:cs="Times New Roman"/>
          <w:i/>
          <w:iCs/>
          <w:sz w:val="24"/>
          <w:szCs w:val="24"/>
          <w:lang w:val="en-US"/>
        </w:rPr>
        <w:t>significantly impede effective competition</w:t>
      </w:r>
      <w:r w:rsidRPr="00774EDB">
        <w:rPr>
          <w:rFonts w:ascii="Times New Roman" w:hAnsi="Times New Roman" w:cs="Times New Roman"/>
          <w:sz w:val="24"/>
          <w:szCs w:val="24"/>
          <w:lang w:val="en-US"/>
        </w:rPr>
        <w:t>, in the common market or in a substantial part of it, in particular as a result of the creation or strengthening of a dominant position, shall be declared incompatible with the common market</w:t>
      </w:r>
      <w:r w:rsidR="00340655" w:rsidRPr="00774EDB">
        <w:rPr>
          <w:rFonts w:ascii="Times New Roman" w:hAnsi="Times New Roman" w:cs="Times New Roman"/>
          <w:sz w:val="24"/>
          <w:szCs w:val="24"/>
          <w:lang w:val="en-US"/>
        </w:rPr>
        <w:t>.</w:t>
      </w:r>
      <w:r w:rsidR="00340655" w:rsidRPr="00774EDB">
        <w:rPr>
          <w:rStyle w:val="FootnoteReference"/>
          <w:rFonts w:ascii="Times New Roman" w:hAnsi="Times New Roman" w:cs="Times New Roman"/>
          <w:sz w:val="24"/>
          <w:szCs w:val="24"/>
          <w:lang w:val="en-US"/>
        </w:rPr>
        <w:footnoteReference w:id="531"/>
      </w:r>
    </w:p>
    <w:p w14:paraId="43647233" w14:textId="29507A08" w:rsidR="006453CD" w:rsidRPr="00774EDB" w:rsidRDefault="009D5E98"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The new test focuses on the effects </w:t>
      </w:r>
      <w:r w:rsidR="00340655" w:rsidRPr="00774EDB">
        <w:rPr>
          <w:rFonts w:ascii="Times New Roman" w:hAnsi="Times New Roman" w:cs="Times New Roman"/>
          <w:sz w:val="24"/>
          <w:szCs w:val="24"/>
          <w:lang w:val="en-US"/>
        </w:rPr>
        <w:t xml:space="preserve">of notified concentration </w:t>
      </w:r>
      <w:r w:rsidRPr="00774EDB">
        <w:rPr>
          <w:rFonts w:ascii="Times New Roman" w:hAnsi="Times New Roman" w:cs="Times New Roman"/>
          <w:sz w:val="24"/>
          <w:szCs w:val="24"/>
          <w:lang w:val="en-US"/>
        </w:rPr>
        <w:t>on competition</w:t>
      </w:r>
      <w:r w:rsidR="00340655" w:rsidRPr="00774EDB">
        <w:rPr>
          <w:rFonts w:ascii="Times New Roman" w:hAnsi="Times New Roman" w:cs="Times New Roman"/>
          <w:sz w:val="24"/>
          <w:szCs w:val="24"/>
          <w:lang w:val="en-US"/>
        </w:rPr>
        <w:t>,</w:t>
      </w:r>
      <w:r w:rsidRPr="00774EDB">
        <w:rPr>
          <w:rFonts w:ascii="Times New Roman" w:hAnsi="Times New Roman" w:cs="Times New Roman"/>
          <w:sz w:val="24"/>
          <w:szCs w:val="24"/>
          <w:lang w:val="en-US"/>
        </w:rPr>
        <w:t xml:space="preserve"> </w:t>
      </w:r>
      <w:r w:rsidR="00340655" w:rsidRPr="00774EDB">
        <w:rPr>
          <w:rFonts w:ascii="Times New Roman" w:hAnsi="Times New Roman" w:cs="Times New Roman"/>
          <w:sz w:val="24"/>
          <w:szCs w:val="24"/>
          <w:lang w:val="en-US"/>
        </w:rPr>
        <w:t>in combination with</w:t>
      </w:r>
      <w:r w:rsidRPr="00774EDB">
        <w:rPr>
          <w:rFonts w:ascii="Times New Roman" w:hAnsi="Times New Roman" w:cs="Times New Roman"/>
          <w:sz w:val="24"/>
          <w:szCs w:val="24"/>
          <w:lang w:val="en-US"/>
        </w:rPr>
        <w:t xml:space="preserve"> the structure of the market</w:t>
      </w:r>
      <w:r w:rsidR="00340655" w:rsidRPr="00774EDB">
        <w:rPr>
          <w:rFonts w:ascii="Times New Roman" w:hAnsi="Times New Roman" w:cs="Times New Roman"/>
          <w:sz w:val="24"/>
          <w:szCs w:val="24"/>
          <w:lang w:val="en-US"/>
        </w:rPr>
        <w:t>,</w:t>
      </w:r>
      <w:r w:rsidRPr="00774EDB">
        <w:rPr>
          <w:rFonts w:ascii="Times New Roman" w:hAnsi="Times New Roman" w:cs="Times New Roman"/>
          <w:sz w:val="24"/>
          <w:szCs w:val="24"/>
          <w:lang w:val="en-US"/>
        </w:rPr>
        <w:t xml:space="preserve"> and prohibits mergers that “significantly impede effective competition</w:t>
      </w:r>
      <w:r w:rsidR="00340655" w:rsidRPr="00774EDB">
        <w:rPr>
          <w:rFonts w:ascii="Times New Roman" w:hAnsi="Times New Roman" w:cs="Times New Roman"/>
          <w:sz w:val="24"/>
          <w:szCs w:val="24"/>
          <w:lang w:val="en-US"/>
        </w:rPr>
        <w:t>”</w:t>
      </w:r>
      <w:r w:rsidR="00110897" w:rsidRPr="00774EDB">
        <w:rPr>
          <w:rFonts w:ascii="Times New Roman" w:hAnsi="Times New Roman" w:cs="Times New Roman"/>
          <w:sz w:val="24"/>
          <w:szCs w:val="24"/>
          <w:lang w:val="en-US"/>
        </w:rPr>
        <w:t>,</w:t>
      </w:r>
      <w:r w:rsidR="00340655" w:rsidRPr="00774EDB">
        <w:rPr>
          <w:rFonts w:ascii="Times New Roman" w:hAnsi="Times New Roman" w:cs="Times New Roman"/>
          <w:sz w:val="24"/>
          <w:szCs w:val="24"/>
          <w:lang w:val="en-US"/>
        </w:rPr>
        <w:t xml:space="preserve"> not necessarily</w:t>
      </w:r>
      <w:r w:rsidRPr="00774EDB">
        <w:rPr>
          <w:rFonts w:ascii="Times New Roman" w:hAnsi="Times New Roman" w:cs="Times New Roman"/>
          <w:sz w:val="24"/>
          <w:szCs w:val="24"/>
          <w:lang w:val="en-US"/>
        </w:rPr>
        <w:t xml:space="preserve"> </w:t>
      </w:r>
      <w:r w:rsidR="00340655" w:rsidRPr="00774EDB">
        <w:rPr>
          <w:rFonts w:ascii="Times New Roman" w:hAnsi="Times New Roman" w:cs="Times New Roman"/>
          <w:sz w:val="24"/>
          <w:szCs w:val="24"/>
          <w:lang w:val="en-US"/>
        </w:rPr>
        <w:t>but</w:t>
      </w:r>
      <w:r w:rsidRPr="00774EDB">
        <w:rPr>
          <w:rFonts w:ascii="Times New Roman" w:hAnsi="Times New Roman" w:cs="Times New Roman"/>
          <w:sz w:val="24"/>
          <w:szCs w:val="24"/>
          <w:lang w:val="en-US"/>
        </w:rPr>
        <w:t xml:space="preserve"> </w:t>
      </w:r>
      <w:r w:rsidR="00340655" w:rsidRPr="00774EDB">
        <w:rPr>
          <w:rFonts w:ascii="Times New Roman" w:hAnsi="Times New Roman" w:cs="Times New Roman"/>
          <w:sz w:val="24"/>
          <w:szCs w:val="24"/>
          <w:lang w:val="en-US"/>
        </w:rPr>
        <w:t>“</w:t>
      </w:r>
      <w:r w:rsidRPr="00774EDB">
        <w:rPr>
          <w:rFonts w:ascii="Times New Roman" w:hAnsi="Times New Roman" w:cs="Times New Roman"/>
          <w:sz w:val="24"/>
          <w:szCs w:val="24"/>
          <w:lang w:val="en-US"/>
        </w:rPr>
        <w:t>in particular as a result of the creation or strengthening of a dominant position”.</w:t>
      </w:r>
      <w:r w:rsidR="00340655" w:rsidRPr="00774EDB">
        <w:rPr>
          <w:rFonts w:ascii="Times New Roman" w:hAnsi="Times New Roman" w:cs="Times New Roman"/>
          <w:sz w:val="24"/>
          <w:szCs w:val="24"/>
          <w:lang w:val="en-US"/>
        </w:rPr>
        <w:t xml:space="preserve"> This </w:t>
      </w:r>
      <w:r w:rsidR="00110897" w:rsidRPr="00774EDB">
        <w:rPr>
          <w:rFonts w:ascii="Times New Roman" w:hAnsi="Times New Roman" w:cs="Times New Roman"/>
          <w:sz w:val="24"/>
          <w:szCs w:val="24"/>
          <w:lang w:val="en-US"/>
        </w:rPr>
        <w:t xml:space="preserve">latter emphasis on ‘dominance’ still incorporates consideration of the market structure; yet it </w:t>
      </w:r>
      <w:r w:rsidR="00340655" w:rsidRPr="00774EDB">
        <w:rPr>
          <w:rFonts w:ascii="Times New Roman" w:hAnsi="Times New Roman" w:cs="Times New Roman"/>
          <w:sz w:val="24"/>
          <w:szCs w:val="24"/>
          <w:lang w:val="en-US"/>
        </w:rPr>
        <w:t xml:space="preserve">apparently leaves room for </w:t>
      </w:r>
      <w:r w:rsidR="00110897" w:rsidRPr="00774EDB">
        <w:rPr>
          <w:rFonts w:ascii="Times New Roman" w:hAnsi="Times New Roman" w:cs="Times New Roman"/>
          <w:sz w:val="24"/>
          <w:szCs w:val="24"/>
          <w:lang w:val="en-US"/>
        </w:rPr>
        <w:t xml:space="preserve">a divergent </w:t>
      </w:r>
      <w:r w:rsidR="00340655" w:rsidRPr="00774EDB">
        <w:rPr>
          <w:rFonts w:ascii="Times New Roman" w:hAnsi="Times New Roman" w:cs="Times New Roman"/>
          <w:sz w:val="24"/>
          <w:szCs w:val="24"/>
          <w:lang w:val="en-US"/>
        </w:rPr>
        <w:t xml:space="preserve">interpretation </w:t>
      </w:r>
      <w:r w:rsidR="00110897" w:rsidRPr="00774EDB">
        <w:rPr>
          <w:rFonts w:ascii="Times New Roman" w:hAnsi="Times New Roman" w:cs="Times New Roman"/>
          <w:sz w:val="24"/>
          <w:szCs w:val="24"/>
          <w:lang w:val="en-US"/>
        </w:rPr>
        <w:t>based on the SIEC test.</w:t>
      </w:r>
      <w:r w:rsidR="00340655" w:rsidRPr="00774EDB">
        <w:rPr>
          <w:rStyle w:val="FootnoteReference"/>
          <w:rFonts w:ascii="Times New Roman" w:hAnsi="Times New Roman" w:cs="Times New Roman"/>
          <w:sz w:val="24"/>
          <w:szCs w:val="24"/>
          <w:lang w:val="en-US"/>
        </w:rPr>
        <w:footnoteReference w:id="532"/>
      </w:r>
      <w:r w:rsidRPr="00774EDB">
        <w:rPr>
          <w:rFonts w:ascii="Times New Roman" w:hAnsi="Times New Roman" w:cs="Times New Roman"/>
          <w:sz w:val="24"/>
          <w:szCs w:val="24"/>
          <w:lang w:val="en-US"/>
        </w:rPr>
        <w:t xml:space="preserve"> While representing a compromise solution between the dominance test and the new SIEC; the EUMR </w:t>
      </w:r>
      <w:r w:rsidR="00110897" w:rsidRPr="00774EDB">
        <w:rPr>
          <w:rFonts w:ascii="Times New Roman" w:hAnsi="Times New Roman" w:cs="Times New Roman"/>
          <w:sz w:val="24"/>
          <w:szCs w:val="24"/>
          <w:lang w:val="en-US"/>
        </w:rPr>
        <w:t>includ</w:t>
      </w:r>
      <w:r w:rsidRPr="00774EDB">
        <w:rPr>
          <w:rFonts w:ascii="Times New Roman" w:hAnsi="Times New Roman" w:cs="Times New Roman"/>
          <w:sz w:val="24"/>
          <w:szCs w:val="24"/>
          <w:lang w:val="en-US"/>
        </w:rPr>
        <w:t xml:space="preserve">ed many other improvements, i.e. facilitation of the referral procedures, increased flexibility concerning the filing date and the commitment procedures, which </w:t>
      </w:r>
      <w:r w:rsidR="00110897" w:rsidRPr="00774EDB">
        <w:rPr>
          <w:rFonts w:ascii="Times New Roman" w:hAnsi="Times New Roman" w:cs="Times New Roman"/>
          <w:sz w:val="24"/>
          <w:szCs w:val="24"/>
          <w:lang w:val="en-US"/>
        </w:rPr>
        <w:t xml:space="preserve">all together </w:t>
      </w:r>
      <w:r w:rsidRPr="00774EDB">
        <w:rPr>
          <w:rFonts w:ascii="Times New Roman" w:hAnsi="Times New Roman" w:cs="Times New Roman"/>
          <w:sz w:val="24"/>
          <w:szCs w:val="24"/>
          <w:lang w:val="en-US"/>
        </w:rPr>
        <w:t>earmarked the modernization of EU competition law based on the so-called ‘effects-based approach’.</w:t>
      </w:r>
    </w:p>
    <w:p w14:paraId="1A93437B" w14:textId="3AADBD9E" w:rsidR="00575358" w:rsidRPr="00774EDB" w:rsidRDefault="003374D0"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lastRenderedPageBreak/>
        <w:t>Having said that, the Commission’s approach in dealing with the concentrations is by and large focused on assessment of potential anti-competitive outcomes from the would-be M&amp;As, investigating whether there is a risk of market tipping towards potential products to be created, or creation or strengthening of a dominant position with the concentration. Such concentrations, either horizontal or vertical, are assessed usually against the counter-factual scenarios, in order to establish and analyze the potential outcomes that would arise out of M&amp;As. Because EU merger control normally takes place prior to the implementation of the merger, the counterfactual in merger cases is usually the status quo ante, i.e. the situation that exists at the time when the Commission reviews the merger.</w:t>
      </w:r>
      <w:r w:rsidRPr="00774EDB">
        <w:rPr>
          <w:rStyle w:val="FootnoteReference"/>
          <w:rFonts w:ascii="Times New Roman" w:hAnsi="Times New Roman" w:cs="Times New Roman"/>
          <w:sz w:val="24"/>
          <w:szCs w:val="24"/>
          <w:lang w:val="en-US"/>
        </w:rPr>
        <w:footnoteReference w:id="533"/>
      </w:r>
      <w:r w:rsidRPr="00774EDB">
        <w:rPr>
          <w:rFonts w:ascii="Times New Roman" w:hAnsi="Times New Roman" w:cs="Times New Roman"/>
          <w:sz w:val="24"/>
          <w:szCs w:val="24"/>
          <w:lang w:val="en-US"/>
        </w:rPr>
        <w:t xml:space="preserve"> This approach would sometimes come up with some costs such as disregarding the counter-functioning efficiencies, i.e. given the potential short-term anti-competitive effects.</w:t>
      </w:r>
      <w:r w:rsidRPr="00774EDB">
        <w:rPr>
          <w:rStyle w:val="FootnoteReference"/>
          <w:rFonts w:ascii="Times New Roman" w:hAnsi="Times New Roman" w:cs="Times New Roman"/>
          <w:sz w:val="24"/>
          <w:szCs w:val="24"/>
          <w:lang w:val="en-US"/>
        </w:rPr>
        <w:footnoteReference w:id="534"/>
      </w:r>
      <w:r w:rsidRPr="00774EDB">
        <w:rPr>
          <w:rFonts w:ascii="Times New Roman" w:hAnsi="Times New Roman" w:cs="Times New Roman"/>
          <w:sz w:val="24"/>
          <w:szCs w:val="24"/>
          <w:lang w:val="en-US"/>
        </w:rPr>
        <w:t xml:space="preserve"> Remarkably, the theoretical presumptions </w:t>
      </w:r>
      <w:r w:rsidR="001F77E4" w:rsidRPr="00774EDB">
        <w:rPr>
          <w:rFonts w:ascii="Times New Roman" w:hAnsi="Times New Roman" w:cs="Times New Roman"/>
          <w:sz w:val="24"/>
          <w:szCs w:val="24"/>
          <w:lang w:val="en-US"/>
        </w:rPr>
        <w:t>along with</w:t>
      </w:r>
      <w:r w:rsidRPr="00774EDB">
        <w:rPr>
          <w:rFonts w:ascii="Times New Roman" w:hAnsi="Times New Roman" w:cs="Times New Roman"/>
          <w:sz w:val="24"/>
          <w:szCs w:val="24"/>
          <w:lang w:val="en-US"/>
        </w:rPr>
        <w:t xml:space="preserve"> </w:t>
      </w:r>
      <w:r w:rsidR="001F77E4" w:rsidRPr="00774EDB">
        <w:rPr>
          <w:rFonts w:ascii="Times New Roman" w:hAnsi="Times New Roman" w:cs="Times New Roman"/>
          <w:sz w:val="24"/>
          <w:szCs w:val="24"/>
          <w:lang w:val="en-US"/>
        </w:rPr>
        <w:t>hypothetical scenarios</w:t>
      </w:r>
      <w:r w:rsidRPr="00774EDB">
        <w:rPr>
          <w:rFonts w:ascii="Times New Roman" w:hAnsi="Times New Roman" w:cs="Times New Roman"/>
          <w:sz w:val="24"/>
          <w:szCs w:val="24"/>
          <w:lang w:val="en-US"/>
        </w:rPr>
        <w:t xml:space="preserve"> </w:t>
      </w:r>
      <w:r w:rsidR="001F77E4" w:rsidRPr="00774EDB">
        <w:rPr>
          <w:rFonts w:ascii="Times New Roman" w:hAnsi="Times New Roman" w:cs="Times New Roman"/>
          <w:sz w:val="24"/>
          <w:szCs w:val="24"/>
          <w:lang w:val="en-US"/>
        </w:rPr>
        <w:t xml:space="preserve">have been noticeably leading the decision-making processes </w:t>
      </w:r>
      <w:r w:rsidRPr="00774EDB">
        <w:rPr>
          <w:rFonts w:ascii="Times New Roman" w:hAnsi="Times New Roman" w:cs="Times New Roman"/>
          <w:sz w:val="24"/>
          <w:szCs w:val="24"/>
          <w:lang w:val="en-US"/>
        </w:rPr>
        <w:t>with regard to the possible consequences of the concentrations at the EU level.</w:t>
      </w:r>
      <w:r w:rsidRPr="00774EDB">
        <w:rPr>
          <w:rStyle w:val="FootnoteReference"/>
          <w:rFonts w:ascii="Times New Roman" w:hAnsi="Times New Roman" w:cs="Times New Roman"/>
          <w:sz w:val="24"/>
          <w:szCs w:val="24"/>
          <w:lang w:val="en-US"/>
        </w:rPr>
        <w:footnoteReference w:id="535"/>
      </w:r>
    </w:p>
    <w:p w14:paraId="5669C922" w14:textId="7A2504FA" w:rsidR="00064D39" w:rsidRPr="00774EDB" w:rsidRDefault="001D4951"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In this context, the achievement of interoperability does not constitute an aim of EU merger control policies and mechanisms, just like other competition law tools i.e. Article 101 and 102. Nevertheless, interoperability-centric M&amp;A concerns and remedies find a significant place to themselves within the broader context of EU competition law aims, incorporating follow-on innovation, amelioration of network effects and enhancing competition. Having said that, the most significant and relevant M&amp;A cases are examined below.</w:t>
      </w:r>
    </w:p>
    <w:p w14:paraId="335602A8" w14:textId="4300CA3C" w:rsidR="000B0738" w:rsidRPr="00774EDB" w:rsidRDefault="000B0738" w:rsidP="00A70042">
      <w:pPr>
        <w:pStyle w:val="Heading3"/>
        <w:numPr>
          <w:ilvl w:val="2"/>
          <w:numId w:val="33"/>
        </w:numPr>
        <w:spacing w:before="360"/>
        <w:ind w:left="0" w:firstLine="0"/>
        <w:jc w:val="both"/>
        <w:rPr>
          <w:rFonts w:ascii="Times New Roman" w:hAnsi="Times New Roman" w:cs="Times New Roman"/>
          <w:b/>
          <w:lang w:val="en-US"/>
        </w:rPr>
      </w:pPr>
      <w:bookmarkStart w:id="436" w:name="_Toc17611432"/>
      <w:bookmarkStart w:id="437" w:name="_Toc53576074"/>
      <w:r w:rsidRPr="00774EDB">
        <w:rPr>
          <w:rFonts w:ascii="Times New Roman" w:hAnsi="Times New Roman" w:cs="Times New Roman"/>
          <w:b/>
          <w:color w:val="auto"/>
          <w:lang w:val="en-US"/>
        </w:rPr>
        <w:lastRenderedPageBreak/>
        <w:t xml:space="preserve">Interoperability related </w:t>
      </w:r>
      <w:r w:rsidR="00B82B21">
        <w:rPr>
          <w:rFonts w:ascii="Times New Roman" w:hAnsi="Times New Roman" w:cs="Times New Roman"/>
          <w:b/>
          <w:color w:val="auto"/>
          <w:lang w:val="en-US"/>
        </w:rPr>
        <w:t xml:space="preserve">merger </w:t>
      </w:r>
      <w:r w:rsidR="00D3563E" w:rsidRPr="00774EDB">
        <w:rPr>
          <w:rFonts w:ascii="Times New Roman" w:hAnsi="Times New Roman" w:cs="Times New Roman"/>
          <w:b/>
          <w:color w:val="auto"/>
          <w:lang w:val="en-US"/>
        </w:rPr>
        <w:t>case</w:t>
      </w:r>
      <w:r w:rsidR="00B82B21">
        <w:rPr>
          <w:rFonts w:ascii="Times New Roman" w:hAnsi="Times New Roman" w:cs="Times New Roman"/>
          <w:b/>
          <w:color w:val="auto"/>
          <w:lang w:val="en-US"/>
        </w:rPr>
        <w:t>s</w:t>
      </w:r>
      <w:bookmarkEnd w:id="436"/>
      <w:bookmarkEnd w:id="437"/>
    </w:p>
    <w:p w14:paraId="6677189E" w14:textId="77777777" w:rsidR="00776E73" w:rsidRPr="00774EDB" w:rsidRDefault="00776E73" w:rsidP="00A70042">
      <w:pPr>
        <w:pStyle w:val="Heading4"/>
        <w:numPr>
          <w:ilvl w:val="3"/>
          <w:numId w:val="33"/>
        </w:numPr>
        <w:spacing w:before="360"/>
        <w:ind w:left="851" w:hanging="851"/>
        <w:jc w:val="both"/>
        <w:rPr>
          <w:rFonts w:ascii="Times New Roman" w:hAnsi="Times New Roman" w:cs="Times New Roman"/>
          <w:b/>
          <w:i w:val="0"/>
          <w:color w:val="auto"/>
          <w:sz w:val="24"/>
          <w:szCs w:val="24"/>
          <w:lang w:val="en-US"/>
        </w:rPr>
      </w:pPr>
      <w:bookmarkStart w:id="438" w:name="_Toc17611433"/>
      <w:bookmarkStart w:id="439" w:name="_Toc17611650"/>
      <w:bookmarkStart w:id="440" w:name="_Toc17611862"/>
      <w:bookmarkStart w:id="441" w:name="_Toc17612076"/>
      <w:bookmarkStart w:id="442" w:name="_Toc17612289"/>
      <w:bookmarkStart w:id="443" w:name="_Toc17611434"/>
      <w:bookmarkStart w:id="444" w:name="_Toc53576075"/>
      <w:bookmarkEnd w:id="438"/>
      <w:bookmarkEnd w:id="439"/>
      <w:bookmarkEnd w:id="440"/>
      <w:bookmarkEnd w:id="441"/>
      <w:bookmarkEnd w:id="442"/>
      <w:r w:rsidRPr="00774EDB">
        <w:rPr>
          <w:rFonts w:ascii="Times New Roman" w:hAnsi="Times New Roman" w:cs="Times New Roman"/>
          <w:b/>
          <w:i w:val="0"/>
          <w:color w:val="auto"/>
          <w:sz w:val="24"/>
          <w:szCs w:val="24"/>
          <w:lang w:val="en-US"/>
        </w:rPr>
        <w:t xml:space="preserve">First </w:t>
      </w:r>
      <w:r w:rsidR="00D3563E" w:rsidRPr="00774EDB">
        <w:rPr>
          <w:rFonts w:ascii="Times New Roman" w:hAnsi="Times New Roman" w:cs="Times New Roman"/>
          <w:b/>
          <w:i w:val="0"/>
          <w:color w:val="auto"/>
          <w:sz w:val="24"/>
          <w:szCs w:val="24"/>
          <w:lang w:val="en-US"/>
        </w:rPr>
        <w:t>set</w:t>
      </w:r>
      <w:r w:rsidRPr="00774EDB">
        <w:rPr>
          <w:rFonts w:ascii="Times New Roman" w:hAnsi="Times New Roman" w:cs="Times New Roman"/>
          <w:b/>
          <w:i w:val="0"/>
          <w:color w:val="auto"/>
          <w:sz w:val="24"/>
          <w:szCs w:val="24"/>
          <w:lang w:val="en-US"/>
        </w:rPr>
        <w:t xml:space="preserve"> of case</w:t>
      </w:r>
      <w:r w:rsidR="00C435CF" w:rsidRPr="00774EDB">
        <w:rPr>
          <w:rFonts w:ascii="Times New Roman" w:hAnsi="Times New Roman" w:cs="Times New Roman"/>
          <w:b/>
          <w:i w:val="0"/>
          <w:color w:val="auto"/>
          <w:sz w:val="24"/>
          <w:szCs w:val="24"/>
          <w:lang w:val="en-US"/>
        </w:rPr>
        <w:t xml:space="preserve"> </w:t>
      </w:r>
      <w:r w:rsidRPr="00774EDB">
        <w:rPr>
          <w:rFonts w:ascii="Times New Roman" w:hAnsi="Times New Roman" w:cs="Times New Roman"/>
          <w:b/>
          <w:i w:val="0"/>
          <w:color w:val="auto"/>
          <w:sz w:val="24"/>
          <w:szCs w:val="24"/>
          <w:lang w:val="en-US"/>
        </w:rPr>
        <w:t>law</w:t>
      </w:r>
      <w:bookmarkEnd w:id="443"/>
      <w:bookmarkEnd w:id="444"/>
    </w:p>
    <w:p w14:paraId="56F30940" w14:textId="2B89520A" w:rsidR="002C14F1" w:rsidRPr="00774EDB" w:rsidRDefault="001D4951" w:rsidP="00A70042">
      <w:pPr>
        <w:spacing w:before="360"/>
        <w:jc w:val="both"/>
        <w:rPr>
          <w:rFonts w:ascii="Times New Roman" w:hAnsi="Times New Roman" w:cs="Times New Roman"/>
          <w:sz w:val="24"/>
          <w:szCs w:val="24"/>
          <w:lang w:val="en-US"/>
        </w:rPr>
      </w:pPr>
      <w:r w:rsidRPr="00774EDB">
        <w:rPr>
          <w:rFonts w:ascii="Times New Roman" w:hAnsi="Times New Roman" w:cs="Times New Roman"/>
          <w:i/>
          <w:sz w:val="24"/>
          <w:szCs w:val="24"/>
          <w:lang w:val="en-US"/>
        </w:rPr>
        <w:t>Cisco/Tandberg</w:t>
      </w:r>
      <w:r w:rsidRPr="00774EDB">
        <w:rPr>
          <w:rStyle w:val="FootnoteReference"/>
          <w:rFonts w:ascii="Times New Roman" w:hAnsi="Times New Roman" w:cs="Times New Roman"/>
          <w:sz w:val="24"/>
          <w:szCs w:val="24"/>
          <w:lang w:val="en-US"/>
        </w:rPr>
        <w:footnoteReference w:id="536"/>
      </w:r>
      <w:r w:rsidRPr="00774EDB">
        <w:rPr>
          <w:rFonts w:ascii="Times New Roman" w:hAnsi="Times New Roman" w:cs="Times New Roman"/>
          <w:i/>
          <w:sz w:val="24"/>
          <w:szCs w:val="24"/>
          <w:lang w:val="en-US"/>
        </w:rPr>
        <w:t xml:space="preserve"> </w:t>
      </w:r>
      <w:r w:rsidRPr="00774EDB">
        <w:rPr>
          <w:rFonts w:ascii="Times New Roman" w:hAnsi="Times New Roman" w:cs="Times New Roman"/>
          <w:sz w:val="24"/>
          <w:szCs w:val="24"/>
          <w:lang w:val="en-US"/>
        </w:rPr>
        <w:t xml:space="preserve">represents a merger case between two </w:t>
      </w:r>
      <w:r w:rsidR="00B116BA" w:rsidRPr="00774EDB">
        <w:rPr>
          <w:rFonts w:ascii="Times New Roman" w:hAnsi="Times New Roman" w:cs="Times New Roman"/>
          <w:sz w:val="24"/>
          <w:szCs w:val="24"/>
          <w:lang w:val="en-US"/>
        </w:rPr>
        <w:t xml:space="preserve">entities i.e. Cisco and Tandberg </w:t>
      </w:r>
      <w:r w:rsidR="008F524E" w:rsidRPr="00774EDB">
        <w:rPr>
          <w:rFonts w:ascii="Times New Roman" w:hAnsi="Times New Roman" w:cs="Times New Roman"/>
          <w:sz w:val="24"/>
          <w:szCs w:val="24"/>
          <w:lang w:val="en-US"/>
        </w:rPr>
        <w:t xml:space="preserve">horizontally </w:t>
      </w:r>
      <w:r w:rsidRPr="00774EDB">
        <w:rPr>
          <w:rFonts w:ascii="Times New Roman" w:hAnsi="Times New Roman" w:cs="Times New Roman"/>
          <w:sz w:val="24"/>
          <w:szCs w:val="24"/>
          <w:lang w:val="en-US"/>
        </w:rPr>
        <w:t>competi</w:t>
      </w:r>
      <w:r w:rsidR="00B116BA" w:rsidRPr="00774EDB">
        <w:rPr>
          <w:rFonts w:ascii="Times New Roman" w:hAnsi="Times New Roman" w:cs="Times New Roman"/>
          <w:sz w:val="24"/>
          <w:szCs w:val="24"/>
          <w:lang w:val="en-US"/>
        </w:rPr>
        <w:t>ng</w:t>
      </w:r>
      <w:r w:rsidRPr="00774EDB">
        <w:rPr>
          <w:rFonts w:ascii="Times New Roman" w:hAnsi="Times New Roman" w:cs="Times New Roman"/>
          <w:sz w:val="24"/>
          <w:szCs w:val="24"/>
          <w:lang w:val="en-US"/>
        </w:rPr>
        <w:t xml:space="preserve"> in the market for video communications </w:t>
      </w:r>
      <w:r w:rsidR="004404C2" w:rsidRPr="00774EDB">
        <w:rPr>
          <w:rFonts w:ascii="Times New Roman" w:hAnsi="Times New Roman" w:cs="Times New Roman"/>
          <w:sz w:val="24"/>
          <w:szCs w:val="24"/>
          <w:lang w:val="en-US"/>
        </w:rPr>
        <w:t>solutions (VCSs)</w:t>
      </w:r>
      <w:r w:rsidRPr="00774EDB">
        <w:rPr>
          <w:rFonts w:ascii="Times New Roman" w:hAnsi="Times New Roman" w:cs="Times New Roman"/>
          <w:sz w:val="24"/>
          <w:szCs w:val="24"/>
          <w:lang w:val="en-US"/>
        </w:rPr>
        <w:t>.</w:t>
      </w:r>
      <w:r w:rsidR="0071370B" w:rsidRPr="00774EDB">
        <w:rPr>
          <w:rFonts w:ascii="Times New Roman" w:hAnsi="Times New Roman" w:cs="Times New Roman"/>
          <w:sz w:val="24"/>
          <w:szCs w:val="24"/>
          <w:lang w:val="en-US"/>
        </w:rPr>
        <w:t xml:space="preserve"> The relevant markets </w:t>
      </w:r>
      <w:r w:rsidR="00B116BA" w:rsidRPr="00774EDB">
        <w:rPr>
          <w:rFonts w:ascii="Times New Roman" w:hAnsi="Times New Roman" w:cs="Times New Roman"/>
          <w:sz w:val="24"/>
          <w:szCs w:val="24"/>
          <w:lang w:val="en-US"/>
        </w:rPr>
        <w:t>regarding</w:t>
      </w:r>
      <w:r w:rsidR="0071370B" w:rsidRPr="00774EDB">
        <w:rPr>
          <w:rFonts w:ascii="Times New Roman" w:hAnsi="Times New Roman" w:cs="Times New Roman"/>
          <w:sz w:val="24"/>
          <w:szCs w:val="24"/>
          <w:lang w:val="en-US"/>
        </w:rPr>
        <w:t xml:space="preserve"> </w:t>
      </w:r>
      <w:r w:rsidR="004404C2" w:rsidRPr="00774EDB">
        <w:rPr>
          <w:rFonts w:ascii="Times New Roman" w:hAnsi="Times New Roman" w:cs="Times New Roman"/>
          <w:sz w:val="24"/>
          <w:szCs w:val="24"/>
          <w:lang w:val="en-US"/>
        </w:rPr>
        <w:t>VCSs</w:t>
      </w:r>
      <w:r w:rsidR="0071370B" w:rsidRPr="00774EDB">
        <w:rPr>
          <w:rFonts w:ascii="Times New Roman" w:hAnsi="Times New Roman" w:cs="Times New Roman"/>
          <w:sz w:val="24"/>
          <w:szCs w:val="24"/>
          <w:lang w:val="en-US"/>
        </w:rPr>
        <w:t xml:space="preserve"> </w:t>
      </w:r>
      <w:r w:rsidR="00B116BA" w:rsidRPr="00774EDB">
        <w:rPr>
          <w:rFonts w:ascii="Times New Roman" w:hAnsi="Times New Roman" w:cs="Times New Roman"/>
          <w:sz w:val="24"/>
          <w:szCs w:val="24"/>
          <w:lang w:val="en-US"/>
        </w:rPr>
        <w:t xml:space="preserve">were found to </w:t>
      </w:r>
      <w:r w:rsidR="0071370B" w:rsidRPr="00774EDB">
        <w:rPr>
          <w:rFonts w:ascii="Times New Roman" w:hAnsi="Times New Roman" w:cs="Times New Roman"/>
          <w:sz w:val="24"/>
          <w:szCs w:val="24"/>
          <w:lang w:val="en-US"/>
        </w:rPr>
        <w:t>consist of</w:t>
      </w:r>
      <w:r w:rsidR="00141528" w:rsidRPr="00774EDB">
        <w:rPr>
          <w:rFonts w:ascii="Times New Roman" w:hAnsi="Times New Roman" w:cs="Times New Roman"/>
          <w:sz w:val="24"/>
          <w:szCs w:val="24"/>
          <w:lang w:val="en-US"/>
        </w:rPr>
        <w:t xml:space="preserve"> </w:t>
      </w:r>
      <w:r w:rsidR="00444195" w:rsidRPr="00774EDB">
        <w:rPr>
          <w:rFonts w:ascii="Times New Roman" w:hAnsi="Times New Roman" w:cs="Times New Roman"/>
          <w:sz w:val="24"/>
          <w:szCs w:val="24"/>
          <w:lang w:val="en-US"/>
        </w:rPr>
        <w:t>‘</w:t>
      </w:r>
      <w:r w:rsidR="00141528" w:rsidRPr="00774EDB">
        <w:rPr>
          <w:rFonts w:ascii="Times New Roman" w:hAnsi="Times New Roman" w:cs="Times New Roman"/>
          <w:sz w:val="24"/>
          <w:szCs w:val="24"/>
          <w:lang w:val="en-US"/>
        </w:rPr>
        <w:t>dedicated room</w:t>
      </w:r>
      <w:r w:rsidR="00444195" w:rsidRPr="00774EDB">
        <w:rPr>
          <w:rFonts w:ascii="Times New Roman" w:hAnsi="Times New Roman" w:cs="Times New Roman"/>
          <w:sz w:val="24"/>
          <w:szCs w:val="24"/>
          <w:lang w:val="en-US"/>
        </w:rPr>
        <w:t>’</w:t>
      </w:r>
      <w:r w:rsidR="00141528" w:rsidRPr="00774EDB">
        <w:rPr>
          <w:rFonts w:ascii="Times New Roman" w:hAnsi="Times New Roman" w:cs="Times New Roman"/>
          <w:sz w:val="24"/>
          <w:szCs w:val="24"/>
          <w:lang w:val="en-US"/>
        </w:rPr>
        <w:t xml:space="preserve"> and </w:t>
      </w:r>
      <w:r w:rsidR="00444195" w:rsidRPr="00774EDB">
        <w:rPr>
          <w:rFonts w:ascii="Times New Roman" w:hAnsi="Times New Roman" w:cs="Times New Roman"/>
          <w:sz w:val="24"/>
          <w:szCs w:val="24"/>
          <w:lang w:val="en-US"/>
        </w:rPr>
        <w:t>‘</w:t>
      </w:r>
      <w:r w:rsidR="00141528" w:rsidRPr="00774EDB">
        <w:rPr>
          <w:rFonts w:ascii="Times New Roman" w:hAnsi="Times New Roman" w:cs="Times New Roman"/>
          <w:sz w:val="24"/>
          <w:szCs w:val="24"/>
          <w:lang w:val="en-US"/>
        </w:rPr>
        <w:t>multi-purpose room</w:t>
      </w:r>
      <w:r w:rsidR="00444195" w:rsidRPr="00774EDB">
        <w:rPr>
          <w:rFonts w:ascii="Times New Roman" w:hAnsi="Times New Roman" w:cs="Times New Roman"/>
          <w:sz w:val="24"/>
          <w:szCs w:val="24"/>
          <w:lang w:val="en-US"/>
        </w:rPr>
        <w:t xml:space="preserve">’ and ‘executive office/desktop </w:t>
      </w:r>
      <w:r w:rsidR="00141528" w:rsidRPr="00774EDB">
        <w:rPr>
          <w:rFonts w:ascii="Times New Roman" w:hAnsi="Times New Roman" w:cs="Times New Roman"/>
          <w:sz w:val="24"/>
          <w:szCs w:val="24"/>
          <w:lang w:val="en-US"/>
        </w:rPr>
        <w:t>solutions</w:t>
      </w:r>
      <w:r w:rsidR="00444195" w:rsidRPr="00774EDB">
        <w:rPr>
          <w:rFonts w:ascii="Times New Roman" w:hAnsi="Times New Roman" w:cs="Times New Roman"/>
          <w:sz w:val="24"/>
          <w:szCs w:val="24"/>
          <w:lang w:val="en-US"/>
        </w:rPr>
        <w:t xml:space="preserve">’ as three separate </w:t>
      </w:r>
      <w:r w:rsidR="004404C2" w:rsidRPr="00774EDB">
        <w:rPr>
          <w:rFonts w:ascii="Times New Roman" w:hAnsi="Times New Roman" w:cs="Times New Roman"/>
          <w:sz w:val="24"/>
          <w:szCs w:val="24"/>
          <w:lang w:val="en-US"/>
        </w:rPr>
        <w:t xml:space="preserve">downstream </w:t>
      </w:r>
      <w:r w:rsidR="00057C93" w:rsidRPr="00774EDB">
        <w:rPr>
          <w:rFonts w:ascii="Times New Roman" w:hAnsi="Times New Roman" w:cs="Times New Roman"/>
          <w:sz w:val="24"/>
          <w:szCs w:val="24"/>
          <w:lang w:val="en-US"/>
        </w:rPr>
        <w:t>markets</w:t>
      </w:r>
      <w:r w:rsidR="004404C2" w:rsidRPr="00774EDB">
        <w:rPr>
          <w:rFonts w:ascii="Times New Roman" w:hAnsi="Times New Roman" w:cs="Times New Roman"/>
          <w:sz w:val="24"/>
          <w:szCs w:val="24"/>
          <w:lang w:val="en-US"/>
        </w:rPr>
        <w:t xml:space="preserve">, while an upstream market regarding multi-point control units (MCUs) was also included into the investigation. </w:t>
      </w:r>
      <w:r w:rsidR="00B44B41" w:rsidRPr="00774EDB">
        <w:rPr>
          <w:rFonts w:ascii="Times New Roman" w:hAnsi="Times New Roman" w:cs="Times New Roman"/>
          <w:sz w:val="24"/>
          <w:szCs w:val="24"/>
          <w:lang w:val="en-US"/>
        </w:rPr>
        <w:t xml:space="preserve">The Commission </w:t>
      </w:r>
      <w:r w:rsidR="00B116BA" w:rsidRPr="00774EDB">
        <w:rPr>
          <w:rFonts w:ascii="Times New Roman" w:hAnsi="Times New Roman" w:cs="Times New Roman"/>
          <w:sz w:val="24"/>
          <w:szCs w:val="24"/>
          <w:lang w:val="en-US"/>
        </w:rPr>
        <w:t xml:space="preserve">did not find any serious </w:t>
      </w:r>
      <w:r w:rsidR="0037758C" w:rsidRPr="00774EDB">
        <w:rPr>
          <w:rFonts w:ascii="Times New Roman" w:hAnsi="Times New Roman" w:cs="Times New Roman"/>
          <w:sz w:val="24"/>
          <w:szCs w:val="24"/>
          <w:lang w:val="en-US"/>
        </w:rPr>
        <w:t>doubt</w:t>
      </w:r>
      <w:r w:rsidR="00B116BA" w:rsidRPr="00774EDB">
        <w:rPr>
          <w:rFonts w:ascii="Times New Roman" w:hAnsi="Times New Roman" w:cs="Times New Roman"/>
          <w:sz w:val="24"/>
          <w:szCs w:val="24"/>
          <w:lang w:val="en-US"/>
        </w:rPr>
        <w:t xml:space="preserve"> </w:t>
      </w:r>
      <w:r w:rsidR="0037758C" w:rsidRPr="00774EDB">
        <w:rPr>
          <w:rFonts w:ascii="Times New Roman" w:hAnsi="Times New Roman" w:cs="Times New Roman"/>
          <w:sz w:val="24"/>
          <w:szCs w:val="24"/>
          <w:lang w:val="en-US"/>
        </w:rPr>
        <w:t>that</w:t>
      </w:r>
      <w:r w:rsidR="00B116BA" w:rsidRPr="00774EDB">
        <w:rPr>
          <w:rFonts w:ascii="Times New Roman" w:hAnsi="Times New Roman" w:cs="Times New Roman"/>
          <w:sz w:val="24"/>
          <w:szCs w:val="24"/>
          <w:lang w:val="en-US"/>
        </w:rPr>
        <w:t xml:space="preserve"> the vertical </w:t>
      </w:r>
      <w:r w:rsidR="00B44B41" w:rsidRPr="00774EDB">
        <w:rPr>
          <w:rFonts w:ascii="Times New Roman" w:hAnsi="Times New Roman" w:cs="Times New Roman"/>
          <w:sz w:val="24"/>
          <w:szCs w:val="24"/>
          <w:lang w:val="en-US"/>
        </w:rPr>
        <w:t xml:space="preserve">link between </w:t>
      </w:r>
      <w:r w:rsidR="008F524E" w:rsidRPr="00774EDB">
        <w:rPr>
          <w:rFonts w:ascii="Times New Roman" w:hAnsi="Times New Roman" w:cs="Times New Roman"/>
          <w:sz w:val="24"/>
          <w:szCs w:val="24"/>
          <w:lang w:val="en-US"/>
        </w:rPr>
        <w:t xml:space="preserve">upstream </w:t>
      </w:r>
      <w:r w:rsidR="004404C2" w:rsidRPr="00774EDB">
        <w:rPr>
          <w:rFonts w:ascii="Times New Roman" w:hAnsi="Times New Roman" w:cs="Times New Roman"/>
          <w:sz w:val="24"/>
          <w:szCs w:val="24"/>
          <w:lang w:val="en-US"/>
        </w:rPr>
        <w:t>MCU</w:t>
      </w:r>
      <w:r w:rsidR="00B44B41" w:rsidRPr="00774EDB">
        <w:rPr>
          <w:rFonts w:ascii="Times New Roman" w:hAnsi="Times New Roman" w:cs="Times New Roman"/>
          <w:sz w:val="24"/>
          <w:szCs w:val="24"/>
          <w:lang w:val="en-US"/>
        </w:rPr>
        <w:t xml:space="preserve">s and </w:t>
      </w:r>
      <w:r w:rsidR="008F524E" w:rsidRPr="00774EDB">
        <w:rPr>
          <w:rFonts w:ascii="Times New Roman" w:hAnsi="Times New Roman" w:cs="Times New Roman"/>
          <w:sz w:val="24"/>
          <w:szCs w:val="24"/>
          <w:lang w:val="en-US"/>
        </w:rPr>
        <w:t xml:space="preserve">downstream </w:t>
      </w:r>
      <w:r w:rsidR="00B44B41" w:rsidRPr="00774EDB">
        <w:rPr>
          <w:rFonts w:ascii="Times New Roman" w:hAnsi="Times New Roman" w:cs="Times New Roman"/>
          <w:sz w:val="24"/>
          <w:szCs w:val="24"/>
          <w:lang w:val="en-US"/>
        </w:rPr>
        <w:t xml:space="preserve">VCSs </w:t>
      </w:r>
      <w:r w:rsidR="00B116BA" w:rsidRPr="00774EDB">
        <w:rPr>
          <w:rFonts w:ascii="Times New Roman" w:hAnsi="Times New Roman" w:cs="Times New Roman"/>
          <w:sz w:val="24"/>
          <w:szCs w:val="24"/>
          <w:lang w:val="en-US"/>
        </w:rPr>
        <w:t xml:space="preserve">would </w:t>
      </w:r>
      <w:r w:rsidR="00B44B41" w:rsidRPr="00774EDB">
        <w:rPr>
          <w:rFonts w:ascii="Times New Roman" w:hAnsi="Times New Roman" w:cs="Times New Roman"/>
          <w:sz w:val="24"/>
          <w:szCs w:val="24"/>
          <w:lang w:val="en-US"/>
        </w:rPr>
        <w:t xml:space="preserve">give rise to foreclosure concerns </w:t>
      </w:r>
      <w:r w:rsidR="00B116BA" w:rsidRPr="00774EDB">
        <w:rPr>
          <w:rFonts w:ascii="Times New Roman" w:hAnsi="Times New Roman" w:cs="Times New Roman"/>
          <w:sz w:val="24"/>
          <w:szCs w:val="24"/>
          <w:lang w:val="en-US"/>
        </w:rPr>
        <w:t>because of</w:t>
      </w:r>
      <w:r w:rsidR="00B44B41" w:rsidRPr="00774EDB">
        <w:rPr>
          <w:rFonts w:ascii="Times New Roman" w:hAnsi="Times New Roman" w:cs="Times New Roman"/>
          <w:sz w:val="24"/>
          <w:szCs w:val="24"/>
          <w:lang w:val="en-US"/>
        </w:rPr>
        <w:t xml:space="preserve"> the proposed </w:t>
      </w:r>
      <w:r w:rsidR="00B116BA" w:rsidRPr="00774EDB">
        <w:rPr>
          <w:rFonts w:ascii="Times New Roman" w:hAnsi="Times New Roman" w:cs="Times New Roman"/>
          <w:sz w:val="24"/>
          <w:szCs w:val="24"/>
          <w:lang w:val="en-US"/>
        </w:rPr>
        <w:t>merger</w:t>
      </w:r>
      <w:r w:rsidR="00B44B41" w:rsidRPr="00774EDB">
        <w:rPr>
          <w:rFonts w:ascii="Times New Roman" w:hAnsi="Times New Roman" w:cs="Times New Roman"/>
          <w:sz w:val="24"/>
          <w:szCs w:val="24"/>
          <w:lang w:val="en-US"/>
        </w:rPr>
        <w:t>.</w:t>
      </w:r>
      <w:r w:rsidR="008F524E" w:rsidRPr="00774EDB">
        <w:rPr>
          <w:rStyle w:val="FootnoteReference"/>
          <w:rFonts w:ascii="Times New Roman" w:hAnsi="Times New Roman" w:cs="Times New Roman"/>
          <w:sz w:val="24"/>
          <w:szCs w:val="24"/>
          <w:lang w:val="en-US"/>
        </w:rPr>
        <w:footnoteReference w:id="537"/>
      </w:r>
      <w:r w:rsidR="00B44B41" w:rsidRPr="00774EDB">
        <w:rPr>
          <w:rFonts w:ascii="Times New Roman" w:hAnsi="Times New Roman" w:cs="Times New Roman"/>
          <w:sz w:val="24"/>
          <w:szCs w:val="24"/>
          <w:lang w:val="en-US"/>
        </w:rPr>
        <w:t xml:space="preserve"> However, Commission’s investigation revealed potential entry barriers in the VCS space in relation to the dedicated room solutions market, in particular regarding the absence of </w:t>
      </w:r>
      <w:r w:rsidR="00446B81" w:rsidRPr="00774EDB">
        <w:rPr>
          <w:rFonts w:ascii="Times New Roman" w:hAnsi="Times New Roman" w:cs="Times New Roman"/>
          <w:sz w:val="24"/>
          <w:szCs w:val="24"/>
          <w:lang w:val="en-US"/>
        </w:rPr>
        <w:t>multi-</w:t>
      </w:r>
      <w:r w:rsidR="00B44B41" w:rsidRPr="00774EDB">
        <w:rPr>
          <w:rFonts w:ascii="Times New Roman" w:hAnsi="Times New Roman" w:cs="Times New Roman"/>
          <w:sz w:val="24"/>
          <w:szCs w:val="24"/>
          <w:lang w:val="en-US"/>
        </w:rPr>
        <w:t>screen</w:t>
      </w:r>
      <w:r w:rsidR="00E932DA" w:rsidRPr="00774EDB">
        <w:rPr>
          <w:rFonts w:ascii="Times New Roman" w:hAnsi="Times New Roman" w:cs="Times New Roman"/>
          <w:sz w:val="24"/>
          <w:szCs w:val="24"/>
          <w:lang w:val="en-US"/>
        </w:rPr>
        <w:t xml:space="preserve"> </w:t>
      </w:r>
      <w:r w:rsidR="00B44B41" w:rsidRPr="00774EDB">
        <w:rPr>
          <w:rFonts w:ascii="Times New Roman" w:hAnsi="Times New Roman" w:cs="Times New Roman"/>
          <w:sz w:val="24"/>
          <w:szCs w:val="24"/>
          <w:lang w:val="en-US"/>
        </w:rPr>
        <w:t>to</w:t>
      </w:r>
      <w:r w:rsidR="00E932DA" w:rsidRPr="00774EDB">
        <w:rPr>
          <w:rFonts w:ascii="Times New Roman" w:hAnsi="Times New Roman" w:cs="Times New Roman"/>
          <w:sz w:val="24"/>
          <w:szCs w:val="24"/>
          <w:lang w:val="en-US"/>
        </w:rPr>
        <w:t xml:space="preserve"> </w:t>
      </w:r>
      <w:r w:rsidR="00446B81" w:rsidRPr="00774EDB">
        <w:rPr>
          <w:rFonts w:ascii="Times New Roman" w:hAnsi="Times New Roman" w:cs="Times New Roman"/>
          <w:sz w:val="24"/>
          <w:szCs w:val="24"/>
          <w:lang w:val="en-US"/>
        </w:rPr>
        <w:t>multi-</w:t>
      </w:r>
      <w:r w:rsidR="00B44B41" w:rsidRPr="00774EDB">
        <w:rPr>
          <w:rFonts w:ascii="Times New Roman" w:hAnsi="Times New Roman" w:cs="Times New Roman"/>
          <w:sz w:val="24"/>
          <w:szCs w:val="24"/>
          <w:lang w:val="en-US"/>
        </w:rPr>
        <w:t>screen interoperability.</w:t>
      </w:r>
      <w:r w:rsidR="00A075D3" w:rsidRPr="00774EDB">
        <w:rPr>
          <w:rStyle w:val="FootnoteReference"/>
          <w:rFonts w:ascii="Times New Roman" w:hAnsi="Times New Roman" w:cs="Times New Roman"/>
          <w:sz w:val="24"/>
          <w:szCs w:val="24"/>
          <w:lang w:val="en-US"/>
        </w:rPr>
        <w:footnoteReference w:id="538"/>
      </w:r>
      <w:r w:rsidR="00931BC9" w:rsidRPr="00774EDB">
        <w:rPr>
          <w:rFonts w:ascii="Times New Roman" w:hAnsi="Times New Roman" w:cs="Times New Roman"/>
          <w:sz w:val="24"/>
          <w:szCs w:val="24"/>
          <w:lang w:val="en-US"/>
        </w:rPr>
        <w:t xml:space="preserve"> The Commission’s concerns surrounded the risk that interoperability between the VCS products of the merging parties and those of their competitors would be degraded in a post-merger period.</w:t>
      </w:r>
      <w:r w:rsidR="00446B81" w:rsidRPr="00774EDB">
        <w:rPr>
          <w:rFonts w:ascii="Times New Roman" w:hAnsi="Times New Roman" w:cs="Times New Roman"/>
          <w:sz w:val="24"/>
          <w:szCs w:val="24"/>
          <w:lang w:val="en-US"/>
        </w:rPr>
        <w:t xml:space="preserve"> This </w:t>
      </w:r>
      <w:r w:rsidR="002C14F1" w:rsidRPr="00774EDB">
        <w:rPr>
          <w:rFonts w:ascii="Times New Roman" w:hAnsi="Times New Roman" w:cs="Times New Roman"/>
          <w:sz w:val="24"/>
          <w:szCs w:val="24"/>
          <w:lang w:val="en-US"/>
        </w:rPr>
        <w:t xml:space="preserve">horizontal </w:t>
      </w:r>
      <w:r w:rsidR="00446B81" w:rsidRPr="00774EDB">
        <w:rPr>
          <w:rFonts w:ascii="Times New Roman" w:hAnsi="Times New Roman" w:cs="Times New Roman"/>
          <w:sz w:val="24"/>
          <w:szCs w:val="24"/>
          <w:lang w:val="en-US"/>
        </w:rPr>
        <w:t xml:space="preserve">concern was also accompanied by the fact that market shares of the </w:t>
      </w:r>
      <w:r w:rsidR="002C14F1" w:rsidRPr="00774EDB">
        <w:rPr>
          <w:rFonts w:ascii="Times New Roman" w:hAnsi="Times New Roman" w:cs="Times New Roman"/>
          <w:sz w:val="24"/>
          <w:szCs w:val="24"/>
          <w:lang w:val="en-US"/>
        </w:rPr>
        <w:t>merged entity</w:t>
      </w:r>
      <w:r w:rsidR="00446B81" w:rsidRPr="00774EDB">
        <w:rPr>
          <w:rFonts w:ascii="Times New Roman" w:hAnsi="Times New Roman" w:cs="Times New Roman"/>
          <w:sz w:val="24"/>
          <w:szCs w:val="24"/>
          <w:lang w:val="en-US"/>
        </w:rPr>
        <w:t xml:space="preserve"> in the </w:t>
      </w:r>
      <w:r w:rsidR="0062437A" w:rsidRPr="00774EDB">
        <w:rPr>
          <w:rFonts w:ascii="Times New Roman" w:hAnsi="Times New Roman" w:cs="Times New Roman"/>
          <w:sz w:val="24"/>
          <w:szCs w:val="24"/>
          <w:lang w:val="en-US"/>
        </w:rPr>
        <w:t>relevant</w:t>
      </w:r>
      <w:r w:rsidR="00446B81" w:rsidRPr="00774EDB">
        <w:rPr>
          <w:rFonts w:ascii="Times New Roman" w:hAnsi="Times New Roman" w:cs="Times New Roman"/>
          <w:sz w:val="24"/>
          <w:szCs w:val="24"/>
          <w:lang w:val="en-US"/>
        </w:rPr>
        <w:t xml:space="preserve"> markets would be </w:t>
      </w:r>
      <w:r w:rsidR="0062437A" w:rsidRPr="00774EDB">
        <w:rPr>
          <w:rFonts w:ascii="Times New Roman" w:hAnsi="Times New Roman" w:cs="Times New Roman"/>
          <w:sz w:val="24"/>
          <w:szCs w:val="24"/>
          <w:lang w:val="en-US"/>
        </w:rPr>
        <w:t xml:space="preserve">approximately </w:t>
      </w:r>
      <w:r w:rsidR="00446B81" w:rsidRPr="00774EDB">
        <w:rPr>
          <w:rFonts w:ascii="Times New Roman" w:hAnsi="Times New Roman" w:cs="Times New Roman"/>
          <w:sz w:val="24"/>
          <w:szCs w:val="24"/>
          <w:lang w:val="en-US"/>
        </w:rPr>
        <w:t xml:space="preserve">double of that of </w:t>
      </w:r>
      <w:r w:rsidR="002C14F1" w:rsidRPr="00774EDB">
        <w:rPr>
          <w:rFonts w:ascii="Times New Roman" w:hAnsi="Times New Roman" w:cs="Times New Roman"/>
          <w:sz w:val="24"/>
          <w:szCs w:val="24"/>
          <w:lang w:val="en-US"/>
        </w:rPr>
        <w:t xml:space="preserve">its next competitor. </w:t>
      </w:r>
    </w:p>
    <w:p w14:paraId="2CB88C29" w14:textId="19C0832F" w:rsidR="00435C2D" w:rsidRPr="00774EDB" w:rsidRDefault="001D4951"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In order to </w:t>
      </w:r>
      <w:r w:rsidR="00FB3DC7" w:rsidRPr="00774EDB">
        <w:rPr>
          <w:rFonts w:ascii="Times New Roman" w:hAnsi="Times New Roman" w:cs="Times New Roman"/>
          <w:sz w:val="24"/>
          <w:szCs w:val="24"/>
          <w:lang w:val="en-US"/>
        </w:rPr>
        <w:t>respond</w:t>
      </w:r>
      <w:r w:rsidRPr="00774EDB">
        <w:rPr>
          <w:rFonts w:ascii="Times New Roman" w:hAnsi="Times New Roman" w:cs="Times New Roman"/>
          <w:sz w:val="24"/>
          <w:szCs w:val="24"/>
          <w:lang w:val="en-US"/>
        </w:rPr>
        <w:t xml:space="preserve"> such concerns, Cisco proposed a set of commitments, including divestment of its IPRs on the Telepresence Interoperability Protocol (TIP) to be</w:t>
      </w:r>
      <w:r w:rsidR="00B116BA" w:rsidRPr="00774EDB">
        <w:rPr>
          <w:rFonts w:ascii="Times New Roman" w:hAnsi="Times New Roman" w:cs="Times New Roman"/>
          <w:sz w:val="24"/>
          <w:szCs w:val="24"/>
          <w:lang w:val="en-US"/>
        </w:rPr>
        <w:t xml:space="preserve"> </w:t>
      </w:r>
      <w:r w:rsidR="00B116BA" w:rsidRPr="00774EDB">
        <w:rPr>
          <w:rFonts w:ascii="Times New Roman" w:hAnsi="Times New Roman" w:cs="Times New Roman"/>
          <w:sz w:val="24"/>
          <w:szCs w:val="24"/>
          <w:lang w:val="en-US"/>
        </w:rPr>
        <w:lastRenderedPageBreak/>
        <w:t>assigned</w:t>
      </w:r>
      <w:r w:rsidRPr="00774EDB">
        <w:rPr>
          <w:rFonts w:ascii="Times New Roman" w:hAnsi="Times New Roman" w:cs="Times New Roman"/>
          <w:sz w:val="24"/>
          <w:szCs w:val="24"/>
          <w:lang w:val="en-US"/>
        </w:rPr>
        <w:t xml:space="preserve"> to an independent industrial body.</w:t>
      </w:r>
      <w:r w:rsidR="0062437A" w:rsidRPr="00774EDB">
        <w:rPr>
          <w:rStyle w:val="FootnoteReference"/>
          <w:rFonts w:ascii="Times New Roman" w:hAnsi="Times New Roman" w:cs="Times New Roman"/>
          <w:sz w:val="24"/>
          <w:szCs w:val="24"/>
          <w:lang w:val="en-US"/>
        </w:rPr>
        <w:footnoteReference w:id="539"/>
      </w:r>
      <w:r w:rsidRPr="00774EDB">
        <w:rPr>
          <w:rFonts w:ascii="Times New Roman" w:hAnsi="Times New Roman" w:cs="Times New Roman"/>
          <w:sz w:val="24"/>
          <w:szCs w:val="24"/>
          <w:lang w:val="en-US"/>
        </w:rPr>
        <w:t xml:space="preserve"> By this means, other manufacturers were permitted to participate in the process of updates over the TIP, which was credited as the essential standard to be applied to videoconference communication services. </w:t>
      </w:r>
      <w:r w:rsidR="00B116BA" w:rsidRPr="00774EDB">
        <w:rPr>
          <w:rFonts w:ascii="Times New Roman" w:hAnsi="Times New Roman" w:cs="Times New Roman"/>
          <w:sz w:val="24"/>
          <w:szCs w:val="24"/>
          <w:lang w:val="en-US"/>
        </w:rPr>
        <w:t>U</w:t>
      </w:r>
      <w:r w:rsidRPr="00774EDB">
        <w:rPr>
          <w:rFonts w:ascii="Times New Roman" w:hAnsi="Times New Roman" w:cs="Times New Roman"/>
          <w:sz w:val="24"/>
          <w:szCs w:val="24"/>
          <w:lang w:val="en-US"/>
        </w:rPr>
        <w:t>ntil the divestiture was to be completed, royalty-free third-party licenses were committed to by the merging parties, concerning the current and future patents that would be essential during implementation of the Protocol.</w:t>
      </w:r>
      <w:r w:rsidR="00B116BA" w:rsidRPr="00774EDB">
        <w:rPr>
          <w:rFonts w:ascii="Times New Roman" w:hAnsi="Times New Roman" w:cs="Times New Roman"/>
          <w:sz w:val="24"/>
          <w:szCs w:val="24"/>
          <w:lang w:val="en-US"/>
        </w:rPr>
        <w:t xml:space="preserve"> More crucially, according to the commitments which were conceded by the Commission, competitive endpoint vendors and their customers would be able to interoperate with virtually all the </w:t>
      </w:r>
      <w:r w:rsidR="0062437A" w:rsidRPr="00774EDB">
        <w:rPr>
          <w:rFonts w:ascii="Times New Roman" w:hAnsi="Times New Roman" w:cs="Times New Roman"/>
          <w:sz w:val="24"/>
          <w:szCs w:val="24"/>
          <w:lang w:val="en-US"/>
        </w:rPr>
        <w:t>merged</w:t>
      </w:r>
      <w:r w:rsidR="00B116BA" w:rsidRPr="00774EDB">
        <w:rPr>
          <w:rFonts w:ascii="Times New Roman" w:hAnsi="Times New Roman" w:cs="Times New Roman"/>
          <w:sz w:val="24"/>
          <w:szCs w:val="24"/>
          <w:lang w:val="en-US"/>
        </w:rPr>
        <w:t xml:space="preserve"> entity’s installed base of multi-screen systems.</w:t>
      </w:r>
      <w:r w:rsidR="0062437A" w:rsidRPr="00774EDB">
        <w:rPr>
          <w:rStyle w:val="FootnoteReference"/>
          <w:rFonts w:ascii="Times New Roman" w:hAnsi="Times New Roman" w:cs="Times New Roman"/>
          <w:sz w:val="24"/>
          <w:szCs w:val="24"/>
          <w:lang w:val="en-US"/>
        </w:rPr>
        <w:footnoteReference w:id="540"/>
      </w:r>
      <w:r w:rsidR="00B116BA" w:rsidRPr="00774EDB">
        <w:rPr>
          <w:rFonts w:ascii="Times New Roman" w:hAnsi="Times New Roman" w:cs="Times New Roman"/>
          <w:sz w:val="24"/>
          <w:szCs w:val="24"/>
          <w:lang w:val="en-US"/>
        </w:rPr>
        <w:t xml:space="preserve"> </w:t>
      </w:r>
      <w:r w:rsidRPr="00774EDB">
        <w:rPr>
          <w:rFonts w:ascii="Times New Roman" w:hAnsi="Times New Roman" w:cs="Times New Roman"/>
          <w:i/>
          <w:sz w:val="24"/>
          <w:szCs w:val="24"/>
          <w:lang w:val="en-US"/>
        </w:rPr>
        <w:t>Cisco/Tandberg</w:t>
      </w:r>
      <w:r w:rsidRPr="00774EDB">
        <w:rPr>
          <w:rFonts w:ascii="Times New Roman" w:hAnsi="Times New Roman" w:cs="Times New Roman"/>
          <w:sz w:val="24"/>
          <w:szCs w:val="24"/>
          <w:lang w:val="en-US"/>
        </w:rPr>
        <w:t xml:space="preserve"> reveals an interesting example since the case involved the divestment of intangible asset</w:t>
      </w:r>
      <w:r w:rsidR="00C411AB" w:rsidRPr="00774EDB">
        <w:rPr>
          <w:rFonts w:ascii="Times New Roman" w:hAnsi="Times New Roman" w:cs="Times New Roman"/>
          <w:sz w:val="24"/>
          <w:szCs w:val="24"/>
          <w:lang w:val="en-US"/>
        </w:rPr>
        <w:t>s</w:t>
      </w:r>
      <w:r w:rsidRPr="00774EDB">
        <w:rPr>
          <w:rFonts w:ascii="Times New Roman" w:hAnsi="Times New Roman" w:cs="Times New Roman"/>
          <w:sz w:val="24"/>
          <w:szCs w:val="24"/>
          <w:lang w:val="en-US"/>
        </w:rPr>
        <w:t xml:space="preserve"> </w:t>
      </w:r>
      <w:r w:rsidR="00C411AB" w:rsidRPr="00774EDB">
        <w:rPr>
          <w:rFonts w:ascii="Times New Roman" w:hAnsi="Times New Roman" w:cs="Times New Roman"/>
          <w:sz w:val="24"/>
          <w:szCs w:val="24"/>
          <w:lang w:val="en-US"/>
        </w:rPr>
        <w:t xml:space="preserve">as well as an extensive set of complex commitments </w:t>
      </w:r>
      <w:r w:rsidRPr="00774EDB">
        <w:rPr>
          <w:rFonts w:ascii="Times New Roman" w:hAnsi="Times New Roman" w:cs="Times New Roman"/>
          <w:sz w:val="24"/>
          <w:szCs w:val="24"/>
          <w:lang w:val="en-US"/>
        </w:rPr>
        <w:t>in order to ensure interoperability in the market for videoconferencing solutions.</w:t>
      </w:r>
      <w:r w:rsidRPr="00774EDB">
        <w:rPr>
          <w:rStyle w:val="FootnoteReference"/>
          <w:rFonts w:ascii="Times New Roman" w:hAnsi="Times New Roman" w:cs="Times New Roman"/>
          <w:sz w:val="24"/>
          <w:szCs w:val="24"/>
          <w:lang w:val="en-US"/>
        </w:rPr>
        <w:footnoteReference w:id="541"/>
      </w:r>
    </w:p>
    <w:p w14:paraId="79BBB75E" w14:textId="45DE88B5" w:rsidR="00AF6146" w:rsidRPr="00A70042" w:rsidRDefault="001D495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lang w:val="en-US"/>
        </w:rPr>
        <w:t xml:space="preserve">In </w:t>
      </w:r>
      <w:r w:rsidRPr="00774EDB">
        <w:rPr>
          <w:rFonts w:ascii="Times New Roman" w:hAnsi="Times New Roman" w:cs="Times New Roman"/>
          <w:i/>
          <w:sz w:val="24"/>
          <w:szCs w:val="24"/>
          <w:lang w:val="en-US"/>
        </w:rPr>
        <w:t>Intel/McAfee</w:t>
      </w:r>
      <w:r w:rsidRPr="00774EDB">
        <w:rPr>
          <w:rFonts w:ascii="Times New Roman" w:hAnsi="Times New Roman" w:cs="Times New Roman"/>
          <w:sz w:val="24"/>
          <w:szCs w:val="24"/>
          <w:lang w:val="en-US"/>
        </w:rPr>
        <w:t>,</w:t>
      </w:r>
      <w:r w:rsidRPr="00774EDB">
        <w:rPr>
          <w:rStyle w:val="FootnoteReference"/>
          <w:rFonts w:ascii="Times New Roman" w:hAnsi="Times New Roman" w:cs="Times New Roman"/>
          <w:sz w:val="24"/>
          <w:szCs w:val="24"/>
          <w:lang w:val="en-US"/>
        </w:rPr>
        <w:footnoteReference w:id="542"/>
      </w:r>
      <w:r w:rsidRPr="00774EDB">
        <w:rPr>
          <w:rFonts w:ascii="Times New Roman" w:hAnsi="Times New Roman" w:cs="Times New Roman"/>
          <w:sz w:val="24"/>
          <w:szCs w:val="24"/>
          <w:lang w:val="en-US"/>
        </w:rPr>
        <w:t xml:space="preserve"> the</w:t>
      </w:r>
      <w:r w:rsidRPr="00774EDB">
        <w:rPr>
          <w:rFonts w:ascii="Times New Roman" w:hAnsi="Times New Roman" w:cs="Times New Roman"/>
          <w:i/>
          <w:sz w:val="24"/>
          <w:szCs w:val="24"/>
          <w:lang w:val="en-US"/>
        </w:rPr>
        <w:t xml:space="preserve"> </w:t>
      </w:r>
      <w:r w:rsidRPr="00774EDB">
        <w:rPr>
          <w:rFonts w:ascii="Times New Roman" w:hAnsi="Times New Roman" w:cs="Times New Roman"/>
          <w:sz w:val="24"/>
          <w:szCs w:val="24"/>
          <w:lang w:val="en-US"/>
        </w:rPr>
        <w:t>Commission’s review was regarding a conglomerate merger</w:t>
      </w:r>
      <w:r w:rsidR="00AA19D4" w:rsidRPr="00774EDB">
        <w:rPr>
          <w:rFonts w:ascii="Times New Roman" w:hAnsi="Times New Roman" w:cs="Times New Roman"/>
          <w:sz w:val="24"/>
          <w:szCs w:val="24"/>
          <w:lang w:val="en-US"/>
        </w:rPr>
        <w:t xml:space="preserve"> between </w:t>
      </w:r>
      <w:r w:rsidR="00AA19D4" w:rsidRPr="00820EF9">
        <w:rPr>
          <w:rFonts w:ascii="Times New Roman" w:hAnsi="Times New Roman" w:cs="Times New Roman"/>
          <w:sz w:val="24"/>
          <w:szCs w:val="24"/>
        </w:rPr>
        <w:t xml:space="preserve">Intel and McAfee which were </w:t>
      </w:r>
      <w:r w:rsidR="00D3783F" w:rsidRPr="00774EDB">
        <w:rPr>
          <w:rFonts w:ascii="Times New Roman" w:hAnsi="Times New Roman" w:cs="Times New Roman"/>
          <w:sz w:val="24"/>
          <w:szCs w:val="24"/>
          <w:lang w:val="en-US"/>
        </w:rPr>
        <w:t>active</w:t>
      </w:r>
      <w:r w:rsidRPr="00774EDB">
        <w:rPr>
          <w:rFonts w:ascii="Times New Roman" w:hAnsi="Times New Roman" w:cs="Times New Roman"/>
          <w:sz w:val="24"/>
          <w:szCs w:val="24"/>
          <w:lang w:val="en-US"/>
        </w:rPr>
        <w:t xml:space="preserve"> </w:t>
      </w:r>
      <w:r w:rsidR="00AA19D4" w:rsidRPr="00774EDB">
        <w:rPr>
          <w:rFonts w:ascii="Times New Roman" w:hAnsi="Times New Roman" w:cs="Times New Roman"/>
          <w:sz w:val="24"/>
          <w:szCs w:val="24"/>
          <w:lang w:val="en-US"/>
        </w:rPr>
        <w:t>in</w:t>
      </w:r>
      <w:r w:rsidRPr="00774EDB">
        <w:rPr>
          <w:rFonts w:ascii="Times New Roman" w:hAnsi="Times New Roman" w:cs="Times New Roman"/>
          <w:sz w:val="24"/>
          <w:szCs w:val="24"/>
          <w:lang w:val="en-US"/>
        </w:rPr>
        <w:t xml:space="preserve"> the </w:t>
      </w:r>
      <w:r w:rsidRPr="00820EF9">
        <w:rPr>
          <w:rFonts w:ascii="Times New Roman" w:hAnsi="Times New Roman" w:cs="Times New Roman"/>
          <w:sz w:val="24"/>
          <w:szCs w:val="24"/>
        </w:rPr>
        <w:t>market</w:t>
      </w:r>
      <w:r w:rsidR="009F66B6" w:rsidRPr="00A70042">
        <w:rPr>
          <w:rFonts w:ascii="Times New Roman" w:hAnsi="Times New Roman" w:cs="Times New Roman"/>
          <w:sz w:val="24"/>
          <w:szCs w:val="24"/>
        </w:rPr>
        <w:t>s</w:t>
      </w:r>
      <w:r w:rsidR="00D3783F" w:rsidRPr="00A70042">
        <w:rPr>
          <w:rFonts w:ascii="Times New Roman" w:hAnsi="Times New Roman" w:cs="Times New Roman"/>
          <w:sz w:val="24"/>
          <w:szCs w:val="24"/>
        </w:rPr>
        <w:t>,</w:t>
      </w:r>
      <w:r w:rsidRPr="00A70042">
        <w:rPr>
          <w:rFonts w:ascii="Times New Roman" w:hAnsi="Times New Roman" w:cs="Times New Roman"/>
          <w:sz w:val="24"/>
          <w:szCs w:val="24"/>
        </w:rPr>
        <w:t xml:space="preserve"> </w:t>
      </w:r>
      <w:r w:rsidR="00F112E4" w:rsidRPr="00A70042">
        <w:rPr>
          <w:rFonts w:ascii="Times New Roman" w:hAnsi="Times New Roman" w:cs="Times New Roman"/>
          <w:sz w:val="24"/>
          <w:szCs w:val="24"/>
        </w:rPr>
        <w:t xml:space="preserve">respectively, </w:t>
      </w:r>
      <w:r w:rsidRPr="00A70042">
        <w:rPr>
          <w:rFonts w:ascii="Times New Roman" w:hAnsi="Times New Roman" w:cs="Times New Roman"/>
          <w:sz w:val="24"/>
          <w:szCs w:val="24"/>
        </w:rPr>
        <w:t>for</w:t>
      </w:r>
      <w:r w:rsidR="00D3783F" w:rsidRPr="00A70042">
        <w:rPr>
          <w:rFonts w:ascii="Times New Roman" w:hAnsi="Times New Roman" w:cs="Times New Roman"/>
          <w:sz w:val="24"/>
          <w:szCs w:val="24"/>
        </w:rPr>
        <w:t xml:space="preserve"> the</w:t>
      </w:r>
      <w:r w:rsidRPr="00A70042">
        <w:rPr>
          <w:rFonts w:ascii="Times New Roman" w:hAnsi="Times New Roman" w:cs="Times New Roman"/>
          <w:sz w:val="24"/>
          <w:szCs w:val="24"/>
        </w:rPr>
        <w:t xml:space="preserve"> </w:t>
      </w:r>
      <w:r w:rsidR="003E2394" w:rsidRPr="00A70042">
        <w:rPr>
          <w:rFonts w:ascii="Times New Roman" w:hAnsi="Times New Roman" w:cs="Times New Roman"/>
          <w:sz w:val="24"/>
          <w:szCs w:val="24"/>
        </w:rPr>
        <w:t xml:space="preserve">x86 </w:t>
      </w:r>
      <w:r w:rsidR="00D3783F" w:rsidRPr="00A70042">
        <w:rPr>
          <w:rFonts w:ascii="Times New Roman" w:hAnsi="Times New Roman" w:cs="Times New Roman"/>
          <w:sz w:val="24"/>
          <w:szCs w:val="24"/>
        </w:rPr>
        <w:t xml:space="preserve">central processing units (CPUs) and chipsets </w:t>
      </w:r>
      <w:r w:rsidRPr="00A70042">
        <w:rPr>
          <w:rFonts w:ascii="Times New Roman" w:hAnsi="Times New Roman" w:cs="Times New Roman"/>
          <w:sz w:val="24"/>
          <w:szCs w:val="24"/>
        </w:rPr>
        <w:t xml:space="preserve">and for </w:t>
      </w:r>
      <w:r w:rsidR="00D3783F" w:rsidRPr="00A70042">
        <w:rPr>
          <w:rFonts w:ascii="Times New Roman" w:hAnsi="Times New Roman" w:cs="Times New Roman"/>
          <w:sz w:val="24"/>
          <w:szCs w:val="24"/>
        </w:rPr>
        <w:t xml:space="preserve">the </w:t>
      </w:r>
      <w:r w:rsidRPr="00A70042">
        <w:rPr>
          <w:rFonts w:ascii="Times New Roman" w:hAnsi="Times New Roman" w:cs="Times New Roman"/>
          <w:sz w:val="24"/>
          <w:szCs w:val="24"/>
        </w:rPr>
        <w:t>security software products.</w:t>
      </w:r>
      <w:r w:rsidR="00EC7615" w:rsidRPr="00A70042">
        <w:rPr>
          <w:rFonts w:ascii="Times New Roman" w:hAnsi="Times New Roman" w:cs="Times New Roman"/>
          <w:sz w:val="24"/>
          <w:szCs w:val="24"/>
        </w:rPr>
        <w:t xml:space="preserve"> Intel consistently held very high market shares </w:t>
      </w:r>
      <w:r w:rsidR="003E2394" w:rsidRPr="00A70042">
        <w:rPr>
          <w:rFonts w:ascii="Times New Roman" w:hAnsi="Times New Roman" w:cs="Times New Roman"/>
          <w:sz w:val="24"/>
          <w:szCs w:val="24"/>
        </w:rPr>
        <w:t>in excess of or around 80% in an overall x86 CPU market</w:t>
      </w:r>
      <w:r w:rsidR="00C03F24" w:rsidRPr="00A70042">
        <w:rPr>
          <w:rFonts w:ascii="Times New Roman" w:hAnsi="Times New Roman" w:cs="Times New Roman"/>
          <w:sz w:val="24"/>
          <w:szCs w:val="24"/>
        </w:rPr>
        <w:t>, wh</w:t>
      </w:r>
      <w:r w:rsidR="00D67371" w:rsidRPr="00A70042">
        <w:rPr>
          <w:rFonts w:ascii="Times New Roman" w:hAnsi="Times New Roman" w:cs="Times New Roman"/>
          <w:sz w:val="24"/>
          <w:szCs w:val="24"/>
        </w:rPr>
        <w:t>ile</w:t>
      </w:r>
      <w:r w:rsidR="00531484" w:rsidRPr="00A70042">
        <w:rPr>
          <w:rFonts w:ascii="Times New Roman" w:hAnsi="Times New Roman" w:cs="Times New Roman"/>
          <w:sz w:val="24"/>
          <w:szCs w:val="24"/>
        </w:rPr>
        <w:t xml:space="preserve"> </w:t>
      </w:r>
      <w:r w:rsidR="00D67371" w:rsidRPr="00A70042">
        <w:rPr>
          <w:rFonts w:ascii="Times New Roman" w:hAnsi="Times New Roman" w:cs="Times New Roman"/>
          <w:sz w:val="24"/>
          <w:szCs w:val="24"/>
        </w:rPr>
        <w:t xml:space="preserve">security software market </w:t>
      </w:r>
      <w:r w:rsidR="000640C4" w:rsidRPr="00A70042">
        <w:rPr>
          <w:rFonts w:ascii="Times New Roman" w:hAnsi="Times New Roman" w:cs="Times New Roman"/>
          <w:sz w:val="24"/>
          <w:szCs w:val="24"/>
        </w:rPr>
        <w:t>wa</w:t>
      </w:r>
      <w:r w:rsidR="00D67371" w:rsidRPr="00A70042">
        <w:rPr>
          <w:rFonts w:ascii="Times New Roman" w:hAnsi="Times New Roman" w:cs="Times New Roman"/>
          <w:sz w:val="24"/>
          <w:szCs w:val="24"/>
        </w:rPr>
        <w:t>s</w:t>
      </w:r>
      <w:r w:rsidR="000640C4" w:rsidRPr="00A70042">
        <w:rPr>
          <w:rFonts w:ascii="Times New Roman" w:hAnsi="Times New Roman" w:cs="Times New Roman"/>
          <w:sz w:val="24"/>
          <w:szCs w:val="24"/>
        </w:rPr>
        <w:t xml:space="preserve"> found to be</w:t>
      </w:r>
      <w:r w:rsidR="00D67371" w:rsidRPr="00A70042">
        <w:rPr>
          <w:rFonts w:ascii="Times New Roman" w:hAnsi="Times New Roman" w:cs="Times New Roman"/>
          <w:sz w:val="24"/>
          <w:szCs w:val="24"/>
        </w:rPr>
        <w:t xml:space="preserve"> more competitive where</w:t>
      </w:r>
      <w:r w:rsidR="00F112E4" w:rsidRPr="00A70042">
        <w:rPr>
          <w:rFonts w:ascii="Times New Roman" w:hAnsi="Times New Roman" w:cs="Times New Roman"/>
          <w:sz w:val="24"/>
          <w:szCs w:val="24"/>
        </w:rPr>
        <w:t>by</w:t>
      </w:r>
      <w:r w:rsidR="00D67371" w:rsidRPr="00A70042">
        <w:rPr>
          <w:rFonts w:ascii="Times New Roman" w:hAnsi="Times New Roman" w:cs="Times New Roman"/>
          <w:sz w:val="24"/>
          <w:szCs w:val="24"/>
        </w:rPr>
        <w:t xml:space="preserve"> </w:t>
      </w:r>
      <w:r w:rsidR="00531484" w:rsidRPr="00A70042">
        <w:rPr>
          <w:rFonts w:ascii="Times New Roman" w:hAnsi="Times New Roman" w:cs="Times New Roman"/>
          <w:sz w:val="24"/>
          <w:szCs w:val="24"/>
        </w:rPr>
        <w:t>McAfee</w:t>
      </w:r>
      <w:r w:rsidR="00D67371" w:rsidRPr="00A70042">
        <w:rPr>
          <w:rFonts w:ascii="Times New Roman" w:hAnsi="Times New Roman" w:cs="Times New Roman"/>
          <w:sz w:val="24"/>
          <w:szCs w:val="24"/>
        </w:rPr>
        <w:t xml:space="preserve"> </w:t>
      </w:r>
      <w:r w:rsidR="000640C4" w:rsidRPr="00A70042">
        <w:rPr>
          <w:rFonts w:ascii="Times New Roman" w:hAnsi="Times New Roman" w:cs="Times New Roman"/>
          <w:sz w:val="24"/>
          <w:szCs w:val="24"/>
        </w:rPr>
        <w:t>wa</w:t>
      </w:r>
      <w:r w:rsidR="00D67371" w:rsidRPr="00A70042">
        <w:rPr>
          <w:rFonts w:ascii="Times New Roman" w:hAnsi="Times New Roman" w:cs="Times New Roman"/>
          <w:sz w:val="24"/>
          <w:szCs w:val="24"/>
        </w:rPr>
        <w:t xml:space="preserve">s the second ranking </w:t>
      </w:r>
      <w:r w:rsidR="00072A8D" w:rsidRPr="00A70042">
        <w:rPr>
          <w:rFonts w:ascii="Times New Roman" w:hAnsi="Times New Roman" w:cs="Times New Roman"/>
          <w:sz w:val="24"/>
          <w:szCs w:val="24"/>
        </w:rPr>
        <w:t>software security vendor (SSV)</w:t>
      </w:r>
      <w:r w:rsidR="00D67371" w:rsidRPr="00A70042">
        <w:rPr>
          <w:rFonts w:ascii="Times New Roman" w:hAnsi="Times New Roman" w:cs="Times New Roman"/>
          <w:sz w:val="24"/>
          <w:szCs w:val="24"/>
        </w:rPr>
        <w:t xml:space="preserve"> following Symantec.</w:t>
      </w:r>
      <w:r w:rsidR="0035629A" w:rsidRPr="00774EDB">
        <w:rPr>
          <w:rStyle w:val="FootnoteReference"/>
          <w:rFonts w:ascii="Times New Roman" w:hAnsi="Times New Roman" w:cs="Times New Roman"/>
          <w:sz w:val="24"/>
          <w:szCs w:val="24"/>
          <w:lang w:val="en-US"/>
        </w:rPr>
        <w:footnoteReference w:id="543"/>
      </w:r>
      <w:r w:rsidR="00D67371" w:rsidRPr="00820EF9">
        <w:rPr>
          <w:rFonts w:ascii="Times New Roman" w:hAnsi="Times New Roman" w:cs="Times New Roman"/>
          <w:sz w:val="24"/>
          <w:szCs w:val="24"/>
        </w:rPr>
        <w:t xml:space="preserve"> </w:t>
      </w:r>
      <w:r w:rsidR="00FB6173" w:rsidRPr="00A70042">
        <w:rPr>
          <w:rFonts w:ascii="Times New Roman" w:hAnsi="Times New Roman" w:cs="Times New Roman"/>
          <w:sz w:val="24"/>
          <w:szCs w:val="24"/>
        </w:rPr>
        <w:t xml:space="preserve">While conglomerate mergers mostly do not give rise to competition problems, </w:t>
      </w:r>
      <w:r w:rsidRPr="00A70042">
        <w:rPr>
          <w:rFonts w:ascii="Times New Roman" w:hAnsi="Times New Roman" w:cs="Times New Roman"/>
          <w:sz w:val="24"/>
          <w:szCs w:val="24"/>
        </w:rPr>
        <w:t>Commission</w:t>
      </w:r>
      <w:r w:rsidR="00FB6173" w:rsidRPr="00A70042">
        <w:rPr>
          <w:rFonts w:ascii="Times New Roman" w:hAnsi="Times New Roman" w:cs="Times New Roman"/>
          <w:sz w:val="24"/>
          <w:szCs w:val="24"/>
        </w:rPr>
        <w:t xml:space="preserve"> has had concerns about</w:t>
      </w:r>
      <w:r w:rsidRPr="00A70042">
        <w:rPr>
          <w:rFonts w:ascii="Times New Roman" w:hAnsi="Times New Roman" w:cs="Times New Roman"/>
          <w:sz w:val="24"/>
          <w:szCs w:val="24"/>
        </w:rPr>
        <w:t xml:space="preserve"> the risk of preferential treatment</w:t>
      </w:r>
      <w:r w:rsidR="00FA16EA" w:rsidRPr="00A70042">
        <w:rPr>
          <w:rFonts w:ascii="Times New Roman" w:hAnsi="Times New Roman" w:cs="Times New Roman"/>
          <w:sz w:val="24"/>
          <w:szCs w:val="24"/>
        </w:rPr>
        <w:t xml:space="preserve"> or </w:t>
      </w:r>
      <w:r w:rsidR="00FA16EA" w:rsidRPr="00A70042">
        <w:rPr>
          <w:rFonts w:ascii="Times New Roman" w:hAnsi="Times New Roman" w:cs="Times New Roman"/>
          <w:sz w:val="24"/>
          <w:szCs w:val="24"/>
        </w:rPr>
        <w:lastRenderedPageBreak/>
        <w:t>positive discrimination</w:t>
      </w:r>
      <w:r w:rsidR="00F112E4" w:rsidRPr="00A70042">
        <w:rPr>
          <w:rFonts w:ascii="Times New Roman" w:hAnsi="Times New Roman" w:cs="Times New Roman"/>
          <w:sz w:val="24"/>
          <w:szCs w:val="24"/>
        </w:rPr>
        <w:t xml:space="preserve"> within across the merged entities’ products in contrast to the pre-merger period.</w:t>
      </w:r>
      <w:r w:rsidR="00072A8D" w:rsidRPr="00820EF9">
        <w:rPr>
          <w:rStyle w:val="FootnoteReference"/>
          <w:rFonts w:ascii="Times New Roman" w:hAnsi="Times New Roman" w:cs="Times New Roman"/>
          <w:sz w:val="24"/>
          <w:szCs w:val="24"/>
        </w:rPr>
        <w:footnoteReference w:id="544"/>
      </w:r>
      <w:r w:rsidR="00F112E4" w:rsidRPr="00820EF9">
        <w:rPr>
          <w:rFonts w:ascii="Times New Roman" w:hAnsi="Times New Roman" w:cs="Times New Roman"/>
          <w:sz w:val="24"/>
          <w:szCs w:val="24"/>
        </w:rPr>
        <w:t xml:space="preserve"> </w:t>
      </w:r>
    </w:p>
    <w:p w14:paraId="6F90B1EF" w14:textId="34C053BE" w:rsidR="000D5431" w:rsidRPr="00A70042" w:rsidRDefault="00113EA4"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 xml:space="preserve">One of the Commission’s concerns </w:t>
      </w:r>
      <w:r w:rsidR="001D4951" w:rsidRPr="00A70042">
        <w:rPr>
          <w:rFonts w:ascii="Times New Roman" w:hAnsi="Times New Roman" w:cs="Times New Roman"/>
          <w:spacing w:val="-2"/>
          <w:sz w:val="24"/>
          <w:szCs w:val="24"/>
        </w:rPr>
        <w:t xml:space="preserve">was </w:t>
      </w:r>
      <w:r w:rsidRPr="00A70042">
        <w:rPr>
          <w:rFonts w:ascii="Times New Roman" w:hAnsi="Times New Roman" w:cs="Times New Roman"/>
          <w:spacing w:val="-2"/>
          <w:sz w:val="24"/>
          <w:szCs w:val="24"/>
        </w:rPr>
        <w:t xml:space="preserve">regarding degradability of cross-interoperability between the merging parties’ products with those of their rivals, while </w:t>
      </w:r>
      <w:r w:rsidR="001D4951" w:rsidRPr="00A70042">
        <w:rPr>
          <w:rFonts w:ascii="Times New Roman" w:hAnsi="Times New Roman" w:cs="Times New Roman"/>
          <w:spacing w:val="-2"/>
          <w:sz w:val="24"/>
          <w:szCs w:val="24"/>
        </w:rPr>
        <w:t xml:space="preserve">possibility of the products of Intel and McAfee being </w:t>
      </w:r>
      <w:r w:rsidRPr="00A70042">
        <w:rPr>
          <w:rFonts w:ascii="Times New Roman" w:hAnsi="Times New Roman" w:cs="Times New Roman"/>
          <w:spacing w:val="-2"/>
          <w:sz w:val="24"/>
          <w:szCs w:val="24"/>
        </w:rPr>
        <w:t xml:space="preserve">technically tied </w:t>
      </w:r>
      <w:r w:rsidR="001D4951" w:rsidRPr="00A70042">
        <w:rPr>
          <w:rFonts w:ascii="Times New Roman" w:hAnsi="Times New Roman" w:cs="Times New Roman"/>
          <w:spacing w:val="-2"/>
          <w:sz w:val="24"/>
          <w:szCs w:val="24"/>
        </w:rPr>
        <w:t xml:space="preserve">was also </w:t>
      </w:r>
      <w:r w:rsidRPr="00A70042">
        <w:rPr>
          <w:rFonts w:ascii="Times New Roman" w:hAnsi="Times New Roman" w:cs="Times New Roman"/>
          <w:spacing w:val="-2"/>
          <w:sz w:val="24"/>
          <w:szCs w:val="24"/>
        </w:rPr>
        <w:t>raised as a</w:t>
      </w:r>
      <w:r w:rsidR="00330CD5" w:rsidRPr="00A70042">
        <w:rPr>
          <w:rFonts w:ascii="Times New Roman" w:hAnsi="Times New Roman" w:cs="Times New Roman"/>
          <w:spacing w:val="-2"/>
          <w:sz w:val="24"/>
          <w:szCs w:val="24"/>
        </w:rPr>
        <w:t>nother</w:t>
      </w:r>
      <w:r w:rsidRPr="00A70042">
        <w:rPr>
          <w:rFonts w:ascii="Times New Roman" w:hAnsi="Times New Roman" w:cs="Times New Roman"/>
          <w:spacing w:val="-2"/>
          <w:sz w:val="24"/>
          <w:szCs w:val="24"/>
        </w:rPr>
        <w:t xml:space="preserve"> reason for serious doubts as to the compatibility of the transaction with the internal market</w:t>
      </w:r>
      <w:r w:rsidR="001D4951" w:rsidRPr="00A70042">
        <w:rPr>
          <w:rFonts w:ascii="Times New Roman" w:hAnsi="Times New Roman" w:cs="Times New Roman"/>
          <w:spacing w:val="-2"/>
          <w:sz w:val="24"/>
          <w:szCs w:val="24"/>
        </w:rPr>
        <w:t>. In order to meet these concerns,</w:t>
      </w:r>
      <w:r w:rsidR="000534AD" w:rsidRPr="00A70042">
        <w:rPr>
          <w:rFonts w:ascii="Times New Roman" w:hAnsi="Times New Roman" w:cs="Times New Roman"/>
          <w:spacing w:val="-2"/>
          <w:sz w:val="24"/>
          <w:szCs w:val="24"/>
        </w:rPr>
        <w:t xml:space="preserve"> Intel committed to ensure that instructions and interoperability information for new functionalities in Intel CPUs and chipsets </w:t>
      </w:r>
      <w:r w:rsidR="00963C78" w:rsidRPr="00A70042">
        <w:rPr>
          <w:rFonts w:ascii="Times New Roman" w:hAnsi="Times New Roman" w:cs="Times New Roman"/>
          <w:spacing w:val="-2"/>
          <w:sz w:val="24"/>
          <w:szCs w:val="24"/>
        </w:rPr>
        <w:t>we</w:t>
      </w:r>
      <w:r w:rsidR="000534AD" w:rsidRPr="00A70042">
        <w:rPr>
          <w:rFonts w:ascii="Times New Roman" w:hAnsi="Times New Roman" w:cs="Times New Roman"/>
          <w:spacing w:val="-2"/>
          <w:sz w:val="24"/>
          <w:szCs w:val="24"/>
        </w:rPr>
        <w:t>re documented and available for use by independent SSVs on a royalty-free basis.</w:t>
      </w:r>
      <w:r w:rsidR="000534AD" w:rsidRPr="00A70042">
        <w:rPr>
          <w:rStyle w:val="FootnoteReference"/>
          <w:rFonts w:ascii="Times New Roman" w:hAnsi="Times New Roman" w:cs="Times New Roman"/>
          <w:spacing w:val="-2"/>
          <w:sz w:val="24"/>
          <w:szCs w:val="24"/>
        </w:rPr>
        <w:footnoteReference w:id="545"/>
      </w:r>
      <w:r w:rsidR="000534AD" w:rsidRPr="00A70042">
        <w:rPr>
          <w:rFonts w:ascii="Times New Roman" w:hAnsi="Times New Roman" w:cs="Times New Roman"/>
          <w:spacing w:val="-2"/>
          <w:sz w:val="24"/>
          <w:szCs w:val="24"/>
        </w:rPr>
        <w:t xml:space="preserve"> This ensured competing SSVs </w:t>
      </w:r>
      <w:r w:rsidR="000D5431" w:rsidRPr="00A70042">
        <w:rPr>
          <w:rFonts w:ascii="Times New Roman" w:hAnsi="Times New Roman" w:cs="Times New Roman"/>
          <w:spacing w:val="-2"/>
          <w:sz w:val="24"/>
          <w:szCs w:val="24"/>
        </w:rPr>
        <w:t>to be able to</w:t>
      </w:r>
      <w:r w:rsidR="001D4951" w:rsidRPr="00A70042">
        <w:rPr>
          <w:rFonts w:ascii="Times New Roman" w:hAnsi="Times New Roman" w:cs="Times New Roman"/>
          <w:spacing w:val="-2"/>
          <w:sz w:val="24"/>
          <w:szCs w:val="24"/>
        </w:rPr>
        <w:t xml:space="preserve"> compet</w:t>
      </w:r>
      <w:r w:rsidR="000D5431" w:rsidRPr="00A70042">
        <w:rPr>
          <w:rFonts w:ascii="Times New Roman" w:hAnsi="Times New Roman" w:cs="Times New Roman"/>
          <w:spacing w:val="-2"/>
          <w:sz w:val="24"/>
          <w:szCs w:val="24"/>
        </w:rPr>
        <w:t>e</w:t>
      </w:r>
      <w:r w:rsidR="001D4951" w:rsidRPr="00A70042">
        <w:rPr>
          <w:rFonts w:ascii="Times New Roman" w:hAnsi="Times New Roman" w:cs="Times New Roman"/>
          <w:spacing w:val="-2"/>
          <w:sz w:val="24"/>
          <w:szCs w:val="24"/>
        </w:rPr>
        <w:t xml:space="preserve"> </w:t>
      </w:r>
      <w:r w:rsidR="000D5431" w:rsidRPr="00A70042">
        <w:rPr>
          <w:rFonts w:ascii="Times New Roman" w:hAnsi="Times New Roman" w:cs="Times New Roman"/>
          <w:spacing w:val="-2"/>
          <w:sz w:val="24"/>
          <w:szCs w:val="24"/>
        </w:rPr>
        <w:t xml:space="preserve">on a level playing field </w:t>
      </w:r>
      <w:r w:rsidR="00B059C7" w:rsidRPr="00A70042">
        <w:rPr>
          <w:rFonts w:ascii="Times New Roman" w:hAnsi="Times New Roman" w:cs="Times New Roman"/>
          <w:spacing w:val="-2"/>
          <w:sz w:val="24"/>
          <w:szCs w:val="24"/>
        </w:rPr>
        <w:t>against</w:t>
      </w:r>
      <w:r w:rsidR="000D5431" w:rsidRPr="00A70042">
        <w:rPr>
          <w:rFonts w:ascii="Times New Roman" w:hAnsi="Times New Roman" w:cs="Times New Roman"/>
          <w:spacing w:val="-2"/>
          <w:sz w:val="24"/>
          <w:szCs w:val="24"/>
        </w:rPr>
        <w:t xml:space="preserve"> the</w:t>
      </w:r>
      <w:r w:rsidR="00B059C7" w:rsidRPr="00A70042">
        <w:rPr>
          <w:rFonts w:ascii="Times New Roman" w:hAnsi="Times New Roman" w:cs="Times New Roman"/>
          <w:spacing w:val="-2"/>
          <w:sz w:val="24"/>
          <w:szCs w:val="24"/>
        </w:rPr>
        <w:t xml:space="preserve"> </w:t>
      </w:r>
      <w:r w:rsidR="009857C2" w:rsidRPr="00A70042">
        <w:rPr>
          <w:rFonts w:ascii="Times New Roman" w:hAnsi="Times New Roman" w:cs="Times New Roman"/>
          <w:spacing w:val="-2"/>
          <w:sz w:val="24"/>
          <w:szCs w:val="24"/>
        </w:rPr>
        <w:t>endpoint</w:t>
      </w:r>
      <w:r w:rsidR="00B059C7" w:rsidRPr="00A70042">
        <w:rPr>
          <w:rFonts w:ascii="Times New Roman" w:hAnsi="Times New Roman" w:cs="Times New Roman"/>
          <w:spacing w:val="-2"/>
          <w:sz w:val="24"/>
          <w:szCs w:val="24"/>
        </w:rPr>
        <w:t xml:space="preserve"> security </w:t>
      </w:r>
      <w:r w:rsidR="000D5431" w:rsidRPr="00A70042">
        <w:rPr>
          <w:rFonts w:ascii="Times New Roman" w:hAnsi="Times New Roman" w:cs="Times New Roman"/>
          <w:spacing w:val="-2"/>
          <w:sz w:val="24"/>
          <w:szCs w:val="24"/>
        </w:rPr>
        <w:t>services</w:t>
      </w:r>
      <w:r w:rsidR="001D4951" w:rsidRPr="00A70042">
        <w:rPr>
          <w:rFonts w:ascii="Times New Roman" w:hAnsi="Times New Roman" w:cs="Times New Roman"/>
          <w:spacing w:val="-2"/>
          <w:sz w:val="24"/>
          <w:szCs w:val="24"/>
        </w:rPr>
        <w:t xml:space="preserve"> </w:t>
      </w:r>
      <w:r w:rsidR="00B059C7" w:rsidRPr="00A70042">
        <w:rPr>
          <w:rFonts w:ascii="Times New Roman" w:hAnsi="Times New Roman" w:cs="Times New Roman"/>
          <w:spacing w:val="-2"/>
          <w:sz w:val="24"/>
          <w:szCs w:val="24"/>
        </w:rPr>
        <w:t xml:space="preserve">to be </w:t>
      </w:r>
      <w:r w:rsidR="001D4951" w:rsidRPr="00A70042">
        <w:rPr>
          <w:rFonts w:ascii="Times New Roman" w:hAnsi="Times New Roman" w:cs="Times New Roman"/>
          <w:spacing w:val="-2"/>
          <w:sz w:val="24"/>
          <w:szCs w:val="24"/>
        </w:rPr>
        <w:t xml:space="preserve">offered </w:t>
      </w:r>
      <w:r w:rsidR="000D5431" w:rsidRPr="00A70042">
        <w:rPr>
          <w:rFonts w:ascii="Times New Roman" w:hAnsi="Times New Roman" w:cs="Times New Roman"/>
          <w:spacing w:val="-2"/>
          <w:sz w:val="24"/>
          <w:szCs w:val="24"/>
        </w:rPr>
        <w:t xml:space="preserve">by </w:t>
      </w:r>
      <w:r w:rsidR="00B059C7" w:rsidRPr="00A70042">
        <w:rPr>
          <w:rFonts w:ascii="Times New Roman" w:hAnsi="Times New Roman" w:cs="Times New Roman"/>
          <w:spacing w:val="-2"/>
          <w:sz w:val="24"/>
          <w:szCs w:val="24"/>
        </w:rPr>
        <w:t>Intel</w:t>
      </w:r>
      <w:r w:rsidR="000D5431" w:rsidRPr="00A70042">
        <w:rPr>
          <w:rFonts w:ascii="Times New Roman" w:hAnsi="Times New Roman" w:cs="Times New Roman"/>
          <w:spacing w:val="-2"/>
          <w:sz w:val="24"/>
          <w:szCs w:val="24"/>
        </w:rPr>
        <w:t xml:space="preserve"> </w:t>
      </w:r>
      <w:r w:rsidR="00B059C7" w:rsidRPr="00A70042">
        <w:rPr>
          <w:rFonts w:ascii="Times New Roman" w:hAnsi="Times New Roman" w:cs="Times New Roman"/>
          <w:spacing w:val="-2"/>
          <w:sz w:val="24"/>
          <w:szCs w:val="24"/>
        </w:rPr>
        <w:t>in the post-merger period</w:t>
      </w:r>
      <w:r w:rsidR="001D4951" w:rsidRPr="00A70042">
        <w:rPr>
          <w:rFonts w:ascii="Times New Roman" w:hAnsi="Times New Roman" w:cs="Times New Roman"/>
          <w:spacing w:val="-2"/>
          <w:sz w:val="24"/>
          <w:szCs w:val="24"/>
        </w:rPr>
        <w:t>.</w:t>
      </w:r>
      <w:r w:rsidR="000D5431" w:rsidRPr="00A70042">
        <w:rPr>
          <w:rFonts w:ascii="Times New Roman" w:hAnsi="Times New Roman" w:cs="Times New Roman"/>
          <w:spacing w:val="-2"/>
          <w:sz w:val="24"/>
          <w:szCs w:val="24"/>
        </w:rPr>
        <w:t xml:space="preserve"> </w:t>
      </w:r>
      <w:r w:rsidR="009857C2" w:rsidRPr="00A70042">
        <w:rPr>
          <w:rFonts w:ascii="Times New Roman" w:hAnsi="Times New Roman" w:cs="Times New Roman"/>
          <w:spacing w:val="-2"/>
          <w:sz w:val="24"/>
          <w:szCs w:val="24"/>
        </w:rPr>
        <w:t>With</w:t>
      </w:r>
      <w:r w:rsidR="000534AD" w:rsidRPr="00A70042">
        <w:rPr>
          <w:rFonts w:ascii="Times New Roman" w:hAnsi="Times New Roman" w:cs="Times New Roman"/>
          <w:spacing w:val="-2"/>
          <w:sz w:val="24"/>
          <w:szCs w:val="24"/>
        </w:rPr>
        <w:t xml:space="preserve"> regards </w:t>
      </w:r>
      <w:r w:rsidR="009857C2" w:rsidRPr="00A70042">
        <w:rPr>
          <w:rFonts w:ascii="Times New Roman" w:hAnsi="Times New Roman" w:cs="Times New Roman"/>
          <w:spacing w:val="-2"/>
          <w:sz w:val="24"/>
          <w:szCs w:val="24"/>
        </w:rPr>
        <w:t xml:space="preserve">to </w:t>
      </w:r>
      <w:r w:rsidR="000534AD" w:rsidRPr="00A70042">
        <w:rPr>
          <w:rFonts w:ascii="Times New Roman" w:hAnsi="Times New Roman" w:cs="Times New Roman"/>
          <w:spacing w:val="-2"/>
          <w:sz w:val="24"/>
          <w:szCs w:val="24"/>
        </w:rPr>
        <w:t xml:space="preserve">the interoperability of Intel endpoint security solutions with hardware developed by Intel competitors, Intel </w:t>
      </w:r>
      <w:r w:rsidR="000D5431" w:rsidRPr="00A70042">
        <w:rPr>
          <w:rFonts w:ascii="Times New Roman" w:hAnsi="Times New Roman" w:cs="Times New Roman"/>
          <w:spacing w:val="-2"/>
          <w:sz w:val="24"/>
          <w:szCs w:val="24"/>
        </w:rPr>
        <w:t>committed</w:t>
      </w:r>
      <w:r w:rsidR="000534AD" w:rsidRPr="00A70042">
        <w:rPr>
          <w:rFonts w:ascii="Times New Roman" w:hAnsi="Times New Roman" w:cs="Times New Roman"/>
          <w:spacing w:val="-2"/>
          <w:sz w:val="24"/>
          <w:szCs w:val="24"/>
        </w:rPr>
        <w:t xml:space="preserve"> not </w:t>
      </w:r>
      <w:r w:rsidR="000D5431" w:rsidRPr="00A70042">
        <w:rPr>
          <w:rFonts w:ascii="Times New Roman" w:hAnsi="Times New Roman" w:cs="Times New Roman"/>
          <w:spacing w:val="-2"/>
          <w:sz w:val="24"/>
          <w:szCs w:val="24"/>
        </w:rPr>
        <w:t xml:space="preserve">to </w:t>
      </w:r>
      <w:r w:rsidR="000534AD" w:rsidRPr="00A70042">
        <w:rPr>
          <w:rFonts w:ascii="Times New Roman" w:hAnsi="Times New Roman" w:cs="Times New Roman"/>
          <w:spacing w:val="-2"/>
          <w:sz w:val="24"/>
          <w:szCs w:val="24"/>
        </w:rPr>
        <w:t>take affirmative steps to degrade its software performance when operating on a personal computer containing a non-Intel</w:t>
      </w:r>
      <w:r w:rsidR="000D5431" w:rsidRPr="00A70042">
        <w:rPr>
          <w:rFonts w:ascii="Times New Roman" w:hAnsi="Times New Roman" w:cs="Times New Roman"/>
          <w:spacing w:val="-2"/>
          <w:sz w:val="24"/>
          <w:szCs w:val="24"/>
        </w:rPr>
        <w:t xml:space="preserve"> </w:t>
      </w:r>
      <w:r w:rsidR="000534AD" w:rsidRPr="00A70042">
        <w:rPr>
          <w:rFonts w:ascii="Times New Roman" w:hAnsi="Times New Roman" w:cs="Times New Roman"/>
          <w:spacing w:val="-2"/>
          <w:sz w:val="24"/>
          <w:szCs w:val="24"/>
        </w:rPr>
        <w:t>CPU.</w:t>
      </w:r>
      <w:r w:rsidR="000D5431" w:rsidRPr="00A70042">
        <w:rPr>
          <w:rStyle w:val="FootnoteReference"/>
          <w:rFonts w:ascii="Times New Roman" w:hAnsi="Times New Roman" w:cs="Times New Roman"/>
          <w:spacing w:val="-2"/>
          <w:sz w:val="24"/>
          <w:szCs w:val="24"/>
        </w:rPr>
        <w:footnoteReference w:id="546"/>
      </w:r>
      <w:r w:rsidR="000D5431" w:rsidRPr="00A70042">
        <w:rPr>
          <w:rFonts w:ascii="Times New Roman" w:hAnsi="Times New Roman" w:cs="Times New Roman"/>
          <w:spacing w:val="-2"/>
          <w:sz w:val="24"/>
          <w:szCs w:val="24"/>
        </w:rPr>
        <w:t xml:space="preserve"> </w:t>
      </w:r>
      <w:r w:rsidR="009857C2" w:rsidRPr="00A70042">
        <w:rPr>
          <w:rFonts w:ascii="Times New Roman" w:hAnsi="Times New Roman" w:cs="Times New Roman"/>
          <w:spacing w:val="-2"/>
          <w:sz w:val="24"/>
          <w:szCs w:val="24"/>
        </w:rPr>
        <w:t>Thereby,</w:t>
      </w:r>
      <w:r w:rsidR="000D5431" w:rsidRPr="00A70042">
        <w:rPr>
          <w:rFonts w:ascii="Times New Roman" w:hAnsi="Times New Roman" w:cs="Times New Roman"/>
          <w:spacing w:val="-2"/>
          <w:sz w:val="24"/>
          <w:szCs w:val="24"/>
        </w:rPr>
        <w:t xml:space="preserve"> independently developed</w:t>
      </w:r>
      <w:r w:rsidR="001D4951" w:rsidRPr="00A70042">
        <w:rPr>
          <w:rFonts w:ascii="Times New Roman" w:hAnsi="Times New Roman" w:cs="Times New Roman"/>
          <w:spacing w:val="-2"/>
          <w:sz w:val="24"/>
          <w:szCs w:val="24"/>
        </w:rPr>
        <w:t xml:space="preserve"> security solutions </w:t>
      </w:r>
      <w:r w:rsidR="009857C2" w:rsidRPr="00A70042">
        <w:rPr>
          <w:rFonts w:ascii="Times New Roman" w:hAnsi="Times New Roman" w:cs="Times New Roman"/>
          <w:spacing w:val="-2"/>
          <w:sz w:val="24"/>
          <w:szCs w:val="24"/>
        </w:rPr>
        <w:t xml:space="preserve">by SSVs </w:t>
      </w:r>
      <w:r w:rsidR="001D4951" w:rsidRPr="00A70042">
        <w:rPr>
          <w:rFonts w:ascii="Times New Roman" w:hAnsi="Times New Roman" w:cs="Times New Roman"/>
          <w:spacing w:val="-2"/>
          <w:sz w:val="24"/>
          <w:szCs w:val="24"/>
        </w:rPr>
        <w:t xml:space="preserve">would interact with the </w:t>
      </w:r>
      <w:r w:rsidR="00330CD5" w:rsidRPr="00A70042">
        <w:rPr>
          <w:rFonts w:ascii="Times New Roman" w:hAnsi="Times New Roman" w:cs="Times New Roman"/>
          <w:spacing w:val="-2"/>
          <w:sz w:val="24"/>
          <w:szCs w:val="24"/>
        </w:rPr>
        <w:t>CPU</w:t>
      </w:r>
      <w:r w:rsidR="001D4951" w:rsidRPr="00A70042">
        <w:rPr>
          <w:rFonts w:ascii="Times New Roman" w:hAnsi="Times New Roman" w:cs="Times New Roman"/>
          <w:spacing w:val="-2"/>
          <w:sz w:val="24"/>
          <w:szCs w:val="24"/>
        </w:rPr>
        <w:t>s manufactured by Intel’s competitors under the same conditions that they were already working with Intel chipsets</w:t>
      </w:r>
      <w:r w:rsidR="000D5431" w:rsidRPr="00A70042">
        <w:rPr>
          <w:rFonts w:ascii="Times New Roman" w:hAnsi="Times New Roman" w:cs="Times New Roman"/>
          <w:spacing w:val="-2"/>
          <w:sz w:val="24"/>
          <w:szCs w:val="24"/>
        </w:rPr>
        <w:t xml:space="preserve"> and CPUs</w:t>
      </w:r>
      <w:r w:rsidR="001D4951" w:rsidRPr="00A70042">
        <w:rPr>
          <w:rFonts w:ascii="Times New Roman" w:hAnsi="Times New Roman" w:cs="Times New Roman"/>
          <w:spacing w:val="-2"/>
          <w:sz w:val="24"/>
          <w:szCs w:val="24"/>
        </w:rPr>
        <w:t>.</w:t>
      </w:r>
      <w:r w:rsidR="00AE663C" w:rsidRPr="00A70042">
        <w:rPr>
          <w:rFonts w:ascii="Times New Roman" w:hAnsi="Times New Roman" w:cs="Times New Roman"/>
          <w:spacing w:val="-2"/>
          <w:sz w:val="24"/>
          <w:szCs w:val="24"/>
        </w:rPr>
        <w:t xml:space="preserve"> As regards the technical tying concerns, in the case where Intel would add </w:t>
      </w:r>
      <w:r w:rsidR="004F6578" w:rsidRPr="00A70042">
        <w:rPr>
          <w:rFonts w:ascii="Times New Roman" w:hAnsi="Times New Roman" w:cs="Times New Roman"/>
          <w:spacing w:val="-2"/>
          <w:sz w:val="24"/>
          <w:szCs w:val="24"/>
        </w:rPr>
        <w:t xml:space="preserve">any endpoint security software e.g. </w:t>
      </w:r>
      <w:r w:rsidR="00AE663C" w:rsidRPr="00A70042">
        <w:rPr>
          <w:rFonts w:ascii="Times New Roman" w:hAnsi="Times New Roman" w:cs="Times New Roman"/>
          <w:spacing w:val="-2"/>
          <w:sz w:val="24"/>
          <w:szCs w:val="24"/>
        </w:rPr>
        <w:t xml:space="preserve">malware detection engine to Intel CPUs and chipsets, Intel would offer to license independent SSVs to </w:t>
      </w:r>
      <w:r w:rsidR="00AE663C" w:rsidRPr="00A70042">
        <w:rPr>
          <w:rFonts w:ascii="Times New Roman" w:hAnsi="Times New Roman" w:cs="Times New Roman"/>
          <w:spacing w:val="-2"/>
          <w:sz w:val="24"/>
          <w:szCs w:val="24"/>
        </w:rPr>
        <w:lastRenderedPageBreak/>
        <w:t xml:space="preserve">interoperate with such </w:t>
      </w:r>
      <w:r w:rsidR="004F6578" w:rsidRPr="00A70042">
        <w:rPr>
          <w:rFonts w:ascii="Times New Roman" w:hAnsi="Times New Roman" w:cs="Times New Roman"/>
          <w:spacing w:val="-2"/>
          <w:sz w:val="24"/>
          <w:szCs w:val="24"/>
        </w:rPr>
        <w:t>software</w:t>
      </w:r>
      <w:r w:rsidR="00AE663C" w:rsidRPr="00A70042">
        <w:rPr>
          <w:rFonts w:ascii="Times New Roman" w:hAnsi="Times New Roman" w:cs="Times New Roman"/>
          <w:spacing w:val="-2"/>
          <w:sz w:val="24"/>
          <w:szCs w:val="24"/>
        </w:rPr>
        <w:t xml:space="preserve"> such that the subscription services offered by </w:t>
      </w:r>
      <w:r w:rsidR="007B50C6" w:rsidRPr="00A70042">
        <w:rPr>
          <w:rFonts w:ascii="Times New Roman" w:hAnsi="Times New Roman" w:cs="Times New Roman"/>
          <w:spacing w:val="-2"/>
          <w:sz w:val="24"/>
          <w:szCs w:val="24"/>
        </w:rPr>
        <w:t>them</w:t>
      </w:r>
      <w:r w:rsidR="00AE663C" w:rsidRPr="00A70042">
        <w:rPr>
          <w:rFonts w:ascii="Times New Roman" w:hAnsi="Times New Roman" w:cs="Times New Roman"/>
          <w:spacing w:val="-2"/>
          <w:sz w:val="24"/>
          <w:szCs w:val="24"/>
        </w:rPr>
        <w:t xml:space="preserve"> would be able to utilize Intel’s </w:t>
      </w:r>
      <w:r w:rsidR="004F6578" w:rsidRPr="00A70042">
        <w:rPr>
          <w:rFonts w:ascii="Times New Roman" w:hAnsi="Times New Roman" w:cs="Times New Roman"/>
          <w:spacing w:val="-2"/>
          <w:sz w:val="24"/>
          <w:szCs w:val="24"/>
        </w:rPr>
        <w:t>underlying software</w:t>
      </w:r>
      <w:r w:rsidR="00AE663C" w:rsidRPr="00A70042">
        <w:rPr>
          <w:rFonts w:ascii="Times New Roman" w:hAnsi="Times New Roman" w:cs="Times New Roman"/>
          <w:spacing w:val="-2"/>
          <w:sz w:val="24"/>
          <w:szCs w:val="24"/>
        </w:rPr>
        <w:t>.</w:t>
      </w:r>
      <w:r w:rsidR="00AE663C" w:rsidRPr="00A70042">
        <w:rPr>
          <w:rStyle w:val="FootnoteReference"/>
          <w:rFonts w:ascii="Times New Roman" w:hAnsi="Times New Roman" w:cs="Times New Roman"/>
          <w:spacing w:val="-2"/>
          <w:sz w:val="24"/>
          <w:szCs w:val="24"/>
        </w:rPr>
        <w:footnoteReference w:id="547"/>
      </w:r>
    </w:p>
    <w:p w14:paraId="0FEBEAAB" w14:textId="052E3066" w:rsidR="00246449" w:rsidRPr="00A70042" w:rsidRDefault="007B50C6"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Intel’s c</w:t>
      </w:r>
      <w:r w:rsidR="001D4951" w:rsidRPr="00A70042">
        <w:rPr>
          <w:rFonts w:ascii="Times New Roman" w:hAnsi="Times New Roman" w:cs="Times New Roman"/>
          <w:sz w:val="24"/>
          <w:szCs w:val="24"/>
        </w:rPr>
        <w:t xml:space="preserve">ommitments covered future products to be jointly developed by the merging parties </w:t>
      </w:r>
      <w:r w:rsidR="004F6578" w:rsidRPr="00A70042">
        <w:rPr>
          <w:rFonts w:ascii="Times New Roman" w:hAnsi="Times New Roman" w:cs="Times New Roman"/>
          <w:sz w:val="24"/>
          <w:szCs w:val="24"/>
        </w:rPr>
        <w:t>for</w:t>
      </w:r>
      <w:r w:rsidR="001D4951" w:rsidRPr="00A70042">
        <w:rPr>
          <w:rFonts w:ascii="Times New Roman" w:hAnsi="Times New Roman" w:cs="Times New Roman"/>
          <w:sz w:val="24"/>
          <w:szCs w:val="24"/>
        </w:rPr>
        <w:t xml:space="preserve"> a five-year period, </w:t>
      </w:r>
      <w:r w:rsidR="004F6578" w:rsidRPr="00A70042">
        <w:rPr>
          <w:rFonts w:ascii="Times New Roman" w:hAnsi="Times New Roman" w:cs="Times New Roman"/>
          <w:sz w:val="24"/>
          <w:szCs w:val="24"/>
        </w:rPr>
        <w:t>during</w:t>
      </w:r>
      <w:r w:rsidR="001D4951" w:rsidRPr="00A70042">
        <w:rPr>
          <w:rFonts w:ascii="Times New Roman" w:hAnsi="Times New Roman" w:cs="Times New Roman"/>
          <w:sz w:val="24"/>
          <w:szCs w:val="24"/>
        </w:rPr>
        <w:t xml:space="preserve"> which other </w:t>
      </w:r>
      <w:r w:rsidR="005A70CC" w:rsidRPr="00A70042">
        <w:rPr>
          <w:rFonts w:ascii="Times New Roman" w:hAnsi="Times New Roman" w:cs="Times New Roman"/>
          <w:sz w:val="24"/>
          <w:szCs w:val="24"/>
        </w:rPr>
        <w:t>original equipment manufacturers</w:t>
      </w:r>
      <w:r w:rsidR="001D4951" w:rsidRPr="00A70042">
        <w:rPr>
          <w:rFonts w:ascii="Times New Roman" w:hAnsi="Times New Roman" w:cs="Times New Roman"/>
          <w:sz w:val="24"/>
          <w:szCs w:val="24"/>
        </w:rPr>
        <w:t xml:space="preserve"> would replace </w:t>
      </w:r>
      <w:r w:rsidR="004F6578" w:rsidRPr="00A70042">
        <w:rPr>
          <w:rFonts w:ascii="Times New Roman" w:hAnsi="Times New Roman" w:cs="Times New Roman"/>
          <w:sz w:val="24"/>
          <w:szCs w:val="24"/>
        </w:rPr>
        <w:t xml:space="preserve">Intel’s </w:t>
      </w:r>
      <w:r w:rsidR="00F112E4" w:rsidRPr="00A70042">
        <w:rPr>
          <w:rFonts w:ascii="Times New Roman" w:hAnsi="Times New Roman" w:cs="Times New Roman"/>
          <w:sz w:val="24"/>
          <w:szCs w:val="24"/>
        </w:rPr>
        <w:t xml:space="preserve">tied </w:t>
      </w:r>
      <w:r w:rsidR="004F6578" w:rsidRPr="00A70042">
        <w:rPr>
          <w:rFonts w:ascii="Times New Roman" w:hAnsi="Times New Roman" w:cs="Times New Roman"/>
          <w:sz w:val="24"/>
          <w:szCs w:val="24"/>
        </w:rPr>
        <w:t xml:space="preserve">security </w:t>
      </w:r>
      <w:r w:rsidR="001D4951" w:rsidRPr="00A70042">
        <w:rPr>
          <w:rFonts w:ascii="Times New Roman" w:hAnsi="Times New Roman" w:cs="Times New Roman"/>
          <w:sz w:val="24"/>
          <w:szCs w:val="24"/>
        </w:rPr>
        <w:t>products</w:t>
      </w:r>
      <w:r w:rsidR="004F6578" w:rsidRPr="00A70042">
        <w:rPr>
          <w:rFonts w:ascii="Times New Roman" w:hAnsi="Times New Roman" w:cs="Times New Roman"/>
          <w:sz w:val="24"/>
          <w:szCs w:val="24"/>
        </w:rPr>
        <w:t xml:space="preserve"> </w:t>
      </w:r>
      <w:r w:rsidR="001D4951" w:rsidRPr="00A70042">
        <w:rPr>
          <w:rFonts w:ascii="Times New Roman" w:hAnsi="Times New Roman" w:cs="Times New Roman"/>
          <w:sz w:val="24"/>
          <w:szCs w:val="24"/>
        </w:rPr>
        <w:t>(switch-off mechanism).</w:t>
      </w:r>
      <w:r w:rsidR="001D4951" w:rsidRPr="00820EF9">
        <w:rPr>
          <w:rStyle w:val="FootnoteReference"/>
          <w:rFonts w:ascii="Times New Roman" w:hAnsi="Times New Roman" w:cs="Times New Roman"/>
          <w:sz w:val="24"/>
          <w:szCs w:val="24"/>
        </w:rPr>
        <w:footnoteReference w:id="548"/>
      </w:r>
      <w:r w:rsidR="001D4951" w:rsidRPr="00820EF9">
        <w:rPr>
          <w:rFonts w:ascii="Times New Roman" w:hAnsi="Times New Roman" w:cs="Times New Roman"/>
          <w:sz w:val="24"/>
          <w:szCs w:val="24"/>
        </w:rPr>
        <w:t xml:space="preserve"> These </w:t>
      </w:r>
      <w:r w:rsidR="00017F65" w:rsidRPr="00A70042">
        <w:rPr>
          <w:rFonts w:ascii="Times New Roman" w:hAnsi="Times New Roman" w:cs="Times New Roman"/>
          <w:sz w:val="24"/>
          <w:szCs w:val="24"/>
        </w:rPr>
        <w:t xml:space="preserve">remedies </w:t>
      </w:r>
      <w:r w:rsidR="002269A7" w:rsidRPr="00A70042">
        <w:rPr>
          <w:rFonts w:ascii="Times New Roman" w:hAnsi="Times New Roman" w:cs="Times New Roman"/>
          <w:sz w:val="24"/>
          <w:szCs w:val="24"/>
        </w:rPr>
        <w:t>committ</w:t>
      </w:r>
      <w:r w:rsidR="00017F65" w:rsidRPr="00A70042">
        <w:rPr>
          <w:rFonts w:ascii="Times New Roman" w:hAnsi="Times New Roman" w:cs="Times New Roman"/>
          <w:sz w:val="24"/>
          <w:szCs w:val="24"/>
        </w:rPr>
        <w:t xml:space="preserve">ed on a royalty-free basis </w:t>
      </w:r>
      <w:r w:rsidR="001D4951" w:rsidRPr="00A70042">
        <w:rPr>
          <w:rFonts w:ascii="Times New Roman" w:hAnsi="Times New Roman" w:cs="Times New Roman"/>
          <w:sz w:val="24"/>
          <w:szCs w:val="24"/>
        </w:rPr>
        <w:t>are argued to go beyond previous case law e.</w:t>
      </w:r>
      <w:r w:rsidR="006F5628" w:rsidRPr="00A70042">
        <w:rPr>
          <w:rFonts w:ascii="Times New Roman" w:hAnsi="Times New Roman" w:cs="Times New Roman"/>
          <w:sz w:val="24"/>
          <w:szCs w:val="24"/>
        </w:rPr>
        <w:t>g.</w:t>
      </w:r>
      <w:r w:rsidR="001D4951" w:rsidRPr="00A70042">
        <w:rPr>
          <w:rFonts w:ascii="Times New Roman" w:hAnsi="Times New Roman" w:cs="Times New Roman"/>
          <w:sz w:val="24"/>
          <w:szCs w:val="24"/>
        </w:rPr>
        <w:t xml:space="preserve"> </w:t>
      </w:r>
      <w:r w:rsidR="001D4951" w:rsidRPr="00A70042">
        <w:rPr>
          <w:rFonts w:ascii="Times New Roman" w:hAnsi="Times New Roman" w:cs="Times New Roman"/>
          <w:i/>
          <w:sz w:val="24"/>
          <w:szCs w:val="24"/>
        </w:rPr>
        <w:t>Microsoft</w:t>
      </w:r>
      <w:r w:rsidR="001D4951" w:rsidRPr="00A70042">
        <w:rPr>
          <w:rFonts w:ascii="Times New Roman" w:hAnsi="Times New Roman" w:cs="Times New Roman"/>
          <w:sz w:val="24"/>
          <w:szCs w:val="24"/>
        </w:rPr>
        <w:t>, whereby the related undertakings were required to update information for new versions of relevant products created by the individual undertakings, but not of the joint products.</w:t>
      </w:r>
      <w:r w:rsidR="001D4951" w:rsidRPr="00820EF9">
        <w:rPr>
          <w:rStyle w:val="FootnoteReference"/>
          <w:rFonts w:ascii="Times New Roman" w:hAnsi="Times New Roman" w:cs="Times New Roman"/>
          <w:sz w:val="24"/>
          <w:szCs w:val="24"/>
        </w:rPr>
        <w:footnoteReference w:id="549"/>
      </w:r>
      <w:r w:rsidR="00992134" w:rsidRPr="00820EF9">
        <w:rPr>
          <w:rFonts w:ascii="Times New Roman" w:hAnsi="Times New Roman" w:cs="Times New Roman"/>
          <w:sz w:val="24"/>
          <w:szCs w:val="24"/>
        </w:rPr>
        <w:t xml:space="preserve">   </w:t>
      </w:r>
      <w:r w:rsidR="00CE3258" w:rsidRPr="00A70042">
        <w:rPr>
          <w:rFonts w:ascii="Times New Roman" w:hAnsi="Times New Roman" w:cs="Times New Roman"/>
          <w:sz w:val="24"/>
          <w:szCs w:val="24"/>
        </w:rPr>
        <w:t xml:space="preserve"> </w:t>
      </w:r>
    </w:p>
    <w:p w14:paraId="283A306A" w14:textId="77777777" w:rsidR="00C20591" w:rsidRPr="00774EDB" w:rsidRDefault="00E220CE" w:rsidP="00A70042">
      <w:pPr>
        <w:spacing w:before="360"/>
        <w:jc w:val="both"/>
        <w:rPr>
          <w:rFonts w:ascii="Times New Roman" w:hAnsi="Times New Roman" w:cs="Times New Roman"/>
          <w:sz w:val="24"/>
          <w:szCs w:val="24"/>
        </w:rPr>
      </w:pPr>
      <w:r w:rsidRPr="00820EF9">
        <w:rPr>
          <w:rFonts w:ascii="Times New Roman" w:hAnsi="Times New Roman" w:cs="Times New Roman"/>
          <w:sz w:val="24"/>
          <w:szCs w:val="24"/>
        </w:rPr>
        <w:t>The abovementioned case law demonstrates the Commission’s readiness to intervene into the proposed mergers with the view to creat</w:t>
      </w:r>
      <w:r w:rsidRPr="00A70042">
        <w:rPr>
          <w:rFonts w:ascii="Times New Roman" w:hAnsi="Times New Roman" w:cs="Times New Roman"/>
          <w:sz w:val="24"/>
          <w:szCs w:val="24"/>
        </w:rPr>
        <w:t>e sufficiently competitive ICT markets along with pro-interoperability measures. I</w:t>
      </w:r>
      <w:r w:rsidRPr="00774EDB">
        <w:rPr>
          <w:rFonts w:ascii="Times New Roman" w:hAnsi="Times New Roman" w:cs="Times New Roman"/>
          <w:sz w:val="24"/>
          <w:szCs w:val="24"/>
        </w:rPr>
        <w:t xml:space="preserve">f the findings denote a likelihood of effective competition being significantly impeded subsequent to a merger/acquisition, a variety of remedies including enhancement of interoperability could be at the disposal of the Commission, as happened in the given merger clearances. As long as potential degradability of interoperability is at stake in the post-merger period, this might be considered as an anti-competitive risk so as to be deterred with some remedies. Such remedies would include divesting IPRs, e.g. attached to a proprietary protocol set, to an independent industry body such as in </w:t>
      </w:r>
      <w:r w:rsidRPr="00774EDB">
        <w:rPr>
          <w:rFonts w:ascii="Times New Roman" w:hAnsi="Times New Roman" w:cs="Times New Roman"/>
          <w:i/>
          <w:sz w:val="24"/>
          <w:szCs w:val="24"/>
        </w:rPr>
        <w:t>Cisco/Tandberg</w:t>
      </w:r>
      <w:r w:rsidRPr="00774EDB">
        <w:rPr>
          <w:rFonts w:ascii="Times New Roman" w:hAnsi="Times New Roman" w:cs="Times New Roman"/>
          <w:sz w:val="24"/>
          <w:szCs w:val="24"/>
        </w:rPr>
        <w:t xml:space="preserve"> and making the interface specifications, including those of future products, available to competitors such as in </w:t>
      </w:r>
      <w:r w:rsidRPr="00774EDB">
        <w:rPr>
          <w:rFonts w:ascii="Times New Roman" w:hAnsi="Times New Roman" w:cs="Times New Roman"/>
          <w:i/>
          <w:sz w:val="24"/>
          <w:szCs w:val="24"/>
        </w:rPr>
        <w:t>Intel/McAfee</w:t>
      </w:r>
      <w:r w:rsidRPr="00774EDB">
        <w:rPr>
          <w:rFonts w:ascii="Times New Roman" w:hAnsi="Times New Roman" w:cs="Times New Roman"/>
          <w:sz w:val="24"/>
          <w:szCs w:val="24"/>
        </w:rPr>
        <w:t>.</w:t>
      </w:r>
    </w:p>
    <w:p w14:paraId="3133A94E" w14:textId="518BF065" w:rsidR="00331AF3" w:rsidRPr="00774EDB" w:rsidRDefault="00062397"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 xml:space="preserve">In view of </w:t>
      </w:r>
      <w:r w:rsidRPr="00774EDB">
        <w:rPr>
          <w:rFonts w:ascii="Times New Roman" w:hAnsi="Times New Roman" w:cs="Times New Roman"/>
          <w:i/>
          <w:sz w:val="24"/>
          <w:szCs w:val="24"/>
        </w:rPr>
        <w:t>Cisco/Tandberg</w:t>
      </w:r>
      <w:r w:rsidRPr="00774EDB">
        <w:rPr>
          <w:rFonts w:ascii="Times New Roman" w:hAnsi="Times New Roman" w:cs="Times New Roman"/>
          <w:sz w:val="24"/>
          <w:szCs w:val="24"/>
        </w:rPr>
        <w:t xml:space="preserve"> and </w:t>
      </w:r>
      <w:r w:rsidRPr="00774EDB">
        <w:rPr>
          <w:rFonts w:ascii="Times New Roman" w:hAnsi="Times New Roman" w:cs="Times New Roman"/>
          <w:i/>
          <w:sz w:val="24"/>
          <w:szCs w:val="24"/>
        </w:rPr>
        <w:t>Intel/McAfee</w:t>
      </w:r>
      <w:r w:rsidRPr="00774EDB">
        <w:rPr>
          <w:rFonts w:ascii="Times New Roman" w:hAnsi="Times New Roman" w:cs="Times New Roman"/>
          <w:sz w:val="24"/>
          <w:szCs w:val="24"/>
        </w:rPr>
        <w:t xml:space="preserve">, competition law tools such as demand-side substitutability and the SIEC test seem to have been used in combination, if not from a long-term perspective. Post-merger market concerns usually </w:t>
      </w:r>
      <w:r w:rsidR="002E26D2" w:rsidRPr="00774EDB">
        <w:rPr>
          <w:rFonts w:ascii="Times New Roman" w:hAnsi="Times New Roman" w:cs="Times New Roman"/>
          <w:sz w:val="24"/>
          <w:szCs w:val="24"/>
        </w:rPr>
        <w:t xml:space="preserve">stem </w:t>
      </w:r>
      <w:r w:rsidRPr="00774EDB">
        <w:rPr>
          <w:rFonts w:ascii="Times New Roman" w:hAnsi="Times New Roman" w:cs="Times New Roman"/>
          <w:sz w:val="24"/>
          <w:szCs w:val="24"/>
        </w:rPr>
        <w:t>from an intra-platform point of view, appear</w:t>
      </w:r>
      <w:r w:rsidR="002E26D2" w:rsidRPr="00774EDB">
        <w:rPr>
          <w:rFonts w:ascii="Times New Roman" w:hAnsi="Times New Roman" w:cs="Times New Roman"/>
          <w:sz w:val="24"/>
          <w:szCs w:val="24"/>
        </w:rPr>
        <w:t>ing</w:t>
      </w:r>
      <w:r w:rsidRPr="00774EDB">
        <w:rPr>
          <w:rFonts w:ascii="Times New Roman" w:hAnsi="Times New Roman" w:cs="Times New Roman"/>
          <w:sz w:val="24"/>
          <w:szCs w:val="24"/>
        </w:rPr>
        <w:t xml:space="preserve"> to have had a </w:t>
      </w:r>
      <w:r w:rsidR="00C20591" w:rsidRPr="00774EDB">
        <w:rPr>
          <w:rFonts w:ascii="Times New Roman" w:hAnsi="Times New Roman" w:cs="Times New Roman"/>
          <w:sz w:val="24"/>
          <w:szCs w:val="24"/>
        </w:rPr>
        <w:t>significant</w:t>
      </w:r>
      <w:r w:rsidRPr="00774EDB">
        <w:rPr>
          <w:rFonts w:ascii="Times New Roman" w:hAnsi="Times New Roman" w:cs="Times New Roman"/>
          <w:sz w:val="24"/>
          <w:szCs w:val="24"/>
        </w:rPr>
        <w:t xml:space="preserve"> role during the course of </w:t>
      </w:r>
      <w:r w:rsidR="00C20591" w:rsidRPr="00774EDB">
        <w:rPr>
          <w:rFonts w:ascii="Times New Roman" w:hAnsi="Times New Roman" w:cs="Times New Roman"/>
          <w:sz w:val="24"/>
          <w:szCs w:val="24"/>
        </w:rPr>
        <w:t>investigations</w:t>
      </w:r>
      <w:r w:rsidRPr="00774EDB">
        <w:rPr>
          <w:rFonts w:ascii="Times New Roman" w:hAnsi="Times New Roman" w:cs="Times New Roman"/>
          <w:sz w:val="24"/>
          <w:szCs w:val="24"/>
        </w:rPr>
        <w:t xml:space="preserve"> conducted. </w:t>
      </w:r>
      <w:r w:rsidR="00C20591" w:rsidRPr="00774EDB">
        <w:rPr>
          <w:rFonts w:ascii="Times New Roman" w:hAnsi="Times New Roman" w:cs="Times New Roman"/>
          <w:sz w:val="24"/>
          <w:szCs w:val="24"/>
        </w:rPr>
        <w:t>From this viewpoint</w:t>
      </w:r>
      <w:r w:rsidRPr="00774EDB">
        <w:rPr>
          <w:rFonts w:ascii="Times New Roman" w:hAnsi="Times New Roman" w:cs="Times New Roman"/>
          <w:sz w:val="24"/>
          <w:szCs w:val="24"/>
        </w:rPr>
        <w:t xml:space="preserve">, both in </w:t>
      </w:r>
      <w:r w:rsidRPr="00774EDB">
        <w:rPr>
          <w:rFonts w:ascii="Times New Roman" w:hAnsi="Times New Roman" w:cs="Times New Roman"/>
          <w:i/>
          <w:sz w:val="24"/>
          <w:szCs w:val="24"/>
        </w:rPr>
        <w:t>Cisco/Tandberg</w:t>
      </w:r>
      <w:r w:rsidRPr="00774EDB">
        <w:rPr>
          <w:rFonts w:ascii="Times New Roman" w:hAnsi="Times New Roman" w:cs="Times New Roman"/>
          <w:sz w:val="24"/>
          <w:szCs w:val="24"/>
        </w:rPr>
        <w:t xml:space="preserve"> and </w:t>
      </w:r>
      <w:r w:rsidRPr="00774EDB">
        <w:rPr>
          <w:rFonts w:ascii="Times New Roman" w:hAnsi="Times New Roman" w:cs="Times New Roman"/>
          <w:i/>
          <w:sz w:val="24"/>
          <w:szCs w:val="24"/>
        </w:rPr>
        <w:t>Intel/McAfee</w:t>
      </w:r>
      <w:r w:rsidRPr="00774EDB">
        <w:rPr>
          <w:rFonts w:ascii="Times New Roman" w:hAnsi="Times New Roman" w:cs="Times New Roman"/>
          <w:sz w:val="24"/>
          <w:szCs w:val="24"/>
        </w:rPr>
        <w:t xml:space="preserve">, the services and products focused on by the Commission did not embrace the whole marketplace, but those of the merging parties. In this regard, </w:t>
      </w:r>
      <w:r w:rsidR="00C20591" w:rsidRPr="00774EDB">
        <w:rPr>
          <w:rFonts w:ascii="Times New Roman" w:hAnsi="Times New Roman" w:cs="Times New Roman"/>
          <w:sz w:val="24"/>
          <w:szCs w:val="24"/>
        </w:rPr>
        <w:t>judging whether</w:t>
      </w:r>
      <w:r w:rsidRPr="00774EDB">
        <w:rPr>
          <w:rFonts w:ascii="Times New Roman" w:hAnsi="Times New Roman" w:cs="Times New Roman"/>
          <w:sz w:val="24"/>
          <w:szCs w:val="24"/>
        </w:rPr>
        <w:t xml:space="preserve"> an effects-based approach or the SIEC-based evaluation was pursued for the above cases</w:t>
      </w:r>
      <w:r w:rsidR="00C20591" w:rsidRPr="00774EDB">
        <w:rPr>
          <w:rFonts w:ascii="Times New Roman" w:hAnsi="Times New Roman" w:cs="Times New Roman"/>
          <w:sz w:val="24"/>
          <w:szCs w:val="24"/>
        </w:rPr>
        <w:t xml:space="preserve"> would not dismiss the overall concerns</w:t>
      </w:r>
      <w:r w:rsidRPr="00774EDB">
        <w:rPr>
          <w:rFonts w:ascii="Times New Roman" w:hAnsi="Times New Roman" w:cs="Times New Roman"/>
          <w:sz w:val="24"/>
          <w:szCs w:val="24"/>
        </w:rPr>
        <w:t xml:space="preserve">. </w:t>
      </w:r>
      <w:r w:rsidR="002E26D2" w:rsidRPr="00774EDB">
        <w:rPr>
          <w:rFonts w:ascii="Times New Roman" w:hAnsi="Times New Roman" w:cs="Times New Roman"/>
          <w:sz w:val="24"/>
          <w:szCs w:val="24"/>
        </w:rPr>
        <w:t>Albeit with the intent of enhancing interoperability,</w:t>
      </w:r>
      <w:r w:rsidRPr="00774EDB">
        <w:rPr>
          <w:rFonts w:ascii="Times New Roman" w:hAnsi="Times New Roman" w:cs="Times New Roman"/>
          <w:sz w:val="24"/>
          <w:szCs w:val="24"/>
        </w:rPr>
        <w:t xml:space="preserve"> intra-platform </w:t>
      </w:r>
      <w:r w:rsidR="001C214E" w:rsidRPr="00774EDB">
        <w:rPr>
          <w:rFonts w:ascii="Times New Roman" w:hAnsi="Times New Roman" w:cs="Times New Roman"/>
          <w:sz w:val="24"/>
          <w:szCs w:val="24"/>
        </w:rPr>
        <w:t>perspective</w:t>
      </w:r>
      <w:r w:rsidRPr="00774EDB">
        <w:rPr>
          <w:rFonts w:ascii="Times New Roman" w:hAnsi="Times New Roman" w:cs="Times New Roman"/>
          <w:sz w:val="24"/>
          <w:szCs w:val="24"/>
        </w:rPr>
        <w:t xml:space="preserve"> </w:t>
      </w:r>
      <w:r w:rsidR="001C214E" w:rsidRPr="00774EDB">
        <w:rPr>
          <w:rFonts w:ascii="Times New Roman" w:hAnsi="Times New Roman" w:cs="Times New Roman"/>
          <w:sz w:val="24"/>
          <w:szCs w:val="24"/>
        </w:rPr>
        <w:t>being held in</w:t>
      </w:r>
      <w:r w:rsidRPr="00774EDB">
        <w:rPr>
          <w:rFonts w:ascii="Times New Roman" w:hAnsi="Times New Roman" w:cs="Times New Roman"/>
          <w:sz w:val="24"/>
          <w:szCs w:val="24"/>
        </w:rPr>
        <w:t xml:space="preserve"> </w:t>
      </w:r>
      <w:r w:rsidR="002E26D2" w:rsidRPr="00774EDB">
        <w:rPr>
          <w:rFonts w:ascii="Times New Roman" w:hAnsi="Times New Roman" w:cs="Times New Roman"/>
          <w:sz w:val="24"/>
          <w:szCs w:val="24"/>
        </w:rPr>
        <w:t>such</w:t>
      </w:r>
      <w:r w:rsidRPr="00774EDB">
        <w:rPr>
          <w:rFonts w:ascii="Times New Roman" w:hAnsi="Times New Roman" w:cs="Times New Roman"/>
          <w:sz w:val="24"/>
          <w:szCs w:val="24"/>
        </w:rPr>
        <w:t xml:space="preserve"> decisions brings these M&amp;A decisions closer to the case law in the pre-modernisation period, </w:t>
      </w:r>
      <w:r w:rsidR="002E26D2" w:rsidRPr="00774EDB">
        <w:rPr>
          <w:rFonts w:ascii="Times New Roman" w:hAnsi="Times New Roman" w:cs="Times New Roman"/>
          <w:sz w:val="24"/>
          <w:szCs w:val="24"/>
        </w:rPr>
        <w:t xml:space="preserve">i.e. </w:t>
      </w:r>
      <w:r w:rsidRPr="00774EDB">
        <w:rPr>
          <w:rFonts w:ascii="Times New Roman" w:hAnsi="Times New Roman" w:cs="Times New Roman"/>
          <w:sz w:val="24"/>
          <w:szCs w:val="24"/>
        </w:rPr>
        <w:t>when the Commission’s interventions shaped the ground for the mergers between technical platform providers</w:t>
      </w:r>
      <w:r w:rsidR="002E26D2" w:rsidRPr="00774EDB">
        <w:rPr>
          <w:rFonts w:ascii="Times New Roman" w:hAnsi="Times New Roman" w:cs="Times New Roman"/>
          <w:sz w:val="24"/>
          <w:szCs w:val="24"/>
        </w:rPr>
        <w:t>,</w:t>
      </w:r>
      <w:r w:rsidRPr="00774EDB">
        <w:rPr>
          <w:rFonts w:ascii="Times New Roman" w:hAnsi="Times New Roman" w:cs="Times New Roman"/>
          <w:sz w:val="24"/>
          <w:szCs w:val="24"/>
        </w:rPr>
        <w:t xml:space="preserve"> e.g. CAS owners</w:t>
      </w:r>
      <w:r w:rsidR="002E26D2" w:rsidRPr="00774EDB">
        <w:rPr>
          <w:rFonts w:ascii="Times New Roman" w:hAnsi="Times New Roman" w:cs="Times New Roman"/>
          <w:sz w:val="24"/>
          <w:szCs w:val="24"/>
        </w:rPr>
        <w:t>,</w:t>
      </w:r>
      <w:r w:rsidRPr="00774EDB">
        <w:rPr>
          <w:rFonts w:ascii="Times New Roman" w:hAnsi="Times New Roman" w:cs="Times New Roman"/>
          <w:sz w:val="24"/>
          <w:szCs w:val="24"/>
        </w:rPr>
        <w:t xml:space="preserve"> and multimedia (pay TV) companies.</w:t>
      </w:r>
    </w:p>
    <w:p w14:paraId="74D3F73F" w14:textId="3B80CC14" w:rsidR="001E591F" w:rsidRPr="00774EDB" w:rsidRDefault="00062397"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 the referred to earlier cases,</w:t>
      </w:r>
      <w:r w:rsidRPr="00774EDB">
        <w:rPr>
          <w:rStyle w:val="FootnoteReference"/>
          <w:rFonts w:ascii="Times New Roman" w:hAnsi="Times New Roman" w:cs="Times New Roman"/>
          <w:sz w:val="24"/>
          <w:szCs w:val="24"/>
        </w:rPr>
        <w:footnoteReference w:id="550"/>
      </w:r>
      <w:r w:rsidRPr="00774EDB">
        <w:rPr>
          <w:rFonts w:ascii="Times New Roman" w:hAnsi="Times New Roman" w:cs="Times New Roman"/>
          <w:sz w:val="24"/>
          <w:szCs w:val="24"/>
        </w:rPr>
        <w:t xml:space="preserve"> which mostly related to vertical concerns, the EU Commission intervened into the notified mergers and joint ventures mainly with a view to deter exclusion of competitors via exclusively controlled technical platforms, premium content or through comprehensive multi-media service packages. Considering the market foreclosure risks, the EU Commission defined narrow markets, and made the clearances with a variety of conditions, particularly mandated interoperability at the level of intra and inter platform - predominantly with an </w:t>
      </w:r>
      <w:r w:rsidRPr="00774EDB">
        <w:rPr>
          <w:rFonts w:ascii="Times New Roman" w:hAnsi="Times New Roman" w:cs="Times New Roman"/>
          <w:sz w:val="24"/>
          <w:szCs w:val="24"/>
        </w:rPr>
        <w:lastRenderedPageBreak/>
        <w:t>emphasis on the former because of the would-be vertically integrated multimedia firms. Facing the risk of double control by the same undertaking which would potentially have digital gatekeeper positions, led the Commission to make the related facilities, i.e. set-top boxes/CASs, available to downstream competitors, stimulate the adoption of common interfaces and bring limitation to the “first windows rights”</w:t>
      </w:r>
      <w:r w:rsidRPr="00774EDB">
        <w:rPr>
          <w:rStyle w:val="FootnoteReference"/>
          <w:rFonts w:ascii="Times New Roman" w:hAnsi="Times New Roman" w:cs="Times New Roman"/>
          <w:sz w:val="24"/>
          <w:szCs w:val="24"/>
        </w:rPr>
        <w:footnoteReference w:id="551"/>
      </w:r>
      <w:r w:rsidRPr="00774EDB">
        <w:rPr>
          <w:rFonts w:ascii="Times New Roman" w:hAnsi="Times New Roman" w:cs="Times New Roman"/>
          <w:sz w:val="24"/>
          <w:szCs w:val="24"/>
        </w:rPr>
        <w:t xml:space="preserve"> as well as to the duration of premium content transmission rights. Thereby, not only vertical and horizontal interoperability but also transmission of premium content was secured to be in an open, transparent and non-discriminatory manner. What is more, providing fair and non-discriminatory CAS access to competing companies was acknowledged as crucial for ‘media diversity and pluralism’, as reflected in the EU sector-specific regulation as well.</w:t>
      </w:r>
      <w:r w:rsidRPr="00774EDB">
        <w:rPr>
          <w:rStyle w:val="FootnoteReference"/>
          <w:rFonts w:ascii="Times New Roman" w:hAnsi="Times New Roman" w:cs="Times New Roman"/>
          <w:sz w:val="24"/>
          <w:szCs w:val="24"/>
        </w:rPr>
        <w:footnoteReference w:id="552"/>
      </w:r>
    </w:p>
    <w:p w14:paraId="69313C04" w14:textId="2818CCA5" w:rsidR="00A40ABE" w:rsidRPr="00774EDB" w:rsidRDefault="001C7AE7"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As the first set of case law reveals the similar aspects of the earlier cases, it could be argued that presumed competitive and pro-interoperability concerns continued to lead the decision-making processes for the concentrations later on. This also means considering merger controls as an implicit tool or leverage for market regulation, if not precluding the so-called effects-based approach under the EUMR. Under this mixed approach, interoperability was reflected in a large number of the Commission’s M&amp;A decisions, having significant implications </w:t>
      </w:r>
      <w:r w:rsidR="00133FA4" w:rsidRPr="00774EDB">
        <w:rPr>
          <w:rFonts w:ascii="Times New Roman" w:hAnsi="Times New Roman" w:cs="Times New Roman"/>
          <w:sz w:val="24"/>
          <w:szCs w:val="24"/>
        </w:rPr>
        <w:t xml:space="preserve">such as in the first set of case-law i.e. </w:t>
      </w:r>
      <w:r w:rsidRPr="00774EDB">
        <w:rPr>
          <w:rFonts w:ascii="Times New Roman" w:hAnsi="Times New Roman" w:cs="Times New Roman"/>
          <w:i/>
          <w:sz w:val="24"/>
          <w:szCs w:val="24"/>
        </w:rPr>
        <w:t xml:space="preserve">Cisco/Tandberg </w:t>
      </w:r>
      <w:r w:rsidRPr="00774EDB">
        <w:rPr>
          <w:rFonts w:ascii="Times New Roman" w:hAnsi="Times New Roman" w:cs="Times New Roman"/>
          <w:sz w:val="24"/>
          <w:szCs w:val="24"/>
        </w:rPr>
        <w:t>and</w:t>
      </w:r>
      <w:r w:rsidRPr="00774EDB">
        <w:rPr>
          <w:rFonts w:ascii="Times New Roman" w:hAnsi="Times New Roman" w:cs="Times New Roman"/>
          <w:i/>
          <w:sz w:val="24"/>
          <w:szCs w:val="24"/>
        </w:rPr>
        <w:t xml:space="preserve"> Intel/McAfee</w:t>
      </w:r>
      <w:r w:rsidR="00133FA4" w:rsidRPr="00774EDB">
        <w:rPr>
          <w:rFonts w:ascii="Times New Roman" w:hAnsi="Times New Roman" w:cs="Times New Roman"/>
          <w:sz w:val="24"/>
          <w:szCs w:val="24"/>
        </w:rPr>
        <w:t xml:space="preserve"> decisions.</w:t>
      </w:r>
    </w:p>
    <w:p w14:paraId="20D84D28" w14:textId="77777777" w:rsidR="00192507" w:rsidRPr="00774EDB" w:rsidRDefault="00661D80" w:rsidP="00A70042">
      <w:pPr>
        <w:pStyle w:val="Heading4"/>
        <w:numPr>
          <w:ilvl w:val="3"/>
          <w:numId w:val="33"/>
        </w:numPr>
        <w:tabs>
          <w:tab w:val="left" w:pos="993"/>
        </w:tabs>
        <w:spacing w:before="360"/>
        <w:ind w:left="0" w:firstLine="0"/>
        <w:jc w:val="both"/>
        <w:rPr>
          <w:rFonts w:ascii="Times New Roman" w:hAnsi="Times New Roman" w:cs="Times New Roman"/>
          <w:b/>
          <w:sz w:val="24"/>
          <w:szCs w:val="24"/>
          <w:lang w:val="en-US"/>
        </w:rPr>
      </w:pPr>
      <w:bookmarkStart w:id="445" w:name="_Toc17611435"/>
      <w:bookmarkStart w:id="446" w:name="_Toc53576076"/>
      <w:r w:rsidRPr="00774EDB">
        <w:rPr>
          <w:rFonts w:ascii="Times New Roman" w:hAnsi="Times New Roman" w:cs="Times New Roman"/>
          <w:b/>
          <w:i w:val="0"/>
          <w:color w:val="auto"/>
          <w:sz w:val="24"/>
          <w:szCs w:val="24"/>
          <w:lang w:val="en-US"/>
        </w:rPr>
        <w:lastRenderedPageBreak/>
        <w:t xml:space="preserve">Second </w:t>
      </w:r>
      <w:r w:rsidR="00D3563E" w:rsidRPr="00774EDB">
        <w:rPr>
          <w:rFonts w:ascii="Times New Roman" w:hAnsi="Times New Roman" w:cs="Times New Roman"/>
          <w:b/>
          <w:i w:val="0"/>
          <w:color w:val="auto"/>
          <w:sz w:val="24"/>
          <w:szCs w:val="24"/>
          <w:lang w:val="en-US"/>
        </w:rPr>
        <w:t>set</w:t>
      </w:r>
      <w:r w:rsidR="00192507" w:rsidRPr="00774EDB">
        <w:rPr>
          <w:rFonts w:ascii="Times New Roman" w:hAnsi="Times New Roman" w:cs="Times New Roman"/>
          <w:b/>
          <w:i w:val="0"/>
          <w:color w:val="auto"/>
          <w:sz w:val="24"/>
          <w:szCs w:val="24"/>
          <w:lang w:val="en-US"/>
        </w:rPr>
        <w:t xml:space="preserve"> of case</w:t>
      </w:r>
      <w:r w:rsidR="00C435CF" w:rsidRPr="00774EDB">
        <w:rPr>
          <w:rFonts w:ascii="Times New Roman" w:hAnsi="Times New Roman" w:cs="Times New Roman"/>
          <w:b/>
          <w:i w:val="0"/>
          <w:color w:val="auto"/>
          <w:sz w:val="24"/>
          <w:szCs w:val="24"/>
          <w:lang w:val="en-US"/>
        </w:rPr>
        <w:t xml:space="preserve"> </w:t>
      </w:r>
      <w:r w:rsidR="00192507" w:rsidRPr="00774EDB">
        <w:rPr>
          <w:rFonts w:ascii="Times New Roman" w:hAnsi="Times New Roman" w:cs="Times New Roman"/>
          <w:b/>
          <w:i w:val="0"/>
          <w:color w:val="auto"/>
          <w:sz w:val="24"/>
          <w:szCs w:val="24"/>
          <w:lang w:val="en-US"/>
        </w:rPr>
        <w:t>law</w:t>
      </w:r>
      <w:bookmarkEnd w:id="445"/>
      <w:bookmarkEnd w:id="446"/>
    </w:p>
    <w:p w14:paraId="27302389" w14:textId="77777777" w:rsidR="00323E7D" w:rsidRPr="00774EDB" w:rsidRDefault="004330C0"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While EU merger controls</w:t>
      </w:r>
      <w:r w:rsidR="00720F51" w:rsidRPr="00774EDB">
        <w:rPr>
          <w:rFonts w:ascii="Times New Roman" w:hAnsi="Times New Roman" w:cs="Times New Roman"/>
          <w:sz w:val="24"/>
          <w:szCs w:val="24"/>
          <w:lang w:val="en-US"/>
        </w:rPr>
        <w:t xml:space="preserve"> demonstrate similar consequences regarding interoperability, a more lenient </w:t>
      </w:r>
      <w:r w:rsidR="00323E7D" w:rsidRPr="00774EDB">
        <w:rPr>
          <w:rFonts w:ascii="Times New Roman" w:hAnsi="Times New Roman" w:cs="Times New Roman"/>
          <w:sz w:val="24"/>
          <w:szCs w:val="24"/>
          <w:lang w:val="en-US"/>
        </w:rPr>
        <w:t>approach</w:t>
      </w:r>
      <w:r w:rsidR="00720F51" w:rsidRPr="00774EDB">
        <w:rPr>
          <w:rFonts w:ascii="Times New Roman" w:hAnsi="Times New Roman" w:cs="Times New Roman"/>
          <w:sz w:val="24"/>
          <w:szCs w:val="24"/>
          <w:lang w:val="en-US"/>
        </w:rPr>
        <w:t xml:space="preserve"> </w:t>
      </w:r>
      <w:r w:rsidR="00C435CF" w:rsidRPr="00774EDB">
        <w:rPr>
          <w:rFonts w:ascii="Times New Roman" w:hAnsi="Times New Roman" w:cs="Times New Roman"/>
          <w:sz w:val="24"/>
          <w:szCs w:val="24"/>
          <w:lang w:val="en-US"/>
        </w:rPr>
        <w:t xml:space="preserve">and less stringent conditions </w:t>
      </w:r>
      <w:r w:rsidR="00323E7D" w:rsidRPr="00774EDB">
        <w:rPr>
          <w:rFonts w:ascii="Times New Roman" w:hAnsi="Times New Roman" w:cs="Times New Roman"/>
          <w:sz w:val="24"/>
          <w:szCs w:val="24"/>
          <w:lang w:val="en-US"/>
        </w:rPr>
        <w:t xml:space="preserve">could be </w:t>
      </w:r>
      <w:r w:rsidR="004B26BF" w:rsidRPr="00774EDB">
        <w:rPr>
          <w:rFonts w:ascii="Times New Roman" w:hAnsi="Times New Roman" w:cs="Times New Roman"/>
          <w:sz w:val="24"/>
          <w:szCs w:val="24"/>
          <w:lang w:val="en-US"/>
        </w:rPr>
        <w:t>identified</w:t>
      </w:r>
      <w:r w:rsidR="00323E7D" w:rsidRPr="00774EDB">
        <w:rPr>
          <w:rFonts w:ascii="Times New Roman" w:hAnsi="Times New Roman" w:cs="Times New Roman"/>
          <w:sz w:val="24"/>
          <w:szCs w:val="24"/>
          <w:lang w:val="en-US"/>
        </w:rPr>
        <w:t xml:space="preserve"> </w:t>
      </w:r>
      <w:r w:rsidR="00376FE5" w:rsidRPr="00774EDB">
        <w:rPr>
          <w:rFonts w:ascii="Times New Roman" w:hAnsi="Times New Roman" w:cs="Times New Roman"/>
          <w:sz w:val="24"/>
          <w:szCs w:val="24"/>
          <w:lang w:val="en-US"/>
        </w:rPr>
        <w:t>in post-</w:t>
      </w:r>
      <w:r w:rsidR="00720F51" w:rsidRPr="00774EDB">
        <w:rPr>
          <w:rFonts w:ascii="Times New Roman" w:hAnsi="Times New Roman" w:cs="Times New Roman"/>
          <w:sz w:val="24"/>
          <w:szCs w:val="24"/>
          <w:lang w:val="en-US"/>
        </w:rPr>
        <w:t>modernization</w:t>
      </w:r>
      <w:r w:rsidR="00AF7A62" w:rsidRPr="00774EDB">
        <w:rPr>
          <w:rFonts w:ascii="Times New Roman" w:hAnsi="Times New Roman" w:cs="Times New Roman"/>
          <w:sz w:val="24"/>
          <w:szCs w:val="24"/>
          <w:lang w:val="en-US"/>
        </w:rPr>
        <w:t xml:space="preserve"> </w:t>
      </w:r>
      <w:r w:rsidR="00376FE5" w:rsidRPr="00774EDB">
        <w:rPr>
          <w:rFonts w:ascii="Times New Roman" w:hAnsi="Times New Roman" w:cs="Times New Roman"/>
          <w:sz w:val="24"/>
          <w:szCs w:val="24"/>
          <w:lang w:val="en-US"/>
        </w:rPr>
        <w:t>period</w:t>
      </w:r>
      <w:r w:rsidR="00AF7A62" w:rsidRPr="00774EDB">
        <w:rPr>
          <w:rFonts w:ascii="Times New Roman" w:hAnsi="Times New Roman" w:cs="Times New Roman"/>
          <w:sz w:val="24"/>
          <w:szCs w:val="24"/>
          <w:lang w:val="en-US"/>
        </w:rPr>
        <w:t xml:space="preserve">. </w:t>
      </w:r>
      <w:r w:rsidR="00C435CF" w:rsidRPr="00774EDB">
        <w:rPr>
          <w:rFonts w:ascii="Times New Roman" w:hAnsi="Times New Roman" w:cs="Times New Roman"/>
          <w:sz w:val="24"/>
          <w:szCs w:val="24"/>
          <w:lang w:val="en-US"/>
        </w:rPr>
        <w:t xml:space="preserve">Reflecting these features, the Commission’s </w:t>
      </w:r>
      <w:r w:rsidR="002E1946" w:rsidRPr="00774EDB">
        <w:rPr>
          <w:rFonts w:ascii="Times New Roman" w:hAnsi="Times New Roman" w:cs="Times New Roman"/>
          <w:sz w:val="24"/>
          <w:szCs w:val="24"/>
          <w:lang w:val="en-US"/>
        </w:rPr>
        <w:t xml:space="preserve">two landmark </w:t>
      </w:r>
      <w:r w:rsidR="00C435CF" w:rsidRPr="00774EDB">
        <w:rPr>
          <w:rFonts w:ascii="Times New Roman" w:hAnsi="Times New Roman" w:cs="Times New Roman"/>
          <w:sz w:val="24"/>
          <w:szCs w:val="24"/>
          <w:lang w:val="en-US"/>
        </w:rPr>
        <w:t>decisions</w:t>
      </w:r>
      <w:r w:rsidR="00376FE5" w:rsidRPr="00774EDB">
        <w:rPr>
          <w:rFonts w:ascii="Times New Roman" w:hAnsi="Times New Roman" w:cs="Times New Roman"/>
          <w:sz w:val="24"/>
          <w:szCs w:val="24"/>
          <w:lang w:val="en-US"/>
        </w:rPr>
        <w:t xml:space="preserve"> responding interoperability needs,</w:t>
      </w:r>
      <w:r w:rsidR="00C435CF" w:rsidRPr="00774EDB">
        <w:rPr>
          <w:rFonts w:ascii="Times New Roman" w:hAnsi="Times New Roman" w:cs="Times New Roman"/>
          <w:sz w:val="24"/>
          <w:szCs w:val="24"/>
          <w:lang w:val="en-US"/>
        </w:rPr>
        <w:t xml:space="preserve"> </w:t>
      </w:r>
      <w:r w:rsidR="002E1946" w:rsidRPr="00774EDB">
        <w:rPr>
          <w:rFonts w:ascii="Times New Roman" w:hAnsi="Times New Roman" w:cs="Times New Roman"/>
          <w:sz w:val="24"/>
          <w:szCs w:val="24"/>
          <w:lang w:val="en-US"/>
        </w:rPr>
        <w:t xml:space="preserve">i.e. </w:t>
      </w:r>
      <w:r w:rsidR="002E1946" w:rsidRPr="00774EDB">
        <w:rPr>
          <w:rFonts w:ascii="Times New Roman" w:hAnsi="Times New Roman" w:cs="Times New Roman"/>
          <w:i/>
          <w:sz w:val="24"/>
          <w:szCs w:val="24"/>
          <w:lang w:val="en-US"/>
        </w:rPr>
        <w:t>Microsoft/Skype</w:t>
      </w:r>
      <w:r w:rsidR="002E1946" w:rsidRPr="00774EDB">
        <w:rPr>
          <w:rFonts w:ascii="Times New Roman" w:hAnsi="Times New Roman" w:cs="Times New Roman"/>
          <w:sz w:val="24"/>
          <w:szCs w:val="24"/>
          <w:lang w:val="en-US"/>
        </w:rPr>
        <w:t>,</w:t>
      </w:r>
      <w:r w:rsidR="002E1946" w:rsidRPr="00774EDB">
        <w:rPr>
          <w:rStyle w:val="FootnoteReference"/>
          <w:rFonts w:ascii="Times New Roman" w:hAnsi="Times New Roman" w:cs="Times New Roman"/>
          <w:sz w:val="24"/>
          <w:szCs w:val="24"/>
          <w:lang w:val="en-US"/>
        </w:rPr>
        <w:footnoteReference w:id="553"/>
      </w:r>
      <w:r w:rsidR="002E1946" w:rsidRPr="00774EDB">
        <w:rPr>
          <w:rFonts w:ascii="Times New Roman" w:hAnsi="Times New Roman" w:cs="Times New Roman"/>
          <w:sz w:val="24"/>
          <w:szCs w:val="24"/>
          <w:lang w:val="en-US"/>
        </w:rPr>
        <w:t xml:space="preserve"> and </w:t>
      </w:r>
      <w:r w:rsidR="002E1946" w:rsidRPr="00774EDB">
        <w:rPr>
          <w:rFonts w:ascii="Times New Roman" w:hAnsi="Times New Roman" w:cs="Times New Roman"/>
          <w:i/>
          <w:sz w:val="24"/>
          <w:szCs w:val="24"/>
          <w:lang w:val="en-US"/>
        </w:rPr>
        <w:t>Facebook/WhatsApp</w:t>
      </w:r>
      <w:r w:rsidR="00376FE5" w:rsidRPr="00774EDB">
        <w:rPr>
          <w:rFonts w:ascii="Times New Roman" w:hAnsi="Times New Roman" w:cs="Times New Roman"/>
          <w:iCs/>
          <w:sz w:val="24"/>
          <w:szCs w:val="24"/>
          <w:lang w:val="en-US"/>
        </w:rPr>
        <w:t>,</w:t>
      </w:r>
      <w:r w:rsidR="002E1946" w:rsidRPr="00774EDB">
        <w:rPr>
          <w:rStyle w:val="FootnoteReference"/>
          <w:rFonts w:ascii="Times New Roman" w:hAnsi="Times New Roman" w:cs="Times New Roman"/>
          <w:sz w:val="24"/>
          <w:szCs w:val="24"/>
          <w:lang w:val="en-US"/>
        </w:rPr>
        <w:footnoteReference w:id="554"/>
      </w:r>
      <w:r w:rsidR="002E1946" w:rsidRPr="00774EDB">
        <w:rPr>
          <w:rFonts w:ascii="Times New Roman" w:hAnsi="Times New Roman" w:cs="Times New Roman"/>
          <w:i/>
          <w:sz w:val="24"/>
          <w:szCs w:val="24"/>
          <w:lang w:val="en-US"/>
        </w:rPr>
        <w:t xml:space="preserve"> </w:t>
      </w:r>
      <w:r w:rsidR="00C435CF" w:rsidRPr="00774EDB">
        <w:rPr>
          <w:rFonts w:ascii="Times New Roman" w:hAnsi="Times New Roman" w:cs="Times New Roman"/>
          <w:sz w:val="24"/>
          <w:szCs w:val="24"/>
          <w:lang w:val="en-US"/>
        </w:rPr>
        <w:t xml:space="preserve">could be featured as </w:t>
      </w:r>
      <w:r w:rsidR="002E1946" w:rsidRPr="00774EDB">
        <w:rPr>
          <w:rFonts w:ascii="Times New Roman" w:hAnsi="Times New Roman" w:cs="Times New Roman"/>
          <w:sz w:val="24"/>
          <w:szCs w:val="24"/>
          <w:lang w:val="en-US"/>
        </w:rPr>
        <w:t xml:space="preserve">the </w:t>
      </w:r>
      <w:r w:rsidR="00C435CF" w:rsidRPr="00774EDB">
        <w:rPr>
          <w:rFonts w:ascii="Times New Roman" w:hAnsi="Times New Roman" w:cs="Times New Roman"/>
          <w:sz w:val="24"/>
          <w:szCs w:val="24"/>
          <w:lang w:val="en-US"/>
        </w:rPr>
        <w:t>second set of case law</w:t>
      </w:r>
      <w:r w:rsidR="002E1946" w:rsidRPr="00774EDB">
        <w:rPr>
          <w:rFonts w:ascii="Times New Roman" w:hAnsi="Times New Roman" w:cs="Times New Roman"/>
          <w:sz w:val="24"/>
          <w:szCs w:val="24"/>
          <w:lang w:val="en-US"/>
        </w:rPr>
        <w:t>, as analysed below.</w:t>
      </w:r>
    </w:p>
    <w:p w14:paraId="5372CB31" w14:textId="77777777" w:rsidR="009415A7" w:rsidRPr="00774EDB" w:rsidRDefault="00376FE5"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In </w:t>
      </w:r>
      <w:r w:rsidRPr="00774EDB">
        <w:rPr>
          <w:rFonts w:ascii="Times New Roman" w:hAnsi="Times New Roman" w:cs="Times New Roman"/>
          <w:i/>
          <w:sz w:val="24"/>
          <w:szCs w:val="24"/>
          <w:lang w:val="en-US"/>
        </w:rPr>
        <w:t>Microsoft/Skype</w:t>
      </w:r>
      <w:r w:rsidRPr="00774EDB">
        <w:rPr>
          <w:rFonts w:ascii="Times New Roman" w:hAnsi="Times New Roman" w:cs="Times New Roman"/>
          <w:sz w:val="24"/>
          <w:szCs w:val="24"/>
          <w:lang w:val="en-US"/>
        </w:rPr>
        <w:t>, the notified transaction was related to Skype being acquired by Microsoft, with the conglomerate and horizontal effects under scrutiny. The Commission assessed post-merger effects on the relevant markets, namely ‘consumer’ and ‘enterprise’ communications markets, including the related services like voice and video calls, instant messaging messages, and found no serious doubts regarding the so-called effects. Marking a contrast to the previous case law, the Commission’s findings revolved around the ephemeral character of large market shares, which were reaching to 80-90%,</w:t>
      </w:r>
      <w:r w:rsidRPr="00774EDB">
        <w:rPr>
          <w:rStyle w:val="FootnoteReference"/>
          <w:rFonts w:ascii="Times New Roman" w:hAnsi="Times New Roman" w:cs="Times New Roman"/>
          <w:sz w:val="24"/>
          <w:szCs w:val="24"/>
          <w:lang w:val="en-US"/>
        </w:rPr>
        <w:footnoteReference w:id="555"/>
      </w:r>
      <w:r w:rsidRPr="00774EDB">
        <w:rPr>
          <w:rFonts w:ascii="Times New Roman" w:hAnsi="Times New Roman" w:cs="Times New Roman"/>
          <w:sz w:val="24"/>
          <w:szCs w:val="24"/>
          <w:lang w:val="en-US"/>
        </w:rPr>
        <w:t xml:space="preserve"> a stark dominance in the rapidly growing </w:t>
      </w:r>
      <w:r w:rsidRPr="00774EDB">
        <w:rPr>
          <w:rFonts w:ascii="Times New Roman" w:hAnsi="Times New Roman" w:cs="Times New Roman"/>
          <w:sz w:val="24"/>
          <w:szCs w:val="24"/>
        </w:rPr>
        <w:t>consumer communications market</w:t>
      </w:r>
      <w:r w:rsidRPr="00774EDB">
        <w:rPr>
          <w:rFonts w:ascii="Times New Roman" w:hAnsi="Times New Roman" w:cs="Times New Roman"/>
          <w:sz w:val="24"/>
          <w:szCs w:val="24"/>
          <w:lang w:val="en-US"/>
        </w:rPr>
        <w:t xml:space="preserve">. The Commission found the notified merger would cause no harm based on the acknowledgement that </w:t>
      </w:r>
      <w:r w:rsidRPr="00774EDB">
        <w:rPr>
          <w:rFonts w:ascii="Times New Roman" w:hAnsi="Times New Roman" w:cs="Times New Roman"/>
          <w:sz w:val="24"/>
          <w:szCs w:val="24"/>
        </w:rPr>
        <w:t>“consumer communications services are a nascent and dynamic sector and market shares can change quickly within a short period of time”.</w:t>
      </w:r>
      <w:r w:rsidRPr="00774EDB">
        <w:rPr>
          <w:rStyle w:val="FootnoteReference"/>
          <w:rFonts w:ascii="Times New Roman" w:hAnsi="Times New Roman" w:cs="Times New Roman"/>
          <w:sz w:val="24"/>
          <w:szCs w:val="24"/>
        </w:rPr>
        <w:footnoteReference w:id="556"/>
      </w:r>
      <w:r w:rsidRPr="00774EDB">
        <w:rPr>
          <w:rFonts w:ascii="Times New Roman" w:hAnsi="Times New Roman" w:cs="Times New Roman"/>
          <w:sz w:val="24"/>
          <w:szCs w:val="24"/>
        </w:rPr>
        <w:t xml:space="preserve"> Likewise, </w:t>
      </w:r>
      <w:r w:rsidRPr="00774EDB">
        <w:rPr>
          <w:rFonts w:ascii="Times New Roman" w:hAnsi="Times New Roman" w:cs="Times New Roman"/>
          <w:sz w:val="24"/>
          <w:szCs w:val="24"/>
          <w:lang w:val="en-US"/>
        </w:rPr>
        <w:t xml:space="preserve">consumers were found to be “sensitive to innovative services or products” and would be able to switch to new services/applications if the service </w:t>
      </w:r>
      <w:r w:rsidRPr="00774EDB">
        <w:rPr>
          <w:rFonts w:ascii="Times New Roman" w:hAnsi="Times New Roman" w:cs="Times New Roman"/>
          <w:sz w:val="24"/>
          <w:szCs w:val="24"/>
          <w:lang w:val="en-US"/>
        </w:rPr>
        <w:lastRenderedPageBreak/>
        <w:t xml:space="preserve">providers </w:t>
      </w:r>
      <w:r w:rsidRPr="00774EDB">
        <w:rPr>
          <w:rFonts w:ascii="Times New Roman" w:hAnsi="Times New Roman" w:cs="Times New Roman"/>
          <w:sz w:val="24"/>
          <w:szCs w:val="24"/>
        </w:rPr>
        <w:t>“</w:t>
      </w:r>
      <w:r w:rsidRPr="00774EDB">
        <w:rPr>
          <w:rFonts w:ascii="Times New Roman" w:hAnsi="Times New Roman" w:cs="Times New Roman"/>
          <w:sz w:val="24"/>
          <w:szCs w:val="24"/>
          <w:lang w:val="en-US"/>
        </w:rPr>
        <w:t>are unable to offer users new and innovative functionality”, implicating that ‘consumer lock-in’ should not be deemed as a matter of concern.</w:t>
      </w:r>
      <w:r w:rsidRPr="00774EDB">
        <w:rPr>
          <w:rStyle w:val="FootnoteReference"/>
          <w:rFonts w:ascii="Times New Roman" w:hAnsi="Times New Roman" w:cs="Times New Roman"/>
          <w:sz w:val="24"/>
          <w:szCs w:val="24"/>
        </w:rPr>
        <w:footnoteReference w:id="557"/>
      </w:r>
    </w:p>
    <w:p w14:paraId="2C540325" w14:textId="77777777" w:rsidR="008D53ED" w:rsidRPr="00774EDB" w:rsidRDefault="00376FE5"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Under the assessment of horizontal effects, interoperability was highlighted concerning the ‘enterprise communications market’, where Microsoft’s Lyn product being merged with Skype was questioned in terms of preferential interoperability. However, it was stressed by the Commission that Skype was already interoperable with Lyn (for instant messaging and voice calls). Even in the case of full integration, preferential interoperability was not featured as a problem since Skype’s services were not suitable for the entities that use call centres, which was considered as a key factor</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558"/>
      </w:r>
      <w:r w:rsidRPr="00774EDB">
        <w:rPr>
          <w:rFonts w:ascii="Times New Roman" w:hAnsi="Times New Roman" w:cs="Times New Roman"/>
          <w:sz w:val="24"/>
          <w:szCs w:val="24"/>
          <w:lang w:val="en-US"/>
        </w:rPr>
        <w:t xml:space="preserve"> Furthermore, no negative effect was found likely in the subsequent three years, considering Lyn’s small percentage of market share in the enterprise communications market.</w:t>
      </w:r>
      <w:r w:rsidRPr="00774EDB">
        <w:rPr>
          <w:rStyle w:val="FootnoteReference"/>
          <w:rFonts w:ascii="Times New Roman" w:hAnsi="Times New Roman" w:cs="Times New Roman"/>
          <w:sz w:val="24"/>
          <w:szCs w:val="24"/>
        </w:rPr>
        <w:footnoteReference w:id="559"/>
      </w:r>
      <w:r w:rsidRPr="00774EDB">
        <w:rPr>
          <w:rFonts w:ascii="Times New Roman" w:hAnsi="Times New Roman" w:cs="Times New Roman"/>
          <w:sz w:val="24"/>
          <w:szCs w:val="24"/>
          <w:lang w:val="en-US"/>
        </w:rPr>
        <w:t xml:space="preserve"> Based on given counter-balancing facts, no condition was imposed on the parties, and the proposed merger was approved by the Commission.</w:t>
      </w:r>
    </w:p>
    <w:p w14:paraId="3CACAAEF" w14:textId="77777777" w:rsidR="00D03DB7" w:rsidRPr="00774EDB" w:rsidRDefault="00376FE5" w:rsidP="00A70042">
      <w:pPr>
        <w:spacing w:before="360"/>
        <w:jc w:val="both"/>
        <w:rPr>
          <w:rFonts w:ascii="Times New Roman" w:hAnsi="Times New Roman" w:cs="Times New Roman"/>
          <w:sz w:val="24"/>
          <w:szCs w:val="24"/>
          <w:lang w:val="en-US"/>
        </w:rPr>
      </w:pPr>
      <w:r w:rsidRPr="00774EDB">
        <w:rPr>
          <w:rFonts w:ascii="Times New Roman" w:hAnsi="Times New Roman" w:cs="Times New Roman"/>
          <w:i/>
          <w:sz w:val="24"/>
          <w:szCs w:val="24"/>
          <w:lang w:val="en-US"/>
        </w:rPr>
        <w:t xml:space="preserve">Facebook/WhatsApp </w:t>
      </w:r>
      <w:r w:rsidRPr="00774EDB">
        <w:rPr>
          <w:rFonts w:ascii="Times New Roman" w:hAnsi="Times New Roman" w:cs="Times New Roman"/>
          <w:sz w:val="24"/>
          <w:szCs w:val="24"/>
          <w:lang w:val="en-US"/>
        </w:rPr>
        <w:t xml:space="preserve">represents another concentration unconditionally approved by the Commission. The Commission dismissed the competition concerns regarding relevant markets, namely the markets for ‘consumer communication services’, ‘social networking services’ and ‘online advertising services’ that would be affected by the proposed acquisition. In finding no harm, analysis was devoted to the potential horizontal overlaps within the market for the consumer communication services as well as to the vertical effects in relation to the other two markets. In the former market, both of the merging parties, namely Facebook and WhatsApp were found active with their apps respectively called “Facebook Messenger” and “WhatsApp”. On the other </w:t>
      </w:r>
      <w:r w:rsidRPr="00774EDB">
        <w:rPr>
          <w:rFonts w:ascii="Times New Roman" w:hAnsi="Times New Roman" w:cs="Times New Roman"/>
          <w:sz w:val="24"/>
          <w:szCs w:val="24"/>
          <w:lang w:val="en-US"/>
        </w:rPr>
        <w:lastRenderedPageBreak/>
        <w:t>hand, in the latter two markets, just Facebook was found to have been providing relevant services e.g. social networking, photo/video sharing, online advertising.</w:t>
      </w:r>
    </w:p>
    <w:p w14:paraId="25A56424" w14:textId="77777777" w:rsidR="00D44734" w:rsidRPr="00A70042" w:rsidRDefault="00376FE5" w:rsidP="00A70042">
      <w:pPr>
        <w:spacing w:before="360"/>
        <w:jc w:val="both"/>
        <w:rPr>
          <w:rFonts w:ascii="Times New Roman" w:hAnsi="Times New Roman" w:cs="Times New Roman"/>
          <w:spacing w:val="-2"/>
          <w:sz w:val="24"/>
          <w:szCs w:val="24"/>
          <w:lang w:val="en-US"/>
        </w:rPr>
      </w:pPr>
      <w:r w:rsidRPr="00A70042">
        <w:rPr>
          <w:rFonts w:ascii="Times New Roman" w:hAnsi="Times New Roman" w:cs="Times New Roman"/>
          <w:spacing w:val="-2"/>
          <w:sz w:val="24"/>
          <w:szCs w:val="24"/>
          <w:lang w:val="en-US"/>
        </w:rPr>
        <w:t xml:space="preserve">In relation to the market for consumer communication services, no competition concern was raised, based on the findings similar to those in </w:t>
      </w:r>
      <w:r w:rsidRPr="00A70042">
        <w:rPr>
          <w:rFonts w:ascii="Times New Roman" w:hAnsi="Times New Roman" w:cs="Times New Roman"/>
          <w:i/>
          <w:spacing w:val="-2"/>
          <w:sz w:val="24"/>
          <w:szCs w:val="24"/>
          <w:lang w:val="en-US"/>
        </w:rPr>
        <w:t>Microsoft/Skype</w:t>
      </w:r>
      <w:r w:rsidRPr="00A70042">
        <w:rPr>
          <w:rFonts w:ascii="Times New Roman" w:hAnsi="Times New Roman" w:cs="Times New Roman"/>
          <w:spacing w:val="-2"/>
          <w:sz w:val="24"/>
          <w:szCs w:val="24"/>
          <w:lang w:val="en-US"/>
        </w:rPr>
        <w:t>. In this regard, large market shares and network effects were not considered to create a barrier to market entry or expansion in the presence of disruptive innovations,</w:t>
      </w:r>
      <w:r w:rsidRPr="00A70042">
        <w:rPr>
          <w:rStyle w:val="FootnoteReference"/>
          <w:rFonts w:ascii="Times New Roman" w:hAnsi="Times New Roman" w:cs="Times New Roman"/>
          <w:spacing w:val="-2"/>
          <w:sz w:val="24"/>
          <w:szCs w:val="24"/>
          <w:lang w:val="en-US"/>
        </w:rPr>
        <w:footnoteReference w:id="560"/>
      </w:r>
      <w:r w:rsidRPr="00A70042">
        <w:rPr>
          <w:rFonts w:ascii="Times New Roman" w:hAnsi="Times New Roman" w:cs="Times New Roman"/>
          <w:spacing w:val="-2"/>
          <w:sz w:val="24"/>
          <w:szCs w:val="24"/>
          <w:lang w:val="en-US"/>
        </w:rPr>
        <w:t xml:space="preserve"> multi-homing</w:t>
      </w:r>
      <w:r w:rsidRPr="00A70042">
        <w:rPr>
          <w:rStyle w:val="FootnoteReference"/>
          <w:rFonts w:ascii="Times New Roman" w:hAnsi="Times New Roman" w:cs="Times New Roman"/>
          <w:spacing w:val="-2"/>
          <w:sz w:val="24"/>
          <w:szCs w:val="24"/>
          <w:lang w:val="en-US"/>
        </w:rPr>
        <w:footnoteReference w:id="561"/>
      </w:r>
      <w:r w:rsidRPr="00A70042">
        <w:rPr>
          <w:rFonts w:ascii="Times New Roman" w:hAnsi="Times New Roman" w:cs="Times New Roman"/>
          <w:spacing w:val="-2"/>
          <w:sz w:val="24"/>
          <w:szCs w:val="24"/>
          <w:lang w:val="en-US"/>
        </w:rPr>
        <w:t xml:space="preserve"> and freely downloadable apps that occupy little space on devices.</w:t>
      </w:r>
      <w:r w:rsidRPr="00A70042">
        <w:rPr>
          <w:rStyle w:val="FootnoteReference"/>
          <w:rFonts w:ascii="Times New Roman" w:hAnsi="Times New Roman" w:cs="Times New Roman"/>
          <w:spacing w:val="-2"/>
          <w:sz w:val="24"/>
          <w:szCs w:val="24"/>
          <w:lang w:val="en-US"/>
        </w:rPr>
        <w:footnoteReference w:id="562"/>
      </w:r>
      <w:r w:rsidRPr="00A70042">
        <w:rPr>
          <w:rFonts w:ascii="Times New Roman" w:hAnsi="Times New Roman" w:cs="Times New Roman"/>
          <w:spacing w:val="-2"/>
          <w:sz w:val="24"/>
          <w:szCs w:val="24"/>
          <w:lang w:val="en-US"/>
        </w:rPr>
        <w:t xml:space="preserve"> These factors, according to the Commission, would eliminate the switching costs and lock-in risk, even though both of the merging parties were active in the market for consumer communication services. Likewise, no competition concern was raised with regard to the markets for ‘social networking services’ and ‘online advertising services’, as the merging parties were regarded as ‘distant competitors’ in the former</w:t>
      </w:r>
      <w:r w:rsidRPr="00A70042">
        <w:rPr>
          <w:rStyle w:val="FootnoteReference"/>
          <w:rFonts w:ascii="Times New Roman" w:hAnsi="Times New Roman" w:cs="Times New Roman"/>
          <w:spacing w:val="-2"/>
          <w:sz w:val="24"/>
          <w:szCs w:val="24"/>
          <w:lang w:val="en-US"/>
        </w:rPr>
        <w:footnoteReference w:id="563"/>
      </w:r>
      <w:r w:rsidRPr="00A70042">
        <w:rPr>
          <w:rFonts w:ascii="Times New Roman" w:hAnsi="Times New Roman" w:cs="Times New Roman"/>
          <w:spacing w:val="-2"/>
          <w:sz w:val="24"/>
          <w:szCs w:val="24"/>
          <w:lang w:val="en-US"/>
        </w:rPr>
        <w:t xml:space="preserve"> and ‘non-competitors’ in the latter.</w:t>
      </w:r>
      <w:r w:rsidRPr="00A70042">
        <w:rPr>
          <w:rStyle w:val="FootnoteReference"/>
          <w:rFonts w:ascii="Times New Roman" w:hAnsi="Times New Roman" w:cs="Times New Roman"/>
          <w:spacing w:val="-2"/>
          <w:sz w:val="24"/>
          <w:szCs w:val="24"/>
          <w:lang w:val="en-US"/>
        </w:rPr>
        <w:footnoteReference w:id="564"/>
      </w:r>
      <w:r w:rsidRPr="00A70042">
        <w:rPr>
          <w:rFonts w:ascii="Times New Roman" w:hAnsi="Times New Roman" w:cs="Times New Roman"/>
          <w:spacing w:val="-2"/>
          <w:sz w:val="24"/>
          <w:szCs w:val="24"/>
          <w:lang w:val="en-US"/>
        </w:rPr>
        <w:t xml:space="preserve"> In terms of targeted advertising, the existence of many service providers competing with Facebook, with them having access to internet user data through alternative means, seems to have had weight within the Commission’s assessment.</w:t>
      </w:r>
      <w:r w:rsidRPr="00A70042">
        <w:rPr>
          <w:rStyle w:val="FootnoteReference"/>
          <w:rFonts w:ascii="Times New Roman" w:hAnsi="Times New Roman" w:cs="Times New Roman"/>
          <w:spacing w:val="-2"/>
          <w:sz w:val="24"/>
          <w:szCs w:val="24"/>
          <w:lang w:val="en-US"/>
        </w:rPr>
        <w:footnoteReference w:id="565"/>
      </w:r>
    </w:p>
    <w:p w14:paraId="6AC29DE7" w14:textId="77777777" w:rsidR="00AE6921" w:rsidRPr="00774EDB" w:rsidRDefault="00376FE5"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lastRenderedPageBreak/>
        <w:t>Although interoperability has been the subject matter of scrutiny from the views of third parties</w:t>
      </w:r>
      <w:r w:rsidRPr="00774EDB">
        <w:rPr>
          <w:rFonts w:ascii="Times New Roman" w:hAnsi="Times New Roman" w:cs="Times New Roman"/>
          <w:sz w:val="24"/>
          <w:szCs w:val="24"/>
        </w:rPr>
        <w:t>, no critical concern was raised on that. The Commission firstly noted that interoperability was not available on the part of merging parties’ main competitors on smartphones, and in particular it</w:t>
      </w:r>
      <w:r w:rsidRPr="00A70042">
        <w:rPr>
          <w:rFonts w:ascii="Times New Roman" w:hAnsi="Times New Roman" w:cs="Times New Roman"/>
          <w:sz w:val="24"/>
          <w:szCs w:val="24"/>
        </w:rPr>
        <w:t xml:space="preserve"> </w:t>
      </w:r>
      <w:r w:rsidRPr="00774EDB">
        <w:rPr>
          <w:rFonts w:ascii="Times New Roman" w:hAnsi="Times New Roman" w:cs="Times New Roman"/>
          <w:sz w:val="24"/>
          <w:szCs w:val="24"/>
        </w:rPr>
        <w:t>was not an element that sustained the entry and expansion of WhatsApp, Facebook</w:t>
      </w:r>
      <w:r w:rsidRPr="00A70042">
        <w:rPr>
          <w:rFonts w:ascii="Times New Roman" w:hAnsi="Times New Roman" w:cs="Times New Roman"/>
          <w:sz w:val="24"/>
          <w:szCs w:val="24"/>
        </w:rPr>
        <w:t xml:space="preserve"> </w:t>
      </w:r>
      <w:r w:rsidRPr="00774EDB">
        <w:rPr>
          <w:rFonts w:ascii="Times New Roman" w:hAnsi="Times New Roman" w:cs="Times New Roman"/>
          <w:sz w:val="24"/>
          <w:szCs w:val="24"/>
        </w:rPr>
        <w:t>Messenger or other popular consumer communications apps.</w:t>
      </w:r>
      <w:r w:rsidRPr="00774EDB">
        <w:rPr>
          <w:rStyle w:val="FootnoteReference"/>
          <w:rFonts w:ascii="Times New Roman" w:hAnsi="Times New Roman" w:cs="Times New Roman"/>
          <w:sz w:val="24"/>
          <w:szCs w:val="24"/>
        </w:rPr>
        <w:footnoteReference w:id="566"/>
      </w:r>
      <w:r w:rsidRPr="00774EDB">
        <w:rPr>
          <w:rFonts w:ascii="Times New Roman" w:hAnsi="Times New Roman" w:cs="Times New Roman"/>
          <w:sz w:val="24"/>
          <w:szCs w:val="24"/>
        </w:rPr>
        <w:t xml:space="preserve"> Crucially, in the Commission’s view, interoperability would not be considered to be a matter of concern “unless Facebook decide to merge two platforms or to allow cross-platform communication”.</w:t>
      </w:r>
      <w:bookmarkStart w:id="447" w:name="_Hlk501667265"/>
      <w:r w:rsidRPr="00774EDB">
        <w:rPr>
          <w:rStyle w:val="FootnoteReference"/>
          <w:rFonts w:ascii="Times New Roman" w:hAnsi="Times New Roman" w:cs="Times New Roman"/>
          <w:sz w:val="24"/>
          <w:szCs w:val="24"/>
        </w:rPr>
        <w:footnoteReference w:id="567"/>
      </w:r>
      <w:bookmarkEnd w:id="447"/>
      <w:r w:rsidRPr="00774EDB">
        <w:rPr>
          <w:rFonts w:ascii="Times New Roman" w:hAnsi="Times New Roman" w:cs="Times New Roman"/>
          <w:sz w:val="24"/>
          <w:szCs w:val="24"/>
        </w:rPr>
        <w:t xml:space="preserve"> Notably, technical hurdles against such an integration, i.e. automated matching between Facebook and WhatsApp user accounts, seems to have reduced possible post-merger emergences in the Commission’s eyes.</w:t>
      </w:r>
      <w:r w:rsidRPr="00774EDB">
        <w:rPr>
          <w:rStyle w:val="FootnoteReference"/>
          <w:rFonts w:ascii="Times New Roman" w:hAnsi="Times New Roman" w:cs="Times New Roman"/>
          <w:sz w:val="24"/>
          <w:szCs w:val="24"/>
        </w:rPr>
        <w:footnoteReference w:id="568"/>
      </w:r>
    </w:p>
    <w:p w14:paraId="30996129" w14:textId="77777777" w:rsidR="00AE6921" w:rsidRPr="00774EDB" w:rsidRDefault="00376FE5"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rPr>
        <w:t>However, strikingly, in August 2016 WhatsApp announced updates to its terms of service and privacy policy, including the possibility of linking WhatsApp users’ phone numbers with Facebook users’ identities as opposed to the notification by the parties in 2014.</w:t>
      </w:r>
      <w:r w:rsidRPr="00774EDB">
        <w:rPr>
          <w:rStyle w:val="FootnoteReference"/>
          <w:rFonts w:ascii="Times New Roman" w:hAnsi="Times New Roman" w:cs="Times New Roman"/>
          <w:sz w:val="24"/>
          <w:szCs w:val="24"/>
        </w:rPr>
        <w:footnoteReference w:id="569"/>
      </w:r>
      <w:r w:rsidRPr="00774EDB">
        <w:rPr>
          <w:rFonts w:ascii="Times New Roman" w:hAnsi="Times New Roman" w:cs="Times New Roman"/>
          <w:sz w:val="24"/>
          <w:szCs w:val="24"/>
        </w:rPr>
        <w:t xml:space="preserve"> Finding this was an issue which Facebook was aware of at the time of notification, The Commission imposed a fine of €110 million on Facebook for providing incorrect or misleading information during the 2014 investigation.</w:t>
      </w:r>
      <w:r w:rsidRPr="00774EDB">
        <w:rPr>
          <w:rStyle w:val="FootnoteReference"/>
          <w:rFonts w:ascii="Times New Roman" w:hAnsi="Times New Roman" w:cs="Times New Roman"/>
          <w:sz w:val="24"/>
          <w:szCs w:val="24"/>
        </w:rPr>
        <w:footnoteReference w:id="570"/>
      </w:r>
      <w:r w:rsidRPr="00774EDB">
        <w:rPr>
          <w:rFonts w:ascii="Times New Roman" w:hAnsi="Times New Roman" w:cs="Times New Roman"/>
          <w:sz w:val="24"/>
          <w:szCs w:val="24"/>
        </w:rPr>
        <w:t xml:space="preserve"> The Commission has not reversed back or launched a reassessment for the 2014 merger </w:t>
      </w:r>
      <w:r w:rsidRPr="00774EDB">
        <w:rPr>
          <w:rFonts w:ascii="Times New Roman" w:hAnsi="Times New Roman" w:cs="Times New Roman"/>
          <w:sz w:val="24"/>
          <w:szCs w:val="24"/>
        </w:rPr>
        <w:lastRenderedPageBreak/>
        <w:t>clearance, saying that the “clearance decision was based on a number of elements going beyond automated user matching”.</w:t>
      </w:r>
      <w:r w:rsidRPr="00774EDB">
        <w:rPr>
          <w:rStyle w:val="FootnoteReference"/>
          <w:rFonts w:ascii="Times New Roman" w:hAnsi="Times New Roman" w:cs="Times New Roman"/>
          <w:sz w:val="24"/>
          <w:szCs w:val="24"/>
        </w:rPr>
        <w:footnoteReference w:id="571"/>
      </w:r>
    </w:p>
    <w:p w14:paraId="0307986D" w14:textId="77777777" w:rsidR="00AE6921" w:rsidRPr="00774EDB" w:rsidRDefault="00376FE5"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Considering</w:t>
      </w:r>
      <w:r w:rsidRPr="00774EDB">
        <w:rPr>
          <w:rFonts w:ascii="Times New Roman" w:hAnsi="Times New Roman" w:cs="Times New Roman"/>
          <w:sz w:val="24"/>
          <w:szCs w:val="24"/>
        </w:rPr>
        <w:t xml:space="preserve"> the developments following the </w:t>
      </w:r>
      <w:r w:rsidRPr="00774EDB">
        <w:rPr>
          <w:rFonts w:ascii="Times New Roman" w:hAnsi="Times New Roman" w:cs="Times New Roman"/>
          <w:i/>
          <w:sz w:val="24"/>
          <w:szCs w:val="24"/>
        </w:rPr>
        <w:t>Facebook/WhatsApp</w:t>
      </w:r>
      <w:r w:rsidRPr="00774EDB">
        <w:rPr>
          <w:rFonts w:ascii="Times New Roman" w:hAnsi="Times New Roman" w:cs="Times New Roman"/>
          <w:sz w:val="24"/>
          <w:szCs w:val="24"/>
        </w:rPr>
        <w:t xml:space="preserve"> decision, data protection aspects seem to have an impact in the future decision making processes of the Commission. From a broader perspective, while the interoperability and integration aspects were found not to have crucial impact in the post-merger period, this rather flexible approach should not be taken as a permanent basis particularly in the light of the subsequent decisions made by the national authorities.</w:t>
      </w:r>
      <w:r w:rsidRPr="00774EDB">
        <w:rPr>
          <w:rStyle w:val="FootnoteReference"/>
          <w:rFonts w:ascii="Times New Roman" w:hAnsi="Times New Roman" w:cs="Times New Roman"/>
          <w:sz w:val="24"/>
          <w:szCs w:val="24"/>
        </w:rPr>
        <w:footnoteReference w:id="572"/>
      </w:r>
      <w:r w:rsidRPr="00774EDB">
        <w:rPr>
          <w:rFonts w:ascii="Times New Roman" w:hAnsi="Times New Roman" w:cs="Times New Roman"/>
          <w:sz w:val="24"/>
          <w:szCs w:val="24"/>
        </w:rPr>
        <w:t xml:space="preserve"> As a matter of fact, the opportunity cost of hindered (or limited) interoperability would bear more complicated results and tensions, reaching out to data protection laws and rules. This situation would suggest a more intrusive approach regarding interoperability and related issues, i.e. integration of merging parties’ apps, in prospective M&amp;A decisions.</w:t>
      </w:r>
    </w:p>
    <w:p w14:paraId="00D0F9CA" w14:textId="74D1EF04" w:rsidR="00896BD6" w:rsidRPr="00774EDB" w:rsidRDefault="00376FE5" w:rsidP="00A70042">
      <w:pPr>
        <w:spacing w:before="360"/>
        <w:jc w:val="both"/>
        <w:rPr>
          <w:rFonts w:ascii="Times New Roman" w:hAnsi="Times New Roman" w:cs="Times New Roman"/>
          <w:color w:val="000000"/>
          <w:sz w:val="24"/>
          <w:szCs w:val="24"/>
        </w:rPr>
      </w:pPr>
      <w:r w:rsidRPr="00774EDB">
        <w:rPr>
          <w:rFonts w:ascii="Times New Roman" w:hAnsi="Times New Roman" w:cs="Times New Roman"/>
          <w:sz w:val="24"/>
          <w:szCs w:val="24"/>
        </w:rPr>
        <w:t xml:space="preserve">Regardless of the data protection aspect, </w:t>
      </w:r>
      <w:r w:rsidRPr="00774EDB">
        <w:rPr>
          <w:rFonts w:ascii="Times New Roman" w:hAnsi="Times New Roman" w:cs="Times New Roman"/>
          <w:sz w:val="24"/>
          <w:szCs w:val="24"/>
          <w:lang w:val="en-US"/>
        </w:rPr>
        <w:t xml:space="preserve">it is worth noting that horizontal relationships do not seem to have created a significant tension for the Commission in this second set of case law. Had the post-merger interoperability been put under risk because of market power and/or network effects as to be not mitigated by counter-balancing facts, this would have been deemed as a reason for a possible intervention. Besides, the Commission not emphasizing network effects in this caselaw demonstrates that it is considered that many emerging ICT markets do not reveal serious concerns regarding </w:t>
      </w:r>
      <w:r w:rsidRPr="00774EDB">
        <w:rPr>
          <w:rFonts w:ascii="Times New Roman" w:hAnsi="Times New Roman" w:cs="Times New Roman"/>
          <w:sz w:val="24"/>
          <w:szCs w:val="24"/>
          <w:lang w:val="en-US"/>
        </w:rPr>
        <w:lastRenderedPageBreak/>
        <w:t xml:space="preserve">market foreclosure, and with reduced vertical concerns. Summing up, a remarkable change in the decision making processes over time is note-worthy, given the </w:t>
      </w:r>
      <w:r w:rsidRPr="00774EDB">
        <w:rPr>
          <w:rFonts w:ascii="Times New Roman" w:hAnsi="Times New Roman" w:cs="Times New Roman"/>
          <w:i/>
          <w:sz w:val="24"/>
          <w:szCs w:val="24"/>
          <w:lang w:val="en-US"/>
        </w:rPr>
        <w:t>Microsoft/Skype</w:t>
      </w:r>
      <w:r w:rsidRPr="00774EDB">
        <w:rPr>
          <w:rFonts w:ascii="Times New Roman" w:hAnsi="Times New Roman" w:cs="Times New Roman"/>
          <w:sz w:val="24"/>
          <w:szCs w:val="24"/>
          <w:lang w:val="en-US"/>
        </w:rPr>
        <w:t xml:space="preserve"> and previous Microsoft cases i.e. </w:t>
      </w:r>
      <w:r w:rsidRPr="00774EDB">
        <w:rPr>
          <w:rFonts w:ascii="Times New Roman" w:hAnsi="Times New Roman" w:cs="Times New Roman"/>
          <w:i/>
          <w:sz w:val="24"/>
          <w:szCs w:val="24"/>
          <w:lang w:val="en-US"/>
        </w:rPr>
        <w:t>Microsoft, Microsoft Tying</w:t>
      </w:r>
      <w:r w:rsidRPr="00774EDB">
        <w:rPr>
          <w:rFonts w:ascii="Times New Roman" w:hAnsi="Times New Roman" w:cs="Times New Roman"/>
          <w:sz w:val="24"/>
          <w:szCs w:val="24"/>
          <w:lang w:val="en-US"/>
        </w:rPr>
        <w:t>.</w:t>
      </w:r>
      <w:r w:rsidRPr="00774EDB">
        <w:rPr>
          <w:rStyle w:val="FootnoteReference"/>
          <w:rFonts w:ascii="Times New Roman" w:hAnsi="Times New Roman" w:cs="Times New Roman"/>
          <w:sz w:val="24"/>
          <w:szCs w:val="24"/>
        </w:rPr>
        <w:footnoteReference w:id="573"/>
      </w:r>
    </w:p>
    <w:p w14:paraId="6C0B6623" w14:textId="77777777" w:rsidR="00F25A8F" w:rsidRPr="00774EDB" w:rsidRDefault="00EA5FA1" w:rsidP="00A70042">
      <w:pPr>
        <w:pStyle w:val="Heading4"/>
        <w:numPr>
          <w:ilvl w:val="3"/>
          <w:numId w:val="33"/>
        </w:numPr>
        <w:tabs>
          <w:tab w:val="left" w:pos="993"/>
        </w:tabs>
        <w:spacing w:before="360"/>
        <w:ind w:left="0" w:firstLine="0"/>
        <w:jc w:val="both"/>
        <w:rPr>
          <w:rFonts w:ascii="Times New Roman" w:hAnsi="Times New Roman" w:cs="Times New Roman"/>
          <w:b/>
          <w:i w:val="0"/>
          <w:color w:val="auto"/>
          <w:sz w:val="24"/>
          <w:szCs w:val="24"/>
          <w:lang w:val="en-US"/>
        </w:rPr>
      </w:pPr>
      <w:bookmarkStart w:id="448" w:name="_Toc17611436"/>
      <w:bookmarkStart w:id="449" w:name="_Toc53576077"/>
      <w:r w:rsidRPr="00774EDB">
        <w:rPr>
          <w:rFonts w:ascii="Times New Roman" w:hAnsi="Times New Roman" w:cs="Times New Roman"/>
          <w:b/>
          <w:iCs w:val="0"/>
          <w:color w:val="auto"/>
          <w:sz w:val="24"/>
          <w:szCs w:val="24"/>
          <w:lang w:val="en-US"/>
        </w:rPr>
        <w:t>Microsoft/LinkedIn</w:t>
      </w:r>
      <w:r w:rsidRPr="00774EDB">
        <w:rPr>
          <w:rFonts w:ascii="Times New Roman" w:hAnsi="Times New Roman" w:cs="Times New Roman"/>
          <w:b/>
          <w:i w:val="0"/>
          <w:color w:val="auto"/>
          <w:sz w:val="24"/>
          <w:szCs w:val="24"/>
          <w:lang w:val="en-US"/>
        </w:rPr>
        <w:t>: Revi</w:t>
      </w:r>
      <w:r w:rsidR="001C3FA9" w:rsidRPr="00774EDB">
        <w:rPr>
          <w:rFonts w:ascii="Times New Roman" w:hAnsi="Times New Roman" w:cs="Times New Roman"/>
          <w:b/>
          <w:i w:val="0"/>
          <w:color w:val="auto"/>
          <w:sz w:val="24"/>
          <w:szCs w:val="24"/>
          <w:lang w:val="en-US"/>
        </w:rPr>
        <w:t>sit</w:t>
      </w:r>
      <w:r w:rsidRPr="00774EDB">
        <w:rPr>
          <w:rFonts w:ascii="Times New Roman" w:hAnsi="Times New Roman" w:cs="Times New Roman"/>
          <w:b/>
          <w:i w:val="0"/>
          <w:color w:val="auto"/>
          <w:sz w:val="24"/>
          <w:szCs w:val="24"/>
          <w:lang w:val="en-US"/>
        </w:rPr>
        <w:t xml:space="preserve">ing the </w:t>
      </w:r>
      <w:r w:rsidR="008E6A2E" w:rsidRPr="00774EDB">
        <w:rPr>
          <w:rFonts w:ascii="Times New Roman" w:hAnsi="Times New Roman" w:cs="Times New Roman"/>
          <w:b/>
          <w:i w:val="0"/>
          <w:color w:val="auto"/>
          <w:sz w:val="24"/>
          <w:szCs w:val="24"/>
          <w:lang w:val="en-US"/>
        </w:rPr>
        <w:t xml:space="preserve">interoperability </w:t>
      </w:r>
      <w:r w:rsidR="001C3FA9" w:rsidRPr="00774EDB">
        <w:rPr>
          <w:rFonts w:ascii="Times New Roman" w:hAnsi="Times New Roman" w:cs="Times New Roman"/>
          <w:b/>
          <w:i w:val="0"/>
          <w:color w:val="auto"/>
          <w:sz w:val="24"/>
          <w:szCs w:val="24"/>
          <w:lang w:val="en-US"/>
        </w:rPr>
        <w:t>concerns</w:t>
      </w:r>
      <w:bookmarkEnd w:id="448"/>
      <w:bookmarkEnd w:id="449"/>
    </w:p>
    <w:p w14:paraId="7FB8AB7B" w14:textId="0C24E06B" w:rsidR="004638EC" w:rsidRPr="00A70042" w:rsidRDefault="00C365DB" w:rsidP="00A70042">
      <w:pPr>
        <w:spacing w:before="360"/>
        <w:jc w:val="both"/>
        <w:rPr>
          <w:rFonts w:ascii="Times New Roman" w:hAnsi="Times New Roman" w:cs="Times New Roman"/>
          <w:spacing w:val="-2"/>
          <w:sz w:val="24"/>
          <w:szCs w:val="24"/>
        </w:rPr>
      </w:pPr>
      <w:r w:rsidRPr="00A70042">
        <w:rPr>
          <w:rFonts w:ascii="Times New Roman" w:hAnsi="Times New Roman" w:cs="Times New Roman"/>
          <w:i/>
          <w:spacing w:val="-2"/>
          <w:sz w:val="24"/>
          <w:szCs w:val="24"/>
          <w:lang w:val="en-US"/>
        </w:rPr>
        <w:t>Microsoft/LinkedIn</w:t>
      </w:r>
      <w:r w:rsidRPr="00A70042">
        <w:rPr>
          <w:rStyle w:val="FootnoteReference"/>
          <w:rFonts w:ascii="Times New Roman" w:hAnsi="Times New Roman" w:cs="Times New Roman"/>
          <w:spacing w:val="-2"/>
          <w:sz w:val="24"/>
          <w:szCs w:val="24"/>
          <w:lang w:val="en-US"/>
        </w:rPr>
        <w:footnoteReference w:id="574"/>
      </w:r>
      <w:r w:rsidRPr="00A70042">
        <w:rPr>
          <w:rFonts w:ascii="Times New Roman" w:hAnsi="Times New Roman" w:cs="Times New Roman"/>
          <w:spacing w:val="-2"/>
          <w:sz w:val="24"/>
          <w:szCs w:val="24"/>
          <w:lang w:val="en-US"/>
        </w:rPr>
        <w:t xml:space="preserve"> represents one of the </w:t>
      </w:r>
      <w:r w:rsidR="00D00955" w:rsidRPr="00A70042">
        <w:rPr>
          <w:rFonts w:ascii="Times New Roman" w:hAnsi="Times New Roman" w:cs="Times New Roman"/>
          <w:spacing w:val="-2"/>
          <w:sz w:val="24"/>
          <w:szCs w:val="24"/>
          <w:lang w:val="en-US"/>
        </w:rPr>
        <w:t>few</w:t>
      </w:r>
      <w:r w:rsidRPr="00A70042">
        <w:rPr>
          <w:rFonts w:ascii="Times New Roman" w:hAnsi="Times New Roman" w:cs="Times New Roman"/>
          <w:spacing w:val="-2"/>
          <w:sz w:val="24"/>
          <w:szCs w:val="24"/>
          <w:lang w:val="en-US"/>
        </w:rPr>
        <w:t xml:space="preserve"> conglomerate merger cases that were assessed on the basis of various aspects including Big Data, as well as the interoperability relationships. While Microsoft was found to have a strong market position in the markets for ‘PC operating system (OS)’ and ‘productivity software’, LinkedIn was found to exist in a number of markets including ‘social networking’, ‘online advertising’ and ‘recruiting tools’. Relevant markets that would be impacted were defined as the markets for ‘professional social networking (PSN) services’, ‘customer relationship management (CRM) software solutions’ and ‘online advertising services’. After the Commission’s evaluation, a number of conditions were attached to the merger clearance after the finding of potential anti-competitive effects i.e. market foreclosure, seen as likely to happen in the markets where LinkedIn </w:t>
      </w:r>
      <w:r w:rsidRPr="00A70042">
        <w:rPr>
          <w:rFonts w:ascii="Times New Roman" w:hAnsi="Times New Roman" w:cs="Times New Roman"/>
          <w:spacing w:val="-2"/>
          <w:sz w:val="24"/>
          <w:szCs w:val="24"/>
        </w:rPr>
        <w:t>was active.</w:t>
      </w:r>
    </w:p>
    <w:p w14:paraId="5247F95A" w14:textId="61044B50" w:rsidR="009E09F6" w:rsidRPr="00A70042" w:rsidRDefault="00C365DB" w:rsidP="00A70042">
      <w:pPr>
        <w:spacing w:before="360"/>
        <w:jc w:val="both"/>
        <w:rPr>
          <w:rFonts w:ascii="Times New Roman" w:hAnsi="Times New Roman" w:cs="Times New Roman"/>
          <w:color w:val="000000"/>
          <w:spacing w:val="-2"/>
          <w:sz w:val="24"/>
          <w:szCs w:val="24"/>
        </w:rPr>
      </w:pPr>
      <w:r w:rsidRPr="00A70042">
        <w:rPr>
          <w:rFonts w:ascii="Times New Roman" w:hAnsi="Times New Roman" w:cs="Times New Roman"/>
          <w:spacing w:val="-2"/>
          <w:sz w:val="24"/>
          <w:szCs w:val="24"/>
        </w:rPr>
        <w:t>The proposed</w:t>
      </w:r>
      <w:r w:rsidRPr="00A70042">
        <w:rPr>
          <w:rFonts w:ascii="Times New Roman" w:hAnsi="Times New Roman" w:cs="Times New Roman"/>
          <w:spacing w:val="-2"/>
          <w:sz w:val="24"/>
          <w:szCs w:val="24"/>
          <w:lang w:val="en-US"/>
        </w:rPr>
        <w:t xml:space="preserve"> acquisition was assessed not only for the conglomerate effects, but also horizontal and vertical effects. In this regard, markets for ‘online advertising’ and ‘CRM software solutions’ were reviewed by the Commission </w:t>
      </w:r>
      <w:r w:rsidR="003C03B7" w:rsidRPr="00A70042">
        <w:rPr>
          <w:rFonts w:ascii="Times New Roman" w:hAnsi="Times New Roman" w:cs="Times New Roman"/>
          <w:spacing w:val="-2"/>
          <w:sz w:val="24"/>
          <w:szCs w:val="24"/>
          <w:lang w:val="en-US"/>
        </w:rPr>
        <w:t>through an</w:t>
      </w:r>
      <w:r w:rsidRPr="00A70042">
        <w:rPr>
          <w:rFonts w:ascii="Times New Roman" w:hAnsi="Times New Roman" w:cs="Times New Roman"/>
          <w:spacing w:val="-2"/>
          <w:sz w:val="24"/>
          <w:szCs w:val="24"/>
          <w:lang w:val="en-US"/>
        </w:rPr>
        <w:t xml:space="preserve"> </w:t>
      </w:r>
      <w:r w:rsidR="001160F6" w:rsidRPr="00A70042">
        <w:rPr>
          <w:rFonts w:ascii="Times New Roman" w:hAnsi="Times New Roman" w:cs="Times New Roman"/>
          <w:spacing w:val="-2"/>
          <w:sz w:val="24"/>
          <w:szCs w:val="24"/>
          <w:lang w:val="en-US"/>
        </w:rPr>
        <w:t>investiga</w:t>
      </w:r>
      <w:r w:rsidRPr="00A70042">
        <w:rPr>
          <w:rFonts w:ascii="Times New Roman" w:hAnsi="Times New Roman" w:cs="Times New Roman"/>
          <w:spacing w:val="-2"/>
          <w:sz w:val="24"/>
          <w:szCs w:val="24"/>
          <w:lang w:val="en-US"/>
        </w:rPr>
        <w:t>t</w:t>
      </w:r>
      <w:r w:rsidR="003C03B7" w:rsidRPr="00A70042">
        <w:rPr>
          <w:rFonts w:ascii="Times New Roman" w:hAnsi="Times New Roman" w:cs="Times New Roman"/>
          <w:spacing w:val="-2"/>
          <w:sz w:val="24"/>
          <w:szCs w:val="24"/>
          <w:lang w:val="en-US"/>
        </w:rPr>
        <w:t>ion of</w:t>
      </w:r>
      <w:r w:rsidRPr="00A70042">
        <w:rPr>
          <w:rFonts w:ascii="Times New Roman" w:hAnsi="Times New Roman" w:cs="Times New Roman"/>
          <w:spacing w:val="-2"/>
          <w:sz w:val="24"/>
          <w:szCs w:val="24"/>
          <w:lang w:val="en-US"/>
        </w:rPr>
        <w:t xml:space="preserve"> potential anti-competitive effects including Big Data related </w:t>
      </w:r>
      <w:r w:rsidR="001160F6" w:rsidRPr="00A70042">
        <w:rPr>
          <w:rFonts w:ascii="Times New Roman" w:hAnsi="Times New Roman" w:cs="Times New Roman"/>
          <w:spacing w:val="-2"/>
          <w:sz w:val="24"/>
          <w:szCs w:val="24"/>
          <w:lang w:val="en-US"/>
        </w:rPr>
        <w:t>aspect</w:t>
      </w:r>
      <w:r w:rsidRPr="00A70042">
        <w:rPr>
          <w:rFonts w:ascii="Times New Roman" w:hAnsi="Times New Roman" w:cs="Times New Roman"/>
          <w:spacing w:val="-2"/>
          <w:sz w:val="24"/>
          <w:szCs w:val="24"/>
          <w:lang w:val="en-US"/>
        </w:rPr>
        <w:t xml:space="preserve">s. </w:t>
      </w:r>
      <w:r w:rsidR="003C03B7" w:rsidRPr="00A70042">
        <w:rPr>
          <w:rFonts w:ascii="Times New Roman" w:hAnsi="Times New Roman" w:cs="Times New Roman"/>
          <w:spacing w:val="-2"/>
          <w:sz w:val="24"/>
          <w:szCs w:val="24"/>
          <w:lang w:val="en-US"/>
        </w:rPr>
        <w:t>T</w:t>
      </w:r>
      <w:r w:rsidRPr="00A70042">
        <w:rPr>
          <w:rFonts w:ascii="Times New Roman" w:hAnsi="Times New Roman" w:cs="Times New Roman"/>
          <w:spacing w:val="-2"/>
          <w:sz w:val="24"/>
          <w:szCs w:val="24"/>
          <w:lang w:val="en-US"/>
        </w:rPr>
        <w:t xml:space="preserve">he assessment </w:t>
      </w:r>
      <w:r w:rsidR="003C03B7" w:rsidRPr="00A70042">
        <w:rPr>
          <w:rFonts w:ascii="Times New Roman" w:hAnsi="Times New Roman" w:cs="Times New Roman"/>
          <w:spacing w:val="-2"/>
          <w:sz w:val="24"/>
          <w:szCs w:val="24"/>
          <w:lang w:val="en-US"/>
        </w:rPr>
        <w:lastRenderedPageBreak/>
        <w:t xml:space="preserve">relating to the so-called two markets </w:t>
      </w:r>
      <w:r w:rsidRPr="00A70042">
        <w:rPr>
          <w:rFonts w:ascii="Times New Roman" w:hAnsi="Times New Roman" w:cs="Times New Roman"/>
          <w:spacing w:val="-2"/>
          <w:sz w:val="24"/>
          <w:szCs w:val="24"/>
          <w:lang w:val="en-US"/>
        </w:rPr>
        <w:t xml:space="preserve">was focused on a likelihood of a </w:t>
      </w:r>
      <w:r w:rsidRPr="00A70042">
        <w:rPr>
          <w:rFonts w:ascii="Times New Roman" w:hAnsi="Times New Roman" w:cs="Times New Roman"/>
          <w:i/>
          <w:spacing w:val="-2"/>
          <w:sz w:val="24"/>
          <w:szCs w:val="24"/>
          <w:lang w:val="en-US"/>
        </w:rPr>
        <w:t>combination of user datasets</w:t>
      </w:r>
      <w:r w:rsidRPr="00A70042">
        <w:rPr>
          <w:rFonts w:ascii="Times New Roman" w:hAnsi="Times New Roman" w:cs="Times New Roman"/>
          <w:spacing w:val="-2"/>
          <w:sz w:val="24"/>
          <w:szCs w:val="24"/>
          <w:lang w:val="en-US"/>
        </w:rPr>
        <w:t xml:space="preserve"> for online advertising and </w:t>
      </w:r>
      <w:r w:rsidRPr="00A70042">
        <w:rPr>
          <w:rFonts w:ascii="Times New Roman" w:hAnsi="Times New Roman" w:cs="Times New Roman"/>
          <w:i/>
          <w:spacing w:val="-2"/>
          <w:sz w:val="24"/>
          <w:szCs w:val="24"/>
          <w:lang w:val="en-US"/>
        </w:rPr>
        <w:t>bundling</w:t>
      </w:r>
      <w:r w:rsidRPr="00A70042">
        <w:rPr>
          <w:rFonts w:ascii="Times New Roman" w:hAnsi="Times New Roman" w:cs="Times New Roman"/>
          <w:spacing w:val="-2"/>
          <w:sz w:val="24"/>
          <w:szCs w:val="24"/>
          <w:lang w:val="en-US"/>
        </w:rPr>
        <w:t xml:space="preserve"> </w:t>
      </w:r>
      <w:r w:rsidRPr="00A70042">
        <w:rPr>
          <w:rFonts w:ascii="Times New Roman" w:hAnsi="Times New Roman" w:cs="Times New Roman"/>
          <w:i/>
          <w:spacing w:val="-2"/>
          <w:sz w:val="24"/>
          <w:szCs w:val="24"/>
          <w:lang w:val="en-US"/>
        </w:rPr>
        <w:t>of data access</w:t>
      </w:r>
      <w:r w:rsidRPr="00A70042">
        <w:rPr>
          <w:rFonts w:ascii="Times New Roman" w:hAnsi="Times New Roman" w:cs="Times New Roman"/>
          <w:i/>
          <w:iCs/>
          <w:spacing w:val="-2"/>
          <w:sz w:val="24"/>
          <w:szCs w:val="24"/>
          <w:lang w:val="en-US"/>
        </w:rPr>
        <w:t xml:space="preserve"> or </w:t>
      </w:r>
      <w:r w:rsidRPr="00A70042">
        <w:rPr>
          <w:rFonts w:ascii="Times New Roman" w:hAnsi="Times New Roman" w:cs="Times New Roman"/>
          <w:i/>
          <w:spacing w:val="-2"/>
          <w:sz w:val="24"/>
          <w:szCs w:val="24"/>
          <w:lang w:val="en-US"/>
        </w:rPr>
        <w:t xml:space="preserve">restriction </w:t>
      </w:r>
      <w:r w:rsidRPr="00A70042">
        <w:rPr>
          <w:rFonts w:ascii="Times New Roman" w:hAnsi="Times New Roman" w:cs="Times New Roman"/>
          <w:iCs/>
          <w:spacing w:val="-2"/>
          <w:sz w:val="24"/>
          <w:szCs w:val="24"/>
          <w:lang w:val="en-US"/>
        </w:rPr>
        <w:t>of them to</w:t>
      </w:r>
      <w:r w:rsidRPr="00A70042">
        <w:rPr>
          <w:rFonts w:ascii="Times New Roman" w:hAnsi="Times New Roman" w:cs="Times New Roman"/>
          <w:spacing w:val="-2"/>
          <w:sz w:val="24"/>
          <w:szCs w:val="24"/>
          <w:lang w:val="en-US"/>
        </w:rPr>
        <w:t xml:space="preserve"> the CRM software solutions. These concerns were dismissed as the merging parties were found not to have sufficient market power and the ability to foreclose their competitors in the relevant markets.</w:t>
      </w:r>
      <w:r w:rsidRPr="00A70042">
        <w:rPr>
          <w:rStyle w:val="FootnoteReference"/>
          <w:rFonts w:ascii="Times New Roman" w:hAnsi="Times New Roman" w:cs="Times New Roman"/>
          <w:spacing w:val="-2"/>
          <w:sz w:val="24"/>
          <w:szCs w:val="24"/>
          <w:lang w:val="en-US"/>
        </w:rPr>
        <w:footnoteReference w:id="575"/>
      </w:r>
      <w:r w:rsidRPr="00A70042">
        <w:rPr>
          <w:rFonts w:ascii="Times New Roman" w:hAnsi="Times New Roman" w:cs="Times New Roman"/>
          <w:spacing w:val="-2"/>
          <w:sz w:val="24"/>
          <w:szCs w:val="24"/>
          <w:lang w:val="en-US"/>
        </w:rPr>
        <w:t xml:space="preserve"> In fact, both of the merging parties were not active in any of the relevant markets except for the market regarding ‘online non-search advertising services’, and unilateral post-merger effects were not seen likely because all investigated markets were considered as exposed to competitive forces.</w:t>
      </w:r>
    </w:p>
    <w:p w14:paraId="63889903" w14:textId="77777777" w:rsidR="00D047CE" w:rsidRPr="00774EDB" w:rsidRDefault="00C365DB" w:rsidP="00A70042">
      <w:pPr>
        <w:spacing w:before="360" w:line="468" w:lineRule="auto"/>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While anti-competitive effects were found unlikely in the markets for ‘online advertising services’ and ‘CRM software solutions’, some concerns were raised for the market regarding PSN services. Concerning this market, a number of scenarios were assessed with regards to potential conglomerate and vertical anti-competitive effects. Such scenarios were refined as; the ‘pre-installation of LinkedIn into the PC OS’, ‘integrating LinkedIn features into the Microsoft productivity software i.e. Outlook and other Office products and the refusal to have access to Microsoft’s APIs’ and ‘bundling/tying LinkedIn applications with Microsoft’s productivity software’. The main questions marks were put on the queries of whether ‘pre-installation’ and ‘integration’ scenarios would hamper effective competition in the market for PSN services.</w:t>
      </w:r>
      <w:r w:rsidRPr="00774EDB">
        <w:rPr>
          <w:rStyle w:val="FootnoteReference"/>
          <w:rFonts w:ascii="Times New Roman" w:hAnsi="Times New Roman" w:cs="Times New Roman"/>
          <w:sz w:val="24"/>
          <w:szCs w:val="24"/>
        </w:rPr>
        <w:footnoteReference w:id="576"/>
      </w:r>
      <w:r w:rsidRPr="00774EDB">
        <w:rPr>
          <w:rFonts w:ascii="Times New Roman" w:hAnsi="Times New Roman" w:cs="Times New Roman"/>
          <w:sz w:val="24"/>
          <w:szCs w:val="24"/>
          <w:lang w:val="en-US"/>
        </w:rPr>
        <w:t xml:space="preserve"> Following the counter-factual analysis, the scenario of ‘bundling/tying LinkedIn applications with Microsoft’s productivity software’ was found unlikely given the presumption that tying was not revealed as a plan through Microsoft’s internal documents. Furthermore, it was highlighted that any anti-competitive tying to be done by Microsoft would be challenged under Article 102.</w:t>
      </w:r>
      <w:r w:rsidRPr="00774EDB">
        <w:rPr>
          <w:rStyle w:val="FootnoteReference"/>
          <w:rFonts w:ascii="Times New Roman" w:hAnsi="Times New Roman" w:cs="Times New Roman"/>
          <w:sz w:val="24"/>
          <w:szCs w:val="24"/>
          <w:lang w:val="en-US"/>
        </w:rPr>
        <w:footnoteReference w:id="577"/>
      </w:r>
    </w:p>
    <w:p w14:paraId="13985E8D" w14:textId="37106712" w:rsidR="0033158E" w:rsidRPr="00774EDB" w:rsidRDefault="0033158E" w:rsidP="00A70042">
      <w:pPr>
        <w:spacing w:before="360" w:line="468" w:lineRule="auto"/>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lastRenderedPageBreak/>
        <w:t>On the other hand, in relation to the ‘pre-installation’ scenario, the Commission found that this strategy would give LinkedIn a greater visibility along with an increased membership base and user activity.</w:t>
      </w:r>
      <w:r w:rsidRPr="00774EDB">
        <w:rPr>
          <w:rStyle w:val="FootnoteReference"/>
          <w:rFonts w:ascii="Times New Roman" w:hAnsi="Times New Roman" w:cs="Times New Roman"/>
          <w:sz w:val="24"/>
          <w:szCs w:val="24"/>
          <w:lang w:val="en-US"/>
        </w:rPr>
        <w:footnoteReference w:id="578"/>
      </w:r>
      <w:r w:rsidRPr="00774EDB">
        <w:rPr>
          <w:rFonts w:ascii="Times New Roman" w:hAnsi="Times New Roman" w:cs="Times New Roman"/>
          <w:sz w:val="24"/>
          <w:szCs w:val="24"/>
          <w:lang w:val="en-US"/>
        </w:rPr>
        <w:t xml:space="preserve"> Furthermore, Microsoft would easily agree with the manufacturers for pre-installation, and they might not have an incentive to install a second PSN application.</w:t>
      </w:r>
      <w:r w:rsidRPr="00774EDB">
        <w:rPr>
          <w:rStyle w:val="FootnoteReference"/>
          <w:rFonts w:ascii="Times New Roman" w:hAnsi="Times New Roman" w:cs="Times New Roman"/>
          <w:sz w:val="24"/>
          <w:szCs w:val="24"/>
          <w:lang w:val="en-US"/>
        </w:rPr>
        <w:footnoteReference w:id="579"/>
      </w:r>
      <w:r w:rsidRPr="00774EDB">
        <w:rPr>
          <w:rFonts w:ascii="Times New Roman" w:hAnsi="Times New Roman" w:cs="Times New Roman"/>
          <w:sz w:val="24"/>
          <w:szCs w:val="24"/>
          <w:lang w:val="en-US"/>
        </w:rPr>
        <w:t xml:space="preserve"> According to the Commission, competing PSN service providers were likely to face a potential market tipping and foreclosure, as consumers would have difficulty switching to competing providers.</w:t>
      </w:r>
      <w:r w:rsidRPr="00774EDB">
        <w:rPr>
          <w:rStyle w:val="FootnoteReference"/>
          <w:rFonts w:ascii="Times New Roman" w:hAnsi="Times New Roman" w:cs="Times New Roman"/>
          <w:sz w:val="24"/>
          <w:szCs w:val="24"/>
          <w:lang w:val="en-US"/>
        </w:rPr>
        <w:footnoteReference w:id="580"/>
      </w:r>
      <w:r w:rsidRPr="00774EDB">
        <w:rPr>
          <w:rFonts w:ascii="Times New Roman" w:hAnsi="Times New Roman" w:cs="Times New Roman"/>
          <w:sz w:val="24"/>
          <w:szCs w:val="24"/>
          <w:lang w:val="en-US"/>
        </w:rPr>
        <w:t xml:space="preserve"> Similar concerns were also raised for the ‘integration’ scenario, which would enable LinkedIn to have access to the contacts in Outlook, resulting in an expanded network.</w:t>
      </w:r>
      <w:r w:rsidRPr="00774EDB">
        <w:rPr>
          <w:rStyle w:val="FootnoteReference"/>
          <w:rFonts w:ascii="Times New Roman" w:hAnsi="Times New Roman" w:cs="Times New Roman"/>
          <w:sz w:val="24"/>
          <w:szCs w:val="24"/>
          <w:lang w:val="en-US"/>
        </w:rPr>
        <w:footnoteReference w:id="581"/>
      </w:r>
      <w:r w:rsidRPr="00774EDB">
        <w:rPr>
          <w:rFonts w:ascii="Times New Roman" w:hAnsi="Times New Roman" w:cs="Times New Roman"/>
          <w:sz w:val="24"/>
          <w:szCs w:val="24"/>
          <w:lang w:val="en-US"/>
        </w:rPr>
        <w:t xml:space="preserve"> Moreover, in this scenario, third party access to the Microsoft Office software suite, particularly Outlook, would be risked and </w:t>
      </w:r>
      <w:r w:rsidR="003C03B7" w:rsidRPr="00774EDB">
        <w:rPr>
          <w:rFonts w:ascii="Times New Roman" w:hAnsi="Times New Roman" w:cs="Times New Roman"/>
          <w:sz w:val="24"/>
          <w:szCs w:val="24"/>
          <w:lang w:val="en-US"/>
        </w:rPr>
        <w:t xml:space="preserve">access to </w:t>
      </w:r>
      <w:r w:rsidRPr="00774EDB">
        <w:rPr>
          <w:rFonts w:ascii="Times New Roman" w:hAnsi="Times New Roman" w:cs="Times New Roman"/>
          <w:sz w:val="24"/>
          <w:szCs w:val="24"/>
          <w:lang w:val="en-US"/>
        </w:rPr>
        <w:t>relevant APIs would be denied to the competing PSN suppliers.</w:t>
      </w:r>
      <w:r w:rsidRPr="00774EDB">
        <w:rPr>
          <w:rStyle w:val="FootnoteReference"/>
          <w:rFonts w:ascii="Times New Roman" w:hAnsi="Times New Roman" w:cs="Times New Roman"/>
          <w:sz w:val="24"/>
          <w:szCs w:val="24"/>
          <w:lang w:val="en-US"/>
        </w:rPr>
        <w:footnoteReference w:id="582"/>
      </w:r>
      <w:r w:rsidRPr="00774EDB">
        <w:rPr>
          <w:rFonts w:ascii="Times New Roman" w:hAnsi="Times New Roman" w:cs="Times New Roman"/>
          <w:sz w:val="24"/>
          <w:szCs w:val="24"/>
          <w:lang w:val="en-US"/>
        </w:rPr>
        <w:t xml:space="preserve"> This possibility would discredit rival PSN services and put them in a disadvantaged position against the more advanced features of LinkedIn being integrated into Microsoft productivity software, particularly Microsoft Outlook or the Office suite.</w:t>
      </w:r>
      <w:r w:rsidRPr="00774EDB">
        <w:rPr>
          <w:rStyle w:val="FootnoteReference"/>
          <w:rFonts w:ascii="Times New Roman" w:hAnsi="Times New Roman" w:cs="Times New Roman"/>
          <w:sz w:val="24"/>
          <w:szCs w:val="24"/>
          <w:lang w:val="en-US"/>
        </w:rPr>
        <w:footnoteReference w:id="583"/>
      </w:r>
    </w:p>
    <w:p w14:paraId="7FD18119" w14:textId="47DA8853" w:rsidR="00244776" w:rsidRPr="00774EDB" w:rsidRDefault="0033158E" w:rsidP="00A70042">
      <w:pPr>
        <w:spacing w:before="360"/>
        <w:jc w:val="both"/>
        <w:rPr>
          <w:rFonts w:ascii="Times New Roman" w:hAnsi="Times New Roman" w:cs="Times New Roman"/>
          <w:color w:val="000000"/>
          <w:sz w:val="24"/>
          <w:szCs w:val="24"/>
        </w:rPr>
      </w:pPr>
      <w:r w:rsidRPr="00774EDB">
        <w:rPr>
          <w:rFonts w:ascii="Times New Roman" w:hAnsi="Times New Roman" w:cs="Times New Roman"/>
          <w:sz w:val="24"/>
          <w:szCs w:val="24"/>
          <w:lang w:val="en-US"/>
        </w:rPr>
        <w:t>Across these scenarios, ‘multi-homing’ was not acknowledged by the Commission as counter-balancing the foreseen competition concerns.</w:t>
      </w:r>
      <w:r w:rsidRPr="00774EDB">
        <w:rPr>
          <w:rStyle w:val="FootnoteReference"/>
          <w:rFonts w:ascii="Times New Roman" w:hAnsi="Times New Roman" w:cs="Times New Roman"/>
          <w:sz w:val="24"/>
          <w:szCs w:val="24"/>
          <w:lang w:val="en-US"/>
        </w:rPr>
        <w:t xml:space="preserve"> </w:t>
      </w:r>
      <w:r w:rsidRPr="00774EDB">
        <w:rPr>
          <w:rFonts w:ascii="Times New Roman" w:hAnsi="Times New Roman" w:cs="Times New Roman"/>
          <w:sz w:val="24"/>
          <w:szCs w:val="24"/>
          <w:lang w:val="en-US"/>
        </w:rPr>
        <w:t>What is more, the Commission considers the given post-merger scenarios “can require significant time on the part of PSN users, [and] can in some cases act as a disincentive to multi-homing between PSN platforms”.</w:t>
      </w:r>
      <w:r w:rsidRPr="00774EDB">
        <w:rPr>
          <w:rStyle w:val="FootnoteReference"/>
          <w:rFonts w:ascii="Times New Roman" w:hAnsi="Times New Roman" w:cs="Times New Roman"/>
          <w:sz w:val="24"/>
          <w:szCs w:val="24"/>
          <w:lang w:val="en-US"/>
        </w:rPr>
        <w:footnoteReference w:id="584"/>
      </w:r>
      <w:r w:rsidRPr="00774EDB">
        <w:rPr>
          <w:rFonts w:ascii="Times New Roman" w:hAnsi="Times New Roman" w:cs="Times New Roman"/>
          <w:sz w:val="24"/>
          <w:szCs w:val="24"/>
          <w:lang w:val="en-US"/>
        </w:rPr>
        <w:t xml:space="preserve"> This feature of the analysis underlies the Commission’s ‘tipping’ concerns in </w:t>
      </w:r>
      <w:r w:rsidRPr="00774EDB">
        <w:rPr>
          <w:rFonts w:ascii="Times New Roman" w:hAnsi="Times New Roman" w:cs="Times New Roman"/>
          <w:i/>
          <w:sz w:val="24"/>
          <w:szCs w:val="24"/>
          <w:lang w:val="en-US"/>
        </w:rPr>
        <w:t>Microsoft/LinkedIn</w:t>
      </w:r>
      <w:r w:rsidRPr="00774EDB">
        <w:rPr>
          <w:rFonts w:ascii="Times New Roman" w:hAnsi="Times New Roman" w:cs="Times New Roman"/>
          <w:sz w:val="24"/>
          <w:szCs w:val="24"/>
          <w:lang w:val="en-US"/>
        </w:rPr>
        <w:t xml:space="preserve">, as opposed to </w:t>
      </w:r>
      <w:r w:rsidRPr="00774EDB">
        <w:rPr>
          <w:rFonts w:ascii="Times New Roman" w:hAnsi="Times New Roman" w:cs="Times New Roman"/>
          <w:i/>
          <w:sz w:val="24"/>
          <w:szCs w:val="24"/>
          <w:lang w:val="en-US"/>
        </w:rPr>
        <w:t>Microsoft/Skype</w:t>
      </w:r>
      <w:r w:rsidRPr="00774EDB">
        <w:rPr>
          <w:rFonts w:ascii="Times New Roman" w:hAnsi="Times New Roman" w:cs="Times New Roman"/>
          <w:sz w:val="24"/>
          <w:szCs w:val="24"/>
          <w:lang w:val="en-US"/>
        </w:rPr>
        <w:t xml:space="preserve"> and </w:t>
      </w:r>
      <w:r w:rsidRPr="00774EDB">
        <w:rPr>
          <w:rFonts w:ascii="Times New Roman" w:hAnsi="Times New Roman" w:cs="Times New Roman"/>
          <w:i/>
          <w:sz w:val="24"/>
          <w:szCs w:val="24"/>
          <w:lang w:val="en-US"/>
        </w:rPr>
        <w:lastRenderedPageBreak/>
        <w:t>Facebook/WhatsApp</w:t>
      </w:r>
      <w:r w:rsidRPr="00774EDB">
        <w:rPr>
          <w:rFonts w:ascii="Times New Roman" w:hAnsi="Times New Roman" w:cs="Times New Roman"/>
          <w:sz w:val="24"/>
          <w:szCs w:val="24"/>
          <w:lang w:val="en-US"/>
        </w:rPr>
        <w:t>. At this point, it is noteworthy that market tipping was found unlikely for the consumer communications services in</w:t>
      </w:r>
      <w:r w:rsidR="003C03B7" w:rsidRPr="00774EDB">
        <w:rPr>
          <w:rFonts w:ascii="Times New Roman" w:hAnsi="Times New Roman" w:cs="Times New Roman"/>
          <w:sz w:val="24"/>
          <w:szCs w:val="24"/>
          <w:lang w:val="en-US"/>
        </w:rPr>
        <w:t xml:space="preserve"> the context of</w:t>
      </w:r>
      <w:r w:rsidRPr="00774EDB">
        <w:rPr>
          <w:rFonts w:ascii="Times New Roman" w:hAnsi="Times New Roman" w:cs="Times New Roman"/>
          <w:sz w:val="24"/>
          <w:szCs w:val="24"/>
          <w:lang w:val="en-US"/>
        </w:rPr>
        <w:t xml:space="preserve"> </w:t>
      </w:r>
      <w:r w:rsidRPr="00774EDB">
        <w:rPr>
          <w:rFonts w:ascii="Times New Roman" w:hAnsi="Times New Roman" w:cs="Times New Roman"/>
          <w:i/>
          <w:sz w:val="24"/>
          <w:szCs w:val="24"/>
          <w:lang w:val="en-US"/>
        </w:rPr>
        <w:t xml:space="preserve">Microsoft/Skype </w:t>
      </w:r>
      <w:r w:rsidRPr="00774EDB">
        <w:rPr>
          <w:rFonts w:ascii="Times New Roman" w:hAnsi="Times New Roman" w:cs="Times New Roman"/>
          <w:sz w:val="24"/>
          <w:szCs w:val="24"/>
          <w:lang w:val="en-US"/>
        </w:rPr>
        <w:t>and</w:t>
      </w:r>
      <w:r w:rsidRPr="00774EDB">
        <w:rPr>
          <w:rFonts w:ascii="Times New Roman" w:hAnsi="Times New Roman" w:cs="Times New Roman"/>
          <w:i/>
          <w:sz w:val="24"/>
          <w:szCs w:val="24"/>
          <w:lang w:val="en-US"/>
        </w:rPr>
        <w:t xml:space="preserve"> Facebook/WhatsApp</w:t>
      </w:r>
      <w:r w:rsidRPr="00774EDB">
        <w:rPr>
          <w:rFonts w:ascii="Times New Roman" w:hAnsi="Times New Roman" w:cs="Times New Roman"/>
          <w:sz w:val="24"/>
          <w:szCs w:val="24"/>
          <w:lang w:val="en-US"/>
        </w:rPr>
        <w:t xml:space="preserve">. According to these decisions, competition concerns were dispelled not only for multi-homing but also because of the presumption that a wider audience were sought by the applicants, respectively Microsoft and Facebook. Conversely, in the </w:t>
      </w:r>
      <w:r w:rsidRPr="00774EDB">
        <w:rPr>
          <w:rFonts w:ascii="Times New Roman" w:hAnsi="Times New Roman" w:cs="Times New Roman"/>
          <w:i/>
          <w:sz w:val="24"/>
          <w:szCs w:val="24"/>
          <w:lang w:val="en-US"/>
        </w:rPr>
        <w:t>Microsoft/LinkedIn</w:t>
      </w:r>
      <w:r w:rsidRPr="00774EDB">
        <w:rPr>
          <w:rFonts w:ascii="Times New Roman" w:hAnsi="Times New Roman" w:cs="Times New Roman"/>
          <w:sz w:val="24"/>
          <w:szCs w:val="24"/>
          <w:lang w:val="en-US"/>
        </w:rPr>
        <w:t xml:space="preserve"> case, the Commission was concerned that the market for PSN services would be irremediably “tipped</w:t>
      </w:r>
      <w:r w:rsidRPr="00774EDB">
        <w:rPr>
          <w:rFonts w:ascii="Times New Roman" w:hAnsi="Times New Roman" w:cs="Times New Roman"/>
          <w:sz w:val="24"/>
          <w:szCs w:val="24"/>
        </w:rPr>
        <w:t>” in favour of LinkedIn, ultimately carrying the risk of foreclosure of other PSN providers in that market, such as Xing, GoldenLine and Viadeo, which are LinkedIn’s main competitors in Poland, Germany and France, respectively.</w:t>
      </w:r>
      <w:r w:rsidRPr="00774EDB">
        <w:rPr>
          <w:rStyle w:val="FootnoteReference"/>
          <w:rFonts w:ascii="Times New Roman" w:hAnsi="Times New Roman" w:cs="Times New Roman"/>
          <w:sz w:val="24"/>
          <w:szCs w:val="24"/>
        </w:rPr>
        <w:footnoteReference w:id="585"/>
      </w:r>
      <w:r w:rsidRPr="00774EDB">
        <w:rPr>
          <w:rFonts w:ascii="Times New Roman" w:hAnsi="Times New Roman" w:cs="Times New Roman"/>
          <w:sz w:val="24"/>
          <w:szCs w:val="24"/>
        </w:rPr>
        <w:t xml:space="preserve"> </w:t>
      </w:r>
      <w:r w:rsidRPr="00774EDB">
        <w:rPr>
          <w:rFonts w:ascii="Times New Roman" w:hAnsi="Times New Roman" w:cs="Times New Roman"/>
          <w:sz w:val="24"/>
          <w:szCs w:val="24"/>
          <w:lang w:val="en-US"/>
        </w:rPr>
        <w:t>With regard to the Commission’s concerns, Microsoft proposed a number of commitments, specifically responding to the concerns related to the ‘integration’ and ‘pre-installation’ scenarios which are given below.</w:t>
      </w:r>
    </w:p>
    <w:p w14:paraId="23529E29" w14:textId="65D398CC" w:rsidR="00244776" w:rsidRPr="00774EDB" w:rsidRDefault="00244776" w:rsidP="00A70042">
      <w:pPr>
        <w:spacing w:before="12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Integration commitments include</w:t>
      </w:r>
      <w:r w:rsidR="00924FFF" w:rsidRPr="00774EDB">
        <w:rPr>
          <w:rFonts w:ascii="Times New Roman" w:hAnsi="Times New Roman" w:cs="Times New Roman"/>
          <w:sz w:val="24"/>
          <w:szCs w:val="24"/>
          <w:lang w:val="en-US"/>
        </w:rPr>
        <w:t>;</w:t>
      </w:r>
    </w:p>
    <w:p w14:paraId="5B6A7E75" w14:textId="1FF3B3EB" w:rsidR="0033158E" w:rsidRPr="00774EDB" w:rsidRDefault="0033158E" w:rsidP="00A70042">
      <w:pPr>
        <w:pStyle w:val="ListParagraph"/>
        <w:numPr>
          <w:ilvl w:val="0"/>
          <w:numId w:val="8"/>
        </w:numPr>
        <w:spacing w:before="120"/>
        <w:ind w:left="851" w:hanging="491"/>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access to</w:t>
      </w:r>
      <w:r w:rsidR="00447227" w:rsidRPr="00774EDB">
        <w:rPr>
          <w:rFonts w:ascii="Times New Roman" w:hAnsi="Times New Roman" w:cs="Times New Roman"/>
          <w:sz w:val="24"/>
          <w:szCs w:val="24"/>
          <w:lang w:val="en-US"/>
        </w:rPr>
        <w:t xml:space="preserve"> all APIs for all core Office products</w:t>
      </w:r>
      <w:r w:rsidRPr="00774EDB">
        <w:rPr>
          <w:rFonts w:ascii="Times New Roman" w:hAnsi="Times New Roman" w:cs="Times New Roman"/>
          <w:sz w:val="24"/>
          <w:szCs w:val="24"/>
          <w:lang w:val="en-US"/>
        </w:rPr>
        <w:t>,</w:t>
      </w:r>
      <w:r w:rsidR="00B15914" w:rsidRPr="00774EDB">
        <w:rPr>
          <w:rFonts w:ascii="Times New Roman" w:hAnsi="Times New Roman" w:cs="Times New Roman"/>
          <w:sz w:val="24"/>
          <w:szCs w:val="24"/>
          <w:lang w:val="en-US"/>
        </w:rPr>
        <w:t xml:space="preserve"> along with a unified gateway </w:t>
      </w:r>
      <w:r w:rsidR="002C3833" w:rsidRPr="00774EDB">
        <w:rPr>
          <w:rFonts w:ascii="Times New Roman" w:hAnsi="Times New Roman" w:cs="Times New Roman"/>
          <w:sz w:val="24"/>
          <w:szCs w:val="24"/>
          <w:lang w:val="en-US"/>
        </w:rPr>
        <w:t>enabling developers to build applications and services</w:t>
      </w:r>
      <w:r w:rsidR="00B15914" w:rsidRPr="00774EDB">
        <w:rPr>
          <w:rFonts w:ascii="Times New Roman" w:hAnsi="Times New Roman" w:cs="Times New Roman"/>
          <w:sz w:val="24"/>
          <w:szCs w:val="24"/>
          <w:lang w:val="en-US"/>
        </w:rPr>
        <w:t xml:space="preserve"> </w:t>
      </w:r>
      <w:r w:rsidR="002C3833" w:rsidRPr="00774EDB">
        <w:rPr>
          <w:rFonts w:ascii="Times New Roman" w:hAnsi="Times New Roman" w:cs="Times New Roman"/>
          <w:sz w:val="24"/>
          <w:szCs w:val="24"/>
          <w:lang w:val="en-US"/>
        </w:rPr>
        <w:t>that can</w:t>
      </w:r>
      <w:r w:rsidR="00B15914" w:rsidRPr="00774EDB">
        <w:rPr>
          <w:rFonts w:ascii="Times New Roman" w:hAnsi="Times New Roman" w:cs="Times New Roman"/>
          <w:sz w:val="24"/>
          <w:szCs w:val="24"/>
          <w:lang w:val="en-US"/>
        </w:rPr>
        <w:t xml:space="preserve"> </w:t>
      </w:r>
      <w:r w:rsidR="002C3833" w:rsidRPr="00774EDB">
        <w:rPr>
          <w:rFonts w:ascii="Times New Roman" w:hAnsi="Times New Roman" w:cs="Times New Roman"/>
          <w:sz w:val="24"/>
          <w:szCs w:val="24"/>
          <w:lang w:val="en-US"/>
        </w:rPr>
        <w:t>access data from Microsoft’s cloud services</w:t>
      </w:r>
      <w:r w:rsidR="000303BA" w:rsidRPr="00774EDB">
        <w:rPr>
          <w:rFonts w:ascii="Times New Roman" w:hAnsi="Times New Roman" w:cs="Times New Roman"/>
          <w:sz w:val="24"/>
          <w:szCs w:val="24"/>
          <w:lang w:val="en-US"/>
        </w:rPr>
        <w:t>,</w:t>
      </w:r>
      <w:r w:rsidR="002C3833" w:rsidRPr="00774EDB">
        <w:rPr>
          <w:rFonts w:ascii="Times New Roman" w:hAnsi="Times New Roman" w:cs="Times New Roman"/>
          <w:sz w:val="24"/>
          <w:szCs w:val="24"/>
          <w:lang w:val="en-US"/>
        </w:rPr>
        <w:t xml:space="preserve">  </w:t>
      </w:r>
    </w:p>
    <w:p w14:paraId="49061380" w14:textId="385E716C" w:rsidR="00F067F2" w:rsidRPr="00774EDB" w:rsidRDefault="00447227" w:rsidP="00A70042">
      <w:pPr>
        <w:pStyle w:val="ListParagraph"/>
        <w:numPr>
          <w:ilvl w:val="0"/>
          <w:numId w:val="8"/>
        </w:numPr>
        <w:spacing w:before="120"/>
        <w:ind w:left="851" w:hanging="491"/>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making</w:t>
      </w:r>
      <w:r w:rsidR="00C672FF" w:rsidRPr="00774EDB">
        <w:rPr>
          <w:rFonts w:ascii="Times New Roman" w:hAnsi="Times New Roman" w:cs="Times New Roman"/>
          <w:sz w:val="24"/>
          <w:szCs w:val="24"/>
          <w:lang w:val="en-US"/>
        </w:rPr>
        <w:t xml:space="preserve"> available the Office Store for distribution and downloading of Outlook add-ins for </w:t>
      </w:r>
      <w:r w:rsidR="003C03B7" w:rsidRPr="00774EDB">
        <w:rPr>
          <w:rFonts w:ascii="Times New Roman" w:hAnsi="Times New Roman" w:cs="Times New Roman"/>
          <w:sz w:val="24"/>
          <w:szCs w:val="24"/>
          <w:lang w:val="en-US"/>
        </w:rPr>
        <w:t xml:space="preserve">third-party </w:t>
      </w:r>
      <w:r w:rsidR="00C672FF" w:rsidRPr="00774EDB">
        <w:rPr>
          <w:rFonts w:ascii="Times New Roman" w:hAnsi="Times New Roman" w:cs="Times New Roman"/>
          <w:sz w:val="24"/>
          <w:szCs w:val="24"/>
          <w:lang w:val="en-US"/>
        </w:rPr>
        <w:t>PSN Services</w:t>
      </w:r>
      <w:r w:rsidR="00F067F2" w:rsidRPr="00774EDB">
        <w:rPr>
          <w:rFonts w:ascii="Times New Roman" w:hAnsi="Times New Roman" w:cs="Times New Roman"/>
          <w:sz w:val="24"/>
          <w:szCs w:val="24"/>
          <w:lang w:val="en-US"/>
        </w:rPr>
        <w:t>,</w:t>
      </w:r>
    </w:p>
    <w:p w14:paraId="67118222" w14:textId="4C42740D" w:rsidR="00F067F2" w:rsidRPr="00774EDB" w:rsidRDefault="00ED73A4" w:rsidP="00A70042">
      <w:pPr>
        <w:pStyle w:val="ListParagraph"/>
        <w:numPr>
          <w:ilvl w:val="0"/>
          <w:numId w:val="8"/>
        </w:numPr>
        <w:spacing w:before="120"/>
        <w:ind w:left="851" w:hanging="491"/>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ensur</w:t>
      </w:r>
      <w:r w:rsidR="00F067F2" w:rsidRPr="00774EDB">
        <w:rPr>
          <w:rFonts w:ascii="Times New Roman" w:hAnsi="Times New Roman" w:cs="Times New Roman"/>
          <w:sz w:val="24"/>
          <w:szCs w:val="24"/>
          <w:lang w:val="en-US"/>
        </w:rPr>
        <w:t xml:space="preserve">ing </w:t>
      </w:r>
      <w:r w:rsidR="004C4653" w:rsidRPr="00774EDB">
        <w:rPr>
          <w:rFonts w:ascii="Times New Roman" w:hAnsi="Times New Roman" w:cs="Times New Roman"/>
          <w:sz w:val="24"/>
          <w:szCs w:val="24"/>
          <w:lang w:val="en-US"/>
        </w:rPr>
        <w:t>that</w:t>
      </w:r>
      <w:r w:rsidR="00F067F2" w:rsidRPr="00774EDB">
        <w:rPr>
          <w:rFonts w:ascii="Times New Roman" w:hAnsi="Times New Roman" w:cs="Times New Roman"/>
          <w:sz w:val="24"/>
          <w:szCs w:val="24"/>
          <w:lang w:val="en-US"/>
        </w:rPr>
        <w:t xml:space="preserve"> </w:t>
      </w:r>
      <w:r w:rsidR="008645CB" w:rsidRPr="00774EDB">
        <w:rPr>
          <w:rFonts w:ascii="Times New Roman" w:hAnsi="Times New Roman" w:cs="Times New Roman"/>
          <w:sz w:val="24"/>
          <w:szCs w:val="24"/>
          <w:lang w:val="en-US"/>
        </w:rPr>
        <w:t>the so-called O</w:t>
      </w:r>
      <w:r w:rsidR="0077635D" w:rsidRPr="00774EDB">
        <w:rPr>
          <w:rFonts w:ascii="Times New Roman" w:hAnsi="Times New Roman" w:cs="Times New Roman"/>
          <w:sz w:val="24"/>
          <w:szCs w:val="24"/>
          <w:lang w:val="en-US"/>
        </w:rPr>
        <w:t>utlook</w:t>
      </w:r>
      <w:r w:rsidR="008645CB" w:rsidRPr="00774EDB">
        <w:rPr>
          <w:rFonts w:ascii="Times New Roman" w:hAnsi="Times New Roman" w:cs="Times New Roman"/>
          <w:sz w:val="24"/>
          <w:szCs w:val="24"/>
          <w:lang w:val="en-US"/>
        </w:rPr>
        <w:t xml:space="preserve"> add-ins </w:t>
      </w:r>
      <w:r w:rsidR="004C4653" w:rsidRPr="00774EDB">
        <w:rPr>
          <w:rFonts w:ascii="Times New Roman" w:hAnsi="Times New Roman" w:cs="Times New Roman"/>
          <w:sz w:val="24"/>
          <w:szCs w:val="24"/>
          <w:lang w:val="en-US"/>
        </w:rPr>
        <w:t xml:space="preserve">are run </w:t>
      </w:r>
      <w:r w:rsidR="008645CB" w:rsidRPr="00774EDB">
        <w:rPr>
          <w:rFonts w:ascii="Times New Roman" w:hAnsi="Times New Roman" w:cs="Times New Roman"/>
          <w:sz w:val="24"/>
          <w:szCs w:val="24"/>
          <w:lang w:val="en-US"/>
        </w:rPr>
        <w:t>independently of LinkedIn features to be included in Office,</w:t>
      </w:r>
    </w:p>
    <w:p w14:paraId="6904EA28" w14:textId="774A46D2" w:rsidR="008645CB" w:rsidRPr="00774EDB" w:rsidRDefault="008645CB" w:rsidP="00A70042">
      <w:pPr>
        <w:pStyle w:val="ListParagraph"/>
        <w:numPr>
          <w:ilvl w:val="0"/>
          <w:numId w:val="8"/>
        </w:numPr>
        <w:spacing w:before="120"/>
        <w:ind w:left="851" w:hanging="491"/>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allowing EEC users to disable LinkedIn features for the entire Office suite.</w:t>
      </w:r>
      <w:r w:rsidRPr="00774EDB">
        <w:rPr>
          <w:rStyle w:val="FootnoteReference"/>
          <w:rFonts w:ascii="Times New Roman" w:hAnsi="Times New Roman" w:cs="Times New Roman"/>
          <w:sz w:val="24"/>
          <w:szCs w:val="24"/>
          <w:lang w:val="en-US"/>
        </w:rPr>
        <w:footnoteReference w:id="586"/>
      </w:r>
      <w:r w:rsidRPr="00774EDB">
        <w:rPr>
          <w:rFonts w:ascii="Times New Roman" w:hAnsi="Times New Roman" w:cs="Times New Roman"/>
          <w:sz w:val="24"/>
          <w:szCs w:val="24"/>
          <w:lang w:val="en-US"/>
        </w:rPr>
        <w:t xml:space="preserve"> </w:t>
      </w:r>
    </w:p>
    <w:p w14:paraId="66501747" w14:textId="7E8C8EF0" w:rsidR="0033158E" w:rsidRPr="00774EDB" w:rsidRDefault="0033158E" w:rsidP="00A70042">
      <w:pPr>
        <w:spacing w:before="12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lastRenderedPageBreak/>
        <w:t>Pre-installation commitments include</w:t>
      </w:r>
      <w:r w:rsidR="00924FFF" w:rsidRPr="00774EDB">
        <w:rPr>
          <w:rFonts w:ascii="Times New Roman" w:hAnsi="Times New Roman" w:cs="Times New Roman"/>
          <w:sz w:val="24"/>
          <w:szCs w:val="24"/>
          <w:lang w:val="en-US"/>
        </w:rPr>
        <w:t>;</w:t>
      </w:r>
      <w:r w:rsidRPr="00774EDB">
        <w:rPr>
          <w:rFonts w:ascii="Times New Roman" w:hAnsi="Times New Roman" w:cs="Times New Roman"/>
          <w:sz w:val="24"/>
          <w:szCs w:val="24"/>
          <w:lang w:val="en-US"/>
        </w:rPr>
        <w:t xml:space="preserve">  </w:t>
      </w:r>
    </w:p>
    <w:p w14:paraId="2999F435" w14:textId="24850AC9" w:rsidR="0033158E" w:rsidRPr="00774EDB" w:rsidRDefault="0033158E" w:rsidP="00A70042">
      <w:pPr>
        <w:pStyle w:val="ListParagraph"/>
        <w:numPr>
          <w:ilvl w:val="0"/>
          <w:numId w:val="7"/>
        </w:numPr>
        <w:spacing w:before="120"/>
        <w:ind w:left="851" w:hanging="491"/>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ensuring that PC </w:t>
      </w:r>
      <w:r w:rsidR="002420B1" w:rsidRPr="00774EDB">
        <w:rPr>
          <w:rFonts w:ascii="Times New Roman" w:hAnsi="Times New Roman" w:cs="Times New Roman"/>
          <w:sz w:val="24"/>
          <w:szCs w:val="24"/>
          <w:lang w:val="en-US"/>
        </w:rPr>
        <w:t>OEM</w:t>
      </w:r>
      <w:r w:rsidRPr="00774EDB">
        <w:rPr>
          <w:rFonts w:ascii="Times New Roman" w:hAnsi="Times New Roman" w:cs="Times New Roman"/>
          <w:sz w:val="24"/>
          <w:szCs w:val="24"/>
          <w:lang w:val="en-US"/>
        </w:rPr>
        <w:t xml:space="preserve">s </w:t>
      </w:r>
      <w:r w:rsidR="00016B86" w:rsidRPr="00774EDB">
        <w:rPr>
          <w:rFonts w:ascii="Times New Roman" w:hAnsi="Times New Roman" w:cs="Times New Roman"/>
          <w:sz w:val="24"/>
          <w:szCs w:val="24"/>
          <w:lang w:val="en-US"/>
        </w:rPr>
        <w:t xml:space="preserve">and distributors </w:t>
      </w:r>
      <w:r w:rsidRPr="00774EDB">
        <w:rPr>
          <w:rFonts w:ascii="Times New Roman" w:hAnsi="Times New Roman" w:cs="Times New Roman"/>
          <w:sz w:val="24"/>
          <w:szCs w:val="24"/>
          <w:lang w:val="en-US"/>
        </w:rPr>
        <w:t xml:space="preserve">are free not to install </w:t>
      </w:r>
      <w:r w:rsidR="00B4174D" w:rsidRPr="00774EDB">
        <w:rPr>
          <w:rFonts w:ascii="Times New Roman" w:hAnsi="Times New Roman" w:cs="Times New Roman"/>
          <w:sz w:val="24"/>
          <w:szCs w:val="24"/>
          <w:lang w:val="en-US"/>
        </w:rPr>
        <w:t xml:space="preserve">any </w:t>
      </w:r>
      <w:r w:rsidR="002420B1" w:rsidRPr="00774EDB">
        <w:rPr>
          <w:rFonts w:ascii="Times New Roman" w:hAnsi="Times New Roman" w:cs="Times New Roman"/>
          <w:sz w:val="24"/>
          <w:szCs w:val="24"/>
          <w:lang w:val="en-US"/>
        </w:rPr>
        <w:t>LinkedIn branded application</w:t>
      </w:r>
      <w:r w:rsidR="00016B86" w:rsidRPr="00774EDB">
        <w:rPr>
          <w:rFonts w:ascii="Times New Roman" w:hAnsi="Times New Roman" w:cs="Times New Roman"/>
          <w:sz w:val="24"/>
          <w:szCs w:val="24"/>
          <w:lang w:val="en-US"/>
        </w:rPr>
        <w:t>,</w:t>
      </w:r>
      <w:r w:rsidR="002420B1" w:rsidRPr="00774EDB">
        <w:rPr>
          <w:rFonts w:ascii="Times New Roman" w:hAnsi="Times New Roman" w:cs="Times New Roman"/>
          <w:sz w:val="24"/>
          <w:szCs w:val="24"/>
          <w:lang w:val="en-US"/>
        </w:rPr>
        <w:t xml:space="preserve"> </w:t>
      </w:r>
      <w:r w:rsidR="00016B86" w:rsidRPr="00774EDB">
        <w:rPr>
          <w:rFonts w:ascii="Times New Roman" w:hAnsi="Times New Roman" w:cs="Times New Roman"/>
          <w:sz w:val="24"/>
          <w:szCs w:val="24"/>
          <w:lang w:val="en-US"/>
        </w:rPr>
        <w:t xml:space="preserve">Start tile or Taskbar button </w:t>
      </w:r>
      <w:r w:rsidR="002420B1" w:rsidRPr="00774EDB">
        <w:rPr>
          <w:rFonts w:ascii="Times New Roman" w:hAnsi="Times New Roman" w:cs="Times New Roman"/>
          <w:sz w:val="24"/>
          <w:szCs w:val="24"/>
          <w:lang w:val="en-US"/>
        </w:rPr>
        <w:t>for</w:t>
      </w:r>
      <w:r w:rsidR="00016B86" w:rsidRPr="00774EDB">
        <w:rPr>
          <w:rFonts w:ascii="Times New Roman" w:hAnsi="Times New Roman" w:cs="Times New Roman"/>
          <w:sz w:val="24"/>
          <w:szCs w:val="24"/>
          <w:lang w:val="en-US"/>
        </w:rPr>
        <w:t xml:space="preserve"> </w:t>
      </w:r>
      <w:r w:rsidR="002420B1" w:rsidRPr="00774EDB">
        <w:rPr>
          <w:rFonts w:ascii="Times New Roman" w:hAnsi="Times New Roman" w:cs="Times New Roman"/>
          <w:sz w:val="24"/>
          <w:szCs w:val="24"/>
          <w:lang w:val="en-US"/>
        </w:rPr>
        <w:t>Windows OS on their PCs that are distributed in the European Economic Area</w:t>
      </w:r>
      <w:r w:rsidRPr="00774EDB">
        <w:rPr>
          <w:rFonts w:ascii="Times New Roman" w:hAnsi="Times New Roman" w:cs="Times New Roman"/>
          <w:sz w:val="24"/>
          <w:szCs w:val="24"/>
          <w:lang w:val="en-US"/>
        </w:rPr>
        <w:t>,</w:t>
      </w:r>
    </w:p>
    <w:p w14:paraId="36599037" w14:textId="4188C7A6" w:rsidR="00C06879" w:rsidRPr="00774EDB" w:rsidRDefault="0033158E" w:rsidP="00A70042">
      <w:pPr>
        <w:pStyle w:val="ListParagraph"/>
        <w:numPr>
          <w:ilvl w:val="0"/>
          <w:numId w:val="7"/>
        </w:numPr>
        <w:spacing w:before="120"/>
        <w:ind w:left="851" w:hanging="491"/>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allowing users to remove LinkedIn from Windows if PC </w:t>
      </w:r>
      <w:r w:rsidR="00A15E32" w:rsidRPr="00774EDB">
        <w:rPr>
          <w:rFonts w:ascii="Times New Roman" w:hAnsi="Times New Roman" w:cs="Times New Roman"/>
          <w:sz w:val="24"/>
          <w:szCs w:val="24"/>
          <w:lang w:val="en-US"/>
        </w:rPr>
        <w:t>OEM</w:t>
      </w:r>
      <w:r w:rsidRPr="00774EDB">
        <w:rPr>
          <w:rFonts w:ascii="Times New Roman" w:hAnsi="Times New Roman" w:cs="Times New Roman"/>
          <w:sz w:val="24"/>
          <w:szCs w:val="24"/>
          <w:lang w:val="en-US"/>
        </w:rPr>
        <w:t>s and distributors decide to pre-install it</w:t>
      </w:r>
      <w:r w:rsidR="00C06879" w:rsidRPr="00774EDB">
        <w:rPr>
          <w:rFonts w:ascii="Times New Roman" w:hAnsi="Times New Roman" w:cs="Times New Roman"/>
          <w:sz w:val="24"/>
          <w:szCs w:val="24"/>
          <w:lang w:val="en-US"/>
        </w:rPr>
        <w:t>,</w:t>
      </w:r>
    </w:p>
    <w:p w14:paraId="4A8FE8DB" w14:textId="57E1DC5F" w:rsidR="007B5EAC" w:rsidRPr="00774EDB" w:rsidRDefault="0033158E" w:rsidP="00A70042">
      <w:pPr>
        <w:pStyle w:val="ListParagraph"/>
        <w:numPr>
          <w:ilvl w:val="0"/>
          <w:numId w:val="7"/>
        </w:numPr>
        <w:spacing w:before="120"/>
        <w:ind w:left="851" w:hanging="491"/>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not reiterating in any way against PC </w:t>
      </w:r>
      <w:r w:rsidR="00C06879" w:rsidRPr="00774EDB">
        <w:rPr>
          <w:rFonts w:ascii="Times New Roman" w:hAnsi="Times New Roman" w:cs="Times New Roman"/>
          <w:sz w:val="24"/>
          <w:szCs w:val="24"/>
          <w:lang w:val="en-US"/>
        </w:rPr>
        <w:t>OEM</w:t>
      </w:r>
      <w:r w:rsidRPr="00774EDB">
        <w:rPr>
          <w:rFonts w:ascii="Times New Roman" w:hAnsi="Times New Roman" w:cs="Times New Roman"/>
          <w:sz w:val="24"/>
          <w:szCs w:val="24"/>
          <w:lang w:val="en-US"/>
        </w:rPr>
        <w:t>s and distributors</w:t>
      </w:r>
      <w:r w:rsidR="007B5EAC" w:rsidRPr="00774EDB">
        <w:rPr>
          <w:rFonts w:ascii="Times New Roman" w:hAnsi="Times New Roman" w:cs="Times New Roman"/>
          <w:sz w:val="24"/>
          <w:szCs w:val="24"/>
          <w:lang w:val="en-US"/>
        </w:rPr>
        <w:t xml:space="preserve"> for developing, using, distributing, promoting or supporting a Windows PC application and/or a Windows PC tile for third-party PSN providers,</w:t>
      </w:r>
    </w:p>
    <w:p w14:paraId="2AFD6D7C" w14:textId="77777777" w:rsidR="000D20B0" w:rsidRPr="00774EDB" w:rsidRDefault="00BA2BCF" w:rsidP="00A70042">
      <w:pPr>
        <w:pStyle w:val="ListParagraph"/>
        <w:numPr>
          <w:ilvl w:val="0"/>
          <w:numId w:val="7"/>
        </w:numPr>
        <w:spacing w:before="120"/>
        <w:ind w:left="851" w:hanging="491"/>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granting users the ability to remove the LinkedIn from the</w:t>
      </w:r>
      <w:r w:rsidR="000D20B0" w:rsidRPr="00774EDB">
        <w:rPr>
          <w:rFonts w:ascii="Times New Roman" w:hAnsi="Times New Roman" w:cs="Times New Roman"/>
          <w:sz w:val="24"/>
          <w:szCs w:val="24"/>
          <w:lang w:val="en-US"/>
        </w:rPr>
        <w:t>ir Windows PC OS,</w:t>
      </w:r>
    </w:p>
    <w:p w14:paraId="3AA65162" w14:textId="29FA2B0B" w:rsidR="00466AD8" w:rsidRPr="00774EDB" w:rsidRDefault="000D20B0" w:rsidP="00A70042">
      <w:pPr>
        <w:pStyle w:val="ListParagraph"/>
        <w:numPr>
          <w:ilvl w:val="0"/>
          <w:numId w:val="7"/>
        </w:numPr>
        <w:spacing w:before="120"/>
        <w:ind w:left="851" w:hanging="491"/>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not offering or prompting users to install or including LinkedIn through Windows PC OS or its updates</w:t>
      </w:r>
      <w:r w:rsidR="00924FFF" w:rsidRPr="00774EDB">
        <w:rPr>
          <w:rFonts w:ascii="Times New Roman" w:hAnsi="Times New Roman" w:cs="Times New Roman"/>
          <w:sz w:val="24"/>
          <w:szCs w:val="24"/>
          <w:lang w:val="en-US"/>
        </w:rPr>
        <w:t>.</w:t>
      </w:r>
      <w:r w:rsidR="0033158E" w:rsidRPr="00774EDB">
        <w:rPr>
          <w:rStyle w:val="FootnoteReference"/>
          <w:rFonts w:ascii="Times New Roman" w:hAnsi="Times New Roman" w:cs="Times New Roman"/>
          <w:sz w:val="24"/>
          <w:szCs w:val="24"/>
          <w:lang w:val="en-US"/>
        </w:rPr>
        <w:footnoteReference w:id="587"/>
      </w:r>
      <w:r w:rsidR="0033158E" w:rsidRPr="00774EDB">
        <w:rPr>
          <w:rFonts w:ascii="Times New Roman" w:hAnsi="Times New Roman" w:cs="Times New Roman"/>
          <w:sz w:val="24"/>
          <w:szCs w:val="24"/>
          <w:lang w:val="en-US"/>
        </w:rPr>
        <w:t xml:space="preserve"> </w:t>
      </w:r>
      <w:r w:rsidR="00466AD8" w:rsidRPr="00774EDB">
        <w:rPr>
          <w:rFonts w:ascii="Times New Roman" w:hAnsi="Times New Roman" w:cs="Times New Roman"/>
          <w:sz w:val="24"/>
          <w:szCs w:val="24"/>
          <w:lang w:val="en-US"/>
        </w:rPr>
        <w:t xml:space="preserve"> </w:t>
      </w:r>
    </w:p>
    <w:p w14:paraId="4EFCA88D" w14:textId="77777777" w:rsidR="00D41265" w:rsidRPr="00774EDB" w:rsidRDefault="00EC27EF"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With an overall assessment, it is possible to conclude that both sets of commitments not only respond to the relevant scenarios but also aim to ensure a level playing field in the post-merger PSN market. The Commission demonstrates it can use merger control mechanisms to the extent that relevant markets are revisited and revitalized with none or the minimized possibility of competition problems. </w:t>
      </w:r>
      <w:r w:rsidRPr="00774EDB">
        <w:rPr>
          <w:rFonts w:ascii="Times New Roman" w:hAnsi="Times New Roman" w:cs="Times New Roman"/>
          <w:i/>
          <w:sz w:val="24"/>
          <w:szCs w:val="24"/>
          <w:lang w:val="en-US"/>
        </w:rPr>
        <w:t>Microsoft/LinkedIn</w:t>
      </w:r>
      <w:r w:rsidRPr="00774EDB">
        <w:rPr>
          <w:rFonts w:ascii="Times New Roman" w:hAnsi="Times New Roman" w:cs="Times New Roman"/>
          <w:sz w:val="24"/>
          <w:szCs w:val="24"/>
          <w:lang w:val="en-US"/>
        </w:rPr>
        <w:t>, representing this very end-target, unwraps a package of commitments, revealing a semi-regulatory vision. Intervening in the area of behavioural economics, the Commission opted for a remedy that encouraged users to make a choice as to which PSN to use,</w:t>
      </w:r>
      <w:r w:rsidRPr="00774EDB">
        <w:rPr>
          <w:rStyle w:val="FootnoteReference"/>
          <w:rFonts w:ascii="Times New Roman" w:hAnsi="Times New Roman" w:cs="Times New Roman"/>
          <w:sz w:val="24"/>
          <w:szCs w:val="24"/>
          <w:lang w:val="en-US"/>
        </w:rPr>
        <w:footnoteReference w:id="588"/>
      </w:r>
      <w:r w:rsidRPr="00774EDB">
        <w:rPr>
          <w:rFonts w:ascii="Times New Roman" w:hAnsi="Times New Roman" w:cs="Times New Roman"/>
          <w:sz w:val="24"/>
          <w:szCs w:val="24"/>
          <w:lang w:val="en-US"/>
        </w:rPr>
        <w:t xml:space="preserve"> and aimed to create equal footing amongst the rival companies.</w:t>
      </w:r>
    </w:p>
    <w:p w14:paraId="66F18465" w14:textId="77777777" w:rsidR="00DC5814" w:rsidRPr="00774EDB" w:rsidRDefault="00DC5814"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lastRenderedPageBreak/>
        <w:t xml:space="preserve">Remarkably, the Commission’s interventions in several antitrust and merger cases pose a divergence, if not an inconsistency overall. For instance, while tying up Windows Media Player with Windows OS was challenged under Article 102 in </w:t>
      </w:r>
      <w:r w:rsidRPr="00774EDB">
        <w:rPr>
          <w:rFonts w:ascii="Times New Roman" w:hAnsi="Times New Roman" w:cs="Times New Roman"/>
          <w:i/>
          <w:iCs/>
          <w:sz w:val="24"/>
          <w:szCs w:val="24"/>
          <w:lang w:val="en-US"/>
        </w:rPr>
        <w:t>Microsoft</w:t>
      </w:r>
      <w:r w:rsidRPr="00774EDB">
        <w:rPr>
          <w:rFonts w:ascii="Times New Roman" w:hAnsi="Times New Roman" w:cs="Times New Roman"/>
          <w:sz w:val="24"/>
          <w:szCs w:val="24"/>
          <w:lang w:val="en-US"/>
        </w:rPr>
        <w:t>,</w:t>
      </w:r>
      <w:r w:rsidRPr="00774EDB">
        <w:rPr>
          <w:rStyle w:val="FootnoteReference"/>
          <w:rFonts w:ascii="Times New Roman" w:hAnsi="Times New Roman" w:cs="Times New Roman"/>
          <w:sz w:val="24"/>
          <w:szCs w:val="24"/>
          <w:lang w:val="en-US"/>
        </w:rPr>
        <w:footnoteReference w:id="589"/>
      </w:r>
      <w:r w:rsidRPr="00774EDB">
        <w:rPr>
          <w:rFonts w:ascii="Times New Roman" w:hAnsi="Times New Roman" w:cs="Times New Roman"/>
          <w:sz w:val="24"/>
          <w:szCs w:val="24"/>
          <w:lang w:val="en-US"/>
        </w:rPr>
        <w:t xml:space="preserve"> Microsoft’s tying Internet Explorer with its OS did not receive the same reaction later on.</w:t>
      </w:r>
      <w:r w:rsidRPr="00774EDB">
        <w:rPr>
          <w:rStyle w:val="FootnoteReference"/>
          <w:rFonts w:ascii="Times New Roman" w:hAnsi="Times New Roman" w:cs="Times New Roman"/>
          <w:sz w:val="24"/>
          <w:szCs w:val="24"/>
          <w:lang w:val="en-US"/>
        </w:rPr>
        <w:footnoteReference w:id="590"/>
      </w:r>
      <w:r w:rsidRPr="00774EDB">
        <w:rPr>
          <w:rFonts w:ascii="Times New Roman" w:hAnsi="Times New Roman" w:cs="Times New Roman"/>
          <w:sz w:val="24"/>
          <w:szCs w:val="24"/>
          <w:lang w:val="en-US"/>
        </w:rPr>
        <w:t xml:space="preserve"> On the other hand, scenarios apart from tying e.g. based on integration and pre-installation, clearly appear to have raised concerns on the part of the Commission.</w:t>
      </w:r>
    </w:p>
    <w:p w14:paraId="3D493ABB" w14:textId="77777777" w:rsidR="00DC5814" w:rsidRPr="00774EDB" w:rsidRDefault="00DC5814"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From this viewpoint, interoperability-based behavioural remedies inspired by </w:t>
      </w:r>
      <w:r w:rsidRPr="00774EDB">
        <w:rPr>
          <w:rFonts w:ascii="Times New Roman" w:hAnsi="Times New Roman" w:cs="Times New Roman"/>
          <w:i/>
          <w:sz w:val="24"/>
          <w:szCs w:val="24"/>
          <w:lang w:val="en-US"/>
        </w:rPr>
        <w:t xml:space="preserve">Microsoft </w:t>
      </w:r>
      <w:r w:rsidRPr="00774EDB">
        <w:rPr>
          <w:rFonts w:ascii="Times New Roman" w:hAnsi="Times New Roman" w:cs="Times New Roman"/>
          <w:sz w:val="24"/>
          <w:szCs w:val="24"/>
          <w:lang w:val="en-US"/>
        </w:rPr>
        <w:t xml:space="preserve">seem to have been drawn on in </w:t>
      </w:r>
      <w:r w:rsidRPr="00774EDB">
        <w:rPr>
          <w:rFonts w:ascii="Times New Roman" w:hAnsi="Times New Roman" w:cs="Times New Roman"/>
          <w:i/>
          <w:sz w:val="24"/>
          <w:szCs w:val="24"/>
          <w:lang w:val="en-US"/>
        </w:rPr>
        <w:t>Microsoft/LinkedIn</w:t>
      </w:r>
      <w:r w:rsidRPr="00774EDB">
        <w:rPr>
          <w:rFonts w:ascii="Times New Roman" w:hAnsi="Times New Roman" w:cs="Times New Roman"/>
          <w:sz w:val="24"/>
          <w:szCs w:val="24"/>
          <w:lang w:val="en-US"/>
        </w:rPr>
        <w:t xml:space="preserve">. Yet, the </w:t>
      </w:r>
      <w:r w:rsidRPr="00774EDB">
        <w:rPr>
          <w:rFonts w:ascii="Times New Roman" w:hAnsi="Times New Roman" w:cs="Times New Roman"/>
          <w:i/>
          <w:sz w:val="24"/>
          <w:szCs w:val="24"/>
          <w:lang w:val="en-US"/>
        </w:rPr>
        <w:t xml:space="preserve">Microsoft/LinkedIn </w:t>
      </w:r>
      <w:r w:rsidRPr="00774EDB">
        <w:rPr>
          <w:rFonts w:ascii="Times New Roman" w:hAnsi="Times New Roman" w:cs="Times New Roman"/>
          <w:sz w:val="24"/>
          <w:szCs w:val="24"/>
          <w:lang w:val="en-US"/>
        </w:rPr>
        <w:t xml:space="preserve">decision did not specify a unique obligation, e.g. disclosure of interface specifications, and contended with the maintenance of the former level of interoperability between Microsoft’s products and those of competitors. Also, remarkably, while interoperability concerns were met and responded to, other concerns such as tying/bundling were dismissed under </w:t>
      </w:r>
      <w:r w:rsidRPr="00774EDB">
        <w:rPr>
          <w:rFonts w:ascii="Times New Roman" w:hAnsi="Times New Roman" w:cs="Times New Roman"/>
          <w:i/>
          <w:sz w:val="24"/>
          <w:szCs w:val="24"/>
          <w:lang w:val="en-US"/>
        </w:rPr>
        <w:t>Microsoft/LinkedIn</w:t>
      </w:r>
      <w:r w:rsidRPr="00774EDB">
        <w:rPr>
          <w:rFonts w:ascii="Times New Roman" w:hAnsi="Times New Roman" w:cs="Times New Roman"/>
          <w:sz w:val="24"/>
          <w:szCs w:val="24"/>
          <w:lang w:val="en-US"/>
        </w:rPr>
        <w:t>. Given this fact, the antitrust and M&amp;A interventions of the Commission could be said to complement each other, including from the interoperability perspective.</w:t>
      </w:r>
    </w:p>
    <w:p w14:paraId="7B65ED84" w14:textId="77777777" w:rsidR="004960A3" w:rsidRPr="00774EDB" w:rsidRDefault="00DC5814"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However, this does not reflect the case at all. Interestingly, in </w:t>
      </w:r>
      <w:r w:rsidRPr="00774EDB">
        <w:rPr>
          <w:rFonts w:ascii="Times New Roman" w:hAnsi="Times New Roman" w:cs="Times New Roman"/>
          <w:i/>
          <w:sz w:val="24"/>
          <w:szCs w:val="24"/>
          <w:lang w:val="en-US"/>
        </w:rPr>
        <w:t>Cisco/Tanberg</w:t>
      </w:r>
      <w:r w:rsidRPr="00774EDB">
        <w:rPr>
          <w:rFonts w:ascii="Times New Roman" w:hAnsi="Times New Roman" w:cs="Times New Roman"/>
          <w:sz w:val="24"/>
          <w:szCs w:val="24"/>
          <w:lang w:val="en-US"/>
        </w:rPr>
        <w:t xml:space="preserve">, Cisco has already been licensing its essential patents (SEPs) on a royalty-free basis and permitting its competitors to implement TIP in their products, namely videoconferencing solutions. The Commission nevertheless opted to clear the acquisition with the structural and behavioural conditions to ensure the interoperability </w:t>
      </w:r>
      <w:r w:rsidRPr="00774EDB">
        <w:rPr>
          <w:rFonts w:ascii="Times New Roman" w:hAnsi="Times New Roman" w:cs="Times New Roman"/>
          <w:sz w:val="24"/>
          <w:szCs w:val="24"/>
          <w:lang w:val="en-US"/>
        </w:rPr>
        <w:lastRenderedPageBreak/>
        <w:t>between its products and those of competitors is not impaired.</w:t>
      </w:r>
      <w:r w:rsidRPr="00774EDB">
        <w:rPr>
          <w:rStyle w:val="FootnoteReference"/>
          <w:rFonts w:ascii="Times New Roman" w:hAnsi="Times New Roman" w:cs="Times New Roman"/>
          <w:sz w:val="24"/>
          <w:szCs w:val="24"/>
          <w:lang w:val="en-US"/>
        </w:rPr>
        <w:footnoteReference w:id="591"/>
      </w:r>
      <w:r w:rsidRPr="00774EDB">
        <w:rPr>
          <w:rFonts w:ascii="Times New Roman" w:hAnsi="Times New Roman" w:cs="Times New Roman"/>
          <w:sz w:val="24"/>
          <w:szCs w:val="24"/>
          <w:lang w:val="en-US"/>
        </w:rPr>
        <w:t xml:space="preserve"> Not only in </w:t>
      </w:r>
      <w:r w:rsidRPr="00774EDB">
        <w:rPr>
          <w:rFonts w:ascii="Times New Roman" w:hAnsi="Times New Roman" w:cs="Times New Roman"/>
          <w:i/>
          <w:sz w:val="24"/>
          <w:szCs w:val="24"/>
          <w:lang w:val="en-US"/>
        </w:rPr>
        <w:t>Cisco/Tandberg</w:t>
      </w:r>
      <w:r w:rsidRPr="00774EDB">
        <w:rPr>
          <w:rFonts w:ascii="Times New Roman" w:hAnsi="Times New Roman" w:cs="Times New Roman"/>
          <w:sz w:val="24"/>
          <w:szCs w:val="24"/>
          <w:lang w:val="en-US"/>
        </w:rPr>
        <w:t xml:space="preserve">, even throughout EU history, creating a pro-interoperability environment on the basis of equal footing among the players has functioned as a subordinate goal of merger control mechanisms. Except in circumstances when the interoperability concerns are mitigated via multi-homing and other factors, e.g. the ephemeral nature of market power, the Commission’s interventionist approach should be noted against the potential risks of impaired interoperability, as the </w:t>
      </w:r>
      <w:r w:rsidRPr="00774EDB">
        <w:rPr>
          <w:rFonts w:ascii="Times New Roman" w:hAnsi="Times New Roman" w:cs="Times New Roman"/>
          <w:i/>
          <w:iCs/>
          <w:sz w:val="24"/>
          <w:szCs w:val="24"/>
          <w:lang w:val="en-US"/>
        </w:rPr>
        <w:t>Microsoft/LinkedIn</w:t>
      </w:r>
      <w:r w:rsidRPr="00774EDB">
        <w:rPr>
          <w:rFonts w:ascii="Times New Roman" w:hAnsi="Times New Roman" w:cs="Times New Roman"/>
          <w:sz w:val="24"/>
          <w:szCs w:val="24"/>
          <w:lang w:val="en-US"/>
        </w:rPr>
        <w:t xml:space="preserve"> decision signifies clearly. </w:t>
      </w:r>
      <w:r w:rsidR="00606931" w:rsidRPr="00774EDB">
        <w:rPr>
          <w:rFonts w:ascii="Times New Roman" w:hAnsi="Times New Roman" w:cs="Times New Roman"/>
          <w:sz w:val="24"/>
          <w:szCs w:val="24"/>
          <w:lang w:val="en-US"/>
        </w:rPr>
        <w:t xml:space="preserve"> </w:t>
      </w:r>
    </w:p>
    <w:p w14:paraId="49A00DCC" w14:textId="77777777" w:rsidR="008C3B6B" w:rsidRPr="00774EDB" w:rsidRDefault="008C3B6B" w:rsidP="00A70042">
      <w:pPr>
        <w:pStyle w:val="Heading2"/>
        <w:numPr>
          <w:ilvl w:val="1"/>
          <w:numId w:val="33"/>
        </w:numPr>
        <w:tabs>
          <w:tab w:val="left" w:pos="567"/>
        </w:tabs>
        <w:spacing w:before="360"/>
        <w:ind w:left="0" w:firstLine="0"/>
        <w:jc w:val="both"/>
        <w:rPr>
          <w:rFonts w:ascii="Times New Roman" w:hAnsi="Times New Roman" w:cs="Times New Roman"/>
          <w:b/>
          <w:color w:val="auto"/>
          <w:sz w:val="24"/>
          <w:szCs w:val="24"/>
        </w:rPr>
      </w:pPr>
      <w:bookmarkStart w:id="450" w:name="_Toc17611437"/>
      <w:bookmarkStart w:id="451" w:name="_Toc17611654"/>
      <w:bookmarkStart w:id="452" w:name="_Toc17611866"/>
      <w:bookmarkStart w:id="453" w:name="_Toc17612080"/>
      <w:bookmarkStart w:id="454" w:name="_Toc17612293"/>
      <w:bookmarkStart w:id="455" w:name="_Toc17611438"/>
      <w:bookmarkStart w:id="456" w:name="_Toc53576078"/>
      <w:bookmarkEnd w:id="450"/>
      <w:bookmarkEnd w:id="451"/>
      <w:bookmarkEnd w:id="452"/>
      <w:bookmarkEnd w:id="453"/>
      <w:bookmarkEnd w:id="454"/>
      <w:r w:rsidRPr="00774EDB">
        <w:rPr>
          <w:rFonts w:ascii="Times New Roman" w:hAnsi="Times New Roman" w:cs="Times New Roman"/>
          <w:b/>
          <w:color w:val="auto"/>
          <w:sz w:val="24"/>
          <w:szCs w:val="24"/>
        </w:rPr>
        <w:t>Assessment of EU competition law</w:t>
      </w:r>
      <w:bookmarkEnd w:id="455"/>
      <w:bookmarkEnd w:id="456"/>
    </w:p>
    <w:p w14:paraId="14CF0A77" w14:textId="18150480" w:rsidR="00DC5814" w:rsidRPr="00774EDB" w:rsidRDefault="00DC5814"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EU </w:t>
      </w:r>
      <w:r w:rsidR="00027FD8">
        <w:rPr>
          <w:rFonts w:ascii="Times New Roman" w:hAnsi="Times New Roman" w:cs="Times New Roman"/>
          <w:sz w:val="24"/>
          <w:szCs w:val="24"/>
        </w:rPr>
        <w:t>c</w:t>
      </w:r>
      <w:r w:rsidRPr="00774EDB">
        <w:rPr>
          <w:rFonts w:ascii="Times New Roman" w:hAnsi="Times New Roman" w:cs="Times New Roman"/>
          <w:sz w:val="24"/>
          <w:szCs w:val="24"/>
        </w:rPr>
        <w:t xml:space="preserve">ompetition law offers a variety of tools to cope with the anti-competitive behaviours and accompanying risks that would accompany different market settings, including via collaborations, concentrations and abuse of dominant position. In this context, ensuring vertical and/or horizontal interoperability stands out as an important objective, usually subordinated to broadly set competition law goals. From this point of view, in the absence of vertical and/or horizontal competition concerns, remedial tools are not invoked to enhance the level of interoperability under EU competition law. </w:t>
      </w:r>
      <w:r w:rsidR="00027FD8">
        <w:rPr>
          <w:rFonts w:ascii="Times New Roman" w:hAnsi="Times New Roman" w:cs="Times New Roman"/>
          <w:sz w:val="24"/>
          <w:szCs w:val="24"/>
        </w:rPr>
        <w:t>Nonetheless</w:t>
      </w:r>
      <w:r w:rsidRPr="00774EDB">
        <w:rPr>
          <w:rFonts w:ascii="Times New Roman" w:hAnsi="Times New Roman" w:cs="Times New Roman"/>
          <w:sz w:val="24"/>
          <w:szCs w:val="24"/>
        </w:rPr>
        <w:t>, many EU precedents demonstrate the readiness of the Commission to intervene in the case of potentially impaired or absent interoperability.</w:t>
      </w:r>
    </w:p>
    <w:p w14:paraId="246E92C8" w14:textId="2C4AE6D5" w:rsidR="00DC5814" w:rsidRPr="00774EDB" w:rsidRDefault="00DC5814"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First and foremost, the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judgement demonstrates that the Commission could enforce Article 102 with a view not only to restore but also to further the level of interoperability, even sometimes going beyond the established lines of case law, i.e. </w:t>
      </w:r>
      <w:r w:rsidRPr="00774EDB">
        <w:rPr>
          <w:rFonts w:ascii="Times New Roman" w:hAnsi="Times New Roman" w:cs="Times New Roman"/>
          <w:sz w:val="24"/>
          <w:szCs w:val="24"/>
        </w:rPr>
        <w:lastRenderedPageBreak/>
        <w:t xml:space="preserve">regarding </w:t>
      </w:r>
      <w:r w:rsidR="00027FD8">
        <w:rPr>
          <w:rFonts w:ascii="Times New Roman" w:hAnsi="Times New Roman" w:cs="Times New Roman"/>
          <w:sz w:val="24"/>
          <w:szCs w:val="24"/>
        </w:rPr>
        <w:t>‘</w:t>
      </w:r>
      <w:r w:rsidRPr="00774EDB">
        <w:rPr>
          <w:rFonts w:ascii="Times New Roman" w:hAnsi="Times New Roman" w:cs="Times New Roman"/>
          <w:sz w:val="24"/>
          <w:szCs w:val="24"/>
        </w:rPr>
        <w:t>exceptional circumstances</w:t>
      </w:r>
      <w:r w:rsidR="00027FD8">
        <w:rPr>
          <w:rFonts w:ascii="Times New Roman" w:hAnsi="Times New Roman" w:cs="Times New Roman"/>
          <w:sz w:val="24"/>
          <w:szCs w:val="24"/>
        </w:rPr>
        <w:t>’</w:t>
      </w:r>
      <w:r w:rsidRPr="00774EDB">
        <w:rPr>
          <w:rFonts w:ascii="Times New Roman" w:hAnsi="Times New Roman" w:cs="Times New Roman"/>
          <w:sz w:val="24"/>
          <w:szCs w:val="24"/>
        </w:rPr>
        <w:t xml:space="preserve">. It is undeniable that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caused some erosion of the legal standards applicable to ‘refusal to license’ behaviours, leaving an open and unsecure area for intervention based on the lack of interoperability. The absence of a well-established ‘theory of harm’ albeit with the elaborat</w:t>
      </w:r>
      <w:r w:rsidR="00027FD8">
        <w:rPr>
          <w:rFonts w:ascii="Times New Roman" w:hAnsi="Times New Roman" w:cs="Times New Roman"/>
          <w:sz w:val="24"/>
          <w:szCs w:val="24"/>
        </w:rPr>
        <w:t>ion of the underlying</w:t>
      </w:r>
      <w:r w:rsidRPr="00774EDB">
        <w:rPr>
          <w:rFonts w:ascii="Times New Roman" w:hAnsi="Times New Roman" w:cs="Times New Roman"/>
          <w:sz w:val="24"/>
          <w:szCs w:val="24"/>
        </w:rPr>
        <w:t xml:space="preserve"> facts in </w:t>
      </w:r>
      <w:r w:rsidRPr="00774EDB">
        <w:rPr>
          <w:rFonts w:ascii="Times New Roman" w:hAnsi="Times New Roman" w:cs="Times New Roman"/>
          <w:i/>
          <w:sz w:val="24"/>
          <w:szCs w:val="24"/>
        </w:rPr>
        <w:t>Microsoft</w:t>
      </w:r>
      <w:r w:rsidRPr="00774EDB">
        <w:rPr>
          <w:rStyle w:val="FootnoteReference"/>
          <w:rFonts w:ascii="Times New Roman" w:hAnsi="Times New Roman" w:cs="Times New Roman"/>
          <w:sz w:val="24"/>
          <w:szCs w:val="24"/>
        </w:rPr>
        <w:footnoteReference w:id="592"/>
      </w:r>
      <w:r w:rsidRPr="00774EDB">
        <w:rPr>
          <w:rFonts w:ascii="Times New Roman" w:hAnsi="Times New Roman" w:cs="Times New Roman"/>
          <w:i/>
          <w:sz w:val="24"/>
          <w:szCs w:val="24"/>
        </w:rPr>
        <w:t xml:space="preserve"> </w:t>
      </w:r>
      <w:r w:rsidRPr="00774EDB">
        <w:rPr>
          <w:rFonts w:ascii="Times New Roman" w:hAnsi="Times New Roman" w:cs="Times New Roman"/>
          <w:sz w:val="24"/>
          <w:szCs w:val="24"/>
        </w:rPr>
        <w:t>would mean future cases could be dealt with on a looser ground that is supposedly to be directly linked to the TFEU rules i.e. Article 102(b)</w:t>
      </w:r>
      <w:r w:rsidR="00027FD8">
        <w:rPr>
          <w:rFonts w:ascii="Times New Roman" w:hAnsi="Times New Roman" w:cs="Times New Roman"/>
          <w:sz w:val="24"/>
          <w:szCs w:val="24"/>
        </w:rPr>
        <w:t xml:space="preserve"> on </w:t>
      </w:r>
      <w:r w:rsidR="00FF0316">
        <w:rPr>
          <w:rFonts w:ascii="Times New Roman" w:hAnsi="Times New Roman" w:cs="Times New Roman"/>
          <w:sz w:val="24"/>
          <w:szCs w:val="24"/>
        </w:rPr>
        <w:t>the basis</w:t>
      </w:r>
      <w:r w:rsidR="00027FD8">
        <w:rPr>
          <w:rFonts w:ascii="Times New Roman" w:hAnsi="Times New Roman" w:cs="Times New Roman"/>
          <w:sz w:val="24"/>
          <w:szCs w:val="24"/>
        </w:rPr>
        <w:t xml:space="preserve"> of literal reading </w:t>
      </w:r>
      <w:r w:rsidR="00B656FD">
        <w:rPr>
          <w:rFonts w:ascii="Times New Roman" w:hAnsi="Times New Roman" w:cs="Times New Roman"/>
          <w:sz w:val="24"/>
          <w:szCs w:val="24"/>
        </w:rPr>
        <w:t>instead of</w:t>
      </w:r>
      <w:r w:rsidR="00027FD8">
        <w:rPr>
          <w:rFonts w:ascii="Times New Roman" w:hAnsi="Times New Roman" w:cs="Times New Roman"/>
          <w:sz w:val="24"/>
          <w:szCs w:val="24"/>
        </w:rPr>
        <w:t xml:space="preserve"> </w:t>
      </w:r>
      <w:r w:rsidR="00FF0316">
        <w:rPr>
          <w:rFonts w:ascii="Times New Roman" w:hAnsi="Times New Roman" w:cs="Times New Roman"/>
          <w:sz w:val="24"/>
          <w:szCs w:val="24"/>
        </w:rPr>
        <w:t xml:space="preserve">a </w:t>
      </w:r>
      <w:r w:rsidR="00341F07">
        <w:rPr>
          <w:rFonts w:ascii="Times New Roman" w:hAnsi="Times New Roman" w:cs="Times New Roman"/>
          <w:sz w:val="24"/>
          <w:szCs w:val="24"/>
        </w:rPr>
        <w:t>meticulous</w:t>
      </w:r>
      <w:r w:rsidR="00FF0316">
        <w:rPr>
          <w:rFonts w:ascii="Times New Roman" w:hAnsi="Times New Roman" w:cs="Times New Roman"/>
          <w:sz w:val="24"/>
          <w:szCs w:val="24"/>
        </w:rPr>
        <w:t xml:space="preserve"> </w:t>
      </w:r>
      <w:r w:rsidR="00027FD8">
        <w:rPr>
          <w:rFonts w:ascii="Times New Roman" w:hAnsi="Times New Roman" w:cs="Times New Roman"/>
          <w:sz w:val="24"/>
          <w:szCs w:val="24"/>
        </w:rPr>
        <w:t>interpretation</w:t>
      </w:r>
      <w:r w:rsidRPr="00774EDB">
        <w:rPr>
          <w:rFonts w:ascii="Times New Roman" w:hAnsi="Times New Roman" w:cs="Times New Roman"/>
          <w:sz w:val="24"/>
          <w:szCs w:val="24"/>
        </w:rPr>
        <w:t xml:space="preserve"> </w:t>
      </w:r>
      <w:r w:rsidR="00B656FD">
        <w:rPr>
          <w:rFonts w:ascii="Times New Roman" w:hAnsi="Times New Roman" w:cs="Times New Roman"/>
          <w:sz w:val="24"/>
          <w:szCs w:val="24"/>
        </w:rPr>
        <w:t>invoking</w:t>
      </w:r>
      <w:r w:rsidRPr="00774EDB">
        <w:rPr>
          <w:rFonts w:ascii="Times New Roman" w:hAnsi="Times New Roman" w:cs="Times New Roman"/>
          <w:sz w:val="24"/>
          <w:szCs w:val="24"/>
        </w:rPr>
        <w:t xml:space="preserve"> the substantiated </w:t>
      </w:r>
      <w:r w:rsidR="00341F07">
        <w:rPr>
          <w:rFonts w:ascii="Times New Roman" w:hAnsi="Times New Roman" w:cs="Times New Roman"/>
          <w:sz w:val="24"/>
          <w:szCs w:val="24"/>
        </w:rPr>
        <w:t>consumer welfare</w:t>
      </w:r>
      <w:r w:rsidR="00341F07"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criteria for intervention, i.e. </w:t>
      </w:r>
      <w:r w:rsidR="00341F07">
        <w:rPr>
          <w:rFonts w:ascii="Times New Roman" w:hAnsi="Times New Roman" w:cs="Times New Roman"/>
          <w:sz w:val="24"/>
          <w:szCs w:val="24"/>
        </w:rPr>
        <w:t>through the lens of</w:t>
      </w:r>
      <w:r w:rsidRPr="00774EDB">
        <w:rPr>
          <w:rFonts w:ascii="Times New Roman" w:hAnsi="Times New Roman" w:cs="Times New Roman"/>
          <w:sz w:val="24"/>
          <w:szCs w:val="24"/>
        </w:rPr>
        <w:t xml:space="preserve"> the effects-based approach, </w:t>
      </w:r>
      <w:r w:rsidR="00341F07">
        <w:rPr>
          <w:rFonts w:ascii="Times New Roman" w:hAnsi="Times New Roman" w:cs="Times New Roman"/>
          <w:sz w:val="24"/>
          <w:szCs w:val="24"/>
        </w:rPr>
        <w:t xml:space="preserve">as opposed to </w:t>
      </w:r>
      <w:r w:rsidRPr="00774EDB">
        <w:rPr>
          <w:rFonts w:ascii="Times New Roman" w:hAnsi="Times New Roman" w:cs="Times New Roman"/>
          <w:sz w:val="24"/>
          <w:szCs w:val="24"/>
        </w:rPr>
        <w:t>the Commission Guidance.</w:t>
      </w:r>
    </w:p>
    <w:p w14:paraId="7C4D0A25" w14:textId="1B7EC794" w:rsidR="00737BE6" w:rsidRPr="00774EDB" w:rsidRDefault="00DC5814"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Having said that, competition law tools seem to be stretched to ensure interoperability, even at the expense of consumer welfare. </w:t>
      </w:r>
      <w:r w:rsidR="00454632">
        <w:rPr>
          <w:rFonts w:ascii="Times New Roman" w:hAnsi="Times New Roman" w:cs="Times New Roman"/>
          <w:sz w:val="24"/>
          <w:szCs w:val="24"/>
        </w:rPr>
        <w:t>Thus</w:t>
      </w:r>
      <w:r w:rsidRPr="00774EDB">
        <w:rPr>
          <w:rFonts w:ascii="Times New Roman" w:hAnsi="Times New Roman" w:cs="Times New Roman"/>
          <w:sz w:val="24"/>
          <w:szCs w:val="24"/>
        </w:rPr>
        <w:t xml:space="preserve">, it is remarkable to </w:t>
      </w:r>
      <w:r w:rsidR="00454632">
        <w:rPr>
          <w:rFonts w:ascii="Times New Roman" w:hAnsi="Times New Roman" w:cs="Times New Roman"/>
          <w:sz w:val="24"/>
          <w:szCs w:val="24"/>
        </w:rPr>
        <w:t>add</w:t>
      </w:r>
      <w:r w:rsidRPr="00774EDB">
        <w:rPr>
          <w:rFonts w:ascii="Times New Roman" w:hAnsi="Times New Roman" w:cs="Times New Roman"/>
          <w:sz w:val="24"/>
          <w:szCs w:val="24"/>
        </w:rPr>
        <w:t xml:space="preserve"> that pro-interoperability competition law remedies would pose uncertainty as to how to implement the applicable tools, particularly the ‘exceptional circumstances’ test. Under this unpredictable environment, competition law practitioners would be expected to act more flexibly, whereas the market players could then face up to risks of infringement and punishment easily. On this note, it should also be emphasized that narrowing the room for the market players in terms of the refusal to supply e.g. interoperability information to third parties, would suggest an expanded duty to deal, resulting in chilled innovation and investment motives. Closely related to this, boundaries between competition law and sector-specific regulation would seem to be </w:t>
      </w:r>
      <w:r w:rsidRPr="00774EDB">
        <w:rPr>
          <w:rFonts w:ascii="Times New Roman" w:hAnsi="Times New Roman" w:cs="Times New Roman"/>
          <w:sz w:val="24"/>
          <w:szCs w:val="24"/>
        </w:rPr>
        <w:lastRenderedPageBreak/>
        <w:t xml:space="preserve">blurrier following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and comparable interventions, which favour a formalistic and pro-competitive approach regardless of proven consumer harms.</w:t>
      </w:r>
    </w:p>
    <w:p w14:paraId="636404B1" w14:textId="039002A7" w:rsidR="00055FBB" w:rsidRPr="00774EDB" w:rsidRDefault="00055FB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far as Article 101 is concerned, a similar set of consequences could not simply be reached since a more rule-based, technical and detailed proceeding is followed for the scrutiny of agreements and concerted practices. Moreover, a 30% market threshold in this context means a safe harbour that does not exist in antitrust and/or merger cases. Particularly from the perspective of horizontal concerns, market collaborations are often found to be pro-competitive when the market players tend to reach out to an industry-wide solution that would reinforce openness and interoperability. Standardisation agreements illustrate this as they often force their members to share their IPRs when they are essential to the standards to be adopted in the end. Notwithstanding, from a wider viewpoint, many standards do not necessarily reflect on the industry-wide needs for interoperability and innovation, given the fact the SSOs are often strategically used by the stakeholders to stimulate their ecosystem-centric viewpoint incorporating complementary markets.</w:t>
      </w:r>
      <w:r w:rsidRPr="00774EDB">
        <w:rPr>
          <w:rStyle w:val="FootnoteReference"/>
          <w:rFonts w:ascii="Times New Roman" w:hAnsi="Times New Roman" w:cs="Times New Roman"/>
          <w:sz w:val="24"/>
          <w:szCs w:val="24"/>
        </w:rPr>
        <w:footnoteReference w:id="593"/>
      </w:r>
      <w:r w:rsidRPr="00774EDB">
        <w:rPr>
          <w:rFonts w:ascii="Times New Roman" w:hAnsi="Times New Roman" w:cs="Times New Roman"/>
          <w:sz w:val="24"/>
          <w:szCs w:val="24"/>
        </w:rPr>
        <w:t xml:space="preserve"> Thus, post-SSO scenarios would incur conflated long-term consequences involving a possibility of market tipping towards certain products, appealing to potential interventions based on Article 102. Such situations would result in a market landscape which might have already gone through a competition law scrutiny yet still posing interoperability problems because of the isolated digital gateways and semi-structural entry barriers, which might fall outside of the reach of both Article 101 and 102.</w:t>
      </w:r>
      <w:r w:rsidRPr="00774EDB">
        <w:rPr>
          <w:rStyle w:val="FootnoteReference"/>
          <w:rFonts w:ascii="Times New Roman" w:hAnsi="Times New Roman" w:cs="Times New Roman"/>
          <w:sz w:val="24"/>
          <w:szCs w:val="24"/>
        </w:rPr>
        <w:footnoteReference w:id="594"/>
      </w:r>
      <w:r w:rsidR="00C51820" w:rsidRPr="00774EDB">
        <w:rPr>
          <w:rFonts w:ascii="Times New Roman" w:hAnsi="Times New Roman" w:cs="Times New Roman"/>
          <w:sz w:val="24"/>
          <w:szCs w:val="24"/>
        </w:rPr>
        <w:t xml:space="preserve"> Such digital gateways could be </w:t>
      </w:r>
      <w:r w:rsidR="00C51820" w:rsidRPr="00774EDB">
        <w:rPr>
          <w:rFonts w:ascii="Times New Roman" w:hAnsi="Times New Roman" w:cs="Times New Roman"/>
          <w:sz w:val="24"/>
          <w:szCs w:val="24"/>
        </w:rPr>
        <w:lastRenderedPageBreak/>
        <w:t>illustrated by the IoT based examples like Google (Brillo), Microsoft (Azure), Samsung (SmartThings), Apple (HomeKit), Amazon (Alexa) as well as technical (CAS) platforms which authenticate and transmit the digital signals to TV screens.</w:t>
      </w:r>
    </w:p>
    <w:p w14:paraId="485C039C" w14:textId="619FF077" w:rsidR="00081169" w:rsidRDefault="00081169" w:rsidP="00A70042">
      <w:pPr>
        <w:spacing w:before="360"/>
        <w:jc w:val="both"/>
        <w:rPr>
          <w:rFonts w:ascii="Times New Roman" w:hAnsi="Times New Roman" w:cs="Times New Roman"/>
          <w:sz w:val="24"/>
          <w:szCs w:val="24"/>
        </w:rPr>
      </w:pPr>
      <w:r>
        <w:rPr>
          <w:rFonts w:ascii="Times New Roman" w:hAnsi="Times New Roman" w:cs="Times New Roman"/>
          <w:sz w:val="24"/>
          <w:szCs w:val="24"/>
        </w:rPr>
        <w:t>Going beyond the economics-based understanding from competition policy perspective, interoperability has a social value which remains difficult to measure.</w:t>
      </w:r>
      <w:r>
        <w:rPr>
          <w:rStyle w:val="FootnoteReference"/>
          <w:rFonts w:ascii="Times New Roman" w:hAnsi="Times New Roman" w:cs="Times New Roman"/>
          <w:sz w:val="24"/>
          <w:szCs w:val="24"/>
        </w:rPr>
        <w:footnoteReference w:id="595"/>
      </w:r>
      <w:r>
        <w:rPr>
          <w:rFonts w:ascii="Times New Roman" w:hAnsi="Times New Roman" w:cs="Times New Roman"/>
          <w:sz w:val="24"/>
          <w:szCs w:val="24"/>
        </w:rPr>
        <w:t xml:space="preserve"> Surfacing particularly in hindrance of information flows, cultural productions and democratic culture for the access and interoperability gaps</w:t>
      </w:r>
      <w:r w:rsidR="00F828EC">
        <w:rPr>
          <w:rFonts w:ascii="Times New Roman" w:hAnsi="Times New Roman" w:cs="Times New Roman"/>
          <w:sz w:val="24"/>
          <w:szCs w:val="24"/>
        </w:rPr>
        <w:t xml:space="preserve"> and related problems e.g. often based on proprietary models that occupy public domain</w:t>
      </w:r>
      <w:r>
        <w:rPr>
          <w:rFonts w:ascii="Times New Roman" w:hAnsi="Times New Roman" w:cs="Times New Roman"/>
          <w:sz w:val="24"/>
          <w:szCs w:val="24"/>
        </w:rPr>
        <w:t xml:space="preserve">, this social value </w:t>
      </w:r>
      <w:r w:rsidR="00F828EC">
        <w:rPr>
          <w:rFonts w:ascii="Times New Roman" w:hAnsi="Times New Roman" w:cs="Times New Roman"/>
          <w:sz w:val="24"/>
          <w:szCs w:val="24"/>
        </w:rPr>
        <w:t xml:space="preserve">is not easily recognisable and does </w:t>
      </w:r>
      <w:r>
        <w:rPr>
          <w:rFonts w:ascii="Times New Roman" w:hAnsi="Times New Roman" w:cs="Times New Roman"/>
          <w:sz w:val="24"/>
          <w:szCs w:val="24"/>
        </w:rPr>
        <w:t>exceed the outer limits of the competition law tools</w:t>
      </w:r>
      <w:r w:rsidR="00F828EC">
        <w:rPr>
          <w:rFonts w:ascii="Times New Roman" w:hAnsi="Times New Roman" w:cs="Times New Roman"/>
          <w:sz w:val="24"/>
          <w:szCs w:val="24"/>
        </w:rPr>
        <w:t xml:space="preserve"> and analysis</w:t>
      </w:r>
      <w:r>
        <w:rPr>
          <w:rFonts w:ascii="Times New Roman" w:hAnsi="Times New Roman" w:cs="Times New Roman"/>
          <w:sz w:val="24"/>
          <w:szCs w:val="24"/>
        </w:rPr>
        <w:t xml:space="preserve">. As highlighted at the outset of this study, major interoperability concerns are not limited to the </w:t>
      </w:r>
      <w:r w:rsidR="00F828EC">
        <w:rPr>
          <w:rFonts w:ascii="Times New Roman" w:hAnsi="Times New Roman" w:cs="Times New Roman"/>
          <w:sz w:val="24"/>
          <w:szCs w:val="24"/>
        </w:rPr>
        <w:t>consumer welfare</w:t>
      </w:r>
      <w:r>
        <w:rPr>
          <w:rFonts w:ascii="Times New Roman" w:hAnsi="Times New Roman" w:cs="Times New Roman"/>
          <w:sz w:val="24"/>
          <w:szCs w:val="24"/>
        </w:rPr>
        <w:t>, and are closely related to civic virtue embedded in the so called social value</w:t>
      </w:r>
      <w:r w:rsidR="00F828EC">
        <w:rPr>
          <w:rFonts w:ascii="Times New Roman" w:hAnsi="Times New Roman" w:cs="Times New Roman"/>
          <w:sz w:val="24"/>
          <w:szCs w:val="24"/>
        </w:rPr>
        <w:t xml:space="preserve"> which would require a broader perspective.</w:t>
      </w:r>
    </w:p>
    <w:p w14:paraId="0F14E9DF" w14:textId="75302FAC" w:rsidR="00055FBB" w:rsidRPr="00774EDB" w:rsidRDefault="00055FB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above snapshot signifies </w:t>
      </w:r>
      <w:r w:rsidR="00F828EC">
        <w:rPr>
          <w:rFonts w:ascii="Times New Roman" w:hAnsi="Times New Roman" w:cs="Times New Roman"/>
          <w:sz w:val="24"/>
          <w:szCs w:val="24"/>
        </w:rPr>
        <w:t xml:space="preserve">both </w:t>
      </w:r>
      <w:r w:rsidRPr="00774EDB">
        <w:rPr>
          <w:rFonts w:ascii="Times New Roman" w:hAnsi="Times New Roman" w:cs="Times New Roman"/>
          <w:sz w:val="24"/>
          <w:szCs w:val="24"/>
        </w:rPr>
        <w:t xml:space="preserve">a dilemma </w:t>
      </w:r>
      <w:r w:rsidR="00F828EC">
        <w:rPr>
          <w:rFonts w:ascii="Times New Roman" w:hAnsi="Times New Roman" w:cs="Times New Roman"/>
          <w:sz w:val="24"/>
          <w:szCs w:val="24"/>
        </w:rPr>
        <w:t xml:space="preserve">and shortcoming </w:t>
      </w:r>
      <w:r w:rsidRPr="00774EDB">
        <w:rPr>
          <w:rFonts w:ascii="Times New Roman" w:hAnsi="Times New Roman" w:cs="Times New Roman"/>
          <w:sz w:val="24"/>
          <w:szCs w:val="24"/>
        </w:rPr>
        <w:t xml:space="preserve">of EU competition law, which </w:t>
      </w:r>
      <w:r w:rsidR="00F828EC">
        <w:rPr>
          <w:rFonts w:ascii="Times New Roman" w:hAnsi="Times New Roman" w:cs="Times New Roman"/>
          <w:sz w:val="24"/>
          <w:szCs w:val="24"/>
        </w:rPr>
        <w:t xml:space="preserve">increasingly </w:t>
      </w:r>
      <w:r w:rsidRPr="00774EDB">
        <w:rPr>
          <w:rFonts w:ascii="Times New Roman" w:hAnsi="Times New Roman" w:cs="Times New Roman"/>
          <w:sz w:val="24"/>
          <w:szCs w:val="24"/>
        </w:rPr>
        <w:t>has a regulatory tendency as opposed to its original roots and principles. As implied by a recent report, EU competition law tools are not capable enough to cope with the digital era problems,</w:t>
      </w:r>
      <w:r w:rsidR="00F957A2" w:rsidRPr="00774EDB">
        <w:rPr>
          <w:rStyle w:val="FootnoteReference"/>
          <w:rFonts w:ascii="Times New Roman" w:hAnsi="Times New Roman" w:cs="Times New Roman"/>
          <w:sz w:val="24"/>
          <w:szCs w:val="24"/>
        </w:rPr>
        <w:footnoteReference w:id="596"/>
      </w:r>
      <w:r w:rsidRPr="00774EDB">
        <w:rPr>
          <w:rFonts w:ascii="Times New Roman" w:hAnsi="Times New Roman" w:cs="Times New Roman"/>
          <w:sz w:val="24"/>
          <w:szCs w:val="24"/>
        </w:rPr>
        <w:t xml:space="preserve"> as particularly s</w:t>
      </w:r>
      <w:r w:rsidR="00F957A2">
        <w:rPr>
          <w:rFonts w:ascii="Times New Roman" w:hAnsi="Times New Roman" w:cs="Times New Roman"/>
          <w:sz w:val="24"/>
          <w:szCs w:val="24"/>
        </w:rPr>
        <w:t>urfacing</w:t>
      </w:r>
      <w:r w:rsidRPr="00774EDB">
        <w:rPr>
          <w:rFonts w:ascii="Times New Roman" w:hAnsi="Times New Roman" w:cs="Times New Roman"/>
          <w:sz w:val="24"/>
          <w:szCs w:val="24"/>
        </w:rPr>
        <w:t xml:space="preserve"> in </w:t>
      </w:r>
      <w:r w:rsidR="00F957A2">
        <w:rPr>
          <w:rFonts w:ascii="Times New Roman" w:hAnsi="Times New Roman" w:cs="Times New Roman"/>
          <w:sz w:val="24"/>
          <w:szCs w:val="24"/>
        </w:rPr>
        <w:t>conjunction</w:t>
      </w:r>
      <w:r w:rsidR="00F957A2" w:rsidRPr="00774EDB">
        <w:rPr>
          <w:rFonts w:ascii="Times New Roman" w:hAnsi="Times New Roman" w:cs="Times New Roman"/>
          <w:sz w:val="24"/>
          <w:szCs w:val="24"/>
        </w:rPr>
        <w:t xml:space="preserve"> </w:t>
      </w:r>
      <w:r w:rsidR="00F957A2">
        <w:rPr>
          <w:rFonts w:ascii="Times New Roman" w:hAnsi="Times New Roman" w:cs="Times New Roman"/>
          <w:sz w:val="24"/>
          <w:szCs w:val="24"/>
        </w:rPr>
        <w:t>with</w:t>
      </w:r>
      <w:r w:rsidR="00F957A2" w:rsidRPr="00774EDB">
        <w:rPr>
          <w:rFonts w:ascii="Times New Roman" w:hAnsi="Times New Roman" w:cs="Times New Roman"/>
          <w:sz w:val="24"/>
          <w:szCs w:val="24"/>
        </w:rPr>
        <w:t xml:space="preserve"> </w:t>
      </w:r>
      <w:r w:rsidR="005D1606">
        <w:rPr>
          <w:rFonts w:ascii="Times New Roman" w:hAnsi="Times New Roman" w:cs="Times New Roman"/>
          <w:sz w:val="24"/>
          <w:szCs w:val="24"/>
        </w:rPr>
        <w:t>the gatekeeping roles and functionalities</w:t>
      </w:r>
      <w:r w:rsidRPr="00774EDB">
        <w:rPr>
          <w:rFonts w:ascii="Times New Roman" w:hAnsi="Times New Roman" w:cs="Times New Roman"/>
          <w:sz w:val="24"/>
          <w:szCs w:val="24"/>
        </w:rPr>
        <w:t xml:space="preserve">. This is more visible in interoperability related cases, whereby the Commission wishes to exceed the established case law and not to confine itself with the </w:t>
      </w:r>
      <w:r w:rsidR="00A65AAB" w:rsidRPr="00774EDB">
        <w:rPr>
          <w:rFonts w:ascii="Times New Roman" w:hAnsi="Times New Roman" w:cs="Times New Roman"/>
          <w:sz w:val="24"/>
          <w:szCs w:val="24"/>
        </w:rPr>
        <w:t>concept of</w:t>
      </w:r>
      <w:r w:rsidRPr="00774EDB">
        <w:rPr>
          <w:rFonts w:ascii="Times New Roman" w:hAnsi="Times New Roman" w:cs="Times New Roman"/>
          <w:sz w:val="24"/>
          <w:szCs w:val="24"/>
        </w:rPr>
        <w:t xml:space="preserve"> ‘consumer welfare’ </w:t>
      </w:r>
      <w:r w:rsidR="00A65AAB" w:rsidRPr="00774EDB">
        <w:rPr>
          <w:rFonts w:ascii="Times New Roman" w:hAnsi="Times New Roman" w:cs="Times New Roman"/>
          <w:sz w:val="24"/>
          <w:szCs w:val="24"/>
        </w:rPr>
        <w:t>having to</w:t>
      </w:r>
      <w:r w:rsidRPr="00774EDB">
        <w:rPr>
          <w:rFonts w:ascii="Times New Roman" w:hAnsi="Times New Roman" w:cs="Times New Roman"/>
          <w:sz w:val="24"/>
          <w:szCs w:val="24"/>
        </w:rPr>
        <w:t xml:space="preserve"> find consumer harm by weighing up benefits and costs.</w:t>
      </w:r>
    </w:p>
    <w:p w14:paraId="746DA56E" w14:textId="05491DC2" w:rsidR="00055FBB" w:rsidRPr="00774EDB" w:rsidRDefault="00AE7B74" w:rsidP="00A70042">
      <w:pPr>
        <w:spacing w:before="360"/>
        <w:jc w:val="both"/>
        <w:rPr>
          <w:rFonts w:ascii="Times New Roman" w:hAnsi="Times New Roman" w:cs="Times New Roman"/>
          <w:sz w:val="24"/>
          <w:szCs w:val="24"/>
        </w:rPr>
      </w:pPr>
      <w:r>
        <w:rPr>
          <w:rFonts w:ascii="Times New Roman" w:hAnsi="Times New Roman" w:cs="Times New Roman"/>
          <w:sz w:val="24"/>
          <w:szCs w:val="24"/>
        </w:rPr>
        <w:t>A</w:t>
      </w:r>
      <w:r w:rsidR="00E811D6">
        <w:rPr>
          <w:rFonts w:ascii="Times New Roman" w:hAnsi="Times New Roman" w:cs="Times New Roman"/>
          <w:sz w:val="24"/>
          <w:szCs w:val="24"/>
        </w:rPr>
        <w:t>longside</w:t>
      </w:r>
      <w:r w:rsidRPr="00774EDB">
        <w:rPr>
          <w:rFonts w:ascii="Times New Roman" w:hAnsi="Times New Roman" w:cs="Times New Roman"/>
          <w:sz w:val="24"/>
          <w:szCs w:val="24"/>
        </w:rPr>
        <w:t xml:space="preserve"> </w:t>
      </w:r>
      <w:r w:rsidR="00055FBB" w:rsidRPr="00774EDB">
        <w:rPr>
          <w:rFonts w:ascii="Times New Roman" w:hAnsi="Times New Roman" w:cs="Times New Roman"/>
          <w:sz w:val="24"/>
          <w:szCs w:val="24"/>
        </w:rPr>
        <w:t xml:space="preserve">these deficiencies, the lengthy and complicated enforcement procedures should </w:t>
      </w:r>
      <w:r>
        <w:rPr>
          <w:rFonts w:ascii="Times New Roman" w:hAnsi="Times New Roman" w:cs="Times New Roman"/>
          <w:sz w:val="24"/>
          <w:szCs w:val="24"/>
        </w:rPr>
        <w:t xml:space="preserve">particularly </w:t>
      </w:r>
      <w:r w:rsidR="00055FBB" w:rsidRPr="00774EDB">
        <w:rPr>
          <w:rFonts w:ascii="Times New Roman" w:hAnsi="Times New Roman" w:cs="Times New Roman"/>
          <w:sz w:val="24"/>
          <w:szCs w:val="24"/>
        </w:rPr>
        <w:t xml:space="preserve">be </w:t>
      </w:r>
      <w:r>
        <w:rPr>
          <w:rFonts w:ascii="Times New Roman" w:hAnsi="Times New Roman" w:cs="Times New Roman"/>
          <w:sz w:val="24"/>
          <w:szCs w:val="24"/>
        </w:rPr>
        <w:t>underlin</w:t>
      </w:r>
      <w:r w:rsidR="00055FBB" w:rsidRPr="00774EDB">
        <w:rPr>
          <w:rFonts w:ascii="Times New Roman" w:hAnsi="Times New Roman" w:cs="Times New Roman"/>
          <w:sz w:val="24"/>
          <w:szCs w:val="24"/>
        </w:rPr>
        <w:t xml:space="preserve">ed. While M&amp;A and Article 101 assessments look to </w:t>
      </w:r>
      <w:r w:rsidR="00055FBB" w:rsidRPr="00774EDB">
        <w:rPr>
          <w:rFonts w:ascii="Times New Roman" w:hAnsi="Times New Roman" w:cs="Times New Roman"/>
          <w:sz w:val="24"/>
          <w:szCs w:val="24"/>
        </w:rPr>
        <w:lastRenderedPageBreak/>
        <w:t xml:space="preserve">the future with no requirement of retrospectively evidencing the findings, antitrust assessment under Article 102 </w:t>
      </w:r>
      <w:r w:rsidR="00E811D6">
        <w:rPr>
          <w:rFonts w:ascii="Times New Roman" w:hAnsi="Times New Roman" w:cs="Times New Roman"/>
          <w:sz w:val="24"/>
          <w:szCs w:val="24"/>
        </w:rPr>
        <w:t xml:space="preserve">differs </w:t>
      </w:r>
      <w:r w:rsidR="00F33EAC">
        <w:rPr>
          <w:rFonts w:ascii="Times New Roman" w:hAnsi="Times New Roman" w:cs="Times New Roman"/>
          <w:sz w:val="24"/>
          <w:szCs w:val="24"/>
        </w:rPr>
        <w:t xml:space="preserve">since it </w:t>
      </w:r>
      <w:r w:rsidR="00055FBB" w:rsidRPr="00774EDB">
        <w:rPr>
          <w:rFonts w:ascii="Times New Roman" w:hAnsi="Times New Roman" w:cs="Times New Roman"/>
          <w:sz w:val="24"/>
          <w:szCs w:val="24"/>
        </w:rPr>
        <w:t>rel</w:t>
      </w:r>
      <w:r w:rsidR="00F33EAC">
        <w:rPr>
          <w:rFonts w:ascii="Times New Roman" w:hAnsi="Times New Roman" w:cs="Times New Roman"/>
          <w:sz w:val="24"/>
          <w:szCs w:val="24"/>
        </w:rPr>
        <w:t>ies</w:t>
      </w:r>
      <w:r w:rsidR="00055FBB" w:rsidRPr="00774EDB">
        <w:rPr>
          <w:rFonts w:ascii="Times New Roman" w:hAnsi="Times New Roman" w:cs="Times New Roman"/>
          <w:sz w:val="24"/>
          <w:szCs w:val="24"/>
        </w:rPr>
        <w:t xml:space="preserve"> on qualitative/quantitative evidence demonstrating likely anti-competitive effects </w:t>
      </w:r>
      <w:r w:rsidR="00F33EAC">
        <w:rPr>
          <w:rFonts w:ascii="Times New Roman" w:hAnsi="Times New Roman" w:cs="Times New Roman"/>
          <w:sz w:val="24"/>
          <w:szCs w:val="24"/>
        </w:rPr>
        <w:t xml:space="preserve">as well as </w:t>
      </w:r>
      <w:r w:rsidR="00055FBB" w:rsidRPr="00774EDB">
        <w:rPr>
          <w:rFonts w:ascii="Times New Roman" w:hAnsi="Times New Roman" w:cs="Times New Roman"/>
          <w:sz w:val="24"/>
          <w:szCs w:val="24"/>
        </w:rPr>
        <w:t xml:space="preserve">scanning through the previous case law </w:t>
      </w:r>
      <w:r w:rsidR="00F33EAC">
        <w:rPr>
          <w:rFonts w:ascii="Times New Roman" w:hAnsi="Times New Roman" w:cs="Times New Roman"/>
          <w:sz w:val="24"/>
          <w:szCs w:val="24"/>
        </w:rPr>
        <w:t>to</w:t>
      </w:r>
      <w:r w:rsidR="00055FBB" w:rsidRPr="00774EDB">
        <w:rPr>
          <w:rFonts w:ascii="Times New Roman" w:hAnsi="Times New Roman" w:cs="Times New Roman"/>
          <w:sz w:val="24"/>
          <w:szCs w:val="24"/>
        </w:rPr>
        <w:t xml:space="preserve"> </w:t>
      </w:r>
      <w:r w:rsidR="00F33EAC">
        <w:rPr>
          <w:rFonts w:ascii="Times New Roman" w:hAnsi="Times New Roman" w:cs="Times New Roman"/>
          <w:sz w:val="24"/>
          <w:szCs w:val="24"/>
        </w:rPr>
        <w:t>find out</w:t>
      </w:r>
      <w:r w:rsidR="00055FBB" w:rsidRPr="00774EDB">
        <w:rPr>
          <w:rFonts w:ascii="Times New Roman" w:hAnsi="Times New Roman" w:cs="Times New Roman"/>
          <w:sz w:val="24"/>
          <w:szCs w:val="24"/>
        </w:rPr>
        <w:t xml:space="preserve"> the most appropriate rule.</w:t>
      </w:r>
      <w:r w:rsidR="00E811D6">
        <w:rPr>
          <w:rFonts w:ascii="Times New Roman" w:hAnsi="Times New Roman" w:cs="Times New Roman"/>
          <w:sz w:val="24"/>
          <w:szCs w:val="24"/>
        </w:rPr>
        <w:t xml:space="preserve"> This situation </w:t>
      </w:r>
      <w:r w:rsidR="00E811D6" w:rsidRPr="00774EDB">
        <w:rPr>
          <w:rFonts w:ascii="Times New Roman" w:hAnsi="Times New Roman" w:cs="Times New Roman"/>
          <w:sz w:val="24"/>
          <w:szCs w:val="24"/>
        </w:rPr>
        <w:t>does not promise a stable and predictable pathway</w:t>
      </w:r>
      <w:r w:rsidR="00E811D6">
        <w:rPr>
          <w:rFonts w:ascii="Times New Roman" w:hAnsi="Times New Roman" w:cs="Times New Roman"/>
          <w:sz w:val="24"/>
          <w:szCs w:val="24"/>
        </w:rPr>
        <w:t xml:space="preserve">, </w:t>
      </w:r>
      <w:r w:rsidR="00E811D6" w:rsidRPr="00774EDB">
        <w:rPr>
          <w:rFonts w:ascii="Times New Roman" w:hAnsi="Times New Roman" w:cs="Times New Roman"/>
          <w:sz w:val="24"/>
          <w:szCs w:val="24"/>
        </w:rPr>
        <w:t xml:space="preserve">as could be implicated from the </w:t>
      </w:r>
      <w:r w:rsidR="00E811D6" w:rsidRPr="00774EDB">
        <w:rPr>
          <w:rFonts w:ascii="Times New Roman" w:hAnsi="Times New Roman" w:cs="Times New Roman"/>
          <w:i/>
          <w:iCs/>
          <w:sz w:val="24"/>
          <w:szCs w:val="24"/>
        </w:rPr>
        <w:t>Microsoft</w:t>
      </w:r>
      <w:r w:rsidR="00E811D6" w:rsidRPr="00774EDB">
        <w:rPr>
          <w:rFonts w:ascii="Times New Roman" w:hAnsi="Times New Roman" w:cs="Times New Roman"/>
          <w:sz w:val="24"/>
          <w:szCs w:val="24"/>
        </w:rPr>
        <w:t xml:space="preserve"> decision, which sorted the encountered interoperability problem with uneven criteria and tests, i.e. the incentive balancing test</w:t>
      </w:r>
      <w:r w:rsidR="00E811D6">
        <w:rPr>
          <w:rFonts w:ascii="Times New Roman" w:hAnsi="Times New Roman" w:cs="Times New Roman"/>
          <w:sz w:val="24"/>
          <w:szCs w:val="24"/>
        </w:rPr>
        <w:t>, after a five-year period following the claimant’s application.</w:t>
      </w:r>
    </w:p>
    <w:p w14:paraId="4A63F53F" w14:textId="3AA9FCA4" w:rsidR="00896BD6" w:rsidRPr="00774EDB" w:rsidRDefault="00055FB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expense and complexity of an order to disclose interface information was remarkably high in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rendering a striking example for the regulatory costs of an antitrust intervention of this kind.</w:t>
      </w:r>
      <w:r w:rsidRPr="00774EDB">
        <w:rPr>
          <w:rStyle w:val="FootnoteReference"/>
          <w:rFonts w:ascii="Times New Roman" w:hAnsi="Times New Roman" w:cs="Times New Roman"/>
          <w:sz w:val="24"/>
          <w:szCs w:val="24"/>
        </w:rPr>
        <w:footnoteReference w:id="597"/>
      </w:r>
      <w:r w:rsidRPr="00774EDB">
        <w:rPr>
          <w:rFonts w:ascii="Times New Roman" w:hAnsi="Times New Roman" w:cs="Times New Roman"/>
          <w:sz w:val="24"/>
          <w:szCs w:val="24"/>
        </w:rPr>
        <w:t xml:space="preserve"> In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which first came up with a Commission decision in 2004 that covered an investigation based on a five-year period, the GC has rendered its judgement in 2007, being followed by further conflicts and statements of objectives including a non-compliance decision issued by the Commission in 2008. The enforcement process has been complicated by a great many issues, i.e. royalty rates, (in)sufficiency of interoperability information, which ended up with another GC’s decision dated 27 June 2012 upholding the Commission’s non-compliance decision.</w:t>
      </w:r>
      <w:r w:rsidRPr="00774EDB">
        <w:rPr>
          <w:rStyle w:val="FootnoteReference"/>
          <w:rFonts w:ascii="Times New Roman" w:hAnsi="Times New Roman" w:cs="Times New Roman"/>
          <w:sz w:val="24"/>
          <w:szCs w:val="24"/>
        </w:rPr>
        <w:footnoteReference w:id="598"/>
      </w:r>
      <w:r w:rsidRPr="00774EDB">
        <w:rPr>
          <w:rFonts w:ascii="Times New Roman" w:hAnsi="Times New Roman" w:cs="Times New Roman"/>
          <w:sz w:val="24"/>
          <w:szCs w:val="24"/>
        </w:rPr>
        <w:t xml:space="preserve"> Such a lengthy process, while compromising the credibility of the antitrust investigations, does not result in an effective solution against the time-sensitive, imminent and sometimes structural/architectural interoperability problems.</w:t>
      </w:r>
      <w:r w:rsidRPr="00774EDB">
        <w:rPr>
          <w:rStyle w:val="FootnoteReference"/>
          <w:rFonts w:ascii="Times New Roman" w:hAnsi="Times New Roman" w:cs="Times New Roman"/>
          <w:sz w:val="24"/>
          <w:szCs w:val="24"/>
        </w:rPr>
        <w:footnoteReference w:id="599"/>
      </w:r>
      <w:r w:rsidRPr="00774EDB">
        <w:rPr>
          <w:rFonts w:ascii="Times New Roman" w:hAnsi="Times New Roman" w:cs="Times New Roman"/>
          <w:sz w:val="24"/>
          <w:szCs w:val="24"/>
        </w:rPr>
        <w:t xml:space="preserve"> Besides,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type foreclosure-based findings might not stimulate, </w:t>
      </w:r>
      <w:r w:rsidRPr="00774EDB">
        <w:rPr>
          <w:rFonts w:ascii="Times New Roman" w:hAnsi="Times New Roman" w:cs="Times New Roman"/>
          <w:sz w:val="24"/>
          <w:szCs w:val="24"/>
        </w:rPr>
        <w:lastRenderedPageBreak/>
        <w:t>even maintain, the innovation and dynamic efficiency, given the short-cut formulations running short of a well-advanced ‘theory of harm’. In this vein, there arises a discrepancy and gap between the EU competition law goals and the formulas pursued in implementation i.e. particularly under Article 102 of the TFEU.</w:t>
      </w:r>
    </w:p>
    <w:p w14:paraId="77C454F0" w14:textId="77777777" w:rsidR="005073DF" w:rsidRPr="00774EDB" w:rsidRDefault="00584129" w:rsidP="00A70042">
      <w:pPr>
        <w:pStyle w:val="Heading1"/>
        <w:numPr>
          <w:ilvl w:val="0"/>
          <w:numId w:val="33"/>
        </w:numPr>
        <w:tabs>
          <w:tab w:val="left" w:pos="284"/>
        </w:tabs>
        <w:spacing w:before="360"/>
        <w:ind w:left="0" w:firstLine="0"/>
        <w:jc w:val="both"/>
        <w:rPr>
          <w:rFonts w:ascii="Times New Roman" w:hAnsi="Times New Roman" w:cs="Times New Roman"/>
          <w:b/>
          <w:sz w:val="24"/>
          <w:szCs w:val="24"/>
          <w:lang w:val="en-US"/>
        </w:rPr>
      </w:pPr>
      <w:bookmarkStart w:id="458" w:name="_Toc17611439"/>
      <w:bookmarkStart w:id="459" w:name="_Toc17611656"/>
      <w:bookmarkStart w:id="460" w:name="_Toc17611868"/>
      <w:bookmarkStart w:id="461" w:name="_Toc17612082"/>
      <w:bookmarkStart w:id="462" w:name="_Toc17612295"/>
      <w:bookmarkStart w:id="463" w:name="_Toc17611440"/>
      <w:bookmarkStart w:id="464" w:name="_Toc53576079"/>
      <w:bookmarkEnd w:id="458"/>
      <w:bookmarkEnd w:id="459"/>
      <w:bookmarkEnd w:id="460"/>
      <w:bookmarkEnd w:id="461"/>
      <w:bookmarkEnd w:id="462"/>
      <w:r w:rsidRPr="00774EDB">
        <w:rPr>
          <w:rFonts w:ascii="Times New Roman" w:hAnsi="Times New Roman" w:cs="Times New Roman"/>
          <w:b/>
          <w:color w:val="auto"/>
          <w:sz w:val="24"/>
          <w:szCs w:val="24"/>
        </w:rPr>
        <w:t xml:space="preserve">Sector-specific regulations: Electronic </w:t>
      </w:r>
      <w:r w:rsidR="00437BCC" w:rsidRPr="00774EDB">
        <w:rPr>
          <w:rFonts w:ascii="Times New Roman" w:hAnsi="Times New Roman" w:cs="Times New Roman"/>
          <w:b/>
          <w:color w:val="auto"/>
          <w:sz w:val="24"/>
          <w:szCs w:val="24"/>
        </w:rPr>
        <w:t>c</w:t>
      </w:r>
      <w:r w:rsidRPr="00774EDB">
        <w:rPr>
          <w:rFonts w:ascii="Times New Roman" w:hAnsi="Times New Roman" w:cs="Times New Roman"/>
          <w:b/>
          <w:color w:val="auto"/>
          <w:sz w:val="24"/>
          <w:szCs w:val="24"/>
        </w:rPr>
        <w:t>ommunications law</w:t>
      </w:r>
      <w:bookmarkEnd w:id="463"/>
      <w:bookmarkEnd w:id="464"/>
      <w:r w:rsidRPr="00774EDB">
        <w:rPr>
          <w:rFonts w:ascii="Times New Roman" w:hAnsi="Times New Roman" w:cs="Times New Roman"/>
          <w:b/>
          <w:sz w:val="24"/>
          <w:szCs w:val="24"/>
          <w:lang w:val="en-US"/>
        </w:rPr>
        <w:t xml:space="preserve"> </w:t>
      </w:r>
    </w:p>
    <w:p w14:paraId="6877348A" w14:textId="77777777" w:rsidR="001943A8" w:rsidRPr="00774EDB" w:rsidRDefault="001943A8" w:rsidP="00A70042">
      <w:pPr>
        <w:pStyle w:val="Heading2"/>
        <w:numPr>
          <w:ilvl w:val="1"/>
          <w:numId w:val="33"/>
        </w:numPr>
        <w:tabs>
          <w:tab w:val="left" w:pos="426"/>
        </w:tabs>
        <w:spacing w:before="360"/>
        <w:ind w:left="0" w:firstLine="0"/>
        <w:jc w:val="both"/>
        <w:rPr>
          <w:rFonts w:ascii="Times New Roman" w:hAnsi="Times New Roman" w:cs="Times New Roman"/>
          <w:b/>
          <w:color w:val="auto"/>
          <w:sz w:val="24"/>
          <w:szCs w:val="24"/>
        </w:rPr>
      </w:pPr>
      <w:bookmarkStart w:id="465" w:name="_Toc17611441"/>
      <w:bookmarkStart w:id="466" w:name="_Toc17611658"/>
      <w:bookmarkStart w:id="467" w:name="_Toc17611870"/>
      <w:bookmarkStart w:id="468" w:name="_Toc17612084"/>
      <w:bookmarkStart w:id="469" w:name="_Toc17612297"/>
      <w:bookmarkStart w:id="470" w:name="_Toc17611442"/>
      <w:bookmarkStart w:id="471" w:name="_Toc53576080"/>
      <w:bookmarkEnd w:id="465"/>
      <w:bookmarkEnd w:id="466"/>
      <w:bookmarkEnd w:id="467"/>
      <w:bookmarkEnd w:id="468"/>
      <w:bookmarkEnd w:id="469"/>
      <w:r w:rsidRPr="00774EDB">
        <w:rPr>
          <w:rFonts w:ascii="Times New Roman" w:hAnsi="Times New Roman" w:cs="Times New Roman"/>
          <w:b/>
          <w:color w:val="auto"/>
          <w:sz w:val="24"/>
          <w:szCs w:val="24"/>
        </w:rPr>
        <w:t>Main elements of</w:t>
      </w:r>
      <w:r w:rsidR="0054146E" w:rsidRPr="00774EDB">
        <w:rPr>
          <w:rFonts w:ascii="Times New Roman" w:hAnsi="Times New Roman" w:cs="Times New Roman"/>
          <w:b/>
          <w:color w:val="auto"/>
          <w:sz w:val="24"/>
          <w:szCs w:val="24"/>
        </w:rPr>
        <w:t xml:space="preserve"> the</w:t>
      </w:r>
      <w:r w:rsidRPr="00774EDB">
        <w:rPr>
          <w:rFonts w:ascii="Times New Roman" w:hAnsi="Times New Roman" w:cs="Times New Roman"/>
          <w:b/>
          <w:color w:val="auto"/>
          <w:sz w:val="24"/>
          <w:szCs w:val="24"/>
        </w:rPr>
        <w:t xml:space="preserve"> ECRF</w:t>
      </w:r>
      <w:bookmarkEnd w:id="470"/>
      <w:bookmarkEnd w:id="471"/>
    </w:p>
    <w:p w14:paraId="43DBDBD4" w14:textId="77777777" w:rsidR="00EF4C36" w:rsidRPr="00774EDB" w:rsidRDefault="00325DD0" w:rsidP="00A70042">
      <w:pPr>
        <w:pStyle w:val="Heading3"/>
        <w:numPr>
          <w:ilvl w:val="2"/>
          <w:numId w:val="33"/>
        </w:numPr>
        <w:spacing w:before="360"/>
        <w:ind w:left="0" w:firstLine="0"/>
        <w:jc w:val="both"/>
        <w:rPr>
          <w:rFonts w:ascii="Times New Roman" w:hAnsi="Times New Roman" w:cs="Times New Roman"/>
          <w:b/>
        </w:rPr>
      </w:pPr>
      <w:bookmarkStart w:id="472" w:name="_Toc17611443"/>
      <w:bookmarkStart w:id="473" w:name="_Toc17611660"/>
      <w:bookmarkStart w:id="474" w:name="_Toc17611872"/>
      <w:bookmarkStart w:id="475" w:name="_Toc17612086"/>
      <w:bookmarkStart w:id="476" w:name="_Toc17612299"/>
      <w:bookmarkStart w:id="477" w:name="_Toc17611444"/>
      <w:bookmarkStart w:id="478" w:name="_Toc53576081"/>
      <w:bookmarkEnd w:id="472"/>
      <w:bookmarkEnd w:id="473"/>
      <w:bookmarkEnd w:id="474"/>
      <w:bookmarkEnd w:id="475"/>
      <w:bookmarkEnd w:id="476"/>
      <w:r w:rsidRPr="00774EDB">
        <w:rPr>
          <w:rFonts w:ascii="Times New Roman" w:hAnsi="Times New Roman" w:cs="Times New Roman"/>
          <w:b/>
          <w:color w:val="auto"/>
        </w:rPr>
        <w:t xml:space="preserve">Main pillars and </w:t>
      </w:r>
      <w:r w:rsidR="00D65C53" w:rsidRPr="00774EDB">
        <w:rPr>
          <w:rFonts w:ascii="Times New Roman" w:hAnsi="Times New Roman" w:cs="Times New Roman"/>
          <w:b/>
          <w:color w:val="auto"/>
        </w:rPr>
        <w:t xml:space="preserve">evolution of </w:t>
      </w:r>
      <w:r w:rsidR="0054146E" w:rsidRPr="00774EDB">
        <w:rPr>
          <w:rFonts w:ascii="Times New Roman" w:hAnsi="Times New Roman" w:cs="Times New Roman"/>
          <w:b/>
          <w:color w:val="auto"/>
        </w:rPr>
        <w:t xml:space="preserve">the </w:t>
      </w:r>
      <w:r w:rsidR="00D65C53" w:rsidRPr="00774EDB">
        <w:rPr>
          <w:rFonts w:ascii="Times New Roman" w:hAnsi="Times New Roman" w:cs="Times New Roman"/>
          <w:b/>
          <w:color w:val="auto"/>
        </w:rPr>
        <w:t>ECRF</w:t>
      </w:r>
      <w:bookmarkEnd w:id="477"/>
      <w:bookmarkEnd w:id="478"/>
    </w:p>
    <w:p w14:paraId="14C0B7C8" w14:textId="77777777" w:rsidR="004259DB" w:rsidRPr="00A70042" w:rsidRDefault="00241BCA" w:rsidP="00A70042">
      <w:pPr>
        <w:spacing w:before="360"/>
        <w:jc w:val="both"/>
        <w:rPr>
          <w:rFonts w:ascii="Times New Roman" w:hAnsi="Times New Roman" w:cs="Times New Roman"/>
          <w:spacing w:val="-2"/>
          <w:sz w:val="24"/>
          <w:szCs w:val="24"/>
          <w:lang w:val="en-US"/>
        </w:rPr>
      </w:pPr>
      <w:r w:rsidRPr="00A70042">
        <w:rPr>
          <w:rFonts w:ascii="Times New Roman" w:hAnsi="Times New Roman" w:cs="Times New Roman"/>
          <w:spacing w:val="-2"/>
          <w:sz w:val="24"/>
          <w:szCs w:val="24"/>
          <w:lang w:val="en-US"/>
        </w:rPr>
        <w:t xml:space="preserve">While IPR and competition law measures have a horizontal or generic nature and applicability over any industry or sector, sector-specific rules are industry-oriented characteristically. Among </w:t>
      </w:r>
      <w:r w:rsidR="00F67622" w:rsidRPr="00A70042">
        <w:rPr>
          <w:rFonts w:ascii="Times New Roman" w:hAnsi="Times New Roman" w:cs="Times New Roman"/>
          <w:spacing w:val="-2"/>
          <w:sz w:val="24"/>
          <w:szCs w:val="24"/>
          <w:lang w:val="en-US"/>
        </w:rPr>
        <w:t xml:space="preserve">EU </w:t>
      </w:r>
      <w:r w:rsidRPr="00A70042">
        <w:rPr>
          <w:rFonts w:ascii="Times New Roman" w:hAnsi="Times New Roman" w:cs="Times New Roman"/>
          <w:spacing w:val="-2"/>
          <w:sz w:val="24"/>
          <w:szCs w:val="24"/>
          <w:lang w:val="en-US"/>
        </w:rPr>
        <w:t>sector-specific rules, those governing the telecommunications industry reveal the most prominent and established set of regulations, including interoperability rules and principles. Whereas the main concern of this study is the analysis of ICT-centric interoperability concerns, ‘telecommunications’, or more broadly speaking ‘electronic communications’, needs to be paid particular attention since it underlies a great many ICT services, including cloud computing, the IoT, etc. Crucially, electronic communications networks and services constitute the backbone infrastructure upon which not only ICTs but also a globalizing digital economy thrive. Regulations related to the electronic communications sector therefore go beyond a simple sector-specific framework, extending to other ICT spheres along with significant spill-over effects for the economy and society.</w:t>
      </w:r>
    </w:p>
    <w:p w14:paraId="69C47DB0" w14:textId="77777777" w:rsidR="001749D3" w:rsidRPr="00A70042" w:rsidRDefault="00F67622" w:rsidP="00A70042">
      <w:pPr>
        <w:spacing w:before="360"/>
        <w:jc w:val="both"/>
        <w:rPr>
          <w:rFonts w:ascii="Times New Roman" w:hAnsi="Times New Roman" w:cs="Times New Roman"/>
          <w:spacing w:val="-2"/>
          <w:sz w:val="24"/>
          <w:szCs w:val="24"/>
          <w:lang w:val="en-US"/>
        </w:rPr>
      </w:pPr>
      <w:r w:rsidRPr="00A70042">
        <w:rPr>
          <w:rFonts w:ascii="Times New Roman" w:hAnsi="Times New Roman" w:cs="Times New Roman"/>
          <w:spacing w:val="-2"/>
          <w:sz w:val="24"/>
          <w:szCs w:val="24"/>
          <w:lang w:val="en-US"/>
        </w:rPr>
        <w:t xml:space="preserve">From the beginning, the liberalization and regulation of the electronic communications sector have been underscored by European policy makers, with an emphasis on the </w:t>
      </w:r>
      <w:r w:rsidRPr="00A70042">
        <w:rPr>
          <w:rFonts w:ascii="Times New Roman" w:hAnsi="Times New Roman" w:cs="Times New Roman"/>
          <w:spacing w:val="-2"/>
          <w:sz w:val="24"/>
          <w:szCs w:val="24"/>
          <w:lang w:val="en-US"/>
        </w:rPr>
        <w:lastRenderedPageBreak/>
        <w:t>‘natural monopoly’</w:t>
      </w:r>
      <w:r w:rsidRPr="00A70042">
        <w:rPr>
          <w:rStyle w:val="FootnoteReference"/>
          <w:rFonts w:ascii="Times New Roman" w:hAnsi="Times New Roman" w:cs="Times New Roman"/>
          <w:spacing w:val="-2"/>
          <w:sz w:val="24"/>
          <w:szCs w:val="24"/>
          <w:lang w:val="en-US"/>
        </w:rPr>
        <w:footnoteReference w:id="600"/>
      </w:r>
      <w:r w:rsidRPr="00A70042">
        <w:rPr>
          <w:rFonts w:ascii="Times New Roman" w:hAnsi="Times New Roman" w:cs="Times New Roman"/>
          <w:spacing w:val="-2"/>
          <w:sz w:val="24"/>
          <w:szCs w:val="24"/>
          <w:lang w:val="en-US"/>
        </w:rPr>
        <w:t xml:space="preserve"> characteristics of the sector. Avoiding duplication of facilities, particularly duplication of the fixed costs of the network system, has been an important component of the ‘natural monopoly’ argument for access regulation under the philosophy of sector-specific rules.</w:t>
      </w:r>
      <w:r w:rsidRPr="00A70042">
        <w:rPr>
          <w:rStyle w:val="FootnoteReference"/>
          <w:rFonts w:ascii="Times New Roman" w:hAnsi="Times New Roman" w:cs="Times New Roman"/>
          <w:spacing w:val="-2"/>
          <w:sz w:val="24"/>
          <w:szCs w:val="24"/>
          <w:lang w:val="en-US"/>
        </w:rPr>
        <w:footnoteReference w:id="601"/>
      </w:r>
      <w:r w:rsidRPr="00A70042">
        <w:rPr>
          <w:rFonts w:ascii="Times New Roman" w:hAnsi="Times New Roman" w:cs="Times New Roman"/>
          <w:spacing w:val="-2"/>
          <w:sz w:val="24"/>
          <w:szCs w:val="24"/>
          <w:lang w:val="en-US"/>
        </w:rPr>
        <w:t xml:space="preserve"> Not only in telecommunications but also in other network industries, many industry segments were considered non-competitive and opened to third parties’ access for similar reasons. For instance, in the rail transportation sector, tracks and stations were found to be non-competitive or a natural monopoly, in contrast to passenger and freight services, as with considering electricity and transmission grids as non-rivalry bottlenecks along with an access regulation. Remarkably, policy makers</w:t>
      </w:r>
      <w:r w:rsidRPr="00A70042">
        <w:rPr>
          <w:rFonts w:ascii="Times New Roman" w:hAnsi="Times New Roman" w:cs="Times New Roman"/>
          <w:spacing w:val="-2"/>
          <w:sz w:val="24"/>
          <w:szCs w:val="24"/>
        </w:rPr>
        <w:t xml:space="preserve"> considered liberalization of the state monopolies insufficient to ensure a competitive market running free from any legal, infrastructural and economic constraints,</w:t>
      </w:r>
      <w:r w:rsidRPr="00A70042">
        <w:rPr>
          <w:rStyle w:val="FootnoteReference"/>
          <w:rFonts w:ascii="Times New Roman" w:hAnsi="Times New Roman" w:cs="Times New Roman"/>
          <w:spacing w:val="-2"/>
          <w:sz w:val="24"/>
          <w:szCs w:val="24"/>
        </w:rPr>
        <w:footnoteReference w:id="602"/>
      </w:r>
      <w:r w:rsidRPr="00A70042">
        <w:rPr>
          <w:rFonts w:ascii="Times New Roman" w:hAnsi="Times New Roman" w:cs="Times New Roman"/>
          <w:spacing w:val="-2"/>
          <w:sz w:val="24"/>
          <w:szCs w:val="24"/>
        </w:rPr>
        <w:t xml:space="preserve"> and made extra effort to </w:t>
      </w:r>
      <w:r w:rsidRPr="00A70042">
        <w:rPr>
          <w:rFonts w:ascii="Times New Roman" w:hAnsi="Times New Roman" w:cs="Times New Roman"/>
          <w:spacing w:val="-2"/>
          <w:sz w:val="24"/>
          <w:szCs w:val="24"/>
          <w:lang w:val="en-US"/>
        </w:rPr>
        <w:t>pursue open access and interconnection policies towards enabling effective competition and consumer benefits.</w:t>
      </w:r>
    </w:p>
    <w:p w14:paraId="2A8091AE" w14:textId="77777777" w:rsidR="00DD0DDA" w:rsidRPr="00774EDB" w:rsidRDefault="00623693"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Hence, the idea of opening up the network industries to competition has driven the regulatory policies in this area for over two decades across the EU and globe. The Commission’s 1987 Green Paper</w:t>
      </w:r>
      <w:r w:rsidRPr="00774EDB">
        <w:rPr>
          <w:rStyle w:val="FootnoteReference"/>
          <w:rFonts w:ascii="Times New Roman" w:hAnsi="Times New Roman" w:cs="Times New Roman"/>
          <w:sz w:val="24"/>
          <w:szCs w:val="24"/>
          <w:lang w:val="en-US"/>
        </w:rPr>
        <w:footnoteReference w:id="603"/>
      </w:r>
      <w:r w:rsidRPr="00774EDB">
        <w:rPr>
          <w:rFonts w:ascii="Times New Roman" w:hAnsi="Times New Roman" w:cs="Times New Roman"/>
          <w:sz w:val="24"/>
          <w:szCs w:val="24"/>
          <w:lang w:val="en-US"/>
        </w:rPr>
        <w:t xml:space="preserve"> represented the baseline towards this end, setting </w:t>
      </w:r>
      <w:r w:rsidRPr="00774EDB">
        <w:rPr>
          <w:rFonts w:ascii="Times New Roman" w:hAnsi="Times New Roman" w:cs="Times New Roman"/>
          <w:sz w:val="24"/>
          <w:szCs w:val="24"/>
          <w:lang w:val="en-US"/>
        </w:rPr>
        <w:lastRenderedPageBreak/>
        <w:t>out an EU-level program incorporating ‘liberalization’ and ‘harmonization’ of the telecommunications markets. While the former aimed at fully liberalized markets with no special or exclusive rights, the latter meant adoption of regulatory standards in terms of access, interconnection and ensuring competition. Not only liberalization and harmonization of the relevant markets, but also the co-application of competition law to the telecommunications sector was also acknowledged as one of the principles underlying the 1987 Green Paper. Within the framework of these goals, a Resolution</w:t>
      </w:r>
      <w:r w:rsidRPr="00774EDB">
        <w:rPr>
          <w:rStyle w:val="FootnoteReference"/>
          <w:rFonts w:ascii="Times New Roman" w:hAnsi="Times New Roman" w:cs="Times New Roman"/>
          <w:sz w:val="24"/>
          <w:szCs w:val="24"/>
        </w:rPr>
        <w:footnoteReference w:id="604"/>
      </w:r>
      <w:r w:rsidRPr="00774EDB">
        <w:rPr>
          <w:rFonts w:ascii="Times New Roman" w:hAnsi="Times New Roman" w:cs="Times New Roman"/>
          <w:sz w:val="24"/>
          <w:szCs w:val="24"/>
          <w:lang w:val="en-US"/>
        </w:rPr>
        <w:t xml:space="preserve"> was agreed by the European Council and published on 30 June 1988. Since then, European legislative authorities have responded to both hard law i.e. regulations and directives, and soft law i.e. recommendations and guidelines, in order to realize the articulated policy objectives.</w:t>
      </w:r>
    </w:p>
    <w:p w14:paraId="3720A4C0" w14:textId="77777777" w:rsidR="00A56414" w:rsidRPr="00774EDB" w:rsidRDefault="00623693"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Such legislative measures aimed to transform the telecommunications sector from a state-led monopoly to a competitive marketplace. To that end, liberalization directives were first put into force to ensure removal of all the exclusive and special rights in relevant areas of services, e.g. terminal equipment, wireless and wired services and fixed voice telephony, in a gradual manner. The first step on this pathway was the Terminal Equipment Directive</w:t>
      </w:r>
      <w:r w:rsidRPr="00774EDB">
        <w:rPr>
          <w:rStyle w:val="FootnoteReference"/>
          <w:rFonts w:ascii="Times New Roman" w:hAnsi="Times New Roman" w:cs="Times New Roman"/>
          <w:sz w:val="24"/>
          <w:szCs w:val="24"/>
        </w:rPr>
        <w:footnoteReference w:id="605"/>
      </w:r>
      <w:r w:rsidRPr="00774EDB">
        <w:rPr>
          <w:rFonts w:ascii="Times New Roman" w:hAnsi="Times New Roman" w:cs="Times New Roman"/>
          <w:sz w:val="24"/>
          <w:szCs w:val="24"/>
          <w:lang w:val="en-US"/>
        </w:rPr>
        <w:t xml:space="preserve"> that entered into force in 1988, being followed by 1990 Services Directive.</w:t>
      </w:r>
      <w:r w:rsidRPr="00774EDB">
        <w:rPr>
          <w:rStyle w:val="FootnoteReference"/>
          <w:rFonts w:ascii="Times New Roman" w:hAnsi="Times New Roman" w:cs="Times New Roman"/>
          <w:sz w:val="24"/>
          <w:szCs w:val="24"/>
        </w:rPr>
        <w:footnoteReference w:id="606"/>
      </w:r>
      <w:r w:rsidRPr="00774EDB">
        <w:rPr>
          <w:rFonts w:ascii="Times New Roman" w:hAnsi="Times New Roman" w:cs="Times New Roman"/>
          <w:sz w:val="24"/>
          <w:szCs w:val="24"/>
          <w:lang w:val="en-US"/>
        </w:rPr>
        <w:t xml:space="preserve"> While the former was aiming at withdrawal of legal monopolies in the terminal equipment markets, the latter liberalized provision of telecommunications services, apart from ‘voice telephony’, in the Member States.</w:t>
      </w:r>
    </w:p>
    <w:p w14:paraId="640F9F58" w14:textId="11EE1AAE" w:rsidR="00377D59" w:rsidRPr="00A70042" w:rsidRDefault="00623693" w:rsidP="00A70042">
      <w:pPr>
        <w:spacing w:before="360"/>
        <w:jc w:val="both"/>
        <w:rPr>
          <w:rFonts w:ascii="Times New Roman" w:hAnsi="Times New Roman" w:cs="Times New Roman"/>
          <w:spacing w:val="-2"/>
          <w:sz w:val="24"/>
          <w:szCs w:val="24"/>
          <w:lang w:val="en-US"/>
        </w:rPr>
      </w:pPr>
      <w:r w:rsidRPr="00A70042">
        <w:rPr>
          <w:rFonts w:ascii="Times New Roman" w:hAnsi="Times New Roman" w:cs="Times New Roman"/>
          <w:spacing w:val="-2"/>
          <w:sz w:val="24"/>
          <w:szCs w:val="24"/>
          <w:lang w:val="en-US"/>
        </w:rPr>
        <w:lastRenderedPageBreak/>
        <w:t xml:space="preserve">The Commission took the initiative under </w:t>
      </w:r>
      <w:r w:rsidRPr="00A70042">
        <w:rPr>
          <w:rFonts w:ascii="Times New Roman" w:hAnsi="Times New Roman" w:cs="Times New Roman"/>
          <w:spacing w:val="-2"/>
          <w:sz w:val="24"/>
          <w:szCs w:val="24"/>
        </w:rPr>
        <w:t>Article 106 (formerly 90(3)) of the TFEU, which facilitated the liberalisation process with no requirement to submit these directives before the approval of the European Council and Parliament, as opposed to the procedure under Article 116 (formerly 96) of the TFEU. The CoJ upheld in two respective judgements</w:t>
      </w:r>
      <w:r w:rsidRPr="00A70042">
        <w:rPr>
          <w:rStyle w:val="FootnoteReference"/>
          <w:rFonts w:ascii="Times New Roman" w:hAnsi="Times New Roman" w:cs="Times New Roman"/>
          <w:spacing w:val="-2"/>
          <w:sz w:val="24"/>
          <w:szCs w:val="24"/>
        </w:rPr>
        <w:footnoteReference w:id="607"/>
      </w:r>
      <w:r w:rsidRPr="00A70042">
        <w:rPr>
          <w:rFonts w:ascii="Times New Roman" w:hAnsi="Times New Roman" w:cs="Times New Roman"/>
          <w:spacing w:val="-2"/>
          <w:sz w:val="24"/>
          <w:szCs w:val="24"/>
        </w:rPr>
        <w:t xml:space="preserve"> in 1991 and 1992 that the Commission was entitled to directly enact and implement such directives. Being backed by the CoJ’s judgements, the Commission adopted a series of directives amending the 1990 Services Directive to encompass a broader range of telecommunications services: satellite communications, use of cable television networks, mobile and personal communications.</w:t>
      </w:r>
      <w:r w:rsidRPr="00A70042">
        <w:rPr>
          <w:rStyle w:val="FootnoteReference"/>
          <w:rFonts w:ascii="Times New Roman" w:hAnsi="Times New Roman" w:cs="Times New Roman"/>
          <w:spacing w:val="-2"/>
          <w:sz w:val="24"/>
          <w:szCs w:val="24"/>
        </w:rPr>
        <w:footnoteReference w:id="608"/>
      </w:r>
      <w:r w:rsidRPr="00A70042">
        <w:rPr>
          <w:rFonts w:ascii="Times New Roman" w:hAnsi="Times New Roman" w:cs="Times New Roman"/>
          <w:spacing w:val="-2"/>
          <w:sz w:val="24"/>
          <w:szCs w:val="24"/>
        </w:rPr>
        <w:t xml:space="preserve"> The final step was the enactment of the Full Competition Directive, which required Member States to remove all exclusive and special rights for the supply of telecommunications services, including voice fixed telephony, by the 1</w:t>
      </w:r>
      <w:r w:rsidR="00D523A0" w:rsidRPr="00A70042">
        <w:rPr>
          <w:rFonts w:ascii="Times New Roman" w:hAnsi="Times New Roman" w:cs="Times New Roman"/>
          <w:spacing w:val="-2"/>
          <w:sz w:val="24"/>
          <w:szCs w:val="24"/>
        </w:rPr>
        <w:t xml:space="preserve">st </w:t>
      </w:r>
      <w:r w:rsidRPr="00A70042">
        <w:rPr>
          <w:rFonts w:ascii="Times New Roman" w:hAnsi="Times New Roman" w:cs="Times New Roman"/>
          <w:spacing w:val="-2"/>
          <w:sz w:val="24"/>
          <w:szCs w:val="24"/>
        </w:rPr>
        <w:t>January 1998, at the latest.</w:t>
      </w:r>
      <w:r w:rsidR="00890E18" w:rsidRPr="00A70042">
        <w:rPr>
          <w:rFonts w:ascii="Times New Roman" w:hAnsi="Times New Roman" w:cs="Times New Roman"/>
          <w:spacing w:val="-2"/>
          <w:sz w:val="24"/>
          <w:szCs w:val="24"/>
          <w:lang w:val="en-US"/>
        </w:rPr>
        <w:t xml:space="preserve"> </w:t>
      </w:r>
    </w:p>
    <w:p w14:paraId="0F5AFC4D" w14:textId="77777777" w:rsidR="00377D59" w:rsidRPr="00774EDB" w:rsidRDefault="00623693" w:rsidP="00A70042">
      <w:pPr>
        <w:spacing w:before="360"/>
        <w:jc w:val="both"/>
        <w:rPr>
          <w:rFonts w:ascii="Times New Roman" w:hAnsi="Times New Roman" w:cs="Times New Roman"/>
          <w:sz w:val="24"/>
          <w:szCs w:val="24"/>
          <w:lang w:val="tr-TR"/>
        </w:rPr>
      </w:pPr>
      <w:r w:rsidRPr="00774EDB">
        <w:rPr>
          <w:rFonts w:ascii="Times New Roman" w:hAnsi="Times New Roman" w:cs="Times New Roman"/>
          <w:sz w:val="24"/>
          <w:szCs w:val="24"/>
          <w:lang w:val="en-US"/>
        </w:rPr>
        <w:t xml:space="preserve">Liberalization directives were accompanied by the </w:t>
      </w:r>
      <w:r w:rsidRPr="00774EDB">
        <w:rPr>
          <w:rFonts w:ascii="Times New Roman" w:hAnsi="Times New Roman" w:cs="Times New Roman"/>
          <w:sz w:val="24"/>
          <w:szCs w:val="24"/>
        </w:rPr>
        <w:t>harmonization directives which constituted and laid out an Open Network Provision (ONP)</w:t>
      </w:r>
      <w:r w:rsidRPr="00774EDB">
        <w:rPr>
          <w:rStyle w:val="FootnoteReference"/>
          <w:rFonts w:ascii="Times New Roman" w:hAnsi="Times New Roman" w:cs="Times New Roman"/>
          <w:sz w:val="24"/>
          <w:szCs w:val="24"/>
        </w:rPr>
        <w:footnoteReference w:id="609"/>
      </w:r>
      <w:r w:rsidRPr="00774EDB">
        <w:rPr>
          <w:rFonts w:ascii="Times New Roman" w:hAnsi="Times New Roman" w:cs="Times New Roman"/>
          <w:sz w:val="24"/>
          <w:szCs w:val="24"/>
        </w:rPr>
        <w:t xml:space="preserve"> programme that essentially aimed at harmonization of the national measures regarding access to and use of public telecommunication networks and services.</w:t>
      </w:r>
      <w:r w:rsidRPr="00774EDB">
        <w:rPr>
          <w:rFonts w:ascii="Times New Roman" w:hAnsi="Times New Roman" w:cs="Times New Roman"/>
          <w:sz w:val="24"/>
          <w:szCs w:val="24"/>
          <w:lang w:eastAsia="en-GB"/>
        </w:rPr>
        <w:t xml:space="preserve"> </w:t>
      </w:r>
      <w:r w:rsidRPr="00774EDB">
        <w:rPr>
          <w:rFonts w:ascii="Times New Roman" w:hAnsi="Times New Roman" w:cs="Times New Roman"/>
          <w:sz w:val="24"/>
          <w:szCs w:val="24"/>
          <w:lang w:val="tr-TR"/>
        </w:rPr>
        <w:t xml:space="preserve">The scope of the ONP programme was initially limited to issues of access to the network infrastructure and </w:t>
      </w:r>
      <w:r w:rsidRPr="00774EDB">
        <w:rPr>
          <w:rFonts w:ascii="Times New Roman" w:hAnsi="Times New Roman" w:cs="Times New Roman"/>
          <w:sz w:val="24"/>
          <w:szCs w:val="24"/>
          <w:lang w:val="tr-TR"/>
        </w:rPr>
        <w:lastRenderedPageBreak/>
        <w:t>‘reserved services’ provided by the incumbent operators,</w:t>
      </w:r>
      <w:r w:rsidRPr="00774EDB">
        <w:rPr>
          <w:rStyle w:val="FootnoteReference"/>
          <w:rFonts w:ascii="Times New Roman" w:hAnsi="Times New Roman" w:cs="Times New Roman"/>
          <w:sz w:val="24"/>
          <w:szCs w:val="24"/>
        </w:rPr>
        <w:footnoteReference w:id="610"/>
      </w:r>
      <w:r w:rsidRPr="00774EDB">
        <w:rPr>
          <w:rFonts w:ascii="Times New Roman" w:hAnsi="Times New Roman" w:cs="Times New Roman"/>
          <w:sz w:val="24"/>
          <w:szCs w:val="24"/>
          <w:lang w:val="tr-TR"/>
        </w:rPr>
        <w:t xml:space="preserve"> including postal, telegraph and telephone (PTT) agencies. However, along with gradual liberalization, the idea has been expanded to cover the privately governed networks and services as they succeeded the public incumbents (monopolies). To ensure that such markets thrive in a competitive manner, EU authorities spread the ex-ante regulation to many network components, including the local network or local loop which represents the “end mile” before the end-users. This would be considered as a final step to allow new entrants to compete with incumbent operators under the same or comparable conditions, with no sunk costs to be met by the former.</w:t>
      </w:r>
      <w:r w:rsidRPr="00774EDB">
        <w:rPr>
          <w:rStyle w:val="FootnoteReference"/>
          <w:rFonts w:ascii="Times New Roman" w:hAnsi="Times New Roman" w:cs="Times New Roman"/>
          <w:sz w:val="24"/>
          <w:szCs w:val="24"/>
          <w:lang w:val="tr-TR"/>
        </w:rPr>
        <w:footnoteReference w:id="611"/>
      </w:r>
    </w:p>
    <w:p w14:paraId="487C2936" w14:textId="77777777" w:rsidR="002308B9" w:rsidRPr="00774EDB" w:rsidRDefault="0062369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lang w:val="tr-TR"/>
        </w:rPr>
        <w:t xml:space="preserve">Following the abovementioned steps being taken, market players were confronted by diverse and wide-ranging measures. Regulatory measures incorporating the ONP Directives during the 1990s, usually called the ‘1998 regulatory framework’, were far from giving a clear signal towards a dynamic, competitive and convergent marketplace. Given this fact, the Commission lauched a review process in 1999, aiming at consolidating and revising the existing directives. Lack of an effective and flexible legal framework that is adaptable to the changing needs of the global information society motivated the review process. Ultimately in 2002, EU legislators adopted a comprehensive and technology-neutral framework, by which all transmission networks and services are covered under the same concept of ‘electronic communications’. </w:t>
      </w:r>
      <w:r w:rsidRPr="00774EDB">
        <w:rPr>
          <w:rFonts w:ascii="Times New Roman" w:hAnsi="Times New Roman" w:cs="Times New Roman"/>
          <w:sz w:val="24"/>
          <w:szCs w:val="24"/>
        </w:rPr>
        <w:t xml:space="preserve">The 2002 regulatory framework had five aims: (i) to react to </w:t>
      </w:r>
      <w:r w:rsidRPr="00774EDB">
        <w:rPr>
          <w:rFonts w:ascii="Times New Roman" w:hAnsi="Times New Roman" w:cs="Times New Roman"/>
          <w:sz w:val="24"/>
          <w:szCs w:val="24"/>
        </w:rPr>
        <w:lastRenderedPageBreak/>
        <w:t>technological and market developments; (ii) to promote more effective competition; (iii) to remove unnecessary regulation and simplify associated administrative procedures; (iv) to strengthen the internal market and (v) to protect consumers.</w:t>
      </w:r>
      <w:r w:rsidRPr="00774EDB">
        <w:rPr>
          <w:rStyle w:val="FootnoteReference"/>
          <w:rFonts w:ascii="Times New Roman" w:hAnsi="Times New Roman" w:cs="Times New Roman"/>
          <w:sz w:val="24"/>
          <w:szCs w:val="24"/>
        </w:rPr>
        <w:footnoteReference w:id="612"/>
      </w:r>
    </w:p>
    <w:p w14:paraId="37A5DF29" w14:textId="77777777" w:rsidR="00A56414" w:rsidRPr="00774EDB" w:rsidRDefault="0062369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Introduction of the 2002 regulatory framework</w:t>
      </w:r>
      <w:r w:rsidRPr="00774EDB">
        <w:rPr>
          <w:rFonts w:ascii="Times New Roman" w:hAnsi="Times New Roman" w:cs="Times New Roman"/>
          <w:sz w:val="24"/>
          <w:szCs w:val="24"/>
          <w:lang w:val="tr-TR"/>
        </w:rPr>
        <w:t xml:space="preserve"> enabled a more stable and consolidated regulatory structure, which has so far been kept up albeit with necessary modifications and overhauls. Given this fact, while a number of hard and soft laws have been issued by the EU legislature in the following years, the 2002 framework has set the main pillars for the ‘ECRF’, up until now. Having said that, for the purpose of this study, the concept of  the ‘ECRF’ is preferred because a number of additional regulations and directives have been put into force further to the 2002 regulatory framework. An important and recent development happened with the enactment of the 2018 European Electronic Communications Code (EECC)</w:t>
      </w:r>
      <w:r w:rsidRPr="00774EDB">
        <w:rPr>
          <w:rStyle w:val="FootnoteReference"/>
          <w:rFonts w:ascii="Times New Roman" w:hAnsi="Times New Roman" w:cs="Times New Roman"/>
          <w:sz w:val="24"/>
          <w:szCs w:val="24"/>
          <w:lang w:val="tr-TR"/>
        </w:rPr>
        <w:footnoteReference w:id="613"/>
      </w:r>
      <w:r w:rsidRPr="00774EDB">
        <w:rPr>
          <w:rFonts w:ascii="Times New Roman" w:hAnsi="Times New Roman" w:cs="Times New Roman"/>
          <w:sz w:val="24"/>
          <w:szCs w:val="24"/>
          <w:lang w:val="tr-TR"/>
        </w:rPr>
        <w:t xml:space="preserve">, which signifies an overhaul for the ECRF. </w:t>
      </w:r>
      <w:r w:rsidRPr="00774EDB">
        <w:rPr>
          <w:rFonts w:ascii="Times New Roman" w:hAnsi="Times New Roman" w:cs="Times New Roman"/>
          <w:sz w:val="24"/>
          <w:szCs w:val="24"/>
        </w:rPr>
        <w:t>Under the EECC Directive, or simply the EECC, is incorporated an expanded set of regulatory mechanisms, procedures and remedies, based on a more forward-looking blueprint.</w:t>
      </w:r>
    </w:p>
    <w:p w14:paraId="4BD40971" w14:textId="6B34CCD1" w:rsidR="007002C3" w:rsidRPr="00774EDB" w:rsidRDefault="0062369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far as the historical background is concerned, it should be remembered that the EECC is a part of the Digital Single Market (DSM) process which was initiated by the Commission in 2015.</w:t>
      </w:r>
      <w:r w:rsidRPr="00820EF9">
        <w:rPr>
          <w:rStyle w:val="FootnoteReference"/>
          <w:rFonts w:ascii="Times New Roman" w:hAnsi="Times New Roman" w:cs="Times New Roman"/>
          <w:sz w:val="24"/>
          <w:szCs w:val="24"/>
        </w:rPr>
        <w:footnoteReference w:id="614"/>
      </w:r>
      <w:r w:rsidRPr="00774EDB">
        <w:rPr>
          <w:rFonts w:ascii="Times New Roman" w:hAnsi="Times New Roman" w:cs="Times New Roman"/>
          <w:sz w:val="24"/>
          <w:szCs w:val="24"/>
        </w:rPr>
        <w:t xml:space="preserve"> At that time, EU authorities considered that a more consistent and harmonized regulatory structure across the Member States was a pressing need for </w:t>
      </w:r>
      <w:r w:rsidRPr="00774EDB">
        <w:rPr>
          <w:rFonts w:ascii="Times New Roman" w:hAnsi="Times New Roman" w:cs="Times New Roman"/>
          <w:sz w:val="24"/>
          <w:szCs w:val="24"/>
        </w:rPr>
        <w:lastRenderedPageBreak/>
        <w:t>the creation of a fully-fledged digital single market. Given this fact, the DSM initiative was launched in May 2015,</w:t>
      </w:r>
      <w:r w:rsidRPr="00820EF9">
        <w:rPr>
          <w:rStyle w:val="FootnoteReference"/>
          <w:rFonts w:ascii="Times New Roman" w:hAnsi="Times New Roman" w:cs="Times New Roman"/>
          <w:sz w:val="24"/>
          <w:szCs w:val="24"/>
        </w:rPr>
        <w:footnoteReference w:id="615"/>
      </w:r>
      <w:r w:rsidRPr="00774EDB">
        <w:rPr>
          <w:rFonts w:ascii="Times New Roman" w:hAnsi="Times New Roman" w:cs="Times New Roman"/>
          <w:sz w:val="24"/>
          <w:szCs w:val="24"/>
        </w:rPr>
        <w:t xml:space="preserve"> incorporating electronic communications regulations as well as copyright, standardisation, data privacy, taxation and consumer protection rules. A review process was initiated in September 2015, ending up with a proposal published in September 2016</w:t>
      </w:r>
      <w:r w:rsidRPr="00774EDB">
        <w:rPr>
          <w:rStyle w:val="FootnoteReference"/>
          <w:rFonts w:ascii="Times New Roman" w:hAnsi="Times New Roman" w:cs="Times New Roman"/>
          <w:sz w:val="24"/>
          <w:szCs w:val="24"/>
        </w:rPr>
        <w:footnoteReference w:id="616"/>
      </w:r>
      <w:r w:rsidRPr="00774EDB">
        <w:rPr>
          <w:rFonts w:ascii="Times New Roman" w:hAnsi="Times New Roman" w:cs="Times New Roman"/>
          <w:sz w:val="24"/>
          <w:szCs w:val="24"/>
        </w:rPr>
        <w:t xml:space="preserve"> and finally the EECC Directive put into force in December 2018. Targeting a wider and deeper harmonization across the EU, the EECC has streamlined and consolidated the applicable regulatory framework, as explained below.</w:t>
      </w:r>
    </w:p>
    <w:p w14:paraId="207B0E1E" w14:textId="77777777" w:rsidR="00EE759F" w:rsidRPr="00774EDB" w:rsidRDefault="00446AC9" w:rsidP="00A70042">
      <w:pPr>
        <w:pStyle w:val="Heading3"/>
        <w:numPr>
          <w:ilvl w:val="2"/>
          <w:numId w:val="33"/>
        </w:numPr>
        <w:spacing w:before="360"/>
        <w:ind w:left="0" w:firstLine="0"/>
        <w:jc w:val="both"/>
        <w:rPr>
          <w:rFonts w:ascii="Times New Roman" w:hAnsi="Times New Roman" w:cs="Times New Roman"/>
          <w:b/>
          <w:color w:val="auto"/>
        </w:rPr>
      </w:pPr>
      <w:bookmarkStart w:id="479" w:name="_Toc17611445"/>
      <w:bookmarkStart w:id="480" w:name="_Toc17611662"/>
      <w:bookmarkStart w:id="481" w:name="_Toc17611874"/>
      <w:bookmarkStart w:id="482" w:name="_Toc17612088"/>
      <w:bookmarkStart w:id="483" w:name="_Toc17612301"/>
      <w:bookmarkStart w:id="484" w:name="_Toc17611446"/>
      <w:bookmarkStart w:id="485" w:name="_Toc53576082"/>
      <w:bookmarkEnd w:id="479"/>
      <w:bookmarkEnd w:id="480"/>
      <w:bookmarkEnd w:id="481"/>
      <w:bookmarkEnd w:id="482"/>
      <w:bookmarkEnd w:id="483"/>
      <w:r w:rsidRPr="00774EDB">
        <w:rPr>
          <w:rFonts w:ascii="Times New Roman" w:hAnsi="Times New Roman" w:cs="Times New Roman"/>
          <w:b/>
          <w:color w:val="auto"/>
        </w:rPr>
        <w:t xml:space="preserve">Regulatory structure and </w:t>
      </w:r>
      <w:r w:rsidR="009946AC" w:rsidRPr="00774EDB">
        <w:rPr>
          <w:rFonts w:ascii="Times New Roman" w:hAnsi="Times New Roman" w:cs="Times New Roman"/>
          <w:b/>
          <w:color w:val="auto"/>
        </w:rPr>
        <w:t>policy objectives</w:t>
      </w:r>
      <w:bookmarkEnd w:id="484"/>
      <w:bookmarkEnd w:id="485"/>
    </w:p>
    <w:p w14:paraId="4BA30690" w14:textId="77777777" w:rsidR="007002C3" w:rsidRPr="00774EDB" w:rsidRDefault="00F371F0" w:rsidP="00A70042">
      <w:pPr>
        <w:spacing w:before="360"/>
        <w:jc w:val="both"/>
        <w:rPr>
          <w:rFonts w:ascii="Times New Roman" w:hAnsi="Times New Roman" w:cs="Times New Roman"/>
          <w:sz w:val="24"/>
          <w:szCs w:val="24"/>
          <w:lang w:val="tr-TR"/>
        </w:rPr>
      </w:pPr>
      <w:r w:rsidRPr="00774EDB">
        <w:rPr>
          <w:rFonts w:ascii="Times New Roman" w:hAnsi="Times New Roman" w:cs="Times New Roman"/>
          <w:sz w:val="24"/>
          <w:szCs w:val="24"/>
          <w:lang w:val="tr-TR"/>
        </w:rPr>
        <w:t xml:space="preserve">The </w:t>
      </w:r>
      <w:r w:rsidR="007002C3" w:rsidRPr="00774EDB">
        <w:rPr>
          <w:rFonts w:ascii="Times New Roman" w:hAnsi="Times New Roman" w:cs="Times New Roman"/>
          <w:sz w:val="24"/>
          <w:szCs w:val="24"/>
          <w:lang w:val="tr-TR"/>
        </w:rPr>
        <w:t>2002 regulatory framework</w:t>
      </w:r>
      <w:r w:rsidR="00CD4452" w:rsidRPr="00774EDB">
        <w:rPr>
          <w:rFonts w:ascii="Times New Roman" w:hAnsi="Times New Roman" w:cs="Times New Roman"/>
          <w:sz w:val="24"/>
          <w:szCs w:val="24"/>
          <w:lang w:val="tr-TR"/>
        </w:rPr>
        <w:t>,</w:t>
      </w:r>
      <w:r w:rsidR="007002C3" w:rsidRPr="00774EDB">
        <w:rPr>
          <w:rFonts w:ascii="Times New Roman" w:hAnsi="Times New Roman" w:cs="Times New Roman"/>
          <w:sz w:val="24"/>
          <w:szCs w:val="24"/>
          <w:lang w:val="tr-TR"/>
        </w:rPr>
        <w:t xml:space="preserve"> </w:t>
      </w:r>
      <w:r w:rsidR="005C47F9" w:rsidRPr="00774EDB">
        <w:rPr>
          <w:rFonts w:ascii="Times New Roman" w:hAnsi="Times New Roman" w:cs="Times New Roman"/>
          <w:sz w:val="24"/>
          <w:szCs w:val="24"/>
          <w:lang w:val="tr-TR"/>
        </w:rPr>
        <w:t>which underlies the</w:t>
      </w:r>
      <w:r w:rsidR="007002C3" w:rsidRPr="00774EDB">
        <w:rPr>
          <w:rFonts w:ascii="Times New Roman" w:hAnsi="Times New Roman" w:cs="Times New Roman"/>
          <w:sz w:val="24"/>
          <w:szCs w:val="24"/>
          <w:lang w:val="tr-TR"/>
        </w:rPr>
        <w:t xml:space="preserve"> so-called ECRF</w:t>
      </w:r>
      <w:r w:rsidR="00CD4452" w:rsidRPr="00774EDB">
        <w:rPr>
          <w:rFonts w:ascii="Times New Roman" w:hAnsi="Times New Roman" w:cs="Times New Roman"/>
          <w:sz w:val="24"/>
          <w:szCs w:val="24"/>
          <w:lang w:val="tr-TR"/>
        </w:rPr>
        <w:t>,</w:t>
      </w:r>
      <w:r w:rsidR="007002C3" w:rsidRPr="00774EDB">
        <w:rPr>
          <w:rFonts w:ascii="Times New Roman" w:hAnsi="Times New Roman" w:cs="Times New Roman"/>
          <w:sz w:val="24"/>
          <w:szCs w:val="24"/>
          <w:lang w:val="tr-TR"/>
        </w:rPr>
        <w:t xml:space="preserve"> </w:t>
      </w:r>
      <w:r w:rsidR="00CD4452" w:rsidRPr="00774EDB">
        <w:rPr>
          <w:rFonts w:ascii="Times New Roman" w:hAnsi="Times New Roman" w:cs="Times New Roman"/>
          <w:sz w:val="24"/>
          <w:szCs w:val="24"/>
          <w:lang w:val="tr-TR"/>
        </w:rPr>
        <w:t>originated from the</w:t>
      </w:r>
      <w:r w:rsidR="007002C3" w:rsidRPr="00774EDB">
        <w:rPr>
          <w:rFonts w:ascii="Times New Roman" w:hAnsi="Times New Roman" w:cs="Times New Roman"/>
          <w:sz w:val="24"/>
          <w:szCs w:val="24"/>
          <w:lang w:val="tr-TR"/>
        </w:rPr>
        <w:t xml:space="preserve"> five </w:t>
      </w:r>
      <w:r w:rsidR="005C47F9" w:rsidRPr="00774EDB">
        <w:rPr>
          <w:rFonts w:ascii="Times New Roman" w:hAnsi="Times New Roman" w:cs="Times New Roman"/>
          <w:sz w:val="24"/>
          <w:szCs w:val="24"/>
          <w:lang w:val="tr-TR"/>
        </w:rPr>
        <w:t xml:space="preserve">main </w:t>
      </w:r>
      <w:r w:rsidR="007002C3" w:rsidRPr="00774EDB">
        <w:rPr>
          <w:rFonts w:ascii="Times New Roman" w:hAnsi="Times New Roman" w:cs="Times New Roman"/>
          <w:sz w:val="24"/>
          <w:szCs w:val="24"/>
          <w:lang w:val="tr-TR"/>
        </w:rPr>
        <w:t xml:space="preserve">directives </w:t>
      </w:r>
      <w:r w:rsidR="00CD4452" w:rsidRPr="00774EDB">
        <w:rPr>
          <w:rFonts w:ascii="Times New Roman" w:hAnsi="Times New Roman" w:cs="Times New Roman"/>
          <w:sz w:val="24"/>
          <w:szCs w:val="24"/>
          <w:lang w:val="tr-TR"/>
        </w:rPr>
        <w:t>given below</w:t>
      </w:r>
      <w:r w:rsidR="00D5663E" w:rsidRPr="00774EDB">
        <w:rPr>
          <w:rFonts w:ascii="Times New Roman" w:hAnsi="Times New Roman" w:cs="Times New Roman"/>
          <w:sz w:val="24"/>
          <w:szCs w:val="24"/>
          <w:lang w:val="tr-TR"/>
        </w:rPr>
        <w:t>:</w:t>
      </w:r>
      <w:r w:rsidR="007002C3" w:rsidRPr="00774EDB">
        <w:rPr>
          <w:rStyle w:val="FootnoteReference"/>
          <w:rFonts w:ascii="Times New Roman" w:hAnsi="Times New Roman" w:cs="Times New Roman"/>
          <w:sz w:val="24"/>
          <w:szCs w:val="24"/>
        </w:rPr>
        <w:footnoteReference w:id="617"/>
      </w:r>
    </w:p>
    <w:p w14:paraId="49C3E7F2" w14:textId="77777777" w:rsidR="007002C3" w:rsidRPr="00774EDB" w:rsidRDefault="007002C3" w:rsidP="00A70042">
      <w:pPr>
        <w:pStyle w:val="NormalWeb"/>
        <w:numPr>
          <w:ilvl w:val="0"/>
          <w:numId w:val="4"/>
        </w:numPr>
        <w:tabs>
          <w:tab w:val="left" w:pos="360"/>
        </w:tabs>
        <w:spacing w:before="240" w:beforeAutospacing="0" w:after="0" w:afterAutospacing="0" w:line="480" w:lineRule="auto"/>
        <w:ind w:left="714" w:hanging="357"/>
        <w:jc w:val="both"/>
      </w:pPr>
      <w:r w:rsidRPr="00774EDB">
        <w:rPr>
          <w:bCs/>
        </w:rPr>
        <w:t>Framework Directive (2002/21/EC),</w:t>
      </w:r>
      <w:r w:rsidRPr="00774EDB">
        <w:t xml:space="preserve"> </w:t>
      </w:r>
      <w:r w:rsidRPr="00774EDB">
        <w:rPr>
          <w:bCs/>
        </w:rPr>
        <w:t>OJ L 108, 24.4.2002.</w:t>
      </w:r>
      <w:r w:rsidRPr="00774EDB">
        <w:rPr>
          <w:rStyle w:val="FootnoteReference"/>
          <w:bCs/>
        </w:rPr>
        <w:footnoteReference w:id="618"/>
      </w:r>
    </w:p>
    <w:p w14:paraId="7BA609CC" w14:textId="77777777" w:rsidR="007002C3" w:rsidRPr="00774EDB" w:rsidRDefault="007002C3" w:rsidP="00A70042">
      <w:pPr>
        <w:pStyle w:val="NormalWeb"/>
        <w:numPr>
          <w:ilvl w:val="0"/>
          <w:numId w:val="4"/>
        </w:numPr>
        <w:tabs>
          <w:tab w:val="left" w:pos="360"/>
        </w:tabs>
        <w:spacing w:before="240" w:beforeAutospacing="0" w:after="0" w:afterAutospacing="0" w:line="480" w:lineRule="auto"/>
        <w:ind w:left="714" w:hanging="357"/>
        <w:jc w:val="both"/>
      </w:pPr>
      <w:bookmarkStart w:id="486" w:name="acc"/>
      <w:r w:rsidRPr="00774EDB">
        <w:rPr>
          <w:bCs/>
        </w:rPr>
        <w:t>Access</w:t>
      </w:r>
      <w:bookmarkEnd w:id="486"/>
      <w:r w:rsidRPr="00774EDB">
        <w:rPr>
          <w:bCs/>
        </w:rPr>
        <w:t xml:space="preserve"> Directive (2002/19/EC),</w:t>
      </w:r>
      <w:r w:rsidRPr="00774EDB">
        <w:t xml:space="preserve"> </w:t>
      </w:r>
      <w:r w:rsidRPr="00774EDB">
        <w:rPr>
          <w:bCs/>
        </w:rPr>
        <w:t>OJ L 108, 24.4.2002.</w:t>
      </w:r>
      <w:r w:rsidRPr="00774EDB">
        <w:rPr>
          <w:rStyle w:val="FootnoteReference"/>
          <w:bCs/>
        </w:rPr>
        <w:footnoteReference w:id="619"/>
      </w:r>
    </w:p>
    <w:p w14:paraId="2BD2E3FA" w14:textId="77777777" w:rsidR="007002C3" w:rsidRPr="00774EDB" w:rsidRDefault="007002C3" w:rsidP="00A70042">
      <w:pPr>
        <w:pStyle w:val="NormalWeb"/>
        <w:numPr>
          <w:ilvl w:val="0"/>
          <w:numId w:val="4"/>
        </w:numPr>
        <w:tabs>
          <w:tab w:val="left" w:pos="360"/>
        </w:tabs>
        <w:spacing w:before="240" w:beforeAutospacing="0" w:after="0" w:afterAutospacing="0" w:line="480" w:lineRule="auto"/>
        <w:ind w:left="714" w:hanging="357"/>
        <w:jc w:val="both"/>
      </w:pPr>
      <w:bookmarkStart w:id="487" w:name="auth"/>
      <w:r w:rsidRPr="00774EDB">
        <w:t>Authorisation</w:t>
      </w:r>
      <w:bookmarkEnd w:id="487"/>
      <w:r w:rsidRPr="00774EDB">
        <w:t xml:space="preserve"> Directive (2002/20/EC), </w:t>
      </w:r>
      <w:r w:rsidRPr="00774EDB">
        <w:rPr>
          <w:bCs/>
        </w:rPr>
        <w:t>OJ L 108, 24.4.2002.</w:t>
      </w:r>
      <w:r w:rsidRPr="00774EDB">
        <w:rPr>
          <w:rStyle w:val="FootnoteReference"/>
          <w:bCs/>
        </w:rPr>
        <w:footnoteReference w:id="620"/>
      </w:r>
    </w:p>
    <w:p w14:paraId="5480B3E1" w14:textId="77777777" w:rsidR="007002C3" w:rsidRPr="00774EDB" w:rsidRDefault="007002C3" w:rsidP="00A70042">
      <w:pPr>
        <w:pStyle w:val="NormalWeb"/>
        <w:numPr>
          <w:ilvl w:val="0"/>
          <w:numId w:val="4"/>
        </w:numPr>
        <w:tabs>
          <w:tab w:val="left" w:pos="360"/>
        </w:tabs>
        <w:spacing w:before="240" w:beforeAutospacing="0" w:after="0" w:afterAutospacing="0" w:line="480" w:lineRule="auto"/>
        <w:ind w:left="714" w:hanging="357"/>
        <w:jc w:val="both"/>
      </w:pPr>
      <w:r w:rsidRPr="00774EDB">
        <w:lastRenderedPageBreak/>
        <w:t>Universal Service Directive (2002/22/EC), OJ L 108, 24.4.2002.</w:t>
      </w:r>
      <w:r w:rsidRPr="00774EDB">
        <w:rPr>
          <w:rStyle w:val="FootnoteReference"/>
          <w:bCs/>
        </w:rPr>
        <w:footnoteReference w:id="621"/>
      </w:r>
    </w:p>
    <w:p w14:paraId="68819235" w14:textId="77777777" w:rsidR="00CD4452" w:rsidRPr="00774EDB" w:rsidRDefault="007002C3" w:rsidP="00A70042">
      <w:pPr>
        <w:pStyle w:val="ListParagraph"/>
        <w:numPr>
          <w:ilvl w:val="0"/>
          <w:numId w:val="4"/>
        </w:numPr>
        <w:tabs>
          <w:tab w:val="left" w:pos="360"/>
          <w:tab w:val="left" w:pos="484"/>
        </w:tabs>
        <w:spacing w:before="240"/>
        <w:contextualSpacing w:val="0"/>
        <w:jc w:val="both"/>
        <w:rPr>
          <w:rFonts w:ascii="Times New Roman" w:hAnsi="Times New Roman" w:cs="Times New Roman"/>
          <w:snapToGrid w:val="0"/>
          <w:sz w:val="24"/>
          <w:szCs w:val="24"/>
          <w:lang w:eastAsia="tr-TR"/>
        </w:rPr>
      </w:pPr>
      <w:r w:rsidRPr="00774EDB">
        <w:rPr>
          <w:rFonts w:ascii="Times New Roman" w:hAnsi="Times New Roman" w:cs="Times New Roman"/>
          <w:snapToGrid w:val="0"/>
          <w:sz w:val="24"/>
          <w:szCs w:val="24"/>
          <w:lang w:eastAsia="tr-TR"/>
        </w:rPr>
        <w:t>E-Privacy Directive (2002/58/EC), OJ L 201/37, 31.07.2002.</w:t>
      </w:r>
      <w:r w:rsidRPr="00774EDB">
        <w:rPr>
          <w:rStyle w:val="FootnoteReference"/>
          <w:rFonts w:ascii="Times New Roman" w:hAnsi="Times New Roman" w:cs="Times New Roman"/>
          <w:bCs/>
          <w:sz w:val="24"/>
          <w:szCs w:val="24"/>
        </w:rPr>
        <w:footnoteReference w:id="622"/>
      </w:r>
    </w:p>
    <w:p w14:paraId="2E45745F" w14:textId="77777777" w:rsidR="000474EC" w:rsidRPr="00774EDB" w:rsidRDefault="00F371F0" w:rsidP="00A70042">
      <w:pPr>
        <w:tabs>
          <w:tab w:val="left" w:pos="360"/>
          <w:tab w:val="left" w:pos="484"/>
        </w:tabs>
        <w:spacing w:before="360"/>
        <w:jc w:val="both"/>
        <w:rPr>
          <w:rFonts w:ascii="Times New Roman" w:hAnsi="Times New Roman" w:cs="Times New Roman"/>
          <w:snapToGrid w:val="0"/>
          <w:sz w:val="24"/>
          <w:szCs w:val="24"/>
          <w:lang w:eastAsia="tr-TR"/>
        </w:rPr>
      </w:pPr>
      <w:r w:rsidRPr="00774EDB">
        <w:rPr>
          <w:rFonts w:ascii="Times New Roman" w:hAnsi="Times New Roman" w:cs="Times New Roman"/>
          <w:snapToGrid w:val="0"/>
          <w:sz w:val="24"/>
          <w:szCs w:val="24"/>
          <w:lang w:eastAsia="tr-TR"/>
        </w:rPr>
        <w:t>These Directive were maintained with some modifications until the adoption of the EECC in December 2018. The EECC made a consolidation of these directives, except for the E-Privacy Directive, which was put into another review process.</w:t>
      </w:r>
      <w:r w:rsidRPr="00774EDB">
        <w:rPr>
          <w:rStyle w:val="FootnoteReference"/>
          <w:rFonts w:ascii="Times New Roman" w:hAnsi="Times New Roman" w:cs="Times New Roman"/>
          <w:snapToGrid w:val="0"/>
          <w:sz w:val="24"/>
          <w:szCs w:val="24"/>
          <w:lang w:eastAsia="tr-TR"/>
        </w:rPr>
        <w:footnoteReference w:id="623"/>
      </w:r>
      <w:r w:rsidRPr="00774EDB">
        <w:rPr>
          <w:rFonts w:ascii="Times New Roman" w:hAnsi="Times New Roman" w:cs="Times New Roman"/>
          <w:snapToGrid w:val="0"/>
          <w:sz w:val="24"/>
          <w:szCs w:val="24"/>
          <w:lang w:eastAsia="tr-TR"/>
        </w:rPr>
        <w:t xml:space="preserve"> So far, a number of regulations have also been issued that should be comprehended within the context of the ECRF. Among these, the three regulations given below are note-worthy as having a key role with regards to regulatory governance of electronic communications networks and services.</w:t>
      </w:r>
      <w:r w:rsidR="000474EC" w:rsidRPr="00774EDB">
        <w:rPr>
          <w:rFonts w:ascii="Times New Roman" w:hAnsi="Times New Roman" w:cs="Times New Roman"/>
          <w:snapToGrid w:val="0"/>
          <w:sz w:val="24"/>
          <w:szCs w:val="24"/>
          <w:lang w:eastAsia="tr-TR"/>
        </w:rPr>
        <w:t xml:space="preserve">   </w:t>
      </w:r>
    </w:p>
    <w:p w14:paraId="1F9DE92A" w14:textId="77777777" w:rsidR="007002C3" w:rsidRPr="00774EDB" w:rsidRDefault="00F371F0" w:rsidP="00A70042">
      <w:pPr>
        <w:pStyle w:val="ListParagraph"/>
        <w:numPr>
          <w:ilvl w:val="0"/>
          <w:numId w:val="29"/>
        </w:numPr>
        <w:tabs>
          <w:tab w:val="left" w:pos="360"/>
          <w:tab w:val="left" w:pos="484"/>
        </w:tabs>
        <w:spacing w:before="240"/>
        <w:ind w:left="714" w:hanging="357"/>
        <w:contextualSpacing w:val="0"/>
        <w:jc w:val="both"/>
        <w:rPr>
          <w:rFonts w:ascii="Times New Roman" w:hAnsi="Times New Roman" w:cs="Times New Roman"/>
          <w:snapToGrid w:val="0"/>
          <w:sz w:val="24"/>
          <w:szCs w:val="24"/>
          <w:lang w:eastAsia="tr-TR"/>
        </w:rPr>
      </w:pPr>
      <w:r w:rsidRPr="00774EDB">
        <w:rPr>
          <w:rFonts w:ascii="Times New Roman" w:hAnsi="Times New Roman" w:cs="Times New Roman"/>
          <w:snapToGrid w:val="0"/>
          <w:sz w:val="24"/>
          <w:szCs w:val="24"/>
          <w:lang w:eastAsia="tr-TR"/>
        </w:rPr>
        <w:t>Regulation on the Body of European Regulators of Electronic Communications (BEREC), OJ L 321, 17.12.2018.</w:t>
      </w:r>
    </w:p>
    <w:p w14:paraId="0806AEFA" w14:textId="1924FBF6" w:rsidR="00F371F0" w:rsidRPr="00774EDB" w:rsidRDefault="00F371F0" w:rsidP="00A70042">
      <w:pPr>
        <w:pStyle w:val="ListParagraph"/>
        <w:numPr>
          <w:ilvl w:val="0"/>
          <w:numId w:val="29"/>
        </w:numPr>
        <w:tabs>
          <w:tab w:val="left" w:pos="360"/>
          <w:tab w:val="left" w:pos="484"/>
        </w:tabs>
        <w:spacing w:before="240"/>
        <w:ind w:left="714" w:hanging="357"/>
        <w:contextualSpacing w:val="0"/>
        <w:jc w:val="both"/>
        <w:rPr>
          <w:rFonts w:ascii="Times New Roman" w:hAnsi="Times New Roman" w:cs="Times New Roman"/>
          <w:snapToGrid w:val="0"/>
          <w:sz w:val="24"/>
          <w:szCs w:val="24"/>
          <w:lang w:eastAsia="tr-TR"/>
        </w:rPr>
      </w:pPr>
      <w:r w:rsidRPr="00774EDB">
        <w:rPr>
          <w:rFonts w:ascii="Times New Roman" w:hAnsi="Times New Roman" w:cs="Times New Roman"/>
          <w:snapToGrid w:val="0"/>
          <w:sz w:val="24"/>
          <w:szCs w:val="24"/>
          <w:lang w:eastAsia="tr-TR"/>
        </w:rPr>
        <w:t>Regulation 2015/2120 on open internet access and net neutrality, OJ L 310, 26.11.2015</w:t>
      </w:r>
      <w:r w:rsidR="005D615E" w:rsidRPr="00774EDB">
        <w:rPr>
          <w:rFonts w:ascii="Times New Roman" w:hAnsi="Times New Roman" w:cs="Times New Roman"/>
          <w:snapToGrid w:val="0"/>
          <w:sz w:val="24"/>
          <w:szCs w:val="24"/>
          <w:lang w:eastAsia="tr-TR"/>
        </w:rPr>
        <w:t xml:space="preserve"> (EU Net Neutrality Regulation)</w:t>
      </w:r>
      <w:r w:rsidRPr="00774EDB">
        <w:rPr>
          <w:rFonts w:ascii="Times New Roman" w:hAnsi="Times New Roman" w:cs="Times New Roman"/>
          <w:snapToGrid w:val="0"/>
          <w:sz w:val="24"/>
          <w:szCs w:val="24"/>
          <w:lang w:eastAsia="tr-TR"/>
        </w:rPr>
        <w:t>.</w:t>
      </w:r>
    </w:p>
    <w:p w14:paraId="03736193" w14:textId="77777777" w:rsidR="00CD4452" w:rsidRPr="00774EDB" w:rsidRDefault="007002C3" w:rsidP="00A70042">
      <w:pPr>
        <w:pStyle w:val="ListParagraph"/>
        <w:numPr>
          <w:ilvl w:val="0"/>
          <w:numId w:val="29"/>
        </w:numPr>
        <w:tabs>
          <w:tab w:val="left" w:pos="360"/>
          <w:tab w:val="left" w:pos="484"/>
        </w:tabs>
        <w:spacing w:before="240"/>
        <w:ind w:left="714" w:hanging="357"/>
        <w:contextualSpacing w:val="0"/>
        <w:jc w:val="both"/>
        <w:rPr>
          <w:rFonts w:ascii="Times New Roman" w:hAnsi="Times New Roman" w:cs="Times New Roman"/>
          <w:snapToGrid w:val="0"/>
          <w:sz w:val="24"/>
          <w:szCs w:val="24"/>
          <w:lang w:eastAsia="tr-TR"/>
        </w:rPr>
      </w:pPr>
      <w:r w:rsidRPr="00774EDB">
        <w:rPr>
          <w:rFonts w:ascii="Times New Roman" w:hAnsi="Times New Roman" w:cs="Times New Roman"/>
          <w:snapToGrid w:val="0"/>
          <w:sz w:val="24"/>
          <w:szCs w:val="24"/>
          <w:lang w:eastAsia="tr-TR"/>
        </w:rPr>
        <w:t>Regulation on roaming on public mobile communications networks, OJ L 172, 30.6.2012.</w:t>
      </w:r>
    </w:p>
    <w:p w14:paraId="60E44CAF" w14:textId="77777777" w:rsidR="00F468A5" w:rsidRPr="00774EDB" w:rsidRDefault="00F371F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lang w:eastAsia="tr-TR"/>
        </w:rPr>
        <w:t>Built on the above directives and regulations, the ECRF means a comprehensive set of rules, rights and obligations which need to be transposed by the Member States.</w:t>
      </w:r>
      <w:r w:rsidRPr="00774EDB">
        <w:rPr>
          <w:rStyle w:val="FootnoteReference"/>
          <w:rFonts w:ascii="Times New Roman" w:hAnsi="Times New Roman" w:cs="Times New Roman"/>
          <w:sz w:val="24"/>
          <w:szCs w:val="24"/>
          <w:lang w:eastAsia="tr-TR"/>
        </w:rPr>
        <w:footnoteReference w:id="624"/>
      </w:r>
      <w:r w:rsidRPr="00774EDB">
        <w:rPr>
          <w:rFonts w:ascii="Times New Roman" w:hAnsi="Times New Roman" w:cs="Times New Roman"/>
          <w:sz w:val="24"/>
          <w:szCs w:val="24"/>
          <w:lang w:eastAsia="tr-TR"/>
        </w:rPr>
        <w:t xml:space="preserve"> While the EU Directives usually address Member States for the transposition, </w:t>
      </w:r>
      <w:r w:rsidRPr="00774EDB">
        <w:rPr>
          <w:rFonts w:ascii="Times New Roman" w:hAnsi="Times New Roman" w:cs="Times New Roman"/>
          <w:sz w:val="24"/>
          <w:szCs w:val="24"/>
        </w:rPr>
        <w:lastRenderedPageBreak/>
        <w:t>enforcement of the transposed rules rests on the independent NRAs in each country. While Member States, in practice the NRAs, enjoy the primary responsibility of implementing the ECRF, the Commission has the role of guiding, updating and monitoring implementation.</w:t>
      </w:r>
      <w:r w:rsidRPr="00774EDB">
        <w:rPr>
          <w:rStyle w:val="FootnoteReference"/>
          <w:rFonts w:ascii="Times New Roman" w:hAnsi="Times New Roman" w:cs="Times New Roman"/>
          <w:sz w:val="24"/>
          <w:szCs w:val="24"/>
        </w:rPr>
        <w:footnoteReference w:id="625"/>
      </w:r>
      <w:r w:rsidRPr="00774EDB">
        <w:rPr>
          <w:rFonts w:ascii="Times New Roman" w:hAnsi="Times New Roman" w:cs="Times New Roman"/>
          <w:sz w:val="24"/>
          <w:szCs w:val="24"/>
        </w:rPr>
        <w:t xml:space="preserve"> This means a ‘decentralized’ system, being managed by means of a number of tools and mechanisms, i.e. market review, spectrum allocation and dispute resolution, which require interaction and collaboration between the parties, i.e. the Commission and NRAs.</w:t>
      </w:r>
      <w:r w:rsidRPr="00774EDB">
        <w:rPr>
          <w:rStyle w:val="FootnoteReference"/>
          <w:rFonts w:ascii="Times New Roman" w:hAnsi="Times New Roman" w:cs="Times New Roman"/>
          <w:sz w:val="24"/>
          <w:szCs w:val="24"/>
        </w:rPr>
        <w:footnoteReference w:id="626"/>
      </w:r>
      <w:r w:rsidRPr="00774EDB">
        <w:rPr>
          <w:rFonts w:ascii="Times New Roman" w:hAnsi="Times New Roman" w:cs="Times New Roman"/>
          <w:sz w:val="24"/>
          <w:szCs w:val="24"/>
        </w:rPr>
        <w:t xml:space="preserve"> Also, an increasing number of soft laws, i.e. guidelines, recommendations and decisions, have thus far been issued by the Commission, shedding light on how to enforce the ECRF.</w:t>
      </w:r>
      <w:r w:rsidRPr="00774EDB">
        <w:rPr>
          <w:rStyle w:val="FootnoteReference"/>
          <w:rFonts w:ascii="Times New Roman" w:hAnsi="Times New Roman" w:cs="Times New Roman"/>
          <w:sz w:val="24"/>
          <w:szCs w:val="24"/>
        </w:rPr>
        <w:footnoteReference w:id="627"/>
      </w:r>
    </w:p>
    <w:p w14:paraId="1D788DC3" w14:textId="77777777" w:rsidR="00D901D5" w:rsidRPr="00A70042" w:rsidRDefault="00F371F0" w:rsidP="00A70042">
      <w:pPr>
        <w:spacing w:before="360"/>
        <w:jc w:val="both"/>
        <w:rPr>
          <w:rFonts w:ascii="Times New Roman" w:hAnsi="Times New Roman" w:cs="Times New Roman"/>
          <w:spacing w:val="-2"/>
          <w:sz w:val="24"/>
          <w:szCs w:val="24"/>
          <w:lang w:val="en-US"/>
        </w:rPr>
      </w:pPr>
      <w:r w:rsidRPr="00A70042">
        <w:rPr>
          <w:rFonts w:ascii="Times New Roman" w:hAnsi="Times New Roman" w:cs="Times New Roman"/>
          <w:spacing w:val="-2"/>
          <w:sz w:val="24"/>
          <w:szCs w:val="24"/>
          <w:lang w:val="en-US"/>
        </w:rPr>
        <w:t>Within the regulatory structure of the ECRF, ‘convergence’ is the key and leading concept to be taken into account.</w:t>
      </w:r>
      <w:r w:rsidRPr="00A70042">
        <w:rPr>
          <w:rStyle w:val="FootnoteReference"/>
          <w:rFonts w:ascii="Times New Roman" w:hAnsi="Times New Roman" w:cs="Times New Roman"/>
          <w:spacing w:val="-2"/>
          <w:sz w:val="24"/>
          <w:szCs w:val="24"/>
          <w:lang w:val="en-US"/>
        </w:rPr>
        <w:footnoteReference w:id="628"/>
      </w:r>
      <w:r w:rsidRPr="00A70042">
        <w:rPr>
          <w:rFonts w:ascii="Times New Roman" w:hAnsi="Times New Roman" w:cs="Times New Roman"/>
          <w:spacing w:val="-2"/>
          <w:sz w:val="24"/>
          <w:szCs w:val="24"/>
          <w:lang w:val="en-US"/>
        </w:rPr>
        <w:t xml:space="preserve"> Convergence is a more important compass for policy making in Europe and in Asia than in the US, where a broader view prevails that recognizes that there are several other trajectories of change, e.g. divergence, differentiation and fusion.</w:t>
      </w:r>
      <w:r w:rsidRPr="00A70042">
        <w:rPr>
          <w:rStyle w:val="FootnoteReference"/>
          <w:rFonts w:ascii="Times New Roman" w:hAnsi="Times New Roman" w:cs="Times New Roman"/>
          <w:spacing w:val="-2"/>
          <w:sz w:val="24"/>
          <w:szCs w:val="24"/>
          <w:lang w:val="en-US"/>
        </w:rPr>
        <w:footnoteReference w:id="629"/>
      </w:r>
      <w:r w:rsidRPr="00A70042">
        <w:rPr>
          <w:rFonts w:ascii="Times New Roman" w:hAnsi="Times New Roman" w:cs="Times New Roman"/>
          <w:spacing w:val="-2"/>
          <w:sz w:val="24"/>
          <w:szCs w:val="24"/>
          <w:lang w:val="en-US"/>
        </w:rPr>
        <w:t xml:space="preserve"> According to the notion of convergence, all the transmission networks and services need to be treated in an equal and same manner for regulatory purposes. That is to say, the ECRF is designed to apply to all telecommunications networks, fixed or wireless, as well as broadcast networks i.e. terrestrial, satellite and cable, so that equivalent rules will apply to all these networks.</w:t>
      </w:r>
      <w:r w:rsidRPr="00A70042">
        <w:rPr>
          <w:rStyle w:val="FootnoteReference"/>
          <w:rFonts w:ascii="Times New Roman" w:hAnsi="Times New Roman" w:cs="Times New Roman"/>
          <w:spacing w:val="-2"/>
          <w:sz w:val="24"/>
          <w:szCs w:val="24"/>
          <w:lang w:val="en-US"/>
        </w:rPr>
        <w:footnoteReference w:id="630"/>
      </w:r>
    </w:p>
    <w:p w14:paraId="0ACA92B4" w14:textId="766E9EF5" w:rsidR="005227CA" w:rsidRPr="00A70042" w:rsidRDefault="00F371F0" w:rsidP="00A70042">
      <w:pPr>
        <w:spacing w:before="360"/>
        <w:jc w:val="both"/>
        <w:rPr>
          <w:rFonts w:ascii="Times New Roman" w:hAnsi="Times New Roman" w:cs="Times New Roman"/>
          <w:spacing w:val="-2"/>
          <w:sz w:val="24"/>
          <w:szCs w:val="24"/>
          <w:lang w:val="en-US"/>
        </w:rPr>
      </w:pPr>
      <w:r w:rsidRPr="00A70042">
        <w:rPr>
          <w:rFonts w:ascii="Times New Roman" w:hAnsi="Times New Roman" w:cs="Times New Roman"/>
          <w:spacing w:val="-2"/>
          <w:sz w:val="24"/>
          <w:szCs w:val="24"/>
          <w:lang w:val="en-US"/>
        </w:rPr>
        <w:lastRenderedPageBreak/>
        <w:t>Following the spirit of ‘convergence’, the ‘electronic communications service’ (ECS) was originally defined under the 2002 Framework Directive to mean “a service normally provided for remuneration which consists wholly or mainly in the conveyance of signals on electronic communications networks”.</w:t>
      </w:r>
      <w:r w:rsidRPr="00A70042">
        <w:rPr>
          <w:rStyle w:val="FootnoteReference"/>
          <w:rFonts w:ascii="Times New Roman" w:hAnsi="Times New Roman" w:cs="Times New Roman"/>
          <w:spacing w:val="-2"/>
          <w:sz w:val="24"/>
          <w:szCs w:val="24"/>
          <w:lang w:val="en-US"/>
        </w:rPr>
        <w:footnoteReference w:id="631"/>
      </w:r>
      <w:r w:rsidRPr="00A70042">
        <w:rPr>
          <w:rFonts w:ascii="Times New Roman" w:hAnsi="Times New Roman" w:cs="Times New Roman"/>
          <w:spacing w:val="-2"/>
          <w:sz w:val="24"/>
          <w:szCs w:val="24"/>
          <w:lang w:val="en-US"/>
        </w:rPr>
        <w:t xml:space="preserve"> Repealing this Directive, the EECC defines the ‘ECS’ as a </w:t>
      </w:r>
      <w:r w:rsidR="00494005">
        <w:rPr>
          <w:rFonts w:ascii="Times New Roman" w:hAnsi="Times New Roman" w:cs="Times New Roman" w:hint="eastAsia"/>
          <w:spacing w:val="-2"/>
          <w:sz w:val="24"/>
          <w:szCs w:val="24"/>
        </w:rPr>
        <w:t>"</w:t>
      </w:r>
      <w:r w:rsidRPr="00A70042">
        <w:rPr>
          <w:rFonts w:ascii="Times New Roman" w:hAnsi="Times New Roman" w:cs="Times New Roman"/>
          <w:spacing w:val="-2"/>
          <w:sz w:val="24"/>
          <w:szCs w:val="24"/>
        </w:rPr>
        <w:t>service normally provided for remuneration via electronic communications networks, which encompasses, (</w:t>
      </w:r>
      <w:r w:rsidRPr="00A70042">
        <w:rPr>
          <w:rFonts w:ascii="Times New Roman" w:hAnsi="Times New Roman" w:cs="Times New Roman" w:hint="eastAsia"/>
          <w:spacing w:val="-2"/>
          <w:sz w:val="24"/>
          <w:szCs w:val="24"/>
        </w:rPr>
        <w:t>…</w:t>
      </w:r>
      <w:r w:rsidRPr="00A70042">
        <w:rPr>
          <w:rFonts w:ascii="Times New Roman" w:hAnsi="Times New Roman" w:cs="Times New Roman"/>
          <w:spacing w:val="-2"/>
          <w:sz w:val="24"/>
          <w:szCs w:val="24"/>
        </w:rPr>
        <w:t xml:space="preserve">): (a) </w:t>
      </w:r>
      <w:r w:rsidR="00494005">
        <w:rPr>
          <w:rFonts w:ascii="Times New Roman" w:hAnsi="Times New Roman" w:cs="Times New Roman" w:hint="eastAsia"/>
          <w:spacing w:val="-2"/>
          <w:sz w:val="24"/>
          <w:szCs w:val="24"/>
        </w:rPr>
        <w:t>'</w:t>
      </w:r>
      <w:r w:rsidRPr="00A70042">
        <w:rPr>
          <w:rFonts w:ascii="Times New Roman" w:hAnsi="Times New Roman" w:cs="Times New Roman"/>
          <w:spacing w:val="-2"/>
          <w:sz w:val="24"/>
          <w:szCs w:val="24"/>
        </w:rPr>
        <w:t>internet access service</w:t>
      </w:r>
      <w:r w:rsidR="00494005">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 xml:space="preserve">as defined in point (2) of the second paragraph of Article 2 of Regulation (EU) 2015/2120; (b) </w:t>
      </w:r>
      <w:r w:rsidR="00494005">
        <w:rPr>
          <w:rFonts w:ascii="Times New Roman" w:hAnsi="Times New Roman" w:cs="Times New Roman" w:hint="eastAsia"/>
          <w:spacing w:val="-2"/>
          <w:sz w:val="24"/>
          <w:szCs w:val="24"/>
        </w:rPr>
        <w:t>'</w:t>
      </w:r>
      <w:r w:rsidRPr="00A70042">
        <w:rPr>
          <w:rFonts w:ascii="Times New Roman" w:hAnsi="Times New Roman" w:cs="Times New Roman"/>
          <w:spacing w:val="-2"/>
          <w:sz w:val="24"/>
          <w:szCs w:val="24"/>
        </w:rPr>
        <w:t>interpersonal communications service</w:t>
      </w:r>
      <w:r w:rsidR="00494005">
        <w:rPr>
          <w:rFonts w:ascii="Times New Roman" w:hAnsi="Times New Roman" w:cs="Times New Roman"/>
          <w:spacing w:val="-2"/>
          <w:sz w:val="24"/>
          <w:szCs w:val="24"/>
        </w:rPr>
        <w:t>';</w:t>
      </w:r>
      <w:r w:rsidRPr="00A70042">
        <w:rPr>
          <w:rFonts w:ascii="Times New Roman" w:hAnsi="Times New Roman" w:cs="Times New Roman"/>
          <w:spacing w:val="-2"/>
          <w:sz w:val="24"/>
          <w:szCs w:val="24"/>
        </w:rPr>
        <w:t xml:space="preserve"> (c) and services consisting wholly or mainly in the conveyance of signals such as transmission services used for the provision of machine-to-machine services and for broadcasting</w:t>
      </w:r>
      <w:r w:rsidR="00494005">
        <w:rPr>
          <w:rFonts w:ascii="Times New Roman" w:hAnsi="Times New Roman" w:cs="Times New Roman" w:hint="eastAsia"/>
          <w:spacing w:val="-2"/>
          <w:sz w:val="24"/>
          <w:szCs w:val="24"/>
        </w:rPr>
        <w:t>"</w:t>
      </w:r>
      <w:r w:rsidRPr="00A70042">
        <w:rPr>
          <w:rFonts w:ascii="Times New Roman" w:hAnsi="Times New Roman" w:cs="Times New Roman"/>
          <w:spacing w:val="-2"/>
          <w:sz w:val="24"/>
          <w:szCs w:val="24"/>
        </w:rPr>
        <w:t>.</w:t>
      </w:r>
      <w:r w:rsidRPr="00A70042">
        <w:rPr>
          <w:rStyle w:val="FootnoteReference"/>
          <w:rFonts w:ascii="Times New Roman" w:hAnsi="Times New Roman" w:cs="Times New Roman"/>
          <w:spacing w:val="-2"/>
          <w:sz w:val="24"/>
          <w:szCs w:val="24"/>
        </w:rPr>
        <w:footnoteReference w:id="632"/>
      </w:r>
      <w:r w:rsidR="00E161A3" w:rsidRPr="00A70042">
        <w:rPr>
          <w:rFonts w:ascii="Times New Roman" w:hAnsi="Times New Roman" w:cs="Times New Roman"/>
          <w:color w:val="000000"/>
          <w:spacing w:val="-2"/>
          <w:sz w:val="24"/>
          <w:szCs w:val="24"/>
        </w:rPr>
        <w:t xml:space="preserve"> </w:t>
      </w:r>
    </w:p>
    <w:p w14:paraId="0E7956C6" w14:textId="0CE3620B" w:rsidR="004E5A23" w:rsidRPr="00774EDB" w:rsidRDefault="00F371F0"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rPr>
        <w:t>The abovementioned change by the EECC, responds to the intensifying convergence between the ICT networks and services. Although not covering a great many ICT networks and services, the EECC included some of the online communications services (OCSs) within the definition of the ECS, as detailed below.</w:t>
      </w:r>
      <w:r w:rsidRPr="00774EDB">
        <w:rPr>
          <w:rStyle w:val="FootnoteReference"/>
          <w:rFonts w:ascii="Times New Roman" w:hAnsi="Times New Roman" w:cs="Times New Roman"/>
          <w:sz w:val="24"/>
          <w:szCs w:val="24"/>
        </w:rPr>
        <w:footnoteReference w:id="633"/>
      </w:r>
      <w:r w:rsidRPr="00774EDB">
        <w:rPr>
          <w:rFonts w:ascii="Times New Roman" w:hAnsi="Times New Roman" w:cs="Times New Roman"/>
          <w:sz w:val="24"/>
          <w:szCs w:val="24"/>
        </w:rPr>
        <w:t xml:space="preserve"> In this revised structure, convergence still represents the backdrop for the regulation of the ECSs, yet more enhanced objectives and remedies are added to the existing framework, making the ECRF more streamlined and responsive to the digital </w:t>
      </w:r>
      <w:r w:rsidRPr="00774EDB">
        <w:rPr>
          <w:rFonts w:ascii="Times New Roman" w:hAnsi="Times New Roman" w:cs="Times New Roman"/>
          <w:sz w:val="24"/>
          <w:szCs w:val="24"/>
          <w:lang w:val="en-US"/>
        </w:rPr>
        <w:t>era</w:t>
      </w:r>
      <w:r w:rsidR="004E5A23" w:rsidRPr="00774EDB">
        <w:rPr>
          <w:rFonts w:ascii="Times New Roman" w:hAnsi="Times New Roman" w:cs="Times New Roman"/>
          <w:sz w:val="24"/>
          <w:szCs w:val="24"/>
          <w:lang w:val="en-US"/>
        </w:rPr>
        <w:t>.</w:t>
      </w:r>
    </w:p>
    <w:p w14:paraId="7D0630F5" w14:textId="309CE7E7" w:rsidR="00681DB7" w:rsidRPr="00774EDB" w:rsidRDefault="00F371F0"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lastRenderedPageBreak/>
        <w:t>Crucially, policy objectives of the ECRF have also been expanded with the enactment of the EECC, which stipulates that the competent authorities, e.g. NRAs and the Commission, shall:</w:t>
      </w:r>
      <w:r w:rsidR="00681DB7" w:rsidRPr="00774EDB">
        <w:rPr>
          <w:rFonts w:ascii="Times New Roman" w:hAnsi="Times New Roman" w:cs="Times New Roman"/>
          <w:sz w:val="24"/>
          <w:szCs w:val="24"/>
          <w:lang w:val="en-US"/>
        </w:rPr>
        <w:t xml:space="preserve"> </w:t>
      </w:r>
    </w:p>
    <w:p w14:paraId="71911452" w14:textId="77777777" w:rsidR="00A91461" w:rsidRPr="00774EDB" w:rsidRDefault="00A91461" w:rsidP="00A70042">
      <w:pPr>
        <w:pStyle w:val="ListParagraph"/>
        <w:numPr>
          <w:ilvl w:val="0"/>
          <w:numId w:val="18"/>
        </w:numPr>
        <w:spacing w:before="240"/>
        <w:ind w:left="714" w:hanging="357"/>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promote connectivity and access to, and take-up of, very high capacity networks,</w:t>
      </w:r>
    </w:p>
    <w:p w14:paraId="65C58E97" w14:textId="77777777" w:rsidR="00A91461" w:rsidRPr="00774EDB" w:rsidRDefault="00A91461" w:rsidP="00A70042">
      <w:pPr>
        <w:pStyle w:val="ListParagraph"/>
        <w:numPr>
          <w:ilvl w:val="0"/>
          <w:numId w:val="18"/>
        </w:numPr>
        <w:spacing w:before="240"/>
        <w:ind w:left="714" w:hanging="357"/>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promote competition in the provision of electronic communications networks and associated facilities,</w:t>
      </w:r>
    </w:p>
    <w:p w14:paraId="66FC19FC" w14:textId="77777777" w:rsidR="00A91461" w:rsidRPr="00774EDB" w:rsidRDefault="00A91461" w:rsidP="00A70042">
      <w:pPr>
        <w:pStyle w:val="ListParagraph"/>
        <w:numPr>
          <w:ilvl w:val="0"/>
          <w:numId w:val="18"/>
        </w:numPr>
        <w:spacing w:before="240"/>
        <w:ind w:left="714" w:hanging="357"/>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contribute to the development of the internal market,</w:t>
      </w:r>
      <w:r w:rsidR="00D20363" w:rsidRPr="00774EDB">
        <w:rPr>
          <w:rFonts w:ascii="Times New Roman" w:hAnsi="Times New Roman" w:cs="Times New Roman"/>
          <w:sz w:val="24"/>
          <w:szCs w:val="24"/>
          <w:lang w:val="en-US"/>
        </w:rPr>
        <w:t xml:space="preserve"> and</w:t>
      </w:r>
    </w:p>
    <w:p w14:paraId="707DBE4C" w14:textId="77777777" w:rsidR="00A91461" w:rsidRPr="00774EDB" w:rsidRDefault="00A91461" w:rsidP="00A70042">
      <w:pPr>
        <w:pStyle w:val="ListParagraph"/>
        <w:numPr>
          <w:ilvl w:val="0"/>
          <w:numId w:val="18"/>
        </w:numPr>
        <w:spacing w:before="240"/>
        <w:ind w:left="714" w:hanging="357"/>
        <w:contextualSpacing w:val="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promote the interests of the citizens of the Union</w:t>
      </w:r>
      <w:r w:rsidR="00D20363" w:rsidRPr="00774EDB">
        <w:rPr>
          <w:rFonts w:ascii="Times New Roman" w:hAnsi="Times New Roman" w:cs="Times New Roman"/>
          <w:sz w:val="24"/>
          <w:szCs w:val="24"/>
          <w:lang w:val="en-US"/>
        </w:rPr>
        <w:t>.</w:t>
      </w:r>
      <w:r w:rsidR="00D20363" w:rsidRPr="00774EDB">
        <w:rPr>
          <w:rStyle w:val="FootnoteReference"/>
          <w:rFonts w:ascii="Times New Roman" w:hAnsi="Times New Roman" w:cs="Times New Roman"/>
          <w:sz w:val="24"/>
          <w:szCs w:val="24"/>
          <w:lang w:val="en-US"/>
        </w:rPr>
        <w:footnoteReference w:id="634"/>
      </w:r>
    </w:p>
    <w:p w14:paraId="554923D1" w14:textId="77777777" w:rsidR="00902851" w:rsidRPr="00774EDB" w:rsidRDefault="00F371F0"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Notably, “promot[ion of] connectivity and access to, and take-up of, very high capacity networks” was not stated as a policy principle under the Framework Directive (2002/21/EC). This principle has been included by the EECC, which underscores the deployment of and access to high speed and quality broadband networks by bringing about a comprehensive set of access remedies, incorporating both access related obligations and certain incentives for the deployment of high capacity networks.</w:t>
      </w:r>
      <w:r w:rsidRPr="00774EDB">
        <w:rPr>
          <w:rStyle w:val="FootnoteReference"/>
          <w:rFonts w:ascii="Times New Roman" w:hAnsi="Times New Roman" w:cs="Times New Roman"/>
          <w:sz w:val="24"/>
          <w:szCs w:val="24"/>
          <w:lang w:val="en-US"/>
        </w:rPr>
        <w:footnoteReference w:id="635"/>
      </w:r>
    </w:p>
    <w:p w14:paraId="5BC4F415" w14:textId="71EFF246" w:rsidR="00CD4B3C" w:rsidRPr="00774EDB" w:rsidRDefault="00F371F0"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Against this background, it should be noted that the policy objectives to be pursued under the ECRF, in general, are comprehensive and multi-dimensional. While regulatory obligations concerning connectivity and competition denote the main path of the ECRF, underlying rules and remedies should be fulfilled in conjunction with two other objectives, namely protection of consumers and contribution to the development of the internal market, which incorporate subordinate objectives such as </w:t>
      </w:r>
      <w:r w:rsidRPr="00774EDB">
        <w:rPr>
          <w:rFonts w:ascii="Times New Roman" w:hAnsi="Times New Roman" w:cs="Times New Roman"/>
          <w:sz w:val="24"/>
          <w:szCs w:val="24"/>
          <w:lang w:val="en-US"/>
        </w:rPr>
        <w:lastRenderedPageBreak/>
        <w:t>ensuring end-to-end connectivity, universal service, protection of personal data and privacy, media diversity and pluralism.</w:t>
      </w:r>
    </w:p>
    <w:p w14:paraId="52FFF3B6" w14:textId="77777777" w:rsidR="00EF4C36" w:rsidRPr="00774EDB" w:rsidRDefault="00EF4C36" w:rsidP="00A70042">
      <w:pPr>
        <w:pStyle w:val="Heading3"/>
        <w:numPr>
          <w:ilvl w:val="2"/>
          <w:numId w:val="33"/>
        </w:numPr>
        <w:spacing w:before="360"/>
        <w:ind w:left="0" w:firstLine="0"/>
        <w:jc w:val="both"/>
        <w:rPr>
          <w:rFonts w:ascii="Times New Roman" w:hAnsi="Times New Roman" w:cs="Times New Roman"/>
          <w:b/>
        </w:rPr>
      </w:pPr>
      <w:bookmarkStart w:id="488" w:name="_Toc17611447"/>
      <w:bookmarkStart w:id="489" w:name="_Toc17611664"/>
      <w:bookmarkStart w:id="490" w:name="_Toc17611876"/>
      <w:bookmarkStart w:id="491" w:name="_Toc17612090"/>
      <w:bookmarkStart w:id="492" w:name="_Toc17612303"/>
      <w:bookmarkStart w:id="493" w:name="_Toc17611448"/>
      <w:bookmarkStart w:id="494" w:name="_Toc53576083"/>
      <w:bookmarkEnd w:id="488"/>
      <w:bookmarkEnd w:id="489"/>
      <w:bookmarkEnd w:id="490"/>
      <w:bookmarkEnd w:id="491"/>
      <w:bookmarkEnd w:id="492"/>
      <w:r w:rsidRPr="00774EDB">
        <w:rPr>
          <w:rFonts w:ascii="Times New Roman" w:hAnsi="Times New Roman" w:cs="Times New Roman"/>
          <w:b/>
          <w:color w:val="auto"/>
        </w:rPr>
        <w:t>SMP Regime and market remedies</w:t>
      </w:r>
      <w:bookmarkEnd w:id="493"/>
      <w:bookmarkEnd w:id="494"/>
    </w:p>
    <w:p w14:paraId="541EBAE6" w14:textId="77777777" w:rsidR="00FA67AC" w:rsidRPr="00820EF9" w:rsidRDefault="00DF213A"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The ECRF, from the beginning, builds upon the co-existence of sector-specific and competition law rules. </w:t>
      </w:r>
      <w:r w:rsidRPr="00820EF9">
        <w:rPr>
          <w:rFonts w:ascii="Times New Roman" w:hAnsi="Times New Roman" w:cs="Times New Roman"/>
          <w:sz w:val="24"/>
          <w:szCs w:val="24"/>
          <w:lang w:val="en-US"/>
        </w:rPr>
        <w:t>According to the ECRF, ex-ante regulation should exist where generic competi</w:t>
      </w:r>
      <w:r w:rsidRPr="00A70042">
        <w:rPr>
          <w:rFonts w:ascii="Times New Roman" w:hAnsi="Times New Roman" w:cs="Times New Roman"/>
          <w:sz w:val="24"/>
          <w:szCs w:val="24"/>
          <w:lang w:val="en-US"/>
        </w:rPr>
        <w:t xml:space="preserve">tion law measures do not suffice for the policy goals. From this point of view, sector-specific rules are of a complementary and ideally temporary nature. On the other hand, sector-specific rules having an ex-ante character makes these rules directly applicable, e.g. without the need to await any anti-competitive effect, and are implicitly pre-emptive over the competition law rules. </w:t>
      </w:r>
      <w:r w:rsidRPr="00774EDB">
        <w:rPr>
          <w:rFonts w:ascii="Times New Roman" w:hAnsi="Times New Roman" w:cs="Times New Roman"/>
          <w:sz w:val="24"/>
          <w:szCs w:val="24"/>
          <w:lang w:val="en-US"/>
        </w:rPr>
        <w:t>This enables wider room for ex-ante regulatory intervention, compared to competition law.</w:t>
      </w:r>
      <w:r w:rsidRPr="00774EDB">
        <w:rPr>
          <w:rStyle w:val="FootnoteReference"/>
          <w:rFonts w:ascii="Times New Roman" w:hAnsi="Times New Roman" w:cs="Times New Roman"/>
          <w:sz w:val="24"/>
          <w:szCs w:val="24"/>
          <w:lang w:val="en-US"/>
        </w:rPr>
        <w:footnoteReference w:id="636"/>
      </w:r>
    </w:p>
    <w:p w14:paraId="022092BD" w14:textId="77777777" w:rsidR="001E5117" w:rsidRPr="00820EF9" w:rsidRDefault="007E09C1" w:rsidP="00A70042">
      <w:pPr>
        <w:spacing w:before="360"/>
        <w:jc w:val="both"/>
        <w:rPr>
          <w:rFonts w:ascii="Times New Roman" w:hAnsi="Times New Roman" w:cs="Times New Roman"/>
          <w:sz w:val="24"/>
          <w:szCs w:val="24"/>
          <w:lang w:val="en-US"/>
        </w:rPr>
      </w:pPr>
      <w:r w:rsidRPr="00A70042">
        <w:rPr>
          <w:rFonts w:ascii="Times New Roman" w:hAnsi="Times New Roman" w:cs="Times New Roman"/>
          <w:sz w:val="24"/>
          <w:szCs w:val="24"/>
          <w:lang w:val="en-US"/>
        </w:rPr>
        <w:t xml:space="preserve">Albeit with potential conflicts, implementation of each body of law is bound up with certain pre-conditions and requirements, resulting in a ‘complementary’ relationship between the two. EU case law, as manifested in the </w:t>
      </w:r>
      <w:r w:rsidRPr="00A70042">
        <w:rPr>
          <w:rFonts w:ascii="Times New Roman" w:hAnsi="Times New Roman" w:cs="Times New Roman"/>
          <w:i/>
          <w:sz w:val="24"/>
          <w:szCs w:val="24"/>
        </w:rPr>
        <w:t>Deutsche Telekom</w:t>
      </w:r>
      <w:r w:rsidRPr="00820EF9">
        <w:rPr>
          <w:rStyle w:val="FootnoteReference"/>
          <w:rFonts w:ascii="Times New Roman" w:hAnsi="Times New Roman" w:cs="Times New Roman"/>
          <w:sz w:val="24"/>
          <w:szCs w:val="24"/>
        </w:rPr>
        <w:footnoteReference w:id="637"/>
      </w:r>
      <w:r w:rsidRPr="00820EF9">
        <w:rPr>
          <w:rFonts w:ascii="Times New Roman" w:hAnsi="Times New Roman" w:cs="Times New Roman"/>
          <w:sz w:val="24"/>
          <w:szCs w:val="24"/>
        </w:rPr>
        <w:t xml:space="preserve"> judgment dated 14</w:t>
      </w:r>
      <w:r w:rsidRPr="00A70042">
        <w:rPr>
          <w:rFonts w:ascii="Times New Roman" w:hAnsi="Times New Roman" w:cs="Times New Roman"/>
          <w:sz w:val="24"/>
          <w:szCs w:val="24"/>
        </w:rPr>
        <w:t xml:space="preserve"> October 2010, demonstrates that regulated sectors, such as electronic communications, are not legally immune from competition law, even in the case that </w:t>
      </w:r>
      <w:r w:rsidRPr="00A70042">
        <w:rPr>
          <w:rFonts w:ascii="Times New Roman" w:hAnsi="Times New Roman" w:cs="Times New Roman"/>
          <w:sz w:val="24"/>
          <w:szCs w:val="24"/>
        </w:rPr>
        <w:lastRenderedPageBreak/>
        <w:t xml:space="preserve">an ex-ante approval mechanism is in place. As this judgement demonstrates, despite the similarities between each other, </w:t>
      </w:r>
      <w:r w:rsidRPr="00A70042">
        <w:rPr>
          <w:rFonts w:ascii="Times New Roman" w:hAnsi="Times New Roman" w:cs="Times New Roman"/>
          <w:sz w:val="24"/>
          <w:szCs w:val="24"/>
          <w:lang w:val="en-US"/>
        </w:rPr>
        <w:t>competition law and the ECRF measures have remarkably different natures and functionalities.</w:t>
      </w:r>
      <w:r w:rsidRPr="00820EF9">
        <w:rPr>
          <w:rStyle w:val="FootnoteReference"/>
          <w:rFonts w:ascii="Times New Roman" w:hAnsi="Times New Roman" w:cs="Times New Roman"/>
          <w:sz w:val="24"/>
          <w:szCs w:val="24"/>
          <w:lang w:val="en-US"/>
        </w:rPr>
        <w:footnoteReference w:id="638"/>
      </w:r>
    </w:p>
    <w:p w14:paraId="35DDB905" w14:textId="61074523" w:rsidR="001E5117" w:rsidRPr="00774EDB" w:rsidRDefault="007E09C1"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Primarily, the part played by sector regulation that deals with market power mainly aims to ensure efficiency by favouring a competitive market structure or by mimicking the results of a competitive market structure.</w:t>
      </w:r>
      <w:r w:rsidRPr="00774EDB">
        <w:rPr>
          <w:rStyle w:val="FootnoteReference"/>
          <w:rFonts w:ascii="Times New Roman" w:hAnsi="Times New Roman" w:cs="Times New Roman"/>
          <w:sz w:val="24"/>
          <w:szCs w:val="24"/>
          <w:lang w:val="en-US"/>
        </w:rPr>
        <w:footnoteReference w:id="639"/>
      </w:r>
      <w:r w:rsidRPr="00774EDB">
        <w:rPr>
          <w:rFonts w:ascii="Times New Roman" w:hAnsi="Times New Roman" w:cs="Times New Roman"/>
          <w:sz w:val="24"/>
          <w:szCs w:val="24"/>
          <w:lang w:val="en-US"/>
        </w:rPr>
        <w:t xml:space="preserve"> On the other hand, in order to guide the regulators with regards to remedying market failures, the necessary steps to be taken, i.e. from the market definition to the remedies, are set out under the ECRF and related guidelines, recommendations, etc.</w:t>
      </w:r>
      <w:r w:rsidR="005E2AFA" w:rsidRPr="00774EDB">
        <w:rPr>
          <w:rStyle w:val="FootnoteReference"/>
          <w:rFonts w:ascii="Times New Roman" w:hAnsi="Times New Roman" w:cs="Times New Roman"/>
          <w:sz w:val="24"/>
          <w:szCs w:val="24"/>
          <w:lang w:val="en-US"/>
        </w:rPr>
        <w:footnoteReference w:id="640"/>
      </w:r>
      <w:r w:rsidRPr="00774EDB">
        <w:rPr>
          <w:rFonts w:ascii="Times New Roman" w:hAnsi="Times New Roman" w:cs="Times New Roman"/>
          <w:sz w:val="24"/>
          <w:szCs w:val="24"/>
          <w:lang w:val="en-US"/>
        </w:rPr>
        <w:t xml:space="preserve"> From a broader point of view, application of the ECRF is envisaged only in cases when there is no effective competition in the relevant market. This is e</w:t>
      </w:r>
      <w:r w:rsidR="006607BC">
        <w:rPr>
          <w:rFonts w:ascii="Times New Roman" w:hAnsi="Times New Roman" w:cs="Times New Roman"/>
          <w:sz w:val="24"/>
          <w:szCs w:val="24"/>
          <w:lang w:val="en-US"/>
        </w:rPr>
        <w:t>xpound</w:t>
      </w:r>
      <w:r w:rsidRPr="00774EDB">
        <w:rPr>
          <w:rFonts w:ascii="Times New Roman" w:hAnsi="Times New Roman" w:cs="Times New Roman"/>
          <w:sz w:val="24"/>
          <w:szCs w:val="24"/>
          <w:lang w:val="en-US"/>
        </w:rPr>
        <w:t>ed in the EECC as follows:</w:t>
      </w:r>
    </w:p>
    <w:p w14:paraId="74643823" w14:textId="2573C078" w:rsidR="001E5117" w:rsidRPr="00774EDB" w:rsidRDefault="00982AEC" w:rsidP="00A70042">
      <w:pPr>
        <w:spacing w:before="360"/>
        <w:ind w:left="720" w:right="720"/>
        <w:jc w:val="both"/>
        <w:rPr>
          <w:rFonts w:ascii="Times New Roman" w:hAnsi="Times New Roman" w:cs="Times New Roman"/>
          <w:sz w:val="24"/>
          <w:szCs w:val="24"/>
          <w:lang w:val="en-US"/>
        </w:rPr>
      </w:pPr>
      <w:r w:rsidRPr="00774EDB">
        <w:rPr>
          <w:rFonts w:ascii="Times New Roman" w:hAnsi="Times New Roman" w:cs="Times New Roman"/>
          <w:sz w:val="24"/>
          <w:szCs w:val="24"/>
        </w:rPr>
        <w:t xml:space="preserve">Considering that the markets for electronic communications have shown strong competitive dynamics in recent years, it is essential that ex ante regulatory obligations are imposed only where there is no effective and sustainable competition </w:t>
      </w:r>
      <w:r w:rsidR="007E09C1" w:rsidRPr="00774EDB">
        <w:rPr>
          <w:rFonts w:ascii="Times New Roman" w:hAnsi="Times New Roman" w:cs="Times New Roman"/>
          <w:sz w:val="24"/>
          <w:szCs w:val="24"/>
        </w:rPr>
        <w:t>i</w:t>
      </w:r>
      <w:r w:rsidRPr="00774EDB">
        <w:rPr>
          <w:rFonts w:ascii="Times New Roman" w:hAnsi="Times New Roman" w:cs="Times New Roman"/>
          <w:sz w:val="24"/>
          <w:szCs w:val="24"/>
        </w:rPr>
        <w:t>n the markets concerned</w:t>
      </w:r>
      <w:r w:rsidR="00902851" w:rsidRPr="00774EDB">
        <w:rPr>
          <w:rFonts w:ascii="Times New Roman" w:hAnsi="Times New Roman" w:cs="Times New Roman"/>
          <w:sz w:val="24"/>
          <w:szCs w:val="24"/>
        </w:rPr>
        <w:t>.</w:t>
      </w:r>
      <w:r w:rsidR="001E5117" w:rsidRPr="00774EDB">
        <w:rPr>
          <w:rStyle w:val="FootnoteReference"/>
          <w:rFonts w:ascii="Times New Roman" w:hAnsi="Times New Roman" w:cs="Times New Roman"/>
          <w:sz w:val="24"/>
          <w:szCs w:val="24"/>
          <w:lang w:val="en-US"/>
        </w:rPr>
        <w:footnoteReference w:id="641"/>
      </w:r>
    </w:p>
    <w:p w14:paraId="4AB9AD66" w14:textId="77777777" w:rsidR="00982AEC" w:rsidRPr="00774EDB" w:rsidRDefault="007E09C1"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To formulate this in a rather simplified manner, it was acknowledged by the 2002 Framework Directive that the presence of “significant market power” (SMP) in an electronic communications market would mean a lack of effective competition with the requirement of imposing a set of access remedies, e.g. access, non-discrimination, </w:t>
      </w:r>
      <w:r w:rsidRPr="00774EDB">
        <w:rPr>
          <w:rFonts w:ascii="Times New Roman" w:hAnsi="Times New Roman" w:cs="Times New Roman"/>
          <w:sz w:val="24"/>
          <w:szCs w:val="24"/>
          <w:lang w:val="en-US"/>
        </w:rPr>
        <w:lastRenderedPageBreak/>
        <w:t>cost orientation and accounting separation, on the SMP undertakings.</w:t>
      </w:r>
      <w:r w:rsidRPr="00774EDB">
        <w:rPr>
          <w:rStyle w:val="FootnoteReference"/>
          <w:rFonts w:ascii="Times New Roman" w:hAnsi="Times New Roman" w:cs="Times New Roman"/>
          <w:sz w:val="24"/>
          <w:szCs w:val="24"/>
          <w:lang w:val="en-US"/>
        </w:rPr>
        <w:footnoteReference w:id="642"/>
      </w:r>
      <w:r w:rsidRPr="00774EDB">
        <w:rPr>
          <w:rFonts w:ascii="Times New Roman" w:hAnsi="Times New Roman" w:cs="Times New Roman"/>
          <w:sz w:val="24"/>
          <w:szCs w:val="24"/>
          <w:lang w:val="en-US"/>
        </w:rPr>
        <w:t xml:space="preserve"> While this is not phrased in the same way, the SMP is still conferred a key role in the determination of the appropriate level of ex-ante regulation, under the EECC.</w:t>
      </w:r>
      <w:r w:rsidRPr="00774EDB">
        <w:rPr>
          <w:rStyle w:val="FootnoteReference"/>
          <w:rFonts w:ascii="Times New Roman" w:hAnsi="Times New Roman" w:cs="Times New Roman"/>
          <w:sz w:val="24"/>
          <w:szCs w:val="24"/>
          <w:lang w:val="en-US"/>
        </w:rPr>
        <w:footnoteReference w:id="643"/>
      </w:r>
      <w:r w:rsidRPr="00774EDB">
        <w:rPr>
          <w:rFonts w:ascii="Times New Roman" w:hAnsi="Times New Roman" w:cs="Times New Roman"/>
          <w:sz w:val="24"/>
          <w:szCs w:val="24"/>
          <w:lang w:val="en-US"/>
        </w:rPr>
        <w:t xml:space="preserve"> It could thus be said that the SMP-based access remedies constitute the backdrop of the ECRF in pursuing the goal of promoting competition.</w:t>
      </w:r>
    </w:p>
    <w:p w14:paraId="74C4740F" w14:textId="77777777" w:rsidR="00AF4B99" w:rsidRPr="00774EDB" w:rsidRDefault="007E09C1"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Through the SMP regime under the ECRF, it is intended that “overall analysis of the economic characteristics of the relevant market” is conducted on the basis of competition law terms and criteria.</w:t>
      </w:r>
      <w:r w:rsidRPr="00774EDB">
        <w:rPr>
          <w:rStyle w:val="FootnoteReference"/>
          <w:rFonts w:ascii="Times New Roman" w:hAnsi="Times New Roman" w:cs="Times New Roman"/>
          <w:sz w:val="24"/>
          <w:szCs w:val="24"/>
          <w:lang w:val="en-US"/>
        </w:rPr>
        <w:footnoteReference w:id="644"/>
      </w:r>
      <w:r w:rsidRPr="00774EDB">
        <w:rPr>
          <w:rFonts w:ascii="Times New Roman" w:hAnsi="Times New Roman" w:cs="Times New Roman"/>
          <w:sz w:val="24"/>
          <w:szCs w:val="24"/>
          <w:lang w:val="en-US"/>
        </w:rPr>
        <w:t xml:space="preserve"> Crucially, the concept of SMP defined under the EECC is equivalent to ‘dominance’ as defined in the case law of the CoJ.</w:t>
      </w:r>
      <w:r w:rsidRPr="00774EDB">
        <w:rPr>
          <w:rStyle w:val="FootnoteReference"/>
          <w:rFonts w:ascii="Times New Roman" w:hAnsi="Times New Roman" w:cs="Times New Roman"/>
          <w:sz w:val="24"/>
          <w:szCs w:val="24"/>
          <w:lang w:val="en-US"/>
        </w:rPr>
        <w:footnoteReference w:id="645"/>
      </w:r>
      <w:r w:rsidRPr="00774EDB">
        <w:rPr>
          <w:rFonts w:ascii="Times New Roman" w:hAnsi="Times New Roman" w:cs="Times New Roman"/>
          <w:sz w:val="24"/>
          <w:szCs w:val="24"/>
          <w:lang w:val="en-US"/>
        </w:rPr>
        <w:t xml:space="preserve"> Not only in designating SMP undertakings but also in imposing access remedies on such undertakings, namely in all steps of ‘market analysis’ defined under the EECC, competition law terms and methods are invoked. Nonetheless</w:t>
      </w:r>
      <w:r w:rsidRPr="00774EDB">
        <w:rPr>
          <w:rFonts w:ascii="Times New Roman" w:hAnsi="Times New Roman" w:cs="Times New Roman"/>
          <w:sz w:val="24"/>
          <w:szCs w:val="24"/>
        </w:rPr>
        <w:t>, hybridisation of the SMP regime with competition law methodologies should not be understood as allowing antitrust to be stretched beyond its reasonable limits and replacing sectoral regulation.</w:t>
      </w:r>
      <w:r w:rsidRPr="00820EF9">
        <w:rPr>
          <w:rStyle w:val="FootnoteReference"/>
          <w:rFonts w:ascii="Times New Roman" w:hAnsi="Times New Roman" w:cs="Times New Roman"/>
          <w:sz w:val="24"/>
          <w:szCs w:val="24"/>
        </w:rPr>
        <w:footnoteReference w:id="646"/>
      </w:r>
      <w:r w:rsidRPr="00774EDB">
        <w:rPr>
          <w:rFonts w:ascii="Times New Roman" w:hAnsi="Times New Roman" w:cs="Times New Roman"/>
          <w:sz w:val="24"/>
          <w:szCs w:val="24"/>
        </w:rPr>
        <w:t xml:space="preserve"> This approximation is just an attempt to ensure that regulatory decisions are more flexible and closer to the economic reality of the market,</w:t>
      </w:r>
      <w:r w:rsidRPr="00820EF9">
        <w:rPr>
          <w:rStyle w:val="FootnoteReference"/>
          <w:rFonts w:ascii="Times New Roman" w:hAnsi="Times New Roman" w:cs="Times New Roman"/>
          <w:sz w:val="24"/>
          <w:szCs w:val="24"/>
        </w:rPr>
        <w:footnoteReference w:id="647"/>
      </w:r>
      <w:r w:rsidRPr="00774EDB">
        <w:rPr>
          <w:rFonts w:ascii="Times New Roman" w:hAnsi="Times New Roman" w:cs="Times New Roman"/>
          <w:sz w:val="24"/>
          <w:szCs w:val="24"/>
        </w:rPr>
        <w:t xml:space="preserve"> as well as responding to the more complex and dynamic markets.</w:t>
      </w:r>
      <w:r w:rsidRPr="00820EF9">
        <w:rPr>
          <w:rStyle w:val="FootnoteReference"/>
          <w:rFonts w:ascii="Times New Roman" w:hAnsi="Times New Roman" w:cs="Times New Roman"/>
          <w:bCs/>
          <w:snapToGrid w:val="0"/>
          <w:sz w:val="24"/>
          <w:szCs w:val="24"/>
        </w:rPr>
        <w:footnoteReference w:id="648"/>
      </w:r>
    </w:p>
    <w:p w14:paraId="0FC3DA48" w14:textId="1B529D34" w:rsidR="00FB2B94" w:rsidRPr="00774EDB" w:rsidRDefault="009923C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lang w:val="en-US"/>
        </w:rPr>
        <w:lastRenderedPageBreak/>
        <w:t>The steps to be followed under the SMP regime are respectively prescribed as ‘market definition’, the ‘SMP assessment’ (identifying SMP operators) and ‘market remedies’ (selecting and imposing appropriate remedies in order to eliminate market failures). As specified in Article 67 of  the EECC Directive (formerly Article 16 of the Framework Directive), which sets out procedure for ‘market analysis’, NRAs shall take the utmost account of the Commission Recommendation and the Guidelines when applying the prescribed 3 step-procedure.</w:t>
      </w:r>
      <w:r w:rsidRPr="00774EDB">
        <w:rPr>
          <w:rStyle w:val="FootnoteReference"/>
          <w:rFonts w:ascii="Times New Roman" w:hAnsi="Times New Roman" w:cs="Times New Roman"/>
          <w:sz w:val="24"/>
          <w:szCs w:val="24"/>
          <w:lang w:val="en-US"/>
        </w:rPr>
        <w:footnoteReference w:id="649"/>
      </w:r>
      <w:r w:rsidRPr="00774EDB">
        <w:rPr>
          <w:rFonts w:ascii="Times New Roman" w:hAnsi="Times New Roman" w:cs="Times New Roman"/>
          <w:sz w:val="24"/>
          <w:szCs w:val="24"/>
          <w:lang w:val="en-US"/>
        </w:rPr>
        <w:t xml:space="preserve"> On top of these three more apparent steps, should be added a further step, the ‘evaluation of market remedies’, which is implicitly recognized under the ECRF,</w:t>
      </w:r>
      <w:r w:rsidRPr="00774EDB">
        <w:rPr>
          <w:rStyle w:val="FootnoteReference"/>
          <w:rFonts w:ascii="Times New Roman" w:hAnsi="Times New Roman" w:cs="Times New Roman"/>
          <w:sz w:val="24"/>
          <w:szCs w:val="24"/>
          <w:lang w:val="en-US"/>
        </w:rPr>
        <w:footnoteReference w:id="650"/>
      </w:r>
      <w:r w:rsidRPr="00774EDB">
        <w:rPr>
          <w:rFonts w:ascii="Times New Roman" w:hAnsi="Times New Roman" w:cs="Times New Roman"/>
          <w:sz w:val="24"/>
          <w:szCs w:val="24"/>
          <w:lang w:val="en-US"/>
        </w:rPr>
        <w:t xml:space="preserve"> as reflected below.</w:t>
      </w:r>
      <w:r w:rsidR="00FB2B94" w:rsidRPr="00774EDB">
        <w:rPr>
          <w:rFonts w:ascii="Times New Roman" w:hAnsi="Times New Roman" w:cs="Times New Roman"/>
          <w:sz w:val="24"/>
          <w:szCs w:val="24"/>
        </w:rPr>
        <w:t xml:space="preserve">     </w:t>
      </w:r>
    </w:p>
    <w:p w14:paraId="6799C549" w14:textId="55F3F798" w:rsidR="00FB2B94" w:rsidRPr="00774EDB" w:rsidRDefault="005C1090" w:rsidP="00A70042">
      <w:pPr>
        <w:spacing w:before="360"/>
        <w:jc w:val="both"/>
        <w:rPr>
          <w:rFonts w:ascii="Times New Roman" w:hAnsi="Times New Roman" w:cs="Times New Roman"/>
          <w:sz w:val="24"/>
          <w:szCs w:val="24"/>
        </w:rPr>
      </w:pPr>
      <w:r w:rsidRPr="00820EF9">
        <w:rPr>
          <w:rFonts w:ascii="Times New Roman" w:hAnsi="Times New Roman" w:cs="Times New Roman"/>
          <w:noProof/>
          <w:sz w:val="24"/>
          <w:szCs w:val="24"/>
          <w:lang w:eastAsia="en-GB"/>
        </w:rPr>
        <mc:AlternateContent>
          <mc:Choice Requires="wps">
            <w:drawing>
              <wp:anchor distT="0" distB="0" distL="114300" distR="114300" simplePos="0" relativeHeight="251678720" behindDoc="0" locked="0" layoutInCell="1" allowOverlap="1" wp14:anchorId="62DD4202" wp14:editId="767A5A67">
                <wp:simplePos x="0" y="0"/>
                <wp:positionH relativeFrom="margin">
                  <wp:posOffset>4241165</wp:posOffset>
                </wp:positionH>
                <wp:positionV relativeFrom="paragraph">
                  <wp:posOffset>43815</wp:posOffset>
                </wp:positionV>
                <wp:extent cx="1008000" cy="720000"/>
                <wp:effectExtent l="0" t="0" r="20955" b="23495"/>
                <wp:wrapNone/>
                <wp:docPr id="63" name="Dikdörtgen: Yuvarlatılmış Köşeler 2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08000" cy="720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536941E" w14:textId="77777777" w:rsidR="005C0DC6" w:rsidRPr="00A70042" w:rsidRDefault="005C0DC6" w:rsidP="00A70042">
                            <w:pPr>
                              <w:spacing w:line="240" w:lineRule="auto"/>
                              <w:jc w:val="center"/>
                              <w:rPr>
                                <w:b/>
                                <w:lang w:val="tr-TR"/>
                              </w:rPr>
                            </w:pPr>
                            <w:r w:rsidRPr="00A70042">
                              <w:rPr>
                                <w:b/>
                                <w:lang w:val="tr-TR"/>
                              </w:rPr>
                              <w:t>Imposition of market remedies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DD4202" id="Dikdörtgen: Yuvarlatılmış Köşeler 21" o:spid="_x0000_s1053" alt="&quot;&quot;" style="position:absolute;left:0;text-align:left;margin-left:333.95pt;margin-top:3.45pt;width:79.35pt;height:56.7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" fillcolor="#5b9bd5 [3204]" strokecolor="#1f4d78 [1604]" strokeweight="1pt">
                <v:stroke joinstyle="miter"/>
                <v:textbox>
                  <w:txbxContent>
                    <w:p w14:paraId="0536941E" w14:textId="77777777" w:rsidR="005C0DC6" w:rsidRPr="00A70042" w:rsidRDefault="005C0DC6" w:rsidP="00A70042">
                      <w:pPr>
                        <w:spacing w:line="240" w:lineRule="auto"/>
                        <w:jc w:val="center"/>
                        <w:rPr>
                          <w:b/>
                          <w:lang w:val="tr-TR"/>
                        </w:rPr>
                      </w:pPr>
                      <w:r w:rsidRPr="00A70042">
                        <w:rPr>
                          <w:b/>
                          <w:lang w:val="tr-TR"/>
                        </w:rPr>
                        <w:t>Imposition of market remedies</w:t>
                      </w:r>
                    </w:p>
                  </w:txbxContent>
                </v:textbox>
                <w10:wrap anchorx="margin"/>
              </v:roundrect>
            </w:pict>
          </mc:Fallback>
        </mc:AlternateContent>
      </w:r>
      <w:r w:rsidRPr="00A70042">
        <w:rPr>
          <w:rFonts w:ascii="Times New Roman" w:hAnsi="Times New Roman" w:cs="Times New Roman"/>
          <w:noProof/>
          <w:sz w:val="24"/>
          <w:szCs w:val="24"/>
          <w:lang w:eastAsia="en-GB"/>
        </w:rPr>
        <mc:AlternateContent>
          <mc:Choice Requires="wps">
            <w:drawing>
              <wp:anchor distT="0" distB="0" distL="114300" distR="114300" simplePos="0" relativeHeight="251680768" behindDoc="0" locked="0" layoutInCell="1" allowOverlap="1" wp14:anchorId="2F208546" wp14:editId="2FB7DAAC">
                <wp:simplePos x="0" y="0"/>
                <wp:positionH relativeFrom="column">
                  <wp:posOffset>3865747</wp:posOffset>
                </wp:positionH>
                <wp:positionV relativeFrom="paragraph">
                  <wp:posOffset>386525</wp:posOffset>
                </wp:positionV>
                <wp:extent cx="269875" cy="0"/>
                <wp:effectExtent l="0" t="76200" r="15875" b="95250"/>
                <wp:wrapNone/>
                <wp:docPr id="65" name="Düz Ok Bağlayıcısı 2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269875" cy="0"/>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EC5904" id="Düz Ok Bağlayıcısı 23" o:spid="_x0000_s1026" type="#_x0000_t32" alt="&quot;&quot;" style="position:absolute;margin-left:304.4pt;margin-top:30.45pt;width:21.25pt;height:0;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" strokecolor="#5b9bd5 [3204]" strokeweight="1.5pt">
                <v:stroke endarrow="block" joinstyle="miter"/>
              </v:shape>
            </w:pict>
          </mc:Fallback>
        </mc:AlternateContent>
      </w:r>
      <w:r w:rsidRPr="00A70042">
        <w:rPr>
          <w:rFonts w:ascii="Times New Roman" w:hAnsi="Times New Roman" w:cs="Times New Roman"/>
          <w:noProof/>
          <w:sz w:val="24"/>
          <w:szCs w:val="24"/>
          <w:lang w:eastAsia="en-GB"/>
        </w:rPr>
        <mc:AlternateContent>
          <mc:Choice Requires="wps">
            <w:drawing>
              <wp:anchor distT="0" distB="0" distL="114300" distR="114300" simplePos="0" relativeHeight="251676672" behindDoc="0" locked="0" layoutInCell="1" allowOverlap="1" wp14:anchorId="49A84159" wp14:editId="19C3EAAE">
                <wp:simplePos x="0" y="0"/>
                <wp:positionH relativeFrom="margin">
                  <wp:posOffset>2861945</wp:posOffset>
                </wp:positionH>
                <wp:positionV relativeFrom="paragraph">
                  <wp:posOffset>23495</wp:posOffset>
                </wp:positionV>
                <wp:extent cx="928800" cy="720000"/>
                <wp:effectExtent l="0" t="0" r="24130" b="23495"/>
                <wp:wrapNone/>
                <wp:docPr id="62" name="Dikdörtgen: Yuvarlatılmış Köşeler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928800" cy="720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4091AD2" w14:textId="77777777" w:rsidR="005C0DC6" w:rsidRPr="00A70042" w:rsidRDefault="005C0DC6" w:rsidP="00A70042">
                            <w:pPr>
                              <w:spacing w:line="240" w:lineRule="auto"/>
                              <w:jc w:val="center"/>
                              <w:rPr>
                                <w:b/>
                                <w:lang w:val="tr-TR"/>
                              </w:rPr>
                            </w:pPr>
                            <w:r w:rsidRPr="00A70042">
                              <w:rPr>
                                <w:b/>
                                <w:lang w:val="tr-TR"/>
                              </w:rPr>
                              <w:t>Evaluation of market remedies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A84159" id="Dikdörtgen: Yuvarlatılmış Köşeler 18" o:spid="_x0000_s1054" alt="&quot;&quot;" style="position:absolute;left:0;text-align:left;margin-left:225.35pt;margin-top:1.85pt;width:73.15pt;height:56.7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" fillcolor="#5b9bd5 [3204]" strokecolor="#1f4d78 [1604]" strokeweight="1pt">
                <v:stroke joinstyle="miter"/>
                <v:textbox>
                  <w:txbxContent>
                    <w:p w14:paraId="34091AD2" w14:textId="77777777" w:rsidR="005C0DC6" w:rsidRPr="00A70042" w:rsidRDefault="005C0DC6" w:rsidP="00A70042">
                      <w:pPr>
                        <w:spacing w:line="240" w:lineRule="auto"/>
                        <w:jc w:val="center"/>
                        <w:rPr>
                          <w:b/>
                          <w:lang w:val="tr-TR"/>
                        </w:rPr>
                      </w:pPr>
                      <w:r w:rsidRPr="00A70042">
                        <w:rPr>
                          <w:b/>
                          <w:lang w:val="tr-TR"/>
                        </w:rPr>
                        <w:t>Evaluation of market remedies</w:t>
                      </w:r>
                    </w:p>
                  </w:txbxContent>
                </v:textbox>
                <w10:wrap anchorx="margin"/>
              </v:roundrect>
            </w:pict>
          </mc:Fallback>
        </mc:AlternateContent>
      </w:r>
      <w:r w:rsidRPr="00A70042">
        <w:rPr>
          <w:rFonts w:ascii="Times New Roman" w:hAnsi="Times New Roman" w:cs="Times New Roman"/>
          <w:noProof/>
          <w:sz w:val="24"/>
          <w:szCs w:val="24"/>
          <w:lang w:eastAsia="en-GB"/>
        </w:rPr>
        <mc:AlternateContent>
          <mc:Choice Requires="wps">
            <w:drawing>
              <wp:anchor distT="0" distB="0" distL="114300" distR="114300" simplePos="0" relativeHeight="251677696" behindDoc="0" locked="0" layoutInCell="1" allowOverlap="1" wp14:anchorId="23EAF6A2" wp14:editId="3B4CBBFF">
                <wp:simplePos x="0" y="0"/>
                <wp:positionH relativeFrom="column">
                  <wp:posOffset>2553895</wp:posOffset>
                </wp:positionH>
                <wp:positionV relativeFrom="paragraph">
                  <wp:posOffset>373191</wp:posOffset>
                </wp:positionV>
                <wp:extent cx="269875" cy="0"/>
                <wp:effectExtent l="0" t="76200" r="15875" b="95250"/>
                <wp:wrapNone/>
                <wp:docPr id="60" name="Düz Ok Bağlayıcısı 2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269875" cy="0"/>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AAA560" id="Düz Ok Bağlayıcısı 20" o:spid="_x0000_s1026" type="#_x0000_t32" alt="&quot;&quot;" style="position:absolute;margin-left:201.1pt;margin-top:29.4pt;width:21.25pt;height: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" strokecolor="#5b9bd5 [3204]" strokeweight="1.5pt">
                <v:stroke endarrow="block" joinstyle="miter"/>
              </v:shape>
            </w:pict>
          </mc:Fallback>
        </mc:AlternateContent>
      </w:r>
      <w:r w:rsidRPr="00A70042">
        <w:rPr>
          <w:rFonts w:ascii="Times New Roman" w:hAnsi="Times New Roman" w:cs="Times New Roman"/>
          <w:noProof/>
          <w:sz w:val="24"/>
          <w:szCs w:val="24"/>
          <w:lang w:eastAsia="en-GB"/>
        </w:rPr>
        <mc:AlternateContent>
          <mc:Choice Requires="wps">
            <w:drawing>
              <wp:anchor distT="0" distB="0" distL="114300" distR="114300" simplePos="0" relativeHeight="251675648" behindDoc="0" locked="0" layoutInCell="1" allowOverlap="1" wp14:anchorId="7E2A32E6" wp14:editId="0C0EE16B">
                <wp:simplePos x="0" y="0"/>
                <wp:positionH relativeFrom="margin">
                  <wp:posOffset>1449705</wp:posOffset>
                </wp:positionH>
                <wp:positionV relativeFrom="paragraph">
                  <wp:posOffset>22860</wp:posOffset>
                </wp:positionV>
                <wp:extent cx="1008000" cy="720000"/>
                <wp:effectExtent l="0" t="0" r="20955" b="23495"/>
                <wp:wrapNone/>
                <wp:docPr id="64" name="Dikdörtgen: Yuvarlatılmış Köşeler 1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08000" cy="720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F98996D" w14:textId="77777777" w:rsidR="005C0DC6" w:rsidRPr="00A70042" w:rsidRDefault="005C0DC6" w:rsidP="00A70042">
                            <w:pPr>
                              <w:spacing w:line="360" w:lineRule="auto"/>
                              <w:jc w:val="center"/>
                              <w:rPr>
                                <w:b/>
                                <w:lang w:val="tr-TR"/>
                              </w:rPr>
                            </w:pPr>
                            <w:r w:rsidRPr="00A70042">
                              <w:rPr>
                                <w:b/>
                                <w:lang w:val="tr-TR"/>
                              </w:rPr>
                              <w:t>SMP  assessment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E2A32E6" id="Dikdörtgen: Yuvarlatılmış Köşeler 17" o:spid="_x0000_s1055" alt="&quot;&quot;" style="position:absolute;left:0;text-align:left;margin-left:114.15pt;margin-top:1.8pt;width:79.35pt;height:56.7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" fillcolor="#5b9bd5 [3204]" strokecolor="#1f4d78 [1604]" strokeweight="1pt">
                <v:stroke joinstyle="miter"/>
                <v:textbox>
                  <w:txbxContent>
                    <w:p w14:paraId="0F98996D" w14:textId="77777777" w:rsidR="005C0DC6" w:rsidRPr="00A70042" w:rsidRDefault="005C0DC6" w:rsidP="00A70042">
                      <w:pPr>
                        <w:spacing w:line="360" w:lineRule="auto"/>
                        <w:jc w:val="center"/>
                        <w:rPr>
                          <w:b/>
                          <w:lang w:val="tr-TR"/>
                        </w:rPr>
                      </w:pPr>
                      <w:r w:rsidRPr="00A70042">
                        <w:rPr>
                          <w:b/>
                          <w:lang w:val="tr-TR"/>
                        </w:rPr>
                        <w:t>SMP  assessment</w:t>
                      </w:r>
                    </w:p>
                  </w:txbxContent>
                </v:textbox>
                <w10:wrap anchorx="margin"/>
              </v:roundrect>
            </w:pict>
          </mc:Fallback>
        </mc:AlternateContent>
      </w:r>
      <w:r w:rsidRPr="00A70042">
        <w:rPr>
          <w:rFonts w:ascii="Times New Roman" w:hAnsi="Times New Roman" w:cs="Times New Roman"/>
          <w:noProof/>
          <w:sz w:val="24"/>
          <w:szCs w:val="24"/>
          <w:lang w:eastAsia="en-GB"/>
        </w:rPr>
        <mc:AlternateContent>
          <mc:Choice Requires="wps">
            <w:drawing>
              <wp:anchor distT="0" distB="0" distL="114300" distR="114300" simplePos="0" relativeHeight="251679744" behindDoc="0" locked="0" layoutInCell="1" allowOverlap="1" wp14:anchorId="1C982E7A" wp14:editId="09D4F25E">
                <wp:simplePos x="0" y="0"/>
                <wp:positionH relativeFrom="column">
                  <wp:posOffset>1156202</wp:posOffset>
                </wp:positionH>
                <wp:positionV relativeFrom="paragraph">
                  <wp:posOffset>350814</wp:posOffset>
                </wp:positionV>
                <wp:extent cx="269875" cy="0"/>
                <wp:effectExtent l="0" t="76200" r="15875" b="95250"/>
                <wp:wrapNone/>
                <wp:docPr id="61" name="Düz Ok Bağlayıcısı 2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269875" cy="0"/>
                        </a:xfrm>
                        <a:prstGeom prst="straightConnector1">
                          <a:avLst/>
                        </a:prstGeom>
                        <a:ln>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6A2D08" id="Düz Ok Bağlayıcısı 22" o:spid="_x0000_s1026" type="#_x0000_t32" alt="&quot;&quot;" style="position:absolute;margin-left:91.05pt;margin-top:27.6pt;width:21.25pt;height: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" strokecolor="#5b9bd5 [3204]" strokeweight="1.5pt">
                <v:stroke endarrow="block" joinstyle="miter"/>
              </v:shape>
            </w:pict>
          </mc:Fallback>
        </mc:AlternateContent>
      </w:r>
      <w:r w:rsidRPr="00A70042">
        <w:rPr>
          <w:rFonts w:ascii="Times New Roman" w:hAnsi="Times New Roman" w:cs="Times New Roman"/>
          <w:noProof/>
          <w:sz w:val="24"/>
          <w:szCs w:val="24"/>
          <w:lang w:eastAsia="en-GB"/>
        </w:rPr>
        <mc:AlternateContent>
          <mc:Choice Requires="wps">
            <w:drawing>
              <wp:anchor distT="0" distB="0" distL="114300" distR="114300" simplePos="0" relativeHeight="251686912" behindDoc="0" locked="0" layoutInCell="1" allowOverlap="1" wp14:anchorId="0AF24318" wp14:editId="31EA6EEF">
                <wp:simplePos x="0" y="0"/>
                <wp:positionH relativeFrom="margin">
                  <wp:posOffset>-30480</wp:posOffset>
                </wp:positionH>
                <wp:positionV relativeFrom="paragraph">
                  <wp:posOffset>23495</wp:posOffset>
                </wp:positionV>
                <wp:extent cx="1008000" cy="720000"/>
                <wp:effectExtent l="0" t="0" r="20955" b="23495"/>
                <wp:wrapNone/>
                <wp:docPr id="59" name="Rectangle: Rounded Corners 5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08000" cy="720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0FF445C" w14:textId="77777777" w:rsidR="005C0DC6" w:rsidRPr="00A70042" w:rsidRDefault="005C0DC6" w:rsidP="00A70042">
                            <w:pPr>
                              <w:spacing w:line="360" w:lineRule="auto"/>
                              <w:jc w:val="center"/>
                              <w:rPr>
                                <w:b/>
                                <w:lang w:val="tr-TR"/>
                              </w:rPr>
                            </w:pPr>
                            <w:r w:rsidRPr="00A70042">
                              <w:rPr>
                                <w:b/>
                                <w:lang w:val="tr-TR"/>
                              </w:rPr>
                              <w:t>Market definition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F24318" id="Rectangle: Rounded Corners 59" o:spid="_x0000_s1056" alt="&quot;&quot;" style="position:absolute;left:0;text-align:left;margin-left:-2.4pt;margin-top:1.85pt;width:79.35pt;height:56.7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" fillcolor="#5b9bd5 [3204]" strokecolor="#1f4d78 [1604]" strokeweight="1pt">
                <v:stroke joinstyle="miter"/>
                <v:textbox>
                  <w:txbxContent>
                    <w:p w14:paraId="50FF445C" w14:textId="77777777" w:rsidR="005C0DC6" w:rsidRPr="00A70042" w:rsidRDefault="005C0DC6" w:rsidP="00A70042">
                      <w:pPr>
                        <w:spacing w:line="360" w:lineRule="auto"/>
                        <w:jc w:val="center"/>
                        <w:rPr>
                          <w:b/>
                          <w:lang w:val="tr-TR"/>
                        </w:rPr>
                      </w:pPr>
                      <w:r w:rsidRPr="00A70042">
                        <w:rPr>
                          <w:b/>
                          <w:lang w:val="tr-TR"/>
                        </w:rPr>
                        <w:t>Market definition</w:t>
                      </w:r>
                    </w:p>
                  </w:txbxContent>
                </v:textbox>
                <w10:wrap anchorx="margin"/>
              </v:roundrect>
            </w:pict>
          </mc:Fallback>
        </mc:AlternateContent>
      </w:r>
    </w:p>
    <w:p w14:paraId="1FE7A7AB" w14:textId="77777777" w:rsidR="005C1090" w:rsidRPr="00A70042" w:rsidRDefault="005C1090" w:rsidP="005C1090">
      <w:pPr>
        <w:jc w:val="both"/>
        <w:rPr>
          <w:rFonts w:ascii="Times New Roman" w:hAnsi="Times New Roman" w:cs="Times New Roman"/>
          <w:b/>
          <w:sz w:val="16"/>
          <w:szCs w:val="16"/>
        </w:rPr>
      </w:pPr>
    </w:p>
    <w:p w14:paraId="3858E5A1" w14:textId="77777777" w:rsidR="006607BC" w:rsidRDefault="006607BC" w:rsidP="00A70042">
      <w:pPr>
        <w:jc w:val="both"/>
        <w:outlineLvl w:val="7"/>
        <w:rPr>
          <w:rFonts w:ascii="Times New Roman" w:hAnsi="Times New Roman" w:cs="Times New Roman"/>
          <w:b/>
          <w:sz w:val="24"/>
          <w:szCs w:val="24"/>
        </w:rPr>
      </w:pPr>
      <w:bookmarkStart w:id="495" w:name="_Toc17612469"/>
    </w:p>
    <w:p w14:paraId="51736765" w14:textId="3D065E35" w:rsidR="00FB6916" w:rsidRPr="001F7615" w:rsidRDefault="00FB6916" w:rsidP="00A70042">
      <w:pPr>
        <w:jc w:val="both"/>
        <w:outlineLvl w:val="7"/>
        <w:rPr>
          <w:rFonts w:ascii="Times New Roman" w:hAnsi="Times New Roman" w:cs="Times New Roman"/>
          <w:sz w:val="24"/>
          <w:szCs w:val="24"/>
        </w:rPr>
      </w:pPr>
      <w:r w:rsidRPr="00A70042">
        <w:rPr>
          <w:rFonts w:ascii="Times New Roman" w:hAnsi="Times New Roman" w:cs="Times New Roman"/>
          <w:b/>
          <w:sz w:val="24"/>
          <w:szCs w:val="24"/>
        </w:rPr>
        <w:t>Figure 6:</w:t>
      </w:r>
      <w:r w:rsidRPr="001F7615">
        <w:rPr>
          <w:rFonts w:ascii="Times New Roman" w:hAnsi="Times New Roman" w:cs="Times New Roman"/>
          <w:sz w:val="24"/>
          <w:szCs w:val="24"/>
        </w:rPr>
        <w:t xml:space="preserve"> SMP regime</w:t>
      </w:r>
      <w:bookmarkEnd w:id="495"/>
    </w:p>
    <w:p w14:paraId="7B4A0198" w14:textId="597469FA" w:rsidR="00D63170" w:rsidRPr="00A70042" w:rsidRDefault="0097242D" w:rsidP="00A70042">
      <w:pPr>
        <w:jc w:val="both"/>
        <w:rPr>
          <w:rFonts w:ascii="Times New Roman" w:hAnsi="Times New Roman" w:cs="Times New Roman"/>
          <w:sz w:val="24"/>
          <w:szCs w:val="24"/>
          <w:lang w:val="en-US"/>
        </w:rPr>
      </w:pPr>
      <w:r w:rsidRPr="00A70042">
        <w:rPr>
          <w:rFonts w:ascii="Times New Roman" w:hAnsi="Times New Roman" w:cs="Times New Roman"/>
          <w:b/>
          <w:bCs/>
          <w:sz w:val="20"/>
          <w:szCs w:val="20"/>
          <w:lang w:val="en-US"/>
        </w:rPr>
        <w:t>Source</w:t>
      </w:r>
      <w:r w:rsidR="00EA6CA2" w:rsidRPr="00A70042">
        <w:rPr>
          <w:rFonts w:ascii="Times New Roman" w:hAnsi="Times New Roman" w:cs="Times New Roman"/>
          <w:b/>
          <w:bCs/>
          <w:sz w:val="20"/>
          <w:szCs w:val="20"/>
          <w:lang w:val="en-US"/>
        </w:rPr>
        <w:t>:</w:t>
      </w:r>
      <w:r w:rsidR="00EA6CA2" w:rsidRPr="00A70042">
        <w:rPr>
          <w:rFonts w:ascii="Times New Roman" w:hAnsi="Times New Roman" w:cs="Times New Roman"/>
          <w:sz w:val="20"/>
          <w:szCs w:val="20"/>
          <w:lang w:val="en-US"/>
        </w:rPr>
        <w:t xml:space="preserve"> Constructed by the author</w:t>
      </w:r>
    </w:p>
    <w:p w14:paraId="721FC751" w14:textId="77777777" w:rsidR="00530C15" w:rsidRPr="00774EDB" w:rsidRDefault="009923C1"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Regarding the first step, namely market definition, the Commission’s recommendations have a key role in guiding NRAs in their decisions. Notably, the Commission has so far issued three Recommendations, respectively in 2003, 2007 and 2014, distinguishing certain markets that are susceptible to ex-ante regulation.</w:t>
      </w:r>
      <w:r w:rsidRPr="00774EDB">
        <w:rPr>
          <w:rStyle w:val="FootnoteReference"/>
          <w:rFonts w:ascii="Times New Roman" w:hAnsi="Times New Roman" w:cs="Times New Roman"/>
          <w:sz w:val="24"/>
          <w:szCs w:val="24"/>
          <w:lang w:val="en-US"/>
        </w:rPr>
        <w:footnoteReference w:id="651"/>
      </w:r>
      <w:r w:rsidRPr="00774EDB">
        <w:rPr>
          <w:rFonts w:ascii="Times New Roman" w:hAnsi="Times New Roman" w:cs="Times New Roman"/>
          <w:sz w:val="24"/>
          <w:szCs w:val="24"/>
          <w:lang w:val="en-US"/>
        </w:rPr>
        <w:t xml:space="preserve"> To </w:t>
      </w:r>
      <w:r w:rsidRPr="00774EDB">
        <w:rPr>
          <w:rFonts w:ascii="Times New Roman" w:hAnsi="Times New Roman" w:cs="Times New Roman"/>
          <w:sz w:val="24"/>
          <w:szCs w:val="24"/>
          <w:lang w:val="en-US"/>
        </w:rPr>
        <w:lastRenderedPageBreak/>
        <w:t>remove such a market from ex-ante regulation, or to add a new market on top of those enlisted by the Commission, the relevant NRA has to fulfill the ‘three criteria test’.</w:t>
      </w:r>
      <w:r w:rsidRPr="00774EDB">
        <w:rPr>
          <w:rStyle w:val="FootnoteReference"/>
          <w:rFonts w:ascii="Times New Roman" w:hAnsi="Times New Roman" w:cs="Times New Roman"/>
          <w:sz w:val="24"/>
          <w:szCs w:val="24"/>
          <w:lang w:val="en-US"/>
        </w:rPr>
        <w:footnoteReference w:id="652"/>
      </w:r>
      <w:r w:rsidRPr="00774EDB">
        <w:rPr>
          <w:rFonts w:ascii="Times New Roman" w:hAnsi="Times New Roman" w:cs="Times New Roman"/>
          <w:sz w:val="24"/>
          <w:szCs w:val="24"/>
          <w:lang w:val="en-US"/>
        </w:rPr>
        <w:t xml:space="preserve"> Under this test, the conditions of (i) the ‘presence of high and non-transitory barriers to entry’, (ii) ‘absent market structure tending towards effective competition’ and (iii) the ‘insufficiency of competition law to address market failures’ should exist to justify ex-ante regulation for the relevant market.</w:t>
      </w:r>
      <w:r w:rsidRPr="00774EDB">
        <w:rPr>
          <w:rStyle w:val="FootnoteReference"/>
          <w:rFonts w:ascii="Times New Roman" w:hAnsi="Times New Roman" w:cs="Times New Roman"/>
          <w:sz w:val="24"/>
          <w:szCs w:val="24"/>
          <w:lang w:val="en-US"/>
        </w:rPr>
        <w:footnoteReference w:id="653"/>
      </w:r>
    </w:p>
    <w:p w14:paraId="34B671EF" w14:textId="77777777" w:rsidR="00530C15" w:rsidRPr="00774EDB" w:rsidRDefault="009923C1"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In any case, demand and supply substitution of the relevant products e.g. networks and services, as well as potential competition, need to be evaluated for each market being defined. </w:t>
      </w:r>
      <w:r w:rsidRPr="00820EF9">
        <w:rPr>
          <w:rFonts w:ascii="Times New Roman" w:hAnsi="Times New Roman" w:cs="Times New Roman"/>
          <w:sz w:val="24"/>
          <w:szCs w:val="24"/>
        </w:rPr>
        <w:t>When</w:t>
      </w:r>
      <w:r w:rsidRPr="00A70042">
        <w:rPr>
          <w:rFonts w:ascii="Times New Roman" w:hAnsi="Times New Roman" w:cs="Times New Roman"/>
          <w:sz w:val="24"/>
          <w:szCs w:val="24"/>
        </w:rPr>
        <w:t xml:space="preserve"> price elasticities point to a set of products that are non-substitutable with others, a separate market could be mentioned to exist. </w:t>
      </w:r>
      <w:r w:rsidRPr="00774EDB">
        <w:rPr>
          <w:rFonts w:ascii="Times New Roman" w:hAnsi="Times New Roman" w:cs="Times New Roman"/>
          <w:sz w:val="24"/>
          <w:szCs w:val="24"/>
          <w:lang w:val="en-US"/>
        </w:rPr>
        <w:t>To arrive at such a conclusion, NRAs often invoke the hypothetical monopolist (SSNIP) test,</w:t>
      </w:r>
      <w:r w:rsidRPr="00820EF9">
        <w:rPr>
          <w:rStyle w:val="FootnoteReference"/>
          <w:rFonts w:ascii="Times New Roman" w:hAnsi="Times New Roman" w:cs="Times New Roman"/>
          <w:sz w:val="24"/>
          <w:szCs w:val="24"/>
        </w:rPr>
        <w:footnoteReference w:id="654"/>
      </w:r>
      <w:r w:rsidRPr="00820EF9">
        <w:rPr>
          <w:rFonts w:ascii="Times New Roman" w:hAnsi="Times New Roman" w:cs="Times New Roman"/>
          <w:sz w:val="24"/>
          <w:szCs w:val="24"/>
        </w:rPr>
        <w:t xml:space="preserve"> </w:t>
      </w:r>
      <w:r w:rsidRPr="00774EDB">
        <w:rPr>
          <w:rFonts w:ascii="Times New Roman" w:hAnsi="Times New Roman" w:cs="Times New Roman"/>
          <w:sz w:val="24"/>
          <w:szCs w:val="24"/>
          <w:lang w:val="en-US"/>
        </w:rPr>
        <w:t xml:space="preserve">which represents a widely acknowledged competition law tool. </w:t>
      </w:r>
      <w:r w:rsidRPr="00774EDB">
        <w:rPr>
          <w:rFonts w:ascii="Times New Roman" w:hAnsi="Times New Roman" w:cs="Times New Roman"/>
          <w:sz w:val="24"/>
          <w:szCs w:val="24"/>
        </w:rPr>
        <w:t xml:space="preserve">Market definition </w:t>
      </w:r>
      <w:r w:rsidRPr="00774EDB">
        <w:rPr>
          <w:rFonts w:ascii="Times New Roman" w:hAnsi="Times New Roman" w:cs="Times New Roman"/>
          <w:sz w:val="24"/>
          <w:szCs w:val="24"/>
          <w:lang w:val="en-US"/>
        </w:rPr>
        <w:t xml:space="preserve">which needs to be recurring every five years </w:t>
      </w:r>
      <w:r w:rsidRPr="00774EDB">
        <w:rPr>
          <w:rFonts w:ascii="Times New Roman" w:hAnsi="Times New Roman" w:cs="Times New Roman"/>
          <w:sz w:val="24"/>
          <w:szCs w:val="24"/>
        </w:rPr>
        <w:t>for the purpose of sector-specific regulation</w:t>
      </w:r>
      <w:r w:rsidRPr="00774EDB">
        <w:rPr>
          <w:rStyle w:val="FootnoteReference"/>
          <w:rFonts w:ascii="Times New Roman" w:hAnsi="Times New Roman" w:cs="Times New Roman"/>
          <w:sz w:val="24"/>
          <w:szCs w:val="24"/>
          <w:lang w:val="en-US"/>
        </w:rPr>
        <w:footnoteReference w:id="655"/>
      </w:r>
      <w:r w:rsidRPr="00774EDB">
        <w:rPr>
          <w:rFonts w:ascii="Times New Roman" w:hAnsi="Times New Roman" w:cs="Times New Roman"/>
          <w:sz w:val="24"/>
          <w:szCs w:val="24"/>
        </w:rPr>
        <w:t xml:space="preserve"> always needs to be done on a forward-looking basis,</w:t>
      </w:r>
      <w:r w:rsidRPr="00774EDB">
        <w:rPr>
          <w:rStyle w:val="FootnoteReference"/>
          <w:rFonts w:ascii="Times New Roman" w:hAnsi="Times New Roman" w:cs="Times New Roman"/>
          <w:sz w:val="24"/>
          <w:szCs w:val="24"/>
        </w:rPr>
        <w:footnoteReference w:id="656"/>
      </w:r>
      <w:r w:rsidRPr="00774EDB">
        <w:rPr>
          <w:rFonts w:ascii="Times New Roman" w:hAnsi="Times New Roman" w:cs="Times New Roman"/>
          <w:sz w:val="24"/>
          <w:szCs w:val="24"/>
        </w:rPr>
        <w:t xml:space="preserve"> depending on the existing market data.</w:t>
      </w:r>
      <w:r w:rsidRPr="00774EDB">
        <w:rPr>
          <w:rStyle w:val="FootnoteReference"/>
          <w:rFonts w:ascii="Times New Roman" w:hAnsi="Times New Roman" w:cs="Times New Roman"/>
          <w:sz w:val="24"/>
          <w:szCs w:val="24"/>
        </w:rPr>
        <w:footnoteReference w:id="657"/>
      </w:r>
    </w:p>
    <w:p w14:paraId="16ECFB41" w14:textId="77777777" w:rsidR="009923C1" w:rsidRPr="00774EDB" w:rsidRDefault="009923C1"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Following market definition, NRAs are charged to assess SMP (dominance) to evaluate whether any undertaking has a dominant position (SMP) in the relevant market. In so doing, market shares are taken into utmost account as the primary factor </w:t>
      </w:r>
      <w:r w:rsidRPr="00774EDB">
        <w:rPr>
          <w:rFonts w:ascii="Times New Roman" w:hAnsi="Times New Roman" w:cs="Times New Roman"/>
          <w:sz w:val="24"/>
          <w:szCs w:val="24"/>
          <w:lang w:val="en-US"/>
        </w:rPr>
        <w:lastRenderedPageBreak/>
        <w:t>to determine whether there exist SMP undertaking(s) in the relevant markets.</w:t>
      </w:r>
      <w:r w:rsidRPr="00774EDB">
        <w:rPr>
          <w:rStyle w:val="FootnoteReference"/>
          <w:rFonts w:ascii="Times New Roman" w:hAnsi="Times New Roman" w:cs="Times New Roman"/>
          <w:sz w:val="24"/>
          <w:szCs w:val="24"/>
          <w:lang w:val="en-US"/>
        </w:rPr>
        <w:footnoteReference w:id="658"/>
      </w:r>
      <w:r w:rsidRPr="00774EDB">
        <w:rPr>
          <w:rFonts w:ascii="Times New Roman" w:hAnsi="Times New Roman" w:cs="Times New Roman"/>
          <w:sz w:val="24"/>
          <w:szCs w:val="24"/>
          <w:lang w:val="en-US"/>
        </w:rPr>
        <w:t xml:space="preserve"> Being not solely based on the market shares, any SMP assessment should build on “a thorough and overall analysis of the economic characteristics of the relevant market” reflecting on further criteria such as; ‘overall size of the undertaking’, ‘control of infrastructure not easily duplicated’, ‘technological advantages or superiority’, ‘economies of scale’, etc.</w:t>
      </w:r>
      <w:r w:rsidRPr="00774EDB">
        <w:rPr>
          <w:rStyle w:val="FootnoteReference"/>
          <w:rFonts w:ascii="Times New Roman" w:hAnsi="Times New Roman" w:cs="Times New Roman"/>
          <w:sz w:val="24"/>
          <w:szCs w:val="24"/>
          <w:lang w:val="en-US"/>
        </w:rPr>
        <w:footnoteReference w:id="659"/>
      </w:r>
    </w:p>
    <w:p w14:paraId="02FE3147" w14:textId="77777777" w:rsidR="00651866" w:rsidRPr="00774EDB" w:rsidRDefault="009923C1"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Following determination of the SMP undertakings, market analysis should carry on with the designation of remedies. According to Articles 67 and 68 of the EECC Directive, NRAs should impose appropriate remedies on SMP operators at the end of the market analysis procedure. In this regard, if the relevant market is found not to be effectively competitive, e.g. signifying potential anti-competitive behaviours, those SMP players should then be subject to ex-ante obligations. The key point here is that the NRAs should select the remedies in view of the potential market failures, “based on the nature of the problem” and complying with the ‘proportionality’ principle.</w:t>
      </w:r>
      <w:r w:rsidRPr="00774EDB">
        <w:rPr>
          <w:rStyle w:val="FootnoteReference"/>
          <w:rFonts w:ascii="Times New Roman" w:hAnsi="Times New Roman" w:cs="Times New Roman"/>
          <w:sz w:val="24"/>
          <w:szCs w:val="24"/>
          <w:lang w:val="en-US"/>
        </w:rPr>
        <w:footnoteReference w:id="660"/>
      </w:r>
      <w:r w:rsidRPr="00774EDB">
        <w:rPr>
          <w:rFonts w:ascii="Times New Roman" w:hAnsi="Times New Roman" w:cs="Times New Roman"/>
          <w:sz w:val="24"/>
          <w:szCs w:val="24"/>
          <w:lang w:val="en-US"/>
        </w:rPr>
        <w:t xml:space="preserve"> Imposition of the most appropriate remedies thus entails analyzing whether and to what extent SMP players could affect potential competition through various factors, i.e. retail prices and availability of services.</w:t>
      </w:r>
      <w:r w:rsidR="00213D22" w:rsidRPr="00774EDB">
        <w:rPr>
          <w:rFonts w:ascii="Times New Roman" w:hAnsi="Times New Roman" w:cs="Times New Roman"/>
          <w:sz w:val="24"/>
          <w:szCs w:val="24"/>
          <w:lang w:val="en-US"/>
        </w:rPr>
        <w:t xml:space="preserve"> </w:t>
      </w:r>
    </w:p>
    <w:p w14:paraId="7E9BC173" w14:textId="77777777" w:rsidR="00043CC2" w:rsidRPr="00774EDB" w:rsidRDefault="009923C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lang w:val="en-US"/>
        </w:rPr>
        <w:t xml:space="preserve">From this point of view, ‘evaluation of market remedies’ is as important as other steps given the fact that NRAs should not react to every potential anti-competitive effect in the same manner. While the toolbox in the hands of NRAs is comprised of wide-ranging access obligations, including structural remedies i.e. functional separation, </w:t>
      </w:r>
      <w:r w:rsidRPr="00774EDB">
        <w:rPr>
          <w:rFonts w:ascii="Times New Roman" w:hAnsi="Times New Roman" w:cs="Times New Roman"/>
          <w:sz w:val="24"/>
          <w:szCs w:val="24"/>
          <w:lang w:val="en-US"/>
        </w:rPr>
        <w:lastRenderedPageBreak/>
        <w:t xml:space="preserve">such remedies are supposed to be selected against the market structure, price levels and potential abusive behaviours in the relevant market. </w:t>
      </w:r>
      <w:r w:rsidRPr="00774EDB">
        <w:rPr>
          <w:rFonts w:ascii="Times New Roman" w:hAnsi="Times New Roman" w:cs="Times New Roman"/>
          <w:sz w:val="24"/>
          <w:szCs w:val="24"/>
        </w:rPr>
        <w:t xml:space="preserve">It seems that, according to 73(1) of the EECC, access remedies could be imposed in case a consumer harm is likely to attend a potential </w:t>
      </w:r>
      <w:r w:rsidR="00810F07" w:rsidRPr="00774EDB">
        <w:rPr>
          <w:rFonts w:ascii="Times New Roman" w:hAnsi="Times New Roman" w:cs="Times New Roman"/>
          <w:sz w:val="24"/>
          <w:szCs w:val="24"/>
        </w:rPr>
        <w:t xml:space="preserve">anti-competitive </w:t>
      </w:r>
      <w:r w:rsidRPr="00774EDB">
        <w:rPr>
          <w:rFonts w:ascii="Times New Roman" w:hAnsi="Times New Roman" w:cs="Times New Roman"/>
          <w:sz w:val="24"/>
          <w:szCs w:val="24"/>
        </w:rPr>
        <w:t>threat.</w:t>
      </w:r>
      <w:r w:rsidR="00A84C4E" w:rsidRPr="00774EDB">
        <w:rPr>
          <w:rFonts w:ascii="Times New Roman" w:hAnsi="Times New Roman" w:cs="Times New Roman"/>
          <w:sz w:val="24"/>
          <w:szCs w:val="24"/>
        </w:rPr>
        <w:t xml:space="preserve"> More explicitly, when “emergence of a sustainable competitive market at the retail level” is at risk of hindrance due to a SMP firm’s potential denial of access, that firm may be subject to ex-ante access remedies should the NRA consider such a denial “would not be in the end-user’s interest”.</w:t>
      </w:r>
      <w:r w:rsidR="00A84C4E" w:rsidRPr="00774EDB">
        <w:rPr>
          <w:rStyle w:val="FootnoteReference"/>
          <w:rFonts w:ascii="Times New Roman" w:hAnsi="Times New Roman" w:cs="Times New Roman"/>
          <w:sz w:val="24"/>
          <w:szCs w:val="24"/>
        </w:rPr>
        <w:footnoteReference w:id="661"/>
      </w:r>
      <w:r w:rsidR="00A84C4E" w:rsidRPr="00774EDB">
        <w:rPr>
          <w:rFonts w:ascii="Times New Roman" w:hAnsi="Times New Roman" w:cs="Times New Roman"/>
          <w:sz w:val="24"/>
          <w:szCs w:val="24"/>
        </w:rPr>
        <w:t xml:space="preserve"> It is noticeable that the network component or service in question should not necessarily be ‘indispensable’ or ‘essential’ for the third parties to compete in the relevant market. Therefore, the threshold for intervention under the ECRF seems to be easier and more accessible when compared to EU competition law. </w:t>
      </w:r>
      <w:r w:rsidR="00493D93" w:rsidRPr="00774EDB">
        <w:rPr>
          <w:rFonts w:ascii="Times New Roman" w:hAnsi="Times New Roman" w:cs="Times New Roman"/>
          <w:sz w:val="24"/>
          <w:szCs w:val="24"/>
        </w:rPr>
        <w:t xml:space="preserve">  </w:t>
      </w:r>
    </w:p>
    <w:p w14:paraId="56446C1A" w14:textId="77777777" w:rsidR="00D02149" w:rsidRPr="00774EDB" w:rsidRDefault="0088334D" w:rsidP="00A70042">
      <w:pPr>
        <w:pStyle w:val="Heading3"/>
        <w:numPr>
          <w:ilvl w:val="2"/>
          <w:numId w:val="33"/>
        </w:numPr>
        <w:spacing w:before="360"/>
        <w:ind w:left="0" w:firstLine="0"/>
        <w:jc w:val="both"/>
        <w:rPr>
          <w:rFonts w:ascii="Times New Roman" w:hAnsi="Times New Roman" w:cs="Times New Roman"/>
          <w:b/>
        </w:rPr>
      </w:pPr>
      <w:bookmarkStart w:id="496" w:name="_Toc17611449"/>
      <w:bookmarkStart w:id="497" w:name="_Toc17611666"/>
      <w:bookmarkStart w:id="498" w:name="_Toc17611878"/>
      <w:bookmarkStart w:id="499" w:name="_Toc17612092"/>
      <w:bookmarkStart w:id="500" w:name="_Toc17612305"/>
      <w:bookmarkStart w:id="501" w:name="_Toc17611450"/>
      <w:bookmarkStart w:id="502" w:name="_Toc53576084"/>
      <w:bookmarkEnd w:id="496"/>
      <w:bookmarkEnd w:id="497"/>
      <w:bookmarkEnd w:id="498"/>
      <w:bookmarkEnd w:id="499"/>
      <w:bookmarkEnd w:id="500"/>
      <w:r w:rsidRPr="00774EDB">
        <w:rPr>
          <w:rFonts w:ascii="Times New Roman" w:hAnsi="Times New Roman" w:cs="Times New Roman"/>
          <w:b/>
          <w:color w:val="auto"/>
        </w:rPr>
        <w:t xml:space="preserve">A deeper </w:t>
      </w:r>
      <w:r w:rsidR="00446AC9" w:rsidRPr="00774EDB">
        <w:rPr>
          <w:rFonts w:ascii="Times New Roman" w:hAnsi="Times New Roman" w:cs="Times New Roman"/>
          <w:b/>
          <w:color w:val="auto"/>
        </w:rPr>
        <w:t xml:space="preserve">look </w:t>
      </w:r>
      <w:r w:rsidR="004E54A5" w:rsidRPr="00774EDB">
        <w:rPr>
          <w:rFonts w:ascii="Times New Roman" w:hAnsi="Times New Roman" w:cs="Times New Roman"/>
          <w:b/>
          <w:color w:val="auto"/>
        </w:rPr>
        <w:t>at</w:t>
      </w:r>
      <w:r w:rsidR="00446AC9" w:rsidRPr="00774EDB">
        <w:rPr>
          <w:rFonts w:ascii="Times New Roman" w:hAnsi="Times New Roman" w:cs="Times New Roman"/>
          <w:b/>
          <w:color w:val="auto"/>
        </w:rPr>
        <w:t xml:space="preserve"> the </w:t>
      </w:r>
      <w:r w:rsidR="001039F8" w:rsidRPr="00774EDB">
        <w:rPr>
          <w:rFonts w:ascii="Times New Roman" w:hAnsi="Times New Roman" w:cs="Times New Roman"/>
          <w:b/>
          <w:color w:val="auto"/>
        </w:rPr>
        <w:t>ECRF</w:t>
      </w:r>
      <w:r w:rsidR="00D65C53" w:rsidRPr="00774EDB">
        <w:rPr>
          <w:rFonts w:ascii="Times New Roman" w:hAnsi="Times New Roman" w:cs="Times New Roman"/>
          <w:b/>
          <w:color w:val="auto"/>
        </w:rPr>
        <w:t>:</w:t>
      </w:r>
      <w:r w:rsidR="00446AC9" w:rsidRPr="00774EDB">
        <w:rPr>
          <w:rFonts w:ascii="Times New Roman" w:hAnsi="Times New Roman" w:cs="Times New Roman"/>
          <w:b/>
          <w:color w:val="auto"/>
        </w:rPr>
        <w:t xml:space="preserve"> </w:t>
      </w:r>
      <w:r w:rsidR="00D65C53" w:rsidRPr="00774EDB">
        <w:rPr>
          <w:rFonts w:ascii="Times New Roman" w:hAnsi="Times New Roman" w:cs="Times New Roman"/>
          <w:b/>
          <w:color w:val="auto"/>
        </w:rPr>
        <w:t>Critical review of</w:t>
      </w:r>
      <w:r w:rsidR="00446AC9" w:rsidRPr="00774EDB">
        <w:rPr>
          <w:rFonts w:ascii="Times New Roman" w:hAnsi="Times New Roman" w:cs="Times New Roman"/>
          <w:b/>
          <w:color w:val="auto"/>
        </w:rPr>
        <w:t xml:space="preserve"> </w:t>
      </w:r>
      <w:r w:rsidR="00691A73" w:rsidRPr="00774EDB">
        <w:rPr>
          <w:rFonts w:ascii="Times New Roman" w:hAnsi="Times New Roman" w:cs="Times New Roman"/>
          <w:b/>
          <w:color w:val="auto"/>
        </w:rPr>
        <w:t xml:space="preserve">the </w:t>
      </w:r>
      <w:r w:rsidR="00446AC9" w:rsidRPr="00774EDB">
        <w:rPr>
          <w:rFonts w:ascii="Times New Roman" w:hAnsi="Times New Roman" w:cs="Times New Roman"/>
          <w:b/>
          <w:color w:val="auto"/>
        </w:rPr>
        <w:t>regulatory mind-set</w:t>
      </w:r>
      <w:bookmarkEnd w:id="501"/>
      <w:bookmarkEnd w:id="502"/>
      <w:r w:rsidR="00446AC9" w:rsidRPr="00774EDB">
        <w:rPr>
          <w:rFonts w:ascii="Times New Roman" w:hAnsi="Times New Roman" w:cs="Times New Roman"/>
          <w:b/>
          <w:color w:val="auto"/>
        </w:rPr>
        <w:t xml:space="preserve"> </w:t>
      </w:r>
      <w:r w:rsidRPr="00774EDB">
        <w:rPr>
          <w:rFonts w:ascii="Times New Roman" w:hAnsi="Times New Roman" w:cs="Times New Roman"/>
          <w:b/>
          <w:color w:val="auto"/>
        </w:rPr>
        <w:t xml:space="preserve"> </w:t>
      </w:r>
    </w:p>
    <w:p w14:paraId="42AAF248" w14:textId="77777777" w:rsidR="00E857EF" w:rsidRPr="00774EDB" w:rsidRDefault="004E54A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Electronic communications’ regulations both at the EU and national level aim at eliminating monopolies and building up competitive markets through access and pricing obligations mainly directed at dominant players. Hence, the SMP regime and underlying EU regulatory system envisages that access to the bottleneck, essential facility type network components e.g. local loop, or services e.g. interconnections, will ensure the achievement of the targeted policy objectives. Behind this regulatory system lies the notions of ‘sunk costs’ and ‘entry barriers’ which are conceived to support each other,</w:t>
      </w:r>
      <w:r w:rsidRPr="00774EDB">
        <w:rPr>
          <w:rStyle w:val="FootnoteReference"/>
          <w:rFonts w:ascii="Times New Roman" w:hAnsi="Times New Roman" w:cs="Times New Roman"/>
          <w:sz w:val="24"/>
          <w:szCs w:val="24"/>
        </w:rPr>
        <w:footnoteReference w:id="662"/>
      </w:r>
      <w:r w:rsidRPr="00774EDB">
        <w:rPr>
          <w:rFonts w:ascii="Times New Roman" w:hAnsi="Times New Roman" w:cs="Times New Roman"/>
          <w:sz w:val="24"/>
          <w:szCs w:val="24"/>
        </w:rPr>
        <w:t xml:space="preserve"> warranting coercive regulations. Barriers to entry in the </w:t>
      </w:r>
      <w:r w:rsidRPr="00774EDB">
        <w:rPr>
          <w:rFonts w:ascii="Times New Roman" w:hAnsi="Times New Roman" w:cs="Times New Roman"/>
          <w:sz w:val="24"/>
          <w:szCs w:val="24"/>
        </w:rPr>
        <w:lastRenderedPageBreak/>
        <w:t>telecommunications sector are related to both size and lack of flexibility in investments,</w:t>
      </w:r>
      <w:r w:rsidRPr="00774EDB">
        <w:rPr>
          <w:rStyle w:val="FootnoteReference"/>
          <w:rFonts w:ascii="Times New Roman" w:hAnsi="Times New Roman" w:cs="Times New Roman"/>
          <w:sz w:val="24"/>
          <w:szCs w:val="24"/>
        </w:rPr>
        <w:footnoteReference w:id="663"/>
      </w:r>
      <w:r w:rsidRPr="00774EDB">
        <w:rPr>
          <w:rFonts w:ascii="Times New Roman" w:hAnsi="Times New Roman" w:cs="Times New Roman"/>
          <w:sz w:val="24"/>
          <w:szCs w:val="24"/>
        </w:rPr>
        <w:t xml:space="preserve"> which are often echoed by a ‘natural monopoly’.</w:t>
      </w:r>
      <w:r w:rsidRPr="00774EDB">
        <w:rPr>
          <w:rStyle w:val="FootnoteReference"/>
          <w:rFonts w:ascii="Times New Roman" w:hAnsi="Times New Roman" w:cs="Times New Roman"/>
          <w:sz w:val="24"/>
          <w:szCs w:val="24"/>
        </w:rPr>
        <w:footnoteReference w:id="664"/>
      </w:r>
    </w:p>
    <w:p w14:paraId="11AC0C7E" w14:textId="77777777" w:rsidR="0022271C" w:rsidRPr="00774EDB" w:rsidRDefault="004E54A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Although sunk costs, as well as natural monopoly features, pave the way to access remedies to a certain degree, sector-specific regulations particularly in the field of electronic communications would need to be dealt with from a deeper and broader perspective. First of all, it is worth criticizing those ECRF rules and measures targeted at, or mainly invoked to, eliminate structural barriers so as to stimulate new entries to the market. So often, regardless of the behavioural aspects, network components run by the incumbents are considered to threaten would-be competitive services and consumer welfare unless they are made available to third party access. Despite the plausibility of this approach, the infrastructure-intensive narrative would be challenged for it lacks an in-depth analysis with respect to the behavioural aspects,</w:t>
      </w:r>
      <w:r w:rsidRPr="00774EDB">
        <w:rPr>
          <w:rStyle w:val="FootnoteReference"/>
          <w:rFonts w:ascii="Times New Roman" w:hAnsi="Times New Roman" w:cs="Times New Roman"/>
          <w:sz w:val="24"/>
          <w:szCs w:val="24"/>
        </w:rPr>
        <w:footnoteReference w:id="665"/>
      </w:r>
      <w:r w:rsidRPr="00774EDB">
        <w:rPr>
          <w:rFonts w:ascii="Times New Roman" w:hAnsi="Times New Roman" w:cs="Times New Roman"/>
          <w:sz w:val="24"/>
          <w:szCs w:val="24"/>
        </w:rPr>
        <w:t xml:space="preserve"> from a broader ICT viewpoint.</w:t>
      </w:r>
    </w:p>
    <w:p w14:paraId="7CDBAA39" w14:textId="77777777" w:rsidR="009A72D2" w:rsidRPr="00774EDB" w:rsidRDefault="00695E1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implicated need for a broader ICT perspective should be considered in parallel with IP convergence and accompanying developments. IP convergence has long been driving the development of communication means, demand and network structures. Innovations such as fibre optics, digitalisation and packet-switching changed completely not only the technical, but also the economic environment of telecommunications.</w:t>
      </w:r>
      <w:r w:rsidRPr="00774EDB">
        <w:rPr>
          <w:rStyle w:val="FootnoteReference"/>
          <w:rFonts w:ascii="Times New Roman" w:hAnsi="Times New Roman" w:cs="Times New Roman"/>
          <w:sz w:val="24"/>
          <w:szCs w:val="24"/>
        </w:rPr>
        <w:footnoteReference w:id="666"/>
      </w:r>
      <w:r w:rsidRPr="00774EDB">
        <w:rPr>
          <w:rFonts w:ascii="Times New Roman" w:hAnsi="Times New Roman" w:cs="Times New Roman"/>
          <w:sz w:val="24"/>
          <w:szCs w:val="24"/>
        </w:rPr>
        <w:t xml:space="preserve"> Consumer demand, stimulated by technological advances, </w:t>
      </w:r>
      <w:r w:rsidRPr="00774EDB">
        <w:rPr>
          <w:rFonts w:ascii="Times New Roman" w:hAnsi="Times New Roman" w:cs="Times New Roman"/>
          <w:sz w:val="24"/>
          <w:szCs w:val="24"/>
        </w:rPr>
        <w:lastRenderedPageBreak/>
        <w:t>leads the way to how electronic communications networks are governed and services consumed, and at this point IP convergence functions as the catalyst of both the demand and supply of ICT networks and services. The locus where demand and supply meet each other is moving from the legacy telecommunications networks to ‘digital platforms’ that are run based on the internet and wide-ranging ICTs.</w:t>
      </w:r>
    </w:p>
    <w:p w14:paraId="2EA1C204" w14:textId="77777777" w:rsidR="000876FD" w:rsidRPr="00774EDB" w:rsidRDefault="00695E1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Here, two focal points need to be elaborated. First and foremost, the legacy networks have extensively been, and are still currently being, replaced with next generation networks (NGNs), which mean software-governed and fibre-equipped networks capable of meeting ever-increasing ICT-based needs. As the proliferation of NGNs come about within certain quality parameters, e.g. regarding high speed and reduced latency, they require enhanced investment and returns from the employed sunk cost, though the same does not work equally for the software companies running over these networks. Given also the shifting locus mentioned above, the legacy ECRF regulations </w:t>
      </w:r>
      <w:r w:rsidR="00606A3D" w:rsidRPr="00774EDB">
        <w:rPr>
          <w:rFonts w:ascii="Times New Roman" w:hAnsi="Times New Roman" w:cs="Times New Roman"/>
          <w:sz w:val="24"/>
          <w:szCs w:val="24"/>
        </w:rPr>
        <w:t>which</w:t>
      </w:r>
      <w:r w:rsidRPr="00774EDB">
        <w:rPr>
          <w:rFonts w:ascii="Times New Roman" w:hAnsi="Times New Roman" w:cs="Times New Roman"/>
          <w:sz w:val="24"/>
          <w:szCs w:val="24"/>
        </w:rPr>
        <w:t xml:space="preserve"> are </w:t>
      </w:r>
      <w:r w:rsidR="00606A3D" w:rsidRPr="00774EDB">
        <w:rPr>
          <w:rFonts w:ascii="Times New Roman" w:hAnsi="Times New Roman" w:cs="Times New Roman"/>
          <w:sz w:val="24"/>
          <w:szCs w:val="24"/>
        </w:rPr>
        <w:t xml:space="preserve">heavily </w:t>
      </w:r>
      <w:r w:rsidRPr="00774EDB">
        <w:rPr>
          <w:rFonts w:ascii="Times New Roman" w:hAnsi="Times New Roman" w:cs="Times New Roman"/>
          <w:sz w:val="24"/>
          <w:szCs w:val="24"/>
        </w:rPr>
        <w:t>focused on fixed</w:t>
      </w:r>
      <w:r w:rsidR="003148E0" w:rsidRPr="00774EDB">
        <w:rPr>
          <w:rFonts w:ascii="Times New Roman" w:hAnsi="Times New Roman" w:cs="Times New Roman"/>
          <w:sz w:val="24"/>
          <w:szCs w:val="24"/>
        </w:rPr>
        <w:t>/mobile/broadband</w:t>
      </w:r>
      <w:r w:rsidRPr="00774EDB">
        <w:rPr>
          <w:rFonts w:ascii="Times New Roman" w:hAnsi="Times New Roman" w:cs="Times New Roman"/>
          <w:sz w:val="24"/>
          <w:szCs w:val="24"/>
        </w:rPr>
        <w:t xml:space="preserve"> network access are controversial and possibly with negative consequences because of the</w:t>
      </w:r>
      <w:r w:rsidR="003148E0" w:rsidRPr="00774EDB">
        <w:rPr>
          <w:rFonts w:ascii="Times New Roman" w:hAnsi="Times New Roman" w:cs="Times New Roman"/>
          <w:sz w:val="24"/>
          <w:szCs w:val="24"/>
        </w:rPr>
        <w:t>ir</w:t>
      </w:r>
      <w:r w:rsidRPr="00774EDB">
        <w:rPr>
          <w:rFonts w:ascii="Times New Roman" w:hAnsi="Times New Roman" w:cs="Times New Roman"/>
          <w:sz w:val="24"/>
          <w:szCs w:val="24"/>
        </w:rPr>
        <w:t xml:space="preserve"> unpredictable effect </w:t>
      </w:r>
      <w:r w:rsidR="003148E0" w:rsidRPr="00774EDB">
        <w:rPr>
          <w:rFonts w:ascii="Times New Roman" w:hAnsi="Times New Roman" w:cs="Times New Roman"/>
          <w:sz w:val="24"/>
          <w:szCs w:val="24"/>
        </w:rPr>
        <w:t>over</w:t>
      </w:r>
      <w:r w:rsidRPr="00774EDB">
        <w:rPr>
          <w:rFonts w:ascii="Times New Roman" w:hAnsi="Times New Roman" w:cs="Times New Roman"/>
          <w:sz w:val="24"/>
          <w:szCs w:val="24"/>
        </w:rPr>
        <w:t xml:space="preserve"> NGN</w:t>
      </w:r>
      <w:r w:rsidR="003148E0" w:rsidRPr="00774EDB">
        <w:rPr>
          <w:rFonts w:ascii="Times New Roman" w:hAnsi="Times New Roman" w:cs="Times New Roman"/>
          <w:sz w:val="24"/>
          <w:szCs w:val="24"/>
        </w:rPr>
        <w:t xml:space="preserve"> investment and </w:t>
      </w:r>
      <w:r w:rsidR="00C01CA3" w:rsidRPr="00774EDB">
        <w:rPr>
          <w:rFonts w:ascii="Times New Roman" w:hAnsi="Times New Roman" w:cs="Times New Roman"/>
          <w:sz w:val="24"/>
          <w:szCs w:val="24"/>
        </w:rPr>
        <w:t>long-term consumer benefit</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667"/>
      </w:r>
    </w:p>
    <w:p w14:paraId="358A44F2" w14:textId="03C69C7C" w:rsidR="00661639" w:rsidRPr="00774EDB" w:rsidRDefault="00606A3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It is important to note that interactions among ICT players increase and spread across the technological layers of an IP stack, being not limited to the telecom operators. As the digital platforms have an extra-territorial reach, along with a globalising digital economy, firms and individuals increasingly need to communicate with other firms and individuals. In this context, electronic communications’ operators increasingly collaborate with the upper layer e.g. software management and content players and the </w:t>
      </w:r>
      <w:r w:rsidRPr="00774EDB">
        <w:rPr>
          <w:rFonts w:ascii="Times New Roman" w:hAnsi="Times New Roman" w:cs="Times New Roman"/>
          <w:sz w:val="24"/>
          <w:szCs w:val="24"/>
        </w:rPr>
        <w:lastRenderedPageBreak/>
        <w:t xml:space="preserve">lower layer e.g. terminal equipment players, in order to maintain and reinforce their controlling power over the users with diversified and enriched products. This tendency largely stems from the fact that the distance between conventional </w:t>
      </w:r>
      <w:r w:rsidR="00731A54" w:rsidRPr="00774EDB">
        <w:rPr>
          <w:rFonts w:ascii="Times New Roman" w:hAnsi="Times New Roman" w:cs="Times New Roman"/>
          <w:sz w:val="24"/>
          <w:szCs w:val="24"/>
        </w:rPr>
        <w:t xml:space="preserve">telecommunications </w:t>
      </w:r>
      <w:r w:rsidRPr="00774EDB">
        <w:rPr>
          <w:rFonts w:ascii="Times New Roman" w:hAnsi="Times New Roman" w:cs="Times New Roman"/>
          <w:sz w:val="24"/>
          <w:szCs w:val="24"/>
        </w:rPr>
        <w:t>companies</w:t>
      </w:r>
      <w:r w:rsidR="00731A54" w:rsidRPr="00774EDB">
        <w:rPr>
          <w:rFonts w:ascii="Times New Roman" w:hAnsi="Times New Roman" w:cs="Times New Roman"/>
          <w:sz w:val="24"/>
          <w:szCs w:val="24"/>
        </w:rPr>
        <w:t xml:space="preserve"> (telcoes)</w:t>
      </w:r>
      <w:r w:rsidRPr="00774EDB">
        <w:rPr>
          <w:rFonts w:ascii="Times New Roman" w:hAnsi="Times New Roman" w:cs="Times New Roman"/>
          <w:sz w:val="24"/>
          <w:szCs w:val="24"/>
        </w:rPr>
        <w:t xml:space="preserve"> and consumers </w:t>
      </w:r>
      <w:r w:rsidR="00D17106" w:rsidRPr="00774EDB">
        <w:rPr>
          <w:rFonts w:ascii="Times New Roman" w:hAnsi="Times New Roman" w:cs="Times New Roman"/>
          <w:sz w:val="24"/>
          <w:szCs w:val="24"/>
        </w:rPr>
        <w:t>vanish</w:t>
      </w:r>
      <w:r w:rsidR="00A52B38" w:rsidRPr="00774EDB">
        <w:rPr>
          <w:rFonts w:ascii="Times New Roman" w:hAnsi="Times New Roman" w:cs="Times New Roman"/>
          <w:sz w:val="24"/>
          <w:szCs w:val="24"/>
        </w:rPr>
        <w:t xml:space="preserve">es and </w:t>
      </w:r>
      <w:r w:rsidRPr="00774EDB">
        <w:rPr>
          <w:rFonts w:ascii="Times New Roman" w:hAnsi="Times New Roman" w:cs="Times New Roman"/>
          <w:sz w:val="24"/>
          <w:szCs w:val="24"/>
        </w:rPr>
        <w:t xml:space="preserve">turns into a fast-track direct link </w:t>
      </w:r>
      <w:r w:rsidR="00A52B38" w:rsidRPr="00774EDB">
        <w:rPr>
          <w:rFonts w:ascii="Times New Roman" w:hAnsi="Times New Roman" w:cs="Times New Roman"/>
          <w:sz w:val="24"/>
          <w:szCs w:val="24"/>
        </w:rPr>
        <w:t>when the latter have a</w:t>
      </w:r>
      <w:r w:rsidRPr="00774EDB">
        <w:rPr>
          <w:rFonts w:ascii="Times New Roman" w:hAnsi="Times New Roman" w:cs="Times New Roman"/>
          <w:sz w:val="24"/>
          <w:szCs w:val="24"/>
        </w:rPr>
        <w:t xml:space="preserve"> relationship </w:t>
      </w:r>
      <w:r w:rsidR="00A52B38" w:rsidRPr="00774EDB">
        <w:rPr>
          <w:rFonts w:ascii="Times New Roman" w:hAnsi="Times New Roman" w:cs="Times New Roman"/>
          <w:sz w:val="24"/>
          <w:szCs w:val="24"/>
        </w:rPr>
        <w:t>with the</w:t>
      </w:r>
      <w:r w:rsidRPr="00774EDB">
        <w:rPr>
          <w:rFonts w:ascii="Times New Roman" w:hAnsi="Times New Roman" w:cs="Times New Roman"/>
          <w:sz w:val="24"/>
          <w:szCs w:val="24"/>
        </w:rPr>
        <w:t xml:space="preserve"> upper layer companies. Not only these companies e.g. Google and Facebook type software companies, but also cloud and IoT providers get closer to the consumers by providing substitutive as well as complementary services alongside the so-called telco</w:t>
      </w:r>
      <w:r w:rsidR="00B509C2" w:rsidRPr="00774EDB">
        <w:rPr>
          <w:rFonts w:ascii="Times New Roman" w:hAnsi="Times New Roman" w:cs="Times New Roman"/>
          <w:sz w:val="24"/>
          <w:szCs w:val="24"/>
        </w:rPr>
        <w:t>e</w:t>
      </w:r>
      <w:r w:rsidRPr="00774EDB">
        <w:rPr>
          <w:rFonts w:ascii="Times New Roman" w:hAnsi="Times New Roman" w:cs="Times New Roman"/>
          <w:sz w:val="24"/>
          <w:szCs w:val="24"/>
        </w:rPr>
        <w:t>s.</w:t>
      </w:r>
      <w:r w:rsidRPr="00774EDB">
        <w:rPr>
          <w:rStyle w:val="FootnoteReference"/>
          <w:rFonts w:ascii="Times New Roman" w:hAnsi="Times New Roman" w:cs="Times New Roman"/>
          <w:sz w:val="24"/>
          <w:szCs w:val="24"/>
        </w:rPr>
        <w:footnoteReference w:id="668"/>
      </w:r>
      <w:r w:rsidRPr="00774EDB">
        <w:rPr>
          <w:rFonts w:ascii="Times New Roman" w:hAnsi="Times New Roman" w:cs="Times New Roman"/>
          <w:sz w:val="24"/>
          <w:szCs w:val="24"/>
        </w:rPr>
        <w:t xml:space="preserve"> These developments surrounding IP convergence pose some legal and regulatory challenges particularly for the ECRF.</w:t>
      </w:r>
    </w:p>
    <w:p w14:paraId="1D4CAABB" w14:textId="77777777" w:rsidR="00A27850" w:rsidRPr="00774EDB" w:rsidRDefault="00D17106"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a broader point of view, the increasing synergies between the internet;  TCP/IP, the IoT, the transition from IPv4 to IPv6 and cloud computing, and the revolutionary changes in other technological and social arenas are leading to a new era of global development with the use of NGNs, EDGE technology and the move to store local content nearer to the consumer, can all be seen as constituting a ‘fourth industrial revolution’. Having said that, it is also visible that the abovementioned shift of locus, while taking place from the bottom to the upper layers, entrusts more controlling power to the consumers. At the same time, computing and computer networks contributed heavily to the splintering of network infrastructures, by permitting fine-grained, swifter and more sophisticated management of large enterprises.</w:t>
      </w:r>
      <w:r w:rsidRPr="00774EDB">
        <w:rPr>
          <w:rStyle w:val="FootnoteReference"/>
          <w:rFonts w:ascii="Times New Roman" w:hAnsi="Times New Roman" w:cs="Times New Roman"/>
          <w:sz w:val="24"/>
          <w:szCs w:val="24"/>
        </w:rPr>
        <w:footnoteReference w:id="669"/>
      </w:r>
    </w:p>
    <w:p w14:paraId="7810BA49" w14:textId="77777777" w:rsidR="00B26937" w:rsidRPr="00774EDB" w:rsidRDefault="007C325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However, for the time being, sector-specific regulations in the field of electronic communications have an increasing pace and density at the EU level. EU regulatory policies, largely putting aside the natural monopoly and related considerations, pursue a pro-competitive approach and contemplating the short-term benefits to be derived from network access regulations. Proliferation of NGNs and the landscape enabling the provision of equivalent services through a myriad of converging networks do not appear to pre-empt the Commission from pursuing legacy rules for ex-ante regulation. As implied above, the burden of proof for sector regulation to intervene in the selected markets is already lower than in antitrust law,</w:t>
      </w:r>
      <w:r w:rsidRPr="00774EDB">
        <w:rPr>
          <w:rStyle w:val="FootnoteReference"/>
          <w:rFonts w:ascii="Times New Roman" w:hAnsi="Times New Roman" w:cs="Times New Roman"/>
          <w:sz w:val="24"/>
          <w:szCs w:val="24"/>
        </w:rPr>
        <w:footnoteReference w:id="670"/>
      </w:r>
      <w:r w:rsidRPr="00774EDB">
        <w:rPr>
          <w:rFonts w:ascii="Times New Roman" w:hAnsi="Times New Roman" w:cs="Times New Roman"/>
          <w:sz w:val="24"/>
          <w:szCs w:val="24"/>
        </w:rPr>
        <w:t xml:space="preserve"> and the Commission endeavours to further lower the threshold to intervene.</w:t>
      </w:r>
      <w:r w:rsidRPr="00774EDB">
        <w:rPr>
          <w:rStyle w:val="FootnoteReference"/>
          <w:rFonts w:ascii="Times New Roman" w:hAnsi="Times New Roman" w:cs="Times New Roman"/>
          <w:sz w:val="24"/>
          <w:szCs w:val="24"/>
        </w:rPr>
        <w:footnoteReference w:id="671"/>
      </w:r>
      <w:r w:rsidRPr="00774EDB">
        <w:rPr>
          <w:rFonts w:ascii="Times New Roman" w:hAnsi="Times New Roman" w:cs="Times New Roman"/>
          <w:sz w:val="24"/>
          <w:szCs w:val="24"/>
        </w:rPr>
        <w:t xml:space="preserve"> However, this would mean a regulatory policy that fails to explicitly consider the investment effects of regulation,</w:t>
      </w:r>
      <w:r w:rsidRPr="00774EDB">
        <w:rPr>
          <w:rStyle w:val="FootnoteReference"/>
          <w:rFonts w:ascii="Times New Roman" w:hAnsi="Times New Roman" w:cs="Times New Roman"/>
          <w:sz w:val="24"/>
          <w:szCs w:val="24"/>
        </w:rPr>
        <w:footnoteReference w:id="672"/>
      </w:r>
      <w:r w:rsidRPr="00774EDB">
        <w:rPr>
          <w:rFonts w:ascii="Times New Roman" w:hAnsi="Times New Roman" w:cs="Times New Roman"/>
          <w:sz w:val="24"/>
          <w:szCs w:val="24"/>
        </w:rPr>
        <w:t xml:space="preserve"> also having the potential to affect consumer welfare contrary to expectations.</w:t>
      </w:r>
    </w:p>
    <w:p w14:paraId="60F252CA" w14:textId="77777777" w:rsidR="00F164E2" w:rsidRPr="00774EDB" w:rsidRDefault="007C325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Crucially, if the technology is dynamically evolving and where both interdependencies and indirect effects are important, then a more dynamic and systemic approach will need to be adopted, taking direct and indirect effects of an intervention into account.</w:t>
      </w:r>
      <w:r w:rsidRPr="00774EDB">
        <w:rPr>
          <w:rStyle w:val="FootnoteReference"/>
          <w:rFonts w:ascii="Times New Roman" w:hAnsi="Times New Roman" w:cs="Times New Roman"/>
          <w:sz w:val="24"/>
          <w:szCs w:val="24"/>
        </w:rPr>
        <w:footnoteReference w:id="673"/>
      </w:r>
      <w:r w:rsidRPr="00774EDB">
        <w:rPr>
          <w:rFonts w:ascii="Times New Roman" w:hAnsi="Times New Roman" w:cs="Times New Roman"/>
          <w:sz w:val="24"/>
          <w:szCs w:val="24"/>
        </w:rPr>
        <w:t xml:space="preserve"> Lacking this perspective, the EU system, while elaborating on the potential market failures and entry barriers in the designated electronic communications’ markets, does </w:t>
      </w:r>
      <w:r w:rsidRPr="00774EDB">
        <w:rPr>
          <w:rFonts w:ascii="Times New Roman" w:hAnsi="Times New Roman" w:cs="Times New Roman"/>
          <w:sz w:val="24"/>
          <w:szCs w:val="24"/>
        </w:rPr>
        <w:lastRenderedPageBreak/>
        <w:t>not look at cross-market relationships from an overall ICT viewpoint. Hence, the ECRF’s limited remit and focus on regulatory micromanagement over electronic communications’ networks and services risks interdependencies and indirect effects being overlooked.</w:t>
      </w:r>
    </w:p>
    <w:p w14:paraId="13DB193C" w14:textId="77777777" w:rsidR="00DA27E3" w:rsidRPr="00774EDB" w:rsidRDefault="007C325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To sum up, the ECRF, albeit with its early emphasis on convergence, over-emphasizes the regulation of electronic communications i.e. </w:t>
      </w:r>
      <w:r w:rsidR="008E20B4" w:rsidRPr="00774EDB">
        <w:rPr>
          <w:rFonts w:ascii="Times New Roman" w:hAnsi="Times New Roman" w:cs="Times New Roman"/>
          <w:sz w:val="24"/>
          <w:szCs w:val="24"/>
        </w:rPr>
        <w:t xml:space="preserve">fixed and </w:t>
      </w:r>
      <w:r w:rsidRPr="00774EDB">
        <w:rPr>
          <w:rFonts w:ascii="Times New Roman" w:hAnsi="Times New Roman" w:cs="Times New Roman"/>
          <w:sz w:val="24"/>
          <w:szCs w:val="24"/>
        </w:rPr>
        <w:t xml:space="preserve">mobile networks and broadband, leased line and voice) services, by excluding other ICT services from the regulatory scope. While the so-called networks and services are covered by the ECRF, a great many software governed services and underlying networks, including digital platforms, are not comprehended, despite the strong and dynamic interplays between them. Regardless of this approach’s shortcomings, it is fair to say that interdependencies between the bottom and upper layers, which reveal new formations of digital ecosystems e.g. surrounding the IoT and cloud networks, appear to be an absent part of the EU regulatory approach. </w:t>
      </w:r>
      <w:r w:rsidR="008E20B4" w:rsidRPr="00774EDB">
        <w:rPr>
          <w:rFonts w:ascii="Times New Roman" w:hAnsi="Times New Roman" w:cs="Times New Roman"/>
          <w:sz w:val="24"/>
          <w:szCs w:val="24"/>
        </w:rPr>
        <w:t>In this context of</w:t>
      </w:r>
      <w:r w:rsidRPr="00774EDB">
        <w:rPr>
          <w:rFonts w:ascii="Times New Roman" w:hAnsi="Times New Roman" w:cs="Times New Roman"/>
          <w:sz w:val="24"/>
          <w:szCs w:val="24"/>
        </w:rPr>
        <w:t xml:space="preserve"> the so-called regulatory micromanagement </w:t>
      </w:r>
      <w:r w:rsidR="008E20B4" w:rsidRPr="00774EDB">
        <w:rPr>
          <w:rFonts w:ascii="Times New Roman" w:hAnsi="Times New Roman" w:cs="Times New Roman"/>
          <w:sz w:val="24"/>
          <w:szCs w:val="24"/>
        </w:rPr>
        <w:t xml:space="preserve">focused on the lower layers, it should be reminded that </w:t>
      </w:r>
      <w:r w:rsidRPr="00774EDB">
        <w:rPr>
          <w:rFonts w:ascii="Times New Roman" w:hAnsi="Times New Roman" w:cs="Times New Roman"/>
          <w:sz w:val="24"/>
          <w:szCs w:val="24"/>
        </w:rPr>
        <w:t>software-governed ICT networks and services are given an advantageous leeway</w:t>
      </w:r>
      <w:r w:rsidR="00F3049C" w:rsidRPr="00774EDB">
        <w:rPr>
          <w:rFonts w:ascii="Times New Roman" w:hAnsi="Times New Roman" w:cs="Times New Roman"/>
          <w:sz w:val="24"/>
          <w:szCs w:val="24"/>
        </w:rPr>
        <w:t xml:space="preserve"> from the regulatory viewpoint</w:t>
      </w:r>
      <w:r w:rsidR="0046334A"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Overall speaking, pursuit of a multi-layered and holistic perspective is likely to reduce the </w:t>
      </w:r>
      <w:r w:rsidR="00A73BB3" w:rsidRPr="00774EDB">
        <w:rPr>
          <w:rFonts w:ascii="Times New Roman" w:hAnsi="Times New Roman" w:cs="Times New Roman"/>
          <w:sz w:val="24"/>
          <w:szCs w:val="24"/>
        </w:rPr>
        <w:t>potential legal and social costs</w:t>
      </w:r>
      <w:r w:rsidRPr="00774EDB">
        <w:rPr>
          <w:rFonts w:ascii="Times New Roman" w:hAnsi="Times New Roman" w:cs="Times New Roman"/>
          <w:sz w:val="24"/>
          <w:szCs w:val="24"/>
        </w:rPr>
        <w:t xml:space="preserve"> that would </w:t>
      </w:r>
      <w:r w:rsidR="00A73BB3" w:rsidRPr="00774EDB">
        <w:rPr>
          <w:rFonts w:ascii="Times New Roman" w:hAnsi="Times New Roman" w:cs="Times New Roman"/>
          <w:sz w:val="24"/>
          <w:szCs w:val="24"/>
        </w:rPr>
        <w:t>come about with</w:t>
      </w:r>
      <w:r w:rsidRPr="00774EDB">
        <w:rPr>
          <w:rFonts w:ascii="Times New Roman" w:hAnsi="Times New Roman" w:cs="Times New Roman"/>
          <w:sz w:val="24"/>
          <w:szCs w:val="24"/>
        </w:rPr>
        <w:t xml:space="preserve"> over or early regulation</w:t>
      </w:r>
      <w:r w:rsidR="00F3049C" w:rsidRPr="00774EDB">
        <w:rPr>
          <w:rFonts w:ascii="Times New Roman" w:hAnsi="Times New Roman" w:cs="Times New Roman"/>
          <w:sz w:val="24"/>
          <w:szCs w:val="24"/>
        </w:rPr>
        <w:t xml:space="preserve"> i.e. reduced investment.</w:t>
      </w:r>
    </w:p>
    <w:p w14:paraId="2AFF0E7D" w14:textId="77777777" w:rsidR="001943A8" w:rsidRPr="00774EDB" w:rsidRDefault="001935A7" w:rsidP="00A70042">
      <w:pPr>
        <w:pStyle w:val="Heading2"/>
        <w:numPr>
          <w:ilvl w:val="1"/>
          <w:numId w:val="33"/>
        </w:numPr>
        <w:tabs>
          <w:tab w:val="left" w:pos="426"/>
        </w:tabs>
        <w:spacing w:before="360"/>
        <w:ind w:left="0" w:firstLine="0"/>
        <w:jc w:val="both"/>
        <w:rPr>
          <w:rFonts w:ascii="Times New Roman" w:hAnsi="Times New Roman" w:cs="Times New Roman"/>
          <w:sz w:val="24"/>
          <w:szCs w:val="24"/>
        </w:rPr>
      </w:pPr>
      <w:bookmarkStart w:id="504" w:name="_Toc17611451"/>
      <w:bookmarkStart w:id="505" w:name="_Toc53576085"/>
      <w:r w:rsidRPr="00774EDB">
        <w:rPr>
          <w:rFonts w:ascii="Times New Roman" w:hAnsi="Times New Roman" w:cs="Times New Roman"/>
          <w:b/>
          <w:color w:val="auto"/>
          <w:sz w:val="24"/>
          <w:szCs w:val="24"/>
        </w:rPr>
        <w:t>I</w:t>
      </w:r>
      <w:r w:rsidR="001943A8" w:rsidRPr="00774EDB">
        <w:rPr>
          <w:rFonts w:ascii="Times New Roman" w:hAnsi="Times New Roman" w:cs="Times New Roman"/>
          <w:b/>
          <w:color w:val="auto"/>
          <w:sz w:val="24"/>
          <w:szCs w:val="24"/>
        </w:rPr>
        <w:t xml:space="preserve">nteroperability under </w:t>
      </w:r>
      <w:r w:rsidR="00A134A4" w:rsidRPr="00774EDB">
        <w:rPr>
          <w:rFonts w:ascii="Times New Roman" w:hAnsi="Times New Roman" w:cs="Times New Roman"/>
          <w:b/>
          <w:color w:val="auto"/>
          <w:sz w:val="24"/>
          <w:szCs w:val="24"/>
        </w:rPr>
        <w:t xml:space="preserve">the </w:t>
      </w:r>
      <w:r w:rsidR="001943A8" w:rsidRPr="00774EDB">
        <w:rPr>
          <w:rFonts w:ascii="Times New Roman" w:hAnsi="Times New Roman" w:cs="Times New Roman"/>
          <w:b/>
          <w:color w:val="auto"/>
          <w:sz w:val="24"/>
          <w:szCs w:val="24"/>
        </w:rPr>
        <w:t>ECRF</w:t>
      </w:r>
      <w:bookmarkEnd w:id="504"/>
      <w:bookmarkEnd w:id="505"/>
    </w:p>
    <w:p w14:paraId="266831E2" w14:textId="77777777" w:rsidR="001935A7" w:rsidRPr="00774EDB" w:rsidRDefault="001935A7" w:rsidP="00A70042">
      <w:pPr>
        <w:pStyle w:val="Heading3"/>
        <w:numPr>
          <w:ilvl w:val="2"/>
          <w:numId w:val="33"/>
        </w:numPr>
        <w:spacing w:before="360"/>
        <w:ind w:left="0" w:firstLine="0"/>
        <w:jc w:val="both"/>
        <w:rPr>
          <w:rFonts w:ascii="Times New Roman" w:hAnsi="Times New Roman" w:cs="Times New Roman"/>
          <w:b/>
          <w:color w:val="auto"/>
        </w:rPr>
      </w:pPr>
      <w:bookmarkStart w:id="506" w:name="_Toc17611452"/>
      <w:bookmarkStart w:id="507" w:name="_Toc17611669"/>
      <w:bookmarkStart w:id="508" w:name="_Toc17611881"/>
      <w:bookmarkStart w:id="509" w:name="_Toc17612095"/>
      <w:bookmarkStart w:id="510" w:name="_Toc17612308"/>
      <w:bookmarkStart w:id="511" w:name="_Toc17611453"/>
      <w:bookmarkStart w:id="512" w:name="_Toc53576086"/>
      <w:bookmarkEnd w:id="506"/>
      <w:bookmarkEnd w:id="507"/>
      <w:bookmarkEnd w:id="508"/>
      <w:bookmarkEnd w:id="509"/>
      <w:bookmarkEnd w:id="510"/>
      <w:r w:rsidRPr="00774EDB">
        <w:rPr>
          <w:rFonts w:ascii="Times New Roman" w:hAnsi="Times New Roman" w:cs="Times New Roman"/>
          <w:b/>
          <w:color w:val="auto"/>
        </w:rPr>
        <w:t>Interoperability concerns and obligations</w:t>
      </w:r>
      <w:bookmarkEnd w:id="511"/>
      <w:bookmarkEnd w:id="512"/>
    </w:p>
    <w:p w14:paraId="090D743E" w14:textId="77777777" w:rsidR="005F4EAD" w:rsidRPr="00A70042" w:rsidRDefault="00A134A4" w:rsidP="00A70042">
      <w:pPr>
        <w:spacing w:before="360"/>
        <w:jc w:val="both"/>
        <w:rPr>
          <w:rFonts w:ascii="Times New Roman" w:hAnsi="Times New Roman" w:cs="Times New Roman"/>
          <w:sz w:val="24"/>
          <w:szCs w:val="24"/>
        </w:rPr>
      </w:pPr>
      <w:r w:rsidRPr="00820EF9">
        <w:rPr>
          <w:rFonts w:ascii="Times New Roman" w:hAnsi="Times New Roman" w:cs="Times New Roman"/>
          <w:sz w:val="24"/>
          <w:szCs w:val="24"/>
        </w:rPr>
        <w:t>ICT markets characterise well ‘network industry’ features, particularly network effects. The absence or presence of interoperability impacts the extent to</w:t>
      </w:r>
      <w:r w:rsidRPr="00A70042">
        <w:rPr>
          <w:rFonts w:ascii="Times New Roman" w:hAnsi="Times New Roman" w:cs="Times New Roman"/>
          <w:sz w:val="24"/>
          <w:szCs w:val="24"/>
        </w:rPr>
        <w:t xml:space="preserve"> which </w:t>
      </w:r>
      <w:r w:rsidRPr="00A70042">
        <w:rPr>
          <w:rFonts w:ascii="Times New Roman" w:hAnsi="Times New Roman" w:cs="Times New Roman"/>
          <w:sz w:val="24"/>
          <w:szCs w:val="24"/>
        </w:rPr>
        <w:lastRenderedPageBreak/>
        <w:t>network effects are influential over the market players. As explained above, the degree of interoperability prevailing in an ICT market has an influence on the competitive dynamics of the marketplace. As far as electronic communications’ markets are concerned, ‘end-to-end connectivity’ and other interoperability-based concerns accompany network effects in shaping the regulatory solutions. Having said that, interoperability is meant to be a self-evident public policy goal of the ECRF, so often independent from competition related concerns and remedies. Below, it is examined whether and to what extent interoperability is instrumentalised and regulated ex-ante, with a focus on specific areas of ECRF.</w:t>
      </w:r>
      <w:r w:rsidR="00332680" w:rsidRPr="00A70042">
        <w:rPr>
          <w:rFonts w:ascii="Times New Roman" w:hAnsi="Times New Roman" w:cs="Times New Roman"/>
          <w:sz w:val="24"/>
          <w:szCs w:val="24"/>
        </w:rPr>
        <w:t xml:space="preserve"> </w:t>
      </w:r>
    </w:p>
    <w:p w14:paraId="4A3A5F75" w14:textId="77777777" w:rsidR="003B6DD8" w:rsidRPr="00774EDB" w:rsidRDefault="003B6DD8" w:rsidP="00A70042">
      <w:pPr>
        <w:pStyle w:val="ListParagraph"/>
        <w:numPr>
          <w:ilvl w:val="3"/>
          <w:numId w:val="33"/>
        </w:numPr>
        <w:spacing w:before="360"/>
        <w:ind w:left="709"/>
        <w:contextualSpacing w:val="0"/>
        <w:jc w:val="both"/>
        <w:rPr>
          <w:rStyle w:val="Heading4Char"/>
          <w:rFonts w:ascii="Times New Roman" w:hAnsi="Times New Roman" w:cs="Times New Roman"/>
          <w:b/>
          <w:i w:val="0"/>
          <w:color w:val="auto"/>
          <w:sz w:val="24"/>
          <w:szCs w:val="24"/>
        </w:rPr>
      </w:pPr>
      <w:bookmarkStart w:id="513" w:name="_Toc17611454"/>
      <w:bookmarkStart w:id="514" w:name="_Toc53576087"/>
      <w:r w:rsidRPr="00774EDB">
        <w:rPr>
          <w:rStyle w:val="Heading4Char"/>
          <w:rFonts w:ascii="Times New Roman" w:hAnsi="Times New Roman" w:cs="Times New Roman"/>
          <w:b/>
          <w:i w:val="0"/>
          <w:color w:val="auto"/>
          <w:sz w:val="24"/>
          <w:szCs w:val="24"/>
        </w:rPr>
        <w:t>Interconnection</w:t>
      </w:r>
      <w:bookmarkEnd w:id="513"/>
      <w:bookmarkEnd w:id="514"/>
    </w:p>
    <w:p w14:paraId="3B16F694" w14:textId="77777777" w:rsidR="00B50F7A" w:rsidRPr="00A70042" w:rsidRDefault="00C5537C"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 xml:space="preserve">‘Interconnection’ means </w:t>
      </w:r>
      <w:r w:rsidR="00B50F7A" w:rsidRPr="00A70042">
        <w:rPr>
          <w:rFonts w:ascii="Times New Roman" w:hAnsi="Times New Roman" w:cs="Times New Roman"/>
          <w:sz w:val="24"/>
          <w:szCs w:val="24"/>
        </w:rPr>
        <w:t>“</w:t>
      </w:r>
      <w:r w:rsidRPr="00A70042">
        <w:rPr>
          <w:rFonts w:ascii="Times New Roman" w:hAnsi="Times New Roman" w:cs="Times New Roman"/>
          <w:sz w:val="24"/>
          <w:szCs w:val="24"/>
        </w:rPr>
        <w:t>the</w:t>
      </w:r>
      <w:r w:rsidR="00B50F7A" w:rsidRPr="00A70042">
        <w:rPr>
          <w:rFonts w:ascii="Times New Roman" w:hAnsi="Times New Roman" w:cs="Times New Roman"/>
          <w:sz w:val="24"/>
          <w:szCs w:val="24"/>
        </w:rPr>
        <w:t xml:space="preserve"> </w:t>
      </w:r>
      <w:r w:rsidR="00B50F7A" w:rsidRPr="00A70042">
        <w:rPr>
          <w:rFonts w:ascii="Times New Roman" w:hAnsi="Times New Roman" w:cs="Times New Roman"/>
          <w:i/>
          <w:iCs/>
          <w:sz w:val="24"/>
          <w:szCs w:val="24"/>
        </w:rPr>
        <w:t>physical and logical linking of public electronic communications networks</w:t>
      </w:r>
      <w:r w:rsidR="00B50F7A" w:rsidRPr="00A70042">
        <w:rPr>
          <w:rFonts w:ascii="Times New Roman" w:hAnsi="Times New Roman" w:cs="Times New Roman"/>
          <w:sz w:val="24"/>
          <w:szCs w:val="24"/>
        </w:rPr>
        <w:t xml:space="preserve"> used by the same or a different undertaking in order to</w:t>
      </w:r>
    </w:p>
    <w:p w14:paraId="7AFE593D" w14:textId="77777777" w:rsidR="00B50F7A" w:rsidRPr="00A70042" w:rsidRDefault="00B50F7A" w:rsidP="00A70042">
      <w:pPr>
        <w:pStyle w:val="ListParagraph"/>
        <w:numPr>
          <w:ilvl w:val="0"/>
          <w:numId w:val="13"/>
        </w:numPr>
        <w:spacing w:before="360"/>
        <w:contextualSpacing w:val="0"/>
        <w:jc w:val="both"/>
        <w:rPr>
          <w:rFonts w:ascii="Times New Roman" w:hAnsi="Times New Roman" w:cs="Times New Roman"/>
          <w:sz w:val="24"/>
          <w:szCs w:val="24"/>
        </w:rPr>
      </w:pPr>
      <w:r w:rsidRPr="00A70042">
        <w:rPr>
          <w:rFonts w:ascii="Times New Roman" w:hAnsi="Times New Roman" w:cs="Times New Roman"/>
          <w:sz w:val="24"/>
          <w:szCs w:val="24"/>
        </w:rPr>
        <w:t>allow the users of one undertaking to communicate with users of the same or another undertaking, or</w:t>
      </w:r>
    </w:p>
    <w:p w14:paraId="0AB27253" w14:textId="77777777" w:rsidR="00B50F7A" w:rsidRPr="00820EF9" w:rsidRDefault="00B50F7A" w:rsidP="00A70042">
      <w:pPr>
        <w:pStyle w:val="ListParagraph"/>
        <w:numPr>
          <w:ilvl w:val="0"/>
          <w:numId w:val="13"/>
        </w:numPr>
        <w:spacing w:before="120"/>
        <w:ind w:left="714" w:hanging="357"/>
        <w:contextualSpacing w:val="0"/>
        <w:jc w:val="both"/>
        <w:rPr>
          <w:rFonts w:ascii="Times New Roman" w:hAnsi="Times New Roman" w:cs="Times New Roman"/>
          <w:sz w:val="24"/>
          <w:szCs w:val="24"/>
        </w:rPr>
      </w:pPr>
      <w:r w:rsidRPr="00A70042">
        <w:rPr>
          <w:rFonts w:ascii="Times New Roman" w:hAnsi="Times New Roman" w:cs="Times New Roman"/>
          <w:sz w:val="24"/>
          <w:szCs w:val="24"/>
        </w:rPr>
        <w:t>to access services provided by another undertaking where such services are provided by the parties involved or other parties who have access to the network”</w:t>
      </w:r>
      <w:r w:rsidR="00A134A4" w:rsidRPr="00A70042">
        <w:rPr>
          <w:rFonts w:ascii="Times New Roman" w:hAnsi="Times New Roman" w:cs="Times New Roman"/>
          <w:sz w:val="24"/>
          <w:szCs w:val="24"/>
        </w:rPr>
        <w:t>.</w:t>
      </w:r>
      <w:r w:rsidR="00C5537C" w:rsidRPr="00820EF9">
        <w:rPr>
          <w:rStyle w:val="FootnoteReference"/>
          <w:rFonts w:ascii="Times New Roman" w:hAnsi="Times New Roman" w:cs="Times New Roman"/>
          <w:sz w:val="24"/>
          <w:szCs w:val="24"/>
        </w:rPr>
        <w:footnoteReference w:id="674"/>
      </w:r>
    </w:p>
    <w:p w14:paraId="5A688089" w14:textId="4058490B" w:rsidR="00FB5261" w:rsidRPr="00A70042" w:rsidRDefault="00A134A4"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 xml:space="preserve">Not only the physical and logical connection of networks but also consumers using such networks to communicate with each other is encompassed by interconnection, which is illustrated in the Figure </w:t>
      </w:r>
      <w:r w:rsidR="00CA6BC2">
        <w:rPr>
          <w:rFonts w:ascii="Times New Roman" w:hAnsi="Times New Roman" w:cs="Times New Roman"/>
          <w:sz w:val="24"/>
          <w:szCs w:val="24"/>
        </w:rPr>
        <w:t>7</w:t>
      </w:r>
      <w:r w:rsidRPr="00820EF9">
        <w:rPr>
          <w:rFonts w:ascii="Times New Roman" w:hAnsi="Times New Roman" w:cs="Times New Roman"/>
          <w:sz w:val="24"/>
          <w:szCs w:val="24"/>
        </w:rPr>
        <w:t xml:space="preserve">. As shown in this figure, the disparate network users </w:t>
      </w:r>
      <w:r w:rsidRPr="00820EF9">
        <w:rPr>
          <w:rFonts w:ascii="Times New Roman" w:hAnsi="Times New Roman" w:cs="Times New Roman"/>
          <w:sz w:val="24"/>
          <w:szCs w:val="24"/>
        </w:rPr>
        <w:lastRenderedPageBreak/>
        <w:t>be</w:t>
      </w:r>
      <w:r w:rsidRPr="00A70042">
        <w:rPr>
          <w:rFonts w:ascii="Times New Roman" w:hAnsi="Times New Roman" w:cs="Times New Roman"/>
          <w:sz w:val="24"/>
          <w:szCs w:val="24"/>
        </w:rPr>
        <w:t>come able to communicate with each other and benefit from joining a more valuable network by means of interconnection, which is represented by the dashed line.</w:t>
      </w:r>
    </w:p>
    <w:p w14:paraId="4CDB166B" w14:textId="3F6FEDF3" w:rsidR="00C45CC2" w:rsidRPr="00A70042" w:rsidRDefault="005C1090" w:rsidP="00A70042">
      <w:pPr>
        <w:tabs>
          <w:tab w:val="left" w:pos="284"/>
          <w:tab w:val="left" w:pos="567"/>
        </w:tabs>
        <w:spacing w:before="360" w:line="240" w:lineRule="auto"/>
        <w:jc w:val="both"/>
        <w:rPr>
          <w:rFonts w:ascii="Times New Roman" w:hAnsi="Times New Roman" w:cs="Times New Roman"/>
          <w:sz w:val="24"/>
          <w:szCs w:val="24"/>
        </w:rPr>
      </w:pPr>
      <w:r w:rsidRPr="00A70042">
        <w:rPr>
          <w:rFonts w:ascii="Times New Roman" w:hAnsi="Times New Roman" w:cs="Times New Roman"/>
          <w:noProof/>
          <w:sz w:val="24"/>
          <w:szCs w:val="24"/>
          <w:lang w:eastAsia="en-GB"/>
        </w:rPr>
        <mc:AlternateContent>
          <mc:Choice Requires="wpg">
            <w:drawing>
              <wp:inline distT="0" distB="0" distL="0" distR="0" wp14:anchorId="2E26D54C" wp14:editId="46768BAA">
                <wp:extent cx="5179162" cy="1870042"/>
                <wp:effectExtent l="0" t="0" r="0" b="0"/>
                <wp:docPr id="71" name="Group 71" descr="Diagram"/>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9162" cy="1870042"/>
                          <a:chOff x="2628" y="1994"/>
                          <a:chExt cx="9216" cy="3328"/>
                        </a:xfrm>
                      </wpg:grpSpPr>
                      <wpg:grpSp>
                        <wpg:cNvPr id="72" name="Group 3"/>
                        <wpg:cNvGrpSpPr>
                          <a:grpSpLocks/>
                        </wpg:cNvGrpSpPr>
                        <wpg:grpSpPr bwMode="auto">
                          <a:xfrm>
                            <a:off x="6119" y="1994"/>
                            <a:ext cx="5725" cy="3051"/>
                            <a:chOff x="6048" y="1440"/>
                            <a:chExt cx="5904" cy="3168"/>
                          </a:xfrm>
                        </wpg:grpSpPr>
                        <wpg:grpSp>
                          <wpg:cNvPr id="73" name="Group 4"/>
                          <wpg:cNvGrpSpPr>
                            <a:grpSpLocks/>
                          </wpg:cNvGrpSpPr>
                          <wpg:grpSpPr bwMode="auto">
                            <a:xfrm>
                              <a:off x="8352" y="1440"/>
                              <a:ext cx="3600" cy="3168"/>
                              <a:chOff x="1440" y="1296"/>
                              <a:chExt cx="3600" cy="3168"/>
                            </a:xfrm>
                          </wpg:grpSpPr>
                          <wps:wsp>
                            <wps:cNvPr id="74" name="Line 5"/>
                            <wps:cNvCnPr>
                              <a:cxnSpLocks noChangeShapeType="1"/>
                            </wps:cNvCnPr>
                            <wps:spPr bwMode="auto">
                              <a:xfrm>
                                <a:off x="2880" y="2686"/>
                                <a:ext cx="432" cy="1152"/>
                              </a:xfrm>
                              <a:prstGeom prst="line">
                                <a:avLst/>
                              </a:prstGeom>
                              <a:noFill/>
                              <a:ln w="9525">
                                <a:solidFill>
                                  <a:srgbClr val="000000"/>
                                </a:solidFill>
                                <a:round/>
                                <a:headEnd type="oval" w="med" len="me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 name="Line 6"/>
                            <wps:cNvCnPr>
                              <a:cxnSpLocks noChangeShapeType="1"/>
                            </wps:cNvCnPr>
                            <wps:spPr bwMode="auto">
                              <a:xfrm flipV="1">
                                <a:off x="2880" y="2545"/>
                                <a:ext cx="1440" cy="144"/>
                              </a:xfrm>
                              <a:prstGeom prst="line">
                                <a:avLst/>
                              </a:prstGeom>
                              <a:noFill/>
                              <a:ln w="9525">
                                <a:solidFill>
                                  <a:srgbClr val="000000"/>
                                </a:solidFill>
                                <a:round/>
                                <a:headEn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 name="Line 7"/>
                            <wps:cNvCnPr>
                              <a:cxnSpLocks noChangeShapeType="1"/>
                            </wps:cNvCnPr>
                            <wps:spPr bwMode="auto">
                              <a:xfrm flipH="1">
                                <a:off x="2013" y="2686"/>
                                <a:ext cx="864" cy="720"/>
                              </a:xfrm>
                              <a:prstGeom prst="line">
                                <a:avLst/>
                              </a:prstGeom>
                              <a:noFill/>
                              <a:ln w="9525">
                                <a:solidFill>
                                  <a:srgbClr val="000000"/>
                                </a:solidFill>
                                <a:round/>
                                <a:headEn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 name="Line 8"/>
                            <wps:cNvCnPr>
                              <a:cxnSpLocks noChangeShapeType="1"/>
                            </wps:cNvCnPr>
                            <wps:spPr bwMode="auto">
                              <a:xfrm flipH="1" flipV="1">
                                <a:off x="2013" y="1969"/>
                                <a:ext cx="864" cy="720"/>
                              </a:xfrm>
                              <a:prstGeom prst="line">
                                <a:avLst/>
                              </a:prstGeom>
                              <a:noFill/>
                              <a:ln w="9525">
                                <a:solidFill>
                                  <a:srgbClr val="000000"/>
                                </a:solidFill>
                                <a:round/>
                                <a:headEn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 name="Line 9"/>
                            <wps:cNvCnPr>
                              <a:cxnSpLocks noChangeShapeType="1"/>
                            </wps:cNvCnPr>
                            <wps:spPr bwMode="auto">
                              <a:xfrm flipV="1">
                                <a:off x="2880" y="1825"/>
                                <a:ext cx="432" cy="864"/>
                              </a:xfrm>
                              <a:prstGeom prst="line">
                                <a:avLst/>
                              </a:prstGeom>
                              <a:noFill/>
                              <a:ln w="9525">
                                <a:solidFill>
                                  <a:srgbClr val="000000"/>
                                </a:solidFill>
                                <a:round/>
                                <a:headEn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9" name="Text Box 10"/>
                            <wps:cNvSpPr txBox="1">
                              <a:spLocks noChangeArrowheads="1"/>
                            </wps:cNvSpPr>
                            <wps:spPr bwMode="auto">
                              <a:xfrm>
                                <a:off x="3312" y="1296"/>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9444424" w14:textId="77777777" w:rsidR="005C0DC6" w:rsidRDefault="005C0DC6" w:rsidP="00C45CC2">
                                  <w:r>
                                    <w:t>S</w:t>
                                  </w:r>
                                  <w:r>
                                    <w:rPr>
                                      <w:vertAlign w:val="subscript"/>
                                    </w:rPr>
                                    <w:t>A1</w:t>
                                  </w:r>
                                </w:p>
                              </w:txbxContent>
                            </wps:txbx>
                            <wps:bodyPr rot="0" vert="horz" wrap="square" lIns="91440" tIns="45720" rIns="91440" bIns="45720" anchor="t" anchorCtr="0" upright="1">
                              <a:noAutofit/>
                            </wps:bodyPr>
                          </wps:wsp>
                          <wps:wsp>
                            <wps:cNvPr id="80" name="Text Box 11"/>
                            <wps:cNvSpPr txBox="1">
                              <a:spLocks noChangeArrowheads="1"/>
                            </wps:cNvSpPr>
                            <wps:spPr bwMode="auto">
                              <a:xfrm>
                                <a:off x="1440" y="3312"/>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B9BD809" w14:textId="77777777" w:rsidR="005C0DC6" w:rsidRDefault="005C0DC6" w:rsidP="00C45CC2">
                                  <w:r>
                                    <w:t>S</w:t>
                                  </w:r>
                                  <w:r>
                                    <w:rPr>
                                      <w:vertAlign w:val="subscript"/>
                                    </w:rPr>
                                    <w:t>A4</w:t>
                                  </w:r>
                                </w:p>
                              </w:txbxContent>
                            </wps:txbx>
                            <wps:bodyPr rot="0" vert="horz" wrap="square" lIns="91440" tIns="45720" rIns="91440" bIns="45720" anchor="t" anchorCtr="0" upright="1">
                              <a:noAutofit/>
                            </wps:bodyPr>
                          </wps:wsp>
                          <wps:wsp>
                            <wps:cNvPr id="81" name="Text Box 12"/>
                            <wps:cNvSpPr txBox="1">
                              <a:spLocks noChangeArrowheads="1"/>
                            </wps:cNvSpPr>
                            <wps:spPr bwMode="auto">
                              <a:xfrm>
                                <a:off x="1440" y="1440"/>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736F833" w14:textId="77777777" w:rsidR="005C0DC6" w:rsidRDefault="005C0DC6" w:rsidP="00C45CC2">
                                  <w:r>
                                    <w:t>S</w:t>
                                  </w:r>
                                  <w:r>
                                    <w:rPr>
                                      <w:vertAlign w:val="subscript"/>
                                    </w:rPr>
                                    <w:t>A5</w:t>
                                  </w:r>
                                </w:p>
                              </w:txbxContent>
                            </wps:txbx>
                            <wps:bodyPr rot="0" vert="horz" wrap="square" lIns="91440" tIns="45720" rIns="91440" bIns="45720" anchor="t" anchorCtr="0" upright="1">
                              <a:noAutofit/>
                            </wps:bodyPr>
                          </wps:wsp>
                          <wps:wsp>
                            <wps:cNvPr id="82" name="Text Box 13"/>
                            <wps:cNvSpPr txBox="1">
                              <a:spLocks noChangeArrowheads="1"/>
                            </wps:cNvSpPr>
                            <wps:spPr bwMode="auto">
                              <a:xfrm>
                                <a:off x="4320" y="2448"/>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2E06D11" w14:textId="77777777" w:rsidR="005C0DC6" w:rsidRDefault="005C0DC6" w:rsidP="00C45CC2">
                                  <w:r>
                                    <w:t>S</w:t>
                                  </w:r>
                                  <w:r>
                                    <w:rPr>
                                      <w:vertAlign w:val="subscript"/>
                                    </w:rPr>
                                    <w:t>A2</w:t>
                                  </w:r>
                                </w:p>
                              </w:txbxContent>
                            </wps:txbx>
                            <wps:bodyPr rot="0" vert="horz" wrap="square" lIns="91440" tIns="45720" rIns="91440" bIns="45720" anchor="t" anchorCtr="0" upright="1">
                              <a:noAutofit/>
                            </wps:bodyPr>
                          </wps:wsp>
                          <wps:wsp>
                            <wps:cNvPr id="83" name="Text Box 14"/>
                            <wps:cNvSpPr txBox="1">
                              <a:spLocks noChangeArrowheads="1"/>
                            </wps:cNvSpPr>
                            <wps:spPr bwMode="auto">
                              <a:xfrm>
                                <a:off x="3024" y="3888"/>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8C3CFD4" w14:textId="77777777" w:rsidR="005C0DC6" w:rsidRDefault="005C0DC6" w:rsidP="00C45CC2">
                                  <w:r>
                                    <w:t>S</w:t>
                                  </w:r>
                                  <w:r>
                                    <w:rPr>
                                      <w:vertAlign w:val="subscript"/>
                                    </w:rPr>
                                    <w:t>A3</w:t>
                                  </w:r>
                                </w:p>
                              </w:txbxContent>
                            </wps:txbx>
                            <wps:bodyPr rot="0" vert="horz" wrap="square" lIns="91440" tIns="45720" rIns="91440" bIns="45720" anchor="t" anchorCtr="0" upright="1">
                              <a:noAutofit/>
                            </wps:bodyPr>
                          </wps:wsp>
                        </wpg:grpSp>
                        <wps:wsp>
                          <wps:cNvPr id="84" name="Line 15"/>
                          <wps:cNvCnPr>
                            <a:cxnSpLocks noChangeShapeType="1"/>
                          </wps:cNvCnPr>
                          <wps:spPr bwMode="auto">
                            <a:xfrm>
                              <a:off x="7488" y="2830"/>
                              <a:ext cx="432" cy="1152"/>
                            </a:xfrm>
                            <a:prstGeom prst="line">
                              <a:avLst/>
                            </a:prstGeom>
                            <a:noFill/>
                            <a:ln w="9525">
                              <a:solidFill>
                                <a:srgbClr val="000000"/>
                              </a:solidFill>
                              <a:round/>
                              <a:headEnd type="oval" w="med" len="me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 name="Line 16"/>
                          <wps:cNvCnPr>
                            <a:cxnSpLocks noChangeShapeType="1"/>
                            <a:stCxn id="108" idx="2"/>
                          </wps:cNvCnPr>
                          <wps:spPr bwMode="auto">
                            <a:xfrm>
                              <a:off x="7497" y="2830"/>
                              <a:ext cx="2247" cy="0"/>
                            </a:xfrm>
                            <a:prstGeom prst="line">
                              <a:avLst/>
                            </a:prstGeom>
                            <a:noFill/>
                            <a:ln w="9525" cap="rnd">
                              <a:solidFill>
                                <a:srgbClr val="000000"/>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Line 17"/>
                          <wps:cNvCnPr>
                            <a:cxnSpLocks noChangeShapeType="1"/>
                          </wps:cNvCnPr>
                          <wps:spPr bwMode="auto">
                            <a:xfrm flipH="1">
                              <a:off x="6621" y="2830"/>
                              <a:ext cx="864" cy="720"/>
                            </a:xfrm>
                            <a:prstGeom prst="line">
                              <a:avLst/>
                            </a:prstGeom>
                            <a:noFill/>
                            <a:ln w="9525">
                              <a:solidFill>
                                <a:srgbClr val="000000"/>
                              </a:solidFill>
                              <a:round/>
                              <a:headEn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 name="Line 18"/>
                          <wps:cNvCnPr>
                            <a:cxnSpLocks noChangeShapeType="1"/>
                          </wps:cNvCnPr>
                          <wps:spPr bwMode="auto">
                            <a:xfrm flipH="1" flipV="1">
                              <a:off x="6621" y="2113"/>
                              <a:ext cx="864" cy="720"/>
                            </a:xfrm>
                            <a:prstGeom prst="line">
                              <a:avLst/>
                            </a:prstGeom>
                            <a:noFill/>
                            <a:ln w="9525">
                              <a:solidFill>
                                <a:srgbClr val="000000"/>
                              </a:solidFill>
                              <a:round/>
                              <a:headEn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 name="Line 19"/>
                          <wps:cNvCnPr>
                            <a:cxnSpLocks noChangeShapeType="1"/>
                          </wps:cNvCnPr>
                          <wps:spPr bwMode="auto">
                            <a:xfrm flipV="1">
                              <a:off x="7488" y="1969"/>
                              <a:ext cx="432" cy="864"/>
                            </a:xfrm>
                            <a:prstGeom prst="line">
                              <a:avLst/>
                            </a:prstGeom>
                            <a:noFill/>
                            <a:ln w="9525">
                              <a:solidFill>
                                <a:srgbClr val="000000"/>
                              </a:solidFill>
                              <a:round/>
                              <a:headEn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9" name="Text Box 20"/>
                          <wps:cNvSpPr txBox="1">
                            <a:spLocks noChangeArrowheads="1"/>
                          </wps:cNvSpPr>
                          <wps:spPr bwMode="auto">
                            <a:xfrm>
                              <a:off x="7632" y="1440"/>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41E2FAC" w14:textId="77777777" w:rsidR="005C0DC6" w:rsidRDefault="005C0DC6" w:rsidP="00C45CC2">
                                <w:r>
                                  <w:t>S</w:t>
                                </w:r>
                                <w:r>
                                  <w:rPr>
                                    <w:vertAlign w:val="subscript"/>
                                  </w:rPr>
                                  <w:t>B1</w:t>
                                </w:r>
                              </w:p>
                            </w:txbxContent>
                          </wps:txbx>
                          <wps:bodyPr rot="0" vert="horz" wrap="square" lIns="91440" tIns="45720" rIns="91440" bIns="45720" anchor="t" anchorCtr="0" upright="1">
                            <a:noAutofit/>
                          </wps:bodyPr>
                        </wps:wsp>
                        <wps:wsp>
                          <wps:cNvPr id="90" name="Text Box 21"/>
                          <wps:cNvSpPr txBox="1">
                            <a:spLocks noChangeArrowheads="1"/>
                          </wps:cNvSpPr>
                          <wps:spPr bwMode="auto">
                            <a:xfrm>
                              <a:off x="6048" y="3456"/>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ACE3750" w14:textId="77777777" w:rsidR="005C0DC6" w:rsidRDefault="005C0DC6" w:rsidP="00C45CC2">
                                <w:r>
                                  <w:t>S</w:t>
                                </w:r>
                                <w:r>
                                  <w:rPr>
                                    <w:vertAlign w:val="subscript"/>
                                  </w:rPr>
                                  <w:t>B3</w:t>
                                </w:r>
                              </w:p>
                            </w:txbxContent>
                          </wps:txbx>
                          <wps:bodyPr rot="0" vert="horz" wrap="square" lIns="91440" tIns="45720" rIns="91440" bIns="45720" anchor="t" anchorCtr="0" upright="1">
                            <a:noAutofit/>
                          </wps:bodyPr>
                        </wps:wsp>
                        <wps:wsp>
                          <wps:cNvPr id="91" name="Text Box 22"/>
                          <wps:cNvSpPr txBox="1">
                            <a:spLocks noChangeArrowheads="1"/>
                          </wps:cNvSpPr>
                          <wps:spPr bwMode="auto">
                            <a:xfrm>
                              <a:off x="6048" y="1584"/>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3F699B1" w14:textId="77777777" w:rsidR="005C0DC6" w:rsidRDefault="005C0DC6" w:rsidP="00C45CC2">
                                <w:r>
                                  <w:t>S</w:t>
                                </w:r>
                                <w:r>
                                  <w:rPr>
                                    <w:vertAlign w:val="subscript"/>
                                  </w:rPr>
                                  <w:t>B4</w:t>
                                </w:r>
                              </w:p>
                            </w:txbxContent>
                          </wps:txbx>
                          <wps:bodyPr rot="0" vert="horz" wrap="square" lIns="91440" tIns="45720" rIns="91440" bIns="45720" anchor="t" anchorCtr="0" upright="1">
                            <a:noAutofit/>
                          </wps:bodyPr>
                        </wps:wsp>
                        <wps:wsp>
                          <wps:cNvPr id="92" name="Text Box 23"/>
                          <wps:cNvSpPr txBox="1">
                            <a:spLocks noChangeArrowheads="1"/>
                          </wps:cNvSpPr>
                          <wps:spPr bwMode="auto">
                            <a:xfrm>
                              <a:off x="7632" y="4032"/>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E5C4F7E" w14:textId="77777777" w:rsidR="005C0DC6" w:rsidRDefault="005C0DC6" w:rsidP="00C45CC2">
                                <w:r>
                                  <w:t>S</w:t>
                                </w:r>
                                <w:r>
                                  <w:rPr>
                                    <w:vertAlign w:val="subscript"/>
                                  </w:rPr>
                                  <w:t>B2</w:t>
                                </w:r>
                              </w:p>
                            </w:txbxContent>
                          </wps:txbx>
                          <wps:bodyPr rot="0" vert="horz" wrap="square" lIns="91440" tIns="45720" rIns="91440" bIns="45720" anchor="t" anchorCtr="0" upright="1">
                            <a:noAutofit/>
                          </wps:bodyPr>
                        </wps:wsp>
                      </wpg:grpSp>
                      <wpg:grpSp>
                        <wpg:cNvPr id="93" name="Group 24"/>
                        <wpg:cNvGrpSpPr>
                          <a:grpSpLocks/>
                        </wpg:cNvGrpSpPr>
                        <wpg:grpSpPr bwMode="auto">
                          <a:xfrm>
                            <a:off x="2628" y="1994"/>
                            <a:ext cx="3491" cy="3051"/>
                            <a:chOff x="1440" y="1296"/>
                            <a:chExt cx="3600" cy="3168"/>
                          </a:xfrm>
                        </wpg:grpSpPr>
                        <wps:wsp>
                          <wps:cNvPr id="94" name="Line 25"/>
                          <wps:cNvCnPr>
                            <a:cxnSpLocks noChangeShapeType="1"/>
                          </wps:cNvCnPr>
                          <wps:spPr bwMode="auto">
                            <a:xfrm>
                              <a:off x="2880" y="2686"/>
                              <a:ext cx="432" cy="1152"/>
                            </a:xfrm>
                            <a:prstGeom prst="line">
                              <a:avLst/>
                            </a:prstGeom>
                            <a:noFill/>
                            <a:ln w="9525">
                              <a:solidFill>
                                <a:srgbClr val="000000"/>
                              </a:solidFill>
                              <a:round/>
                              <a:headEnd type="oval" w="med" len="me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5" name="Line 26"/>
                          <wps:cNvCnPr>
                            <a:cxnSpLocks noChangeShapeType="1"/>
                          </wps:cNvCnPr>
                          <wps:spPr bwMode="auto">
                            <a:xfrm flipV="1">
                              <a:off x="2880" y="2545"/>
                              <a:ext cx="1440" cy="144"/>
                            </a:xfrm>
                            <a:prstGeom prst="line">
                              <a:avLst/>
                            </a:prstGeom>
                            <a:noFill/>
                            <a:ln w="9525">
                              <a:solidFill>
                                <a:srgbClr val="000000"/>
                              </a:solidFill>
                              <a:round/>
                              <a:headEn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 name="Line 27"/>
                          <wps:cNvCnPr>
                            <a:cxnSpLocks noChangeShapeType="1"/>
                          </wps:cNvCnPr>
                          <wps:spPr bwMode="auto">
                            <a:xfrm flipH="1">
                              <a:off x="2013" y="2686"/>
                              <a:ext cx="864" cy="720"/>
                            </a:xfrm>
                            <a:prstGeom prst="line">
                              <a:avLst/>
                            </a:prstGeom>
                            <a:noFill/>
                            <a:ln w="9525">
                              <a:solidFill>
                                <a:srgbClr val="000000"/>
                              </a:solidFill>
                              <a:round/>
                              <a:headEn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7" name="Line 28"/>
                          <wps:cNvCnPr>
                            <a:cxnSpLocks noChangeShapeType="1"/>
                          </wps:cNvCnPr>
                          <wps:spPr bwMode="auto">
                            <a:xfrm flipH="1" flipV="1">
                              <a:off x="2013" y="1969"/>
                              <a:ext cx="864" cy="720"/>
                            </a:xfrm>
                            <a:prstGeom prst="line">
                              <a:avLst/>
                            </a:prstGeom>
                            <a:noFill/>
                            <a:ln w="9525">
                              <a:solidFill>
                                <a:srgbClr val="000000"/>
                              </a:solidFill>
                              <a:round/>
                              <a:headEn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 name="Line 29"/>
                          <wps:cNvCnPr>
                            <a:cxnSpLocks noChangeShapeType="1"/>
                          </wps:cNvCnPr>
                          <wps:spPr bwMode="auto">
                            <a:xfrm flipV="1">
                              <a:off x="2880" y="1825"/>
                              <a:ext cx="432" cy="864"/>
                            </a:xfrm>
                            <a:prstGeom prst="line">
                              <a:avLst/>
                            </a:prstGeom>
                            <a:noFill/>
                            <a:ln w="9525">
                              <a:solidFill>
                                <a:srgbClr val="000000"/>
                              </a:solidFill>
                              <a:round/>
                              <a:headEnd/>
                              <a:tailEnd type="oval"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9" name="Text Box 30"/>
                          <wps:cNvSpPr txBox="1">
                            <a:spLocks noChangeArrowheads="1"/>
                          </wps:cNvSpPr>
                          <wps:spPr bwMode="auto">
                            <a:xfrm>
                              <a:off x="3312" y="1296"/>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523FDC9" w14:textId="77777777" w:rsidR="005C0DC6" w:rsidRDefault="005C0DC6" w:rsidP="00C45CC2">
                                <w:r>
                                  <w:t>S</w:t>
                                </w:r>
                                <w:r>
                                  <w:rPr>
                                    <w:vertAlign w:val="subscript"/>
                                  </w:rPr>
                                  <w:t>A1</w:t>
                                </w:r>
                              </w:p>
                            </w:txbxContent>
                          </wps:txbx>
                          <wps:bodyPr rot="0" vert="horz" wrap="square" lIns="91440" tIns="45720" rIns="91440" bIns="45720" anchor="t" anchorCtr="0" upright="1">
                            <a:noAutofit/>
                          </wps:bodyPr>
                        </wps:wsp>
                        <wps:wsp>
                          <wps:cNvPr id="100" name="Text Box 31"/>
                          <wps:cNvSpPr txBox="1">
                            <a:spLocks noChangeArrowheads="1"/>
                          </wps:cNvSpPr>
                          <wps:spPr bwMode="auto">
                            <a:xfrm>
                              <a:off x="1440" y="3312"/>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6902DC" w14:textId="77777777" w:rsidR="005C0DC6" w:rsidRDefault="005C0DC6" w:rsidP="00C45CC2">
                                <w:r>
                                  <w:t>S</w:t>
                                </w:r>
                                <w:r>
                                  <w:rPr>
                                    <w:vertAlign w:val="subscript"/>
                                  </w:rPr>
                                  <w:t>A4</w:t>
                                </w:r>
                              </w:p>
                            </w:txbxContent>
                          </wps:txbx>
                          <wps:bodyPr rot="0" vert="horz" wrap="square" lIns="91440" tIns="45720" rIns="91440" bIns="45720" anchor="t" anchorCtr="0" upright="1">
                            <a:noAutofit/>
                          </wps:bodyPr>
                        </wps:wsp>
                        <wps:wsp>
                          <wps:cNvPr id="101" name="Text Box 32"/>
                          <wps:cNvSpPr txBox="1">
                            <a:spLocks noChangeArrowheads="1"/>
                          </wps:cNvSpPr>
                          <wps:spPr bwMode="auto">
                            <a:xfrm>
                              <a:off x="1440" y="1440"/>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A068668" w14:textId="77777777" w:rsidR="005C0DC6" w:rsidRDefault="005C0DC6" w:rsidP="00C45CC2">
                                <w:r>
                                  <w:t>S</w:t>
                                </w:r>
                                <w:r>
                                  <w:rPr>
                                    <w:vertAlign w:val="subscript"/>
                                  </w:rPr>
                                  <w:t>A5</w:t>
                                </w:r>
                              </w:p>
                            </w:txbxContent>
                          </wps:txbx>
                          <wps:bodyPr rot="0" vert="horz" wrap="square" lIns="91440" tIns="45720" rIns="91440" bIns="45720" anchor="t" anchorCtr="0" upright="1">
                            <a:noAutofit/>
                          </wps:bodyPr>
                        </wps:wsp>
                        <wps:wsp>
                          <wps:cNvPr id="102" name="Text Box 33"/>
                          <wps:cNvSpPr txBox="1">
                            <a:spLocks noChangeArrowheads="1"/>
                          </wps:cNvSpPr>
                          <wps:spPr bwMode="auto">
                            <a:xfrm>
                              <a:off x="4320" y="2448"/>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9619305" w14:textId="77777777" w:rsidR="005C0DC6" w:rsidRDefault="005C0DC6" w:rsidP="00C45CC2">
                                <w:r>
                                  <w:t>S</w:t>
                                </w:r>
                                <w:r>
                                  <w:rPr>
                                    <w:vertAlign w:val="subscript"/>
                                  </w:rPr>
                                  <w:t>A2</w:t>
                                </w:r>
                              </w:p>
                            </w:txbxContent>
                          </wps:txbx>
                          <wps:bodyPr rot="0" vert="horz" wrap="square" lIns="91440" tIns="45720" rIns="91440" bIns="45720" anchor="t" anchorCtr="0" upright="1">
                            <a:noAutofit/>
                          </wps:bodyPr>
                        </wps:wsp>
                        <wps:wsp>
                          <wps:cNvPr id="103" name="Text Box 34"/>
                          <wps:cNvSpPr txBox="1">
                            <a:spLocks noChangeArrowheads="1"/>
                          </wps:cNvSpPr>
                          <wps:spPr bwMode="auto">
                            <a:xfrm>
                              <a:off x="3024" y="3888"/>
                              <a:ext cx="720"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3723270" w14:textId="77777777" w:rsidR="005C0DC6" w:rsidRDefault="005C0DC6" w:rsidP="00C45CC2">
                                <w:r>
                                  <w:t>S</w:t>
                                </w:r>
                                <w:r>
                                  <w:rPr>
                                    <w:vertAlign w:val="subscript"/>
                                  </w:rPr>
                                  <w:t>A3</w:t>
                                </w:r>
                              </w:p>
                            </w:txbxContent>
                          </wps:txbx>
                          <wps:bodyPr rot="0" vert="horz" wrap="square" lIns="91440" tIns="45720" rIns="91440" bIns="45720" anchor="t" anchorCtr="0" upright="1">
                            <a:noAutofit/>
                          </wps:bodyPr>
                        </wps:wsp>
                      </wpg:grpSp>
                      <wps:wsp>
                        <wps:cNvPr id="104" name="Text Box 35"/>
                        <wps:cNvSpPr txBox="1">
                          <a:spLocks noChangeArrowheads="1"/>
                        </wps:cNvSpPr>
                        <wps:spPr bwMode="auto">
                          <a:xfrm>
                            <a:off x="3326" y="4906"/>
                            <a:ext cx="698" cy="41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6852DC7" w14:textId="77777777" w:rsidR="005C0DC6" w:rsidRDefault="005C0DC6" w:rsidP="00C45CC2">
                              <w:r>
                                <w:t xml:space="preserve"> (a)</w:t>
                              </w:r>
                            </w:p>
                          </w:txbxContent>
                        </wps:txbx>
                        <wps:bodyPr rot="0" vert="horz" wrap="square" lIns="91440" tIns="45720" rIns="91440" bIns="45720" anchor="t" anchorCtr="0" upright="1">
                          <a:noAutofit/>
                        </wps:bodyPr>
                      </wps:wsp>
                      <wps:wsp>
                        <wps:cNvPr id="106" name="Text Box 37"/>
                        <wps:cNvSpPr txBox="1">
                          <a:spLocks noChangeArrowheads="1"/>
                        </wps:cNvSpPr>
                        <wps:spPr bwMode="auto">
                          <a:xfrm>
                            <a:off x="9331" y="4906"/>
                            <a:ext cx="698" cy="41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F2965F5" w14:textId="77777777" w:rsidR="005C0DC6" w:rsidRDefault="005C0DC6" w:rsidP="00C45CC2">
                              <w:r>
                                <w:t xml:space="preserve"> (b)</w:t>
                              </w:r>
                            </w:p>
                          </w:txbxContent>
                        </wps:txbx>
                        <wps:bodyPr rot="0" vert="horz" wrap="square" lIns="91440" tIns="45720" rIns="91440" bIns="45720" anchor="t" anchorCtr="0" upright="1">
                          <a:noAutofit/>
                        </wps:bodyPr>
                      </wps:wsp>
                      <wps:wsp>
                        <wps:cNvPr id="107" name="Text Box 38"/>
                        <wps:cNvSpPr txBox="1">
                          <a:spLocks noChangeArrowheads="1"/>
                        </wps:cNvSpPr>
                        <wps:spPr bwMode="auto">
                          <a:xfrm>
                            <a:off x="9540" y="2824"/>
                            <a:ext cx="601" cy="42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D5FE206" w14:textId="77777777" w:rsidR="005C0DC6" w:rsidRDefault="005C0DC6" w:rsidP="00C45CC2">
                              <w:r>
                                <w:t>A</w:t>
                              </w:r>
                            </w:p>
                          </w:txbxContent>
                        </wps:txbx>
                        <wps:bodyPr rot="0" vert="horz" wrap="square" lIns="91440" tIns="45720" rIns="91440" bIns="45720" anchor="t" anchorCtr="0" upright="1">
                          <a:noAutofit/>
                        </wps:bodyPr>
                      </wps:wsp>
                      <wps:wsp>
                        <wps:cNvPr id="108" name="Text Box 39"/>
                        <wps:cNvSpPr txBox="1">
                          <a:spLocks noChangeArrowheads="1"/>
                        </wps:cNvSpPr>
                        <wps:spPr bwMode="auto">
                          <a:xfrm>
                            <a:off x="7236" y="2824"/>
                            <a:ext cx="576" cy="5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D9E324D" w14:textId="77777777" w:rsidR="005C0DC6" w:rsidRDefault="005C0DC6" w:rsidP="00C45CC2">
                              <w:r>
                                <w:t>B</w:t>
                              </w:r>
                            </w:p>
                          </w:txbxContent>
                        </wps:txbx>
                        <wps:bodyPr rot="0" vert="horz" wrap="square" lIns="91440" tIns="45720" rIns="91440" bIns="45720" anchor="t" anchorCtr="0" upright="1">
                          <a:noAutofit/>
                        </wps:bodyPr>
                      </wps:wsp>
                      <wps:wsp>
                        <wps:cNvPr id="109" name="Text Box 40"/>
                        <wps:cNvSpPr txBox="1">
                          <a:spLocks noChangeArrowheads="1"/>
                        </wps:cNvSpPr>
                        <wps:spPr bwMode="auto">
                          <a:xfrm>
                            <a:off x="3780" y="2824"/>
                            <a:ext cx="576" cy="5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0E1134D" w14:textId="77777777" w:rsidR="005C0DC6" w:rsidRDefault="005C0DC6" w:rsidP="00C45CC2">
                              <w:r>
                                <w:t>A</w:t>
                              </w:r>
                            </w:p>
                          </w:txbxContent>
                        </wps:txbx>
                        <wps:bodyPr rot="0" vert="horz" wrap="square" lIns="91440" tIns="45720" rIns="91440" bIns="45720" anchor="t" anchorCtr="0" upright="1">
                          <a:noAutofit/>
                        </wps:bodyPr>
                      </wps:wsp>
                    </wpg:wgp>
                  </a:graphicData>
                </a:graphic>
              </wp:inline>
            </w:drawing>
          </mc:Choice>
          <mc:Fallback>
            <w:pict>
              <v:group w14:anchorId="2E26D54C" id="Group 71" o:spid="_x0000_s1057" alt="Diagram" style="width:407.8pt;height:147.25pt;mso-position-horizontal-relative:char;mso-position-vertical-relative:line" coordorigin="2628,1994" coordsize="9216,3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">
                <v:group id="Group 3" o:spid="_x0000_s1058" style="position:absolute;left:6119;top:1994;width:5725;height:3051" coordorigin="6048,1440" coordsize="5904,3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group id="Group 4" o:spid="_x0000_s1059" style="position:absolute;left:8352;top:1440;width:3600;height:3168" coordorigin="1440,1296" coordsize="3600,3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">
                    <v:line id="Line 5" o:spid="_x0000_s1060" style="position:absolute;visibility:visible;mso-wrap-style:square" from="2880,2686" to="3312,3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">
                      <v:stroke startarrow="oval" endarrow="oval"/>
                    </v:line>
                    <v:line id="Line 6" o:spid="_x0000_s1061" style="position:absolute;flip:y;visibility:visible;mso-wrap-style:square" from="2880,2545" to="4320,2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">
                      <v:stroke endarrow="oval"/>
                    </v:line>
                    <v:line id="Line 7" o:spid="_x0000_s1062" style="position:absolute;flip:x;visibility:visible;mso-wrap-style:square" from="2013,2686" to="2877,34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">
                      <v:stroke endarrow="oval"/>
                    </v:line>
                    <v:line id="Line 8" o:spid="_x0000_s1063" style="position:absolute;flip:x y;visibility:visible;mso-wrap-style:square" from="2013,1969" to="2877,2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">
                      <v:stroke endarrow="oval"/>
                    </v:line>
                    <v:line id="Line 9" o:spid="_x0000_s1064" style="position:absolute;flip:y;visibility:visible;mso-wrap-style:square" from="2880,1825" to="3312,2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">
                      <v:stroke endarrow="oval"/>
                    </v:line>
                    <v:shape id="_x0000_s1065" type="#_x0000_t202" style="position:absolute;left:3312;top:1296;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" filled="f" stroked="f">
                      <v:textbox>
                        <w:txbxContent>
                          <w:p w14:paraId="09444424" w14:textId="77777777" w:rsidR="005C0DC6" w:rsidRDefault="005C0DC6" w:rsidP="00C45CC2">
                            <w:r>
                              <w:t>S</w:t>
                            </w:r>
                            <w:r>
                              <w:rPr>
                                <w:vertAlign w:val="subscript"/>
                              </w:rPr>
                              <w:t>A1</w:t>
                            </w:r>
                          </w:p>
                        </w:txbxContent>
                      </v:textbox>
                    </v:shape>
                    <v:shape id="_x0000_s1066" type="#_x0000_t202" style="position:absolute;left:1440;top:3312;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" filled="f" stroked="f">
                      <v:textbox>
                        <w:txbxContent>
                          <w:p w14:paraId="0B9BD809" w14:textId="77777777" w:rsidR="005C0DC6" w:rsidRDefault="005C0DC6" w:rsidP="00C45CC2">
                            <w:r>
                              <w:t>S</w:t>
                            </w:r>
                            <w:r>
                              <w:rPr>
                                <w:vertAlign w:val="subscript"/>
                              </w:rPr>
                              <w:t>A4</w:t>
                            </w:r>
                          </w:p>
                        </w:txbxContent>
                      </v:textbox>
                    </v:shape>
                    <v:shape id="_x0000_s1067" type="#_x0000_t202" style="position:absolute;left:1440;top:1440;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" filled="f" stroked="f">
                      <v:textbox>
                        <w:txbxContent>
                          <w:p w14:paraId="5736F833" w14:textId="77777777" w:rsidR="005C0DC6" w:rsidRDefault="005C0DC6" w:rsidP="00C45CC2">
                            <w:r>
                              <w:t>S</w:t>
                            </w:r>
                            <w:r>
                              <w:rPr>
                                <w:vertAlign w:val="subscript"/>
                              </w:rPr>
                              <w:t>A5</w:t>
                            </w:r>
                          </w:p>
                        </w:txbxContent>
                      </v:textbox>
                    </v:shape>
                    <v:shape id="_x0000_s1068" type="#_x0000_t202" style="position:absolute;left:4320;top:2448;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" filled="f" stroked="f">
                      <v:textbox>
                        <w:txbxContent>
                          <w:p w14:paraId="12E06D11" w14:textId="77777777" w:rsidR="005C0DC6" w:rsidRDefault="005C0DC6" w:rsidP="00C45CC2">
                            <w:r>
                              <w:t>S</w:t>
                            </w:r>
                            <w:r>
                              <w:rPr>
                                <w:vertAlign w:val="subscript"/>
                              </w:rPr>
                              <w:t>A2</w:t>
                            </w:r>
                          </w:p>
                        </w:txbxContent>
                      </v:textbox>
                    </v:shape>
                    <v:shape id="_x0000_s1069" type="#_x0000_t202" style="position:absolute;left:3024;top:3888;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08C3CFD4" w14:textId="77777777" w:rsidR="005C0DC6" w:rsidRDefault="005C0DC6" w:rsidP="00C45CC2">
                            <w:r>
                              <w:t>S</w:t>
                            </w:r>
                            <w:r>
                              <w:rPr>
                                <w:vertAlign w:val="subscript"/>
                              </w:rPr>
                              <w:t>A3</w:t>
                            </w:r>
                          </w:p>
                        </w:txbxContent>
                      </v:textbox>
                    </v:shape>
                  </v:group>
                  <v:line id="Line 15" o:spid="_x0000_s1070" style="position:absolute;visibility:visible;mso-wrap-style:square" from="7488,2830" to="7920,3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">
                    <v:stroke startarrow="oval" endarrow="oval"/>
                  </v:line>
                  <v:line id="Line 16" o:spid="_x0000_s1071" style="position:absolute;visibility:visible;mso-wrap-style:square" from="7497,2830" to="9744,2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">
                    <v:stroke dashstyle="1 1" endcap="round"/>
                  </v:line>
                  <v:line id="Line 17" o:spid="_x0000_s1072" style="position:absolute;flip:x;visibility:visible;mso-wrap-style:square" from="6621,2830" to="7485,3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">
                    <v:stroke endarrow="oval"/>
                  </v:line>
                  <v:line id="Line 18" o:spid="_x0000_s1073" style="position:absolute;flip:x y;visibility:visible;mso-wrap-style:square" from="6621,2113" to="7485,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">
                    <v:stroke endarrow="oval"/>
                  </v:line>
                  <v:line id="Line 19" o:spid="_x0000_s1074" style="position:absolute;flip:y;visibility:visible;mso-wrap-style:square" from="7488,1969" to="7920,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">
                    <v:stroke endarrow="oval"/>
                  </v:line>
                  <v:shape id="Text Box 20" o:spid="_x0000_s1075" type="#_x0000_t202" style="position:absolute;left:7632;top:1440;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" filled="f" stroked="f">
                    <v:textbox>
                      <w:txbxContent>
                        <w:p w14:paraId="741E2FAC" w14:textId="77777777" w:rsidR="005C0DC6" w:rsidRDefault="005C0DC6" w:rsidP="00C45CC2">
                          <w:r>
                            <w:t>S</w:t>
                          </w:r>
                          <w:r>
                            <w:rPr>
                              <w:vertAlign w:val="subscript"/>
                            </w:rPr>
                            <w:t>B1</w:t>
                          </w:r>
                        </w:p>
                      </w:txbxContent>
                    </v:textbox>
                  </v:shape>
                  <v:shape id="Text Box 21" o:spid="_x0000_s1076" type="#_x0000_t202" style="position:absolute;left:6048;top:3456;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" filled="f" stroked="f">
                    <v:textbox>
                      <w:txbxContent>
                        <w:p w14:paraId="3ACE3750" w14:textId="77777777" w:rsidR="005C0DC6" w:rsidRDefault="005C0DC6" w:rsidP="00C45CC2">
                          <w:r>
                            <w:t>S</w:t>
                          </w:r>
                          <w:r>
                            <w:rPr>
                              <w:vertAlign w:val="subscript"/>
                            </w:rPr>
                            <w:t>B3</w:t>
                          </w:r>
                        </w:p>
                      </w:txbxContent>
                    </v:textbox>
                  </v:shape>
                  <v:shape id="Text Box 22" o:spid="_x0000_s1077" type="#_x0000_t202" style="position:absolute;left:6048;top:1584;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" filled="f" stroked="f">
                    <v:textbox>
                      <w:txbxContent>
                        <w:p w14:paraId="13F699B1" w14:textId="77777777" w:rsidR="005C0DC6" w:rsidRDefault="005C0DC6" w:rsidP="00C45CC2">
                          <w:r>
                            <w:t>S</w:t>
                          </w:r>
                          <w:r>
                            <w:rPr>
                              <w:vertAlign w:val="subscript"/>
                            </w:rPr>
                            <w:t>B4</w:t>
                          </w:r>
                        </w:p>
                      </w:txbxContent>
                    </v:textbox>
                  </v:shape>
                  <v:shape id="Text Box 23" o:spid="_x0000_s1078" type="#_x0000_t202" style="position:absolute;left:7632;top:4032;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" filled="f" stroked="f">
                    <v:textbox>
                      <w:txbxContent>
                        <w:p w14:paraId="2E5C4F7E" w14:textId="77777777" w:rsidR="005C0DC6" w:rsidRDefault="005C0DC6" w:rsidP="00C45CC2">
                          <w:r>
                            <w:t>S</w:t>
                          </w:r>
                          <w:r>
                            <w:rPr>
                              <w:vertAlign w:val="subscript"/>
                            </w:rPr>
                            <w:t>B2</w:t>
                          </w:r>
                        </w:p>
                      </w:txbxContent>
                    </v:textbox>
                  </v:shape>
                </v:group>
                <v:group id="Group 24" o:spid="_x0000_s1079" style="position:absolute;left:2628;top:1994;width:3491;height:3051" coordorigin="1440,1296" coordsize="3600,3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">
                  <v:line id="Line 25" o:spid="_x0000_s1080" style="position:absolute;visibility:visible;mso-wrap-style:square" from="2880,2686" to="3312,3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">
                    <v:stroke startarrow="oval" endarrow="oval"/>
                  </v:line>
                  <v:line id="Line 26" o:spid="_x0000_s1081" style="position:absolute;flip:y;visibility:visible;mso-wrap-style:square" from="2880,2545" to="4320,2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">
                    <v:stroke endarrow="oval"/>
                  </v:line>
                  <v:line id="Line 27" o:spid="_x0000_s1082" style="position:absolute;flip:x;visibility:visible;mso-wrap-style:square" from="2013,2686" to="2877,34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">
                    <v:stroke endarrow="oval"/>
                  </v:line>
                  <v:line id="Line 28" o:spid="_x0000_s1083" style="position:absolute;flip:x y;visibility:visible;mso-wrap-style:square" from="2013,1969" to="2877,2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">
                    <v:stroke endarrow="oval"/>
                  </v:line>
                  <v:line id="Line 29" o:spid="_x0000_s1084" style="position:absolute;flip:y;visibility:visible;mso-wrap-style:square" from="2880,1825" to="3312,2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">
                    <v:stroke endarrow="oval"/>
                  </v:line>
                  <v:shape id="_x0000_s1085" type="#_x0000_t202" style="position:absolute;left:3312;top:1296;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" filled="f" stroked="f">
                    <v:textbox>
                      <w:txbxContent>
                        <w:p w14:paraId="2523FDC9" w14:textId="77777777" w:rsidR="005C0DC6" w:rsidRDefault="005C0DC6" w:rsidP="00C45CC2">
                          <w:r>
                            <w:t>S</w:t>
                          </w:r>
                          <w:r>
                            <w:rPr>
                              <w:vertAlign w:val="subscript"/>
                            </w:rPr>
                            <w:t>A1</w:t>
                          </w:r>
                        </w:p>
                      </w:txbxContent>
                    </v:textbox>
                  </v:shape>
                  <v:shape id="_x0000_s1086" type="#_x0000_t202" style="position:absolute;left:1440;top:3312;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" filled="f" stroked="f">
                    <v:textbox>
                      <w:txbxContent>
                        <w:p w14:paraId="536902DC" w14:textId="77777777" w:rsidR="005C0DC6" w:rsidRDefault="005C0DC6" w:rsidP="00C45CC2">
                          <w:r>
                            <w:t>S</w:t>
                          </w:r>
                          <w:r>
                            <w:rPr>
                              <w:vertAlign w:val="subscript"/>
                            </w:rPr>
                            <w:t>A4</w:t>
                          </w:r>
                        </w:p>
                      </w:txbxContent>
                    </v:textbox>
                  </v:shape>
                  <v:shape id="_x0000_s1087" type="#_x0000_t202" style="position:absolute;left:1440;top:1440;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" filled="f" stroked="f">
                    <v:textbox>
                      <w:txbxContent>
                        <w:p w14:paraId="4A068668" w14:textId="77777777" w:rsidR="005C0DC6" w:rsidRDefault="005C0DC6" w:rsidP="00C45CC2">
                          <w:r>
                            <w:t>S</w:t>
                          </w:r>
                          <w:r>
                            <w:rPr>
                              <w:vertAlign w:val="subscript"/>
                            </w:rPr>
                            <w:t>A5</w:t>
                          </w:r>
                        </w:p>
                      </w:txbxContent>
                    </v:textbox>
                  </v:shape>
                  <v:shape id="_x0000_s1088" type="#_x0000_t202" style="position:absolute;left:4320;top:2448;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" filled="f" stroked="f">
                    <v:textbox>
                      <w:txbxContent>
                        <w:p w14:paraId="19619305" w14:textId="77777777" w:rsidR="005C0DC6" w:rsidRDefault="005C0DC6" w:rsidP="00C45CC2">
                          <w:r>
                            <w:t>S</w:t>
                          </w:r>
                          <w:r>
                            <w:rPr>
                              <w:vertAlign w:val="subscript"/>
                            </w:rPr>
                            <w:t>A2</w:t>
                          </w:r>
                        </w:p>
                      </w:txbxContent>
                    </v:textbox>
                  </v:shape>
                  <v:shape id="Text Box 34" o:spid="_x0000_s1089" type="#_x0000_t202" style="position:absolute;left:3024;top:3888;width:72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" filled="f" stroked="f">
                    <v:textbox>
                      <w:txbxContent>
                        <w:p w14:paraId="13723270" w14:textId="77777777" w:rsidR="005C0DC6" w:rsidRDefault="005C0DC6" w:rsidP="00C45CC2">
                          <w:r>
                            <w:t>S</w:t>
                          </w:r>
                          <w:r>
                            <w:rPr>
                              <w:vertAlign w:val="subscript"/>
                            </w:rPr>
                            <w:t>A3</w:t>
                          </w:r>
                        </w:p>
                      </w:txbxContent>
                    </v:textbox>
                  </v:shape>
                </v:group>
                <v:shape id="Text Box 35" o:spid="_x0000_s1090" type="#_x0000_t202" style="position:absolute;left:3326;top:4906;width:698;height: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" filled="f" stroked="f">
                  <v:textbox>
                    <w:txbxContent>
                      <w:p w14:paraId="36852DC7" w14:textId="77777777" w:rsidR="005C0DC6" w:rsidRDefault="005C0DC6" w:rsidP="00C45CC2">
                        <w:r>
                          <w:t xml:space="preserve"> (a)</w:t>
                        </w:r>
                      </w:p>
                    </w:txbxContent>
                  </v:textbox>
                </v:shape>
                <v:shape id="Text Box 37" o:spid="_x0000_s1091" type="#_x0000_t202" style="position:absolute;left:9331;top:4906;width:698;height: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" filled="f" stroked="f">
                  <v:textbox>
                    <w:txbxContent>
                      <w:p w14:paraId="7F2965F5" w14:textId="77777777" w:rsidR="005C0DC6" w:rsidRDefault="005C0DC6" w:rsidP="00C45CC2">
                        <w:r>
                          <w:t xml:space="preserve"> (b)</w:t>
                        </w:r>
                      </w:p>
                    </w:txbxContent>
                  </v:textbox>
                </v:shape>
                <v:shape id="Text Box 38" o:spid="_x0000_s1092" type="#_x0000_t202" style="position:absolute;left:9540;top:2824;width:601;height: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" filled="f" stroked="f">
                  <v:textbox>
                    <w:txbxContent>
                      <w:p w14:paraId="1D5FE206" w14:textId="77777777" w:rsidR="005C0DC6" w:rsidRDefault="005C0DC6" w:rsidP="00C45CC2">
                        <w:r>
                          <w:t>A</w:t>
                        </w:r>
                      </w:p>
                    </w:txbxContent>
                  </v:textbox>
                </v:shape>
                <v:shape id="Text Box 39" o:spid="_x0000_s1093" type="#_x0000_t202" style="position:absolute;left:7236;top:2824;width:576;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" filled="f" stroked="f">
                  <v:textbox>
                    <w:txbxContent>
                      <w:p w14:paraId="6D9E324D" w14:textId="77777777" w:rsidR="005C0DC6" w:rsidRDefault="005C0DC6" w:rsidP="00C45CC2">
                        <w:r>
                          <w:t>B</w:t>
                        </w:r>
                      </w:p>
                    </w:txbxContent>
                  </v:textbox>
                </v:shape>
                <v:shape id="Text Box 40" o:spid="_x0000_s1094" type="#_x0000_t202" style="position:absolute;left:3780;top:2824;width:576;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" filled="f" stroked="f">
                  <v:textbox>
                    <w:txbxContent>
                      <w:p w14:paraId="40E1134D" w14:textId="77777777" w:rsidR="005C0DC6" w:rsidRDefault="005C0DC6" w:rsidP="00C45CC2">
                        <w:r>
                          <w:t>A</w:t>
                        </w:r>
                      </w:p>
                    </w:txbxContent>
                  </v:textbox>
                </v:shape>
                <w10:anchorlock/>
              </v:group>
            </w:pict>
          </mc:Fallback>
        </mc:AlternateContent>
      </w:r>
    </w:p>
    <w:p w14:paraId="369CF0BB" w14:textId="0CEF5BD8" w:rsidR="005C1090" w:rsidRPr="00A70042" w:rsidRDefault="005C1090" w:rsidP="00A70042">
      <w:pPr>
        <w:spacing w:before="240"/>
        <w:outlineLvl w:val="7"/>
        <w:rPr>
          <w:rFonts w:ascii="Times New Roman" w:hAnsi="Times New Roman" w:cs="Times New Roman"/>
          <w:sz w:val="24"/>
          <w:szCs w:val="24"/>
        </w:rPr>
      </w:pPr>
      <w:bookmarkStart w:id="515" w:name="_Toc17612470"/>
      <w:r w:rsidRPr="00A70042">
        <w:rPr>
          <w:rFonts w:ascii="Times New Roman" w:hAnsi="Times New Roman" w:cs="Times New Roman"/>
          <w:b/>
          <w:sz w:val="24"/>
          <w:szCs w:val="24"/>
        </w:rPr>
        <w:t xml:space="preserve">Figure </w:t>
      </w:r>
      <w:r w:rsidR="00327E6E">
        <w:rPr>
          <w:rFonts w:ascii="Times New Roman" w:hAnsi="Times New Roman" w:cs="Times New Roman"/>
          <w:b/>
          <w:sz w:val="24"/>
          <w:szCs w:val="24"/>
        </w:rPr>
        <w:t>7</w:t>
      </w:r>
      <w:r w:rsidRPr="00A70042">
        <w:rPr>
          <w:rFonts w:ascii="Times New Roman" w:hAnsi="Times New Roman" w:cs="Times New Roman"/>
          <w:b/>
          <w:sz w:val="24"/>
          <w:szCs w:val="24"/>
        </w:rPr>
        <w:t>:</w:t>
      </w:r>
      <w:r w:rsidRPr="00A70042">
        <w:rPr>
          <w:rFonts w:ascii="Times New Roman" w:hAnsi="Times New Roman" w:cs="Times New Roman"/>
          <w:sz w:val="24"/>
          <w:szCs w:val="24"/>
        </w:rPr>
        <w:t xml:space="preserve"> Interconnection</w:t>
      </w:r>
      <w:bookmarkEnd w:id="515"/>
      <w:r w:rsidRPr="00A70042">
        <w:rPr>
          <w:rFonts w:ascii="Times New Roman" w:hAnsi="Times New Roman" w:cs="Times New Roman"/>
          <w:sz w:val="24"/>
          <w:szCs w:val="24"/>
        </w:rPr>
        <w:t xml:space="preserve"> </w:t>
      </w:r>
    </w:p>
    <w:p w14:paraId="798A9F85" w14:textId="6EAFC2A8" w:rsidR="00C45CC2" w:rsidRPr="00A70042" w:rsidRDefault="00E84DAE">
      <w:pPr>
        <w:pStyle w:val="BodyText"/>
        <w:spacing w:after="0" w:line="240" w:lineRule="auto"/>
        <w:jc w:val="both"/>
        <w:rPr>
          <w:rFonts w:ascii="Times New Roman" w:hAnsi="Times New Roman" w:cs="Times New Roman"/>
          <w:sz w:val="20"/>
          <w:szCs w:val="20"/>
        </w:rPr>
      </w:pPr>
      <w:r w:rsidRPr="00820EF9">
        <w:rPr>
          <w:rFonts w:ascii="Times New Roman" w:hAnsi="Times New Roman" w:cs="Times New Roman"/>
          <w:sz w:val="20"/>
          <w:szCs w:val="20"/>
        </w:rPr>
        <w:t xml:space="preserve">Source: </w:t>
      </w:r>
      <w:r w:rsidR="00C45CC2" w:rsidRPr="00A70042">
        <w:rPr>
          <w:rFonts w:ascii="Times New Roman" w:hAnsi="Times New Roman" w:cs="Times New Roman"/>
          <w:sz w:val="20"/>
          <w:szCs w:val="20"/>
        </w:rPr>
        <w:t xml:space="preserve">Jonas Holm, </w:t>
      </w:r>
      <w:r w:rsidRPr="00A70042">
        <w:rPr>
          <w:rFonts w:ascii="Times New Roman" w:hAnsi="Times New Roman" w:cs="Times New Roman"/>
          <w:sz w:val="20"/>
          <w:szCs w:val="20"/>
        </w:rPr>
        <w:t>‘</w:t>
      </w:r>
      <w:r w:rsidR="00C45CC2" w:rsidRPr="00A70042">
        <w:rPr>
          <w:rFonts w:ascii="Times New Roman" w:hAnsi="Times New Roman" w:cs="Times New Roman"/>
          <w:sz w:val="20"/>
          <w:szCs w:val="20"/>
        </w:rPr>
        <w:t>Regulating Network Access Prices under Uncertainty and Increasing Competition: The Case of Telecommunications and Local Loop Unbundling in the EU</w:t>
      </w:r>
      <w:r w:rsidRPr="00A70042">
        <w:rPr>
          <w:rFonts w:ascii="Times New Roman" w:hAnsi="Times New Roman" w:cs="Times New Roman"/>
          <w:sz w:val="20"/>
          <w:szCs w:val="20"/>
        </w:rPr>
        <w:t>’ (</w:t>
      </w:r>
      <w:r w:rsidR="00921AA7" w:rsidRPr="00A70042">
        <w:rPr>
          <w:rFonts w:ascii="Times New Roman" w:hAnsi="Times New Roman" w:cs="Times New Roman"/>
          <w:sz w:val="20"/>
          <w:szCs w:val="20"/>
        </w:rPr>
        <w:t xml:space="preserve">MSc Thesis, </w:t>
      </w:r>
      <w:r w:rsidRPr="00A70042">
        <w:rPr>
          <w:rFonts w:ascii="Times New Roman" w:hAnsi="Times New Roman" w:cs="Times New Roman"/>
          <w:sz w:val="20"/>
          <w:szCs w:val="20"/>
        </w:rPr>
        <w:t xml:space="preserve">University of Copenhagen </w:t>
      </w:r>
      <w:r w:rsidR="00921AA7" w:rsidRPr="00A70042">
        <w:rPr>
          <w:rFonts w:ascii="Times New Roman" w:hAnsi="Times New Roman" w:cs="Times New Roman"/>
          <w:sz w:val="20"/>
          <w:szCs w:val="20"/>
        </w:rPr>
        <w:t>2000)</w:t>
      </w:r>
      <w:r w:rsidRPr="00A70042">
        <w:rPr>
          <w:rFonts w:ascii="Times New Roman" w:hAnsi="Times New Roman" w:cs="Times New Roman"/>
          <w:sz w:val="20"/>
          <w:szCs w:val="20"/>
        </w:rPr>
        <w:t xml:space="preserve"> </w:t>
      </w:r>
      <w:r w:rsidR="00C45CC2" w:rsidRPr="00A70042">
        <w:rPr>
          <w:rFonts w:ascii="Times New Roman" w:hAnsi="Times New Roman" w:cs="Times New Roman"/>
          <w:sz w:val="20"/>
          <w:szCs w:val="20"/>
        </w:rPr>
        <w:t>4</w:t>
      </w:r>
      <w:r w:rsidRPr="00A70042">
        <w:rPr>
          <w:rFonts w:ascii="Times New Roman" w:hAnsi="Times New Roman" w:cs="Times New Roman"/>
          <w:sz w:val="20"/>
          <w:szCs w:val="20"/>
        </w:rPr>
        <w:t>.</w:t>
      </w:r>
    </w:p>
    <w:p w14:paraId="3DE4A13D" w14:textId="77777777" w:rsidR="002875C9" w:rsidRPr="00A70042" w:rsidRDefault="00C604A3" w:rsidP="00A70042">
      <w:pPr>
        <w:spacing w:before="360"/>
        <w:jc w:val="both"/>
        <w:rPr>
          <w:rFonts w:ascii="Times New Roman" w:hAnsi="Times New Roman" w:cs="Times New Roman"/>
          <w:sz w:val="24"/>
          <w:szCs w:val="24"/>
        </w:rPr>
      </w:pPr>
      <w:r w:rsidRPr="00820EF9">
        <w:rPr>
          <w:rFonts w:ascii="Times New Roman" w:hAnsi="Times New Roman" w:cs="Times New Roman"/>
          <w:sz w:val="24"/>
          <w:szCs w:val="24"/>
        </w:rPr>
        <w:t>Lying at the heart of liberalization and open access policies, ‘interconnection’ ensures ‘network externalities’</w:t>
      </w:r>
      <w:r w:rsidRPr="00820EF9">
        <w:rPr>
          <w:rStyle w:val="FootnoteReference"/>
          <w:rFonts w:ascii="Times New Roman" w:hAnsi="Times New Roman" w:cs="Times New Roman"/>
          <w:sz w:val="24"/>
          <w:szCs w:val="24"/>
        </w:rPr>
        <w:footnoteReference w:id="675"/>
      </w:r>
      <w:r w:rsidRPr="00820EF9">
        <w:rPr>
          <w:rFonts w:ascii="Times New Roman" w:hAnsi="Times New Roman" w:cs="Times New Roman"/>
          <w:sz w:val="24"/>
          <w:szCs w:val="24"/>
        </w:rPr>
        <w:t xml:space="preserve"> are spread across the networks connected to each other, instead of internalizing them. As a matter of fact,</w:t>
      </w:r>
      <w:r w:rsidRPr="00A70042">
        <w:rPr>
          <w:rFonts w:ascii="Times New Roman" w:hAnsi="Times New Roman" w:cs="Times New Roman"/>
          <w:sz w:val="24"/>
          <w:szCs w:val="24"/>
        </w:rPr>
        <w:t xml:space="preserve"> network industries may have a “start-up” problem in that the initial networks may be so small that they are not sufficiently attractive to potential customers, so competing firms may have an incentive to interconnect so that the industry as a whole is more attractive to customers.</w:t>
      </w:r>
      <w:r w:rsidRPr="00820EF9">
        <w:rPr>
          <w:rStyle w:val="FootnoteReference"/>
          <w:rFonts w:ascii="Times New Roman" w:hAnsi="Times New Roman" w:cs="Times New Roman"/>
          <w:sz w:val="24"/>
          <w:szCs w:val="24"/>
        </w:rPr>
        <w:footnoteReference w:id="676"/>
      </w:r>
      <w:r w:rsidRPr="00820EF9">
        <w:rPr>
          <w:rFonts w:ascii="Times New Roman" w:hAnsi="Times New Roman" w:cs="Times New Roman"/>
          <w:sz w:val="24"/>
          <w:szCs w:val="24"/>
        </w:rPr>
        <w:t xml:space="preserve"> In order to prevent network externalities from being internalized by the incumbents and pre-empt anti-competitive behavi</w:t>
      </w:r>
      <w:r w:rsidRPr="00A70042">
        <w:rPr>
          <w:rFonts w:ascii="Times New Roman" w:hAnsi="Times New Roman" w:cs="Times New Roman"/>
          <w:sz w:val="24"/>
          <w:szCs w:val="24"/>
        </w:rPr>
        <w:t>ours, interconnection is usually mandated as a remedy for SMP undertakings.</w:t>
      </w:r>
      <w:r w:rsidRPr="00820EF9">
        <w:rPr>
          <w:rStyle w:val="FootnoteReference"/>
          <w:rFonts w:ascii="Times New Roman" w:hAnsi="Times New Roman" w:cs="Times New Roman"/>
          <w:sz w:val="24"/>
          <w:szCs w:val="24"/>
        </w:rPr>
        <w:footnoteReference w:id="677"/>
      </w:r>
      <w:r w:rsidRPr="00820EF9">
        <w:rPr>
          <w:rFonts w:ascii="Times New Roman" w:hAnsi="Times New Roman" w:cs="Times New Roman"/>
          <w:sz w:val="24"/>
          <w:szCs w:val="24"/>
        </w:rPr>
        <w:t xml:space="preserve"> Alongside this, non-SMP operato</w:t>
      </w:r>
      <w:r w:rsidRPr="00A70042">
        <w:rPr>
          <w:rFonts w:ascii="Times New Roman" w:hAnsi="Times New Roman" w:cs="Times New Roman"/>
          <w:sz w:val="24"/>
          <w:szCs w:val="24"/>
        </w:rPr>
        <w:t xml:space="preserve">rs could also be subject to </w:t>
      </w:r>
      <w:r w:rsidRPr="00A70042">
        <w:rPr>
          <w:rFonts w:ascii="Times New Roman" w:hAnsi="Times New Roman" w:cs="Times New Roman"/>
          <w:sz w:val="24"/>
          <w:szCs w:val="24"/>
        </w:rPr>
        <w:lastRenderedPageBreak/>
        <w:t>the interconnection obligation in certain cases, if this is necessary to ensure end-to-end connectivity, namely any-to-any communication.</w:t>
      </w:r>
    </w:p>
    <w:p w14:paraId="37B32575" w14:textId="77777777" w:rsidR="00F37626" w:rsidRPr="00A70042" w:rsidRDefault="00C604A3"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For end-users to communicate with each other, not only physical but also logical, software-level interconnections need to be secured, to which ‘interoperability’ is key. Having said that, interconnecting parties need to use the same protocols with each other to ensure ‘end-to-end connectivity’. At this point, ‘interoperability’ meets ‘interconnection’ and ‘end-to-end connectivity’ which also relates to and enables the achievement of other goals, i.e. the ‘contribution to development of the internal market’. Here it is important to state that, regardless of the policy objective of ‘promotion of competition’, interoperability of the networks and services needs to be secured, within the broader context of the ECRF. Reflecting this, a number of provisions are covered in the EECC, as explained below.</w:t>
      </w:r>
    </w:p>
    <w:p w14:paraId="10720B1A" w14:textId="56FFF6F7" w:rsidR="007A19EF" w:rsidRPr="00A70042" w:rsidRDefault="00C604A3"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 xml:space="preserve">First and foremost, the </w:t>
      </w:r>
      <w:r w:rsidRPr="00774EDB">
        <w:rPr>
          <w:rFonts w:ascii="Times New Roman" w:hAnsi="Times New Roman" w:cs="Times New Roman"/>
          <w:sz w:val="24"/>
          <w:szCs w:val="24"/>
        </w:rPr>
        <w:t xml:space="preserve">EECC Directive establishes the basic rule that anyone operating a communications network available to the public has both a right to negotiate interconnection with other operators, and </w:t>
      </w:r>
      <w:r w:rsidRPr="00820EF9">
        <w:rPr>
          <w:rFonts w:ascii="Times New Roman" w:hAnsi="Times New Roman" w:cs="Times New Roman"/>
          <w:sz w:val="24"/>
          <w:szCs w:val="24"/>
        </w:rPr>
        <w:t>when re</w:t>
      </w:r>
      <w:r w:rsidRPr="00A70042">
        <w:rPr>
          <w:rFonts w:ascii="Times New Roman" w:hAnsi="Times New Roman" w:cs="Times New Roman"/>
          <w:sz w:val="24"/>
          <w:szCs w:val="24"/>
        </w:rPr>
        <w:t>quested,</w:t>
      </w:r>
      <w:r w:rsidRPr="00774EDB">
        <w:rPr>
          <w:rFonts w:ascii="Times New Roman" w:hAnsi="Times New Roman" w:cs="Times New Roman"/>
          <w:sz w:val="24"/>
          <w:szCs w:val="24"/>
        </w:rPr>
        <w:t xml:space="preserve"> an obligation to enter into such negotiations with other network providers “in order to ensure provision and interoperability of services throughout the Union”.</w:t>
      </w:r>
      <w:r w:rsidRPr="00774EDB">
        <w:rPr>
          <w:rStyle w:val="FootnoteReference"/>
          <w:rFonts w:ascii="Times New Roman" w:hAnsi="Times New Roman" w:cs="Times New Roman"/>
          <w:sz w:val="24"/>
          <w:szCs w:val="24"/>
        </w:rPr>
        <w:footnoteReference w:id="678"/>
      </w:r>
      <w:r w:rsidRPr="00774EDB">
        <w:rPr>
          <w:rFonts w:ascii="Times New Roman" w:hAnsi="Times New Roman" w:cs="Times New Roman"/>
          <w:sz w:val="24"/>
          <w:szCs w:val="24"/>
        </w:rPr>
        <w:t xml:space="preserve"> This link between interconnection and interoperability could be </w:t>
      </w:r>
      <w:r w:rsidR="00186EC1" w:rsidRPr="00774EDB">
        <w:rPr>
          <w:rFonts w:ascii="Times New Roman" w:hAnsi="Times New Roman" w:cs="Times New Roman"/>
          <w:sz w:val="24"/>
          <w:szCs w:val="24"/>
        </w:rPr>
        <w:t>discerned</w:t>
      </w:r>
      <w:r w:rsidRPr="00774EDB">
        <w:rPr>
          <w:rFonts w:ascii="Times New Roman" w:hAnsi="Times New Roman" w:cs="Times New Roman"/>
          <w:sz w:val="24"/>
          <w:szCs w:val="24"/>
        </w:rPr>
        <w:t xml:space="preserve"> </w:t>
      </w:r>
      <w:r w:rsidR="00186EC1" w:rsidRPr="00774EDB">
        <w:rPr>
          <w:rFonts w:ascii="Times New Roman" w:hAnsi="Times New Roman" w:cs="Times New Roman"/>
          <w:sz w:val="24"/>
          <w:szCs w:val="24"/>
        </w:rPr>
        <w:t>from</w:t>
      </w:r>
      <w:r w:rsidRPr="00774EDB">
        <w:rPr>
          <w:rFonts w:ascii="Times New Roman" w:hAnsi="Times New Roman" w:cs="Times New Roman"/>
          <w:sz w:val="24"/>
          <w:szCs w:val="24"/>
        </w:rPr>
        <w:t xml:space="preserve"> Article 61(2/a) of the EECC Directive, according to which </w:t>
      </w:r>
      <w:r w:rsidRPr="00820EF9">
        <w:rPr>
          <w:rFonts w:ascii="Times New Roman" w:hAnsi="Times New Roman" w:cs="Times New Roman"/>
          <w:sz w:val="24"/>
          <w:szCs w:val="24"/>
        </w:rPr>
        <w:t>NRAs shall be able to impose:</w:t>
      </w:r>
    </w:p>
    <w:p w14:paraId="379F0856" w14:textId="039EED03" w:rsidR="008F7F95" w:rsidRPr="00820EF9" w:rsidRDefault="007A19EF" w:rsidP="00A70042">
      <w:pPr>
        <w:spacing w:before="360"/>
        <w:ind w:left="720" w:right="720"/>
        <w:jc w:val="both"/>
        <w:rPr>
          <w:rFonts w:ascii="Times New Roman" w:hAnsi="Times New Roman" w:cs="Times New Roman"/>
          <w:sz w:val="24"/>
          <w:szCs w:val="24"/>
        </w:rPr>
      </w:pPr>
      <w:r w:rsidRPr="00A70042">
        <w:rPr>
          <w:rFonts w:ascii="Times New Roman" w:hAnsi="Times New Roman" w:cs="Times New Roman"/>
          <w:sz w:val="24"/>
          <w:szCs w:val="24"/>
        </w:rPr>
        <w:t xml:space="preserve">to the extent necessary to ensure end-to-end connectivity, obligations on undertakings subject to general authorisation that control access to </w:t>
      </w:r>
      <w:r w:rsidRPr="00A70042">
        <w:rPr>
          <w:rFonts w:ascii="Times New Roman" w:hAnsi="Times New Roman" w:cs="Times New Roman"/>
          <w:sz w:val="24"/>
          <w:szCs w:val="24"/>
        </w:rPr>
        <w:lastRenderedPageBreak/>
        <w:t>end-users, including, in justified cases, the obligation to interconnect their networks where this is not already the case</w:t>
      </w:r>
      <w:r w:rsidR="00186EC1" w:rsidRPr="00A70042">
        <w:rPr>
          <w:rFonts w:ascii="Times New Roman" w:hAnsi="Times New Roman" w:cs="Times New Roman"/>
          <w:sz w:val="24"/>
          <w:szCs w:val="24"/>
        </w:rPr>
        <w:t>.</w:t>
      </w:r>
      <w:r w:rsidR="00F43B5B" w:rsidRPr="00820EF9">
        <w:rPr>
          <w:rStyle w:val="FootnoteReference"/>
          <w:rFonts w:ascii="Times New Roman" w:hAnsi="Times New Roman" w:cs="Times New Roman"/>
          <w:sz w:val="24"/>
          <w:szCs w:val="24"/>
        </w:rPr>
        <w:footnoteReference w:id="679"/>
      </w:r>
    </w:p>
    <w:p w14:paraId="53C9AD75" w14:textId="77777777" w:rsidR="00FF644F" w:rsidRPr="00A70042" w:rsidRDefault="00C604A3"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 xml:space="preserve">Given this fact, ‘interconnection’, whilst inhering as one of the key SMP remedies, could also be the subject matter of basic, generic, or non-SMP ECRF obligations, when this is necessary </w:t>
      </w:r>
      <w:r w:rsidRPr="00A70042">
        <w:rPr>
          <w:rFonts w:ascii="Times New Roman" w:hAnsi="Times New Roman" w:cs="Times New Roman"/>
          <w:i/>
          <w:sz w:val="24"/>
          <w:szCs w:val="24"/>
        </w:rPr>
        <w:t xml:space="preserve">to ensure end-to-end connectivity. </w:t>
      </w:r>
      <w:r w:rsidRPr="00A70042">
        <w:rPr>
          <w:rFonts w:ascii="Times New Roman" w:hAnsi="Times New Roman" w:cs="Times New Roman"/>
          <w:sz w:val="24"/>
          <w:szCs w:val="24"/>
        </w:rPr>
        <w:t>The vision of ensuring interoperability in this context, aims at ensuring ‘interconnection’ incorporating end-to-end connectivity. Overall, it could be argued that a subordinate place is conferred to ICT ‘interoperability’ within the context of the ECRF.</w:t>
      </w:r>
      <w:r w:rsidR="00FF644F" w:rsidRPr="00A70042">
        <w:rPr>
          <w:rFonts w:ascii="Times New Roman" w:hAnsi="Times New Roman" w:cs="Times New Roman"/>
          <w:sz w:val="24"/>
          <w:szCs w:val="24"/>
        </w:rPr>
        <w:t xml:space="preserve"> </w:t>
      </w:r>
    </w:p>
    <w:p w14:paraId="3859F54C" w14:textId="77777777" w:rsidR="003B6DD8" w:rsidRPr="00774EDB" w:rsidRDefault="003B6DD8" w:rsidP="00A70042">
      <w:pPr>
        <w:pStyle w:val="ListParagraph"/>
        <w:numPr>
          <w:ilvl w:val="3"/>
          <w:numId w:val="33"/>
        </w:numPr>
        <w:tabs>
          <w:tab w:val="left" w:pos="851"/>
        </w:tabs>
        <w:spacing w:before="360"/>
        <w:ind w:left="0" w:firstLine="0"/>
        <w:contextualSpacing w:val="0"/>
        <w:jc w:val="both"/>
        <w:rPr>
          <w:rStyle w:val="Heading4Char"/>
          <w:rFonts w:ascii="Times New Roman" w:hAnsi="Times New Roman" w:cs="Times New Roman"/>
          <w:b/>
          <w:i w:val="0"/>
          <w:color w:val="auto"/>
          <w:sz w:val="24"/>
          <w:szCs w:val="24"/>
        </w:rPr>
      </w:pPr>
      <w:bookmarkStart w:id="517" w:name="_Toc17611455"/>
      <w:bookmarkStart w:id="518" w:name="_Toc53576088"/>
      <w:r w:rsidRPr="00774EDB">
        <w:rPr>
          <w:rStyle w:val="Heading4Char"/>
          <w:rFonts w:ascii="Times New Roman" w:hAnsi="Times New Roman" w:cs="Times New Roman"/>
          <w:b/>
          <w:i w:val="0"/>
          <w:color w:val="auto"/>
          <w:sz w:val="24"/>
          <w:szCs w:val="24"/>
        </w:rPr>
        <w:t>Conditional access obligations</w:t>
      </w:r>
      <w:bookmarkEnd w:id="517"/>
      <w:bookmarkEnd w:id="518"/>
    </w:p>
    <w:p w14:paraId="7EAD9CC2" w14:textId="77777777" w:rsidR="002A78B4" w:rsidRPr="00A70042" w:rsidRDefault="00C604A3"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Conditional access systems (CASs) are used to mean set-top boxes which function to translate digital signals into analogue signals for television sets, adding intelligence to them and allowing them to have some interactive capabilities.</w:t>
      </w:r>
      <w:r w:rsidRPr="00820EF9">
        <w:rPr>
          <w:rStyle w:val="FootnoteReference"/>
          <w:rFonts w:ascii="Times New Roman" w:hAnsi="Times New Roman" w:cs="Times New Roman"/>
          <w:sz w:val="24"/>
          <w:szCs w:val="24"/>
        </w:rPr>
        <w:footnoteReference w:id="680"/>
      </w:r>
      <w:r w:rsidRPr="00820EF9">
        <w:rPr>
          <w:rFonts w:ascii="Times New Roman" w:hAnsi="Times New Roman" w:cs="Times New Roman"/>
          <w:sz w:val="24"/>
          <w:szCs w:val="24"/>
        </w:rPr>
        <w:t xml:space="preserve"> Set-to</w:t>
      </w:r>
      <w:r w:rsidRPr="00A70042">
        <w:rPr>
          <w:rFonts w:ascii="Times New Roman" w:hAnsi="Times New Roman" w:cs="Times New Roman"/>
          <w:sz w:val="24"/>
          <w:szCs w:val="24"/>
        </w:rPr>
        <w:t>p boxes, with underlying elements of hardware e.g. a smart card and software e.g. an encryption system and subscriber management functions, constitute CASs</w:t>
      </w:r>
      <w:r w:rsidRPr="00820EF9">
        <w:rPr>
          <w:rStyle w:val="FootnoteReference"/>
          <w:rFonts w:ascii="Times New Roman" w:hAnsi="Times New Roman" w:cs="Times New Roman"/>
          <w:sz w:val="24"/>
          <w:szCs w:val="24"/>
        </w:rPr>
        <w:footnoteReference w:id="681"/>
      </w:r>
      <w:r w:rsidRPr="00820EF9">
        <w:rPr>
          <w:rFonts w:ascii="Times New Roman" w:hAnsi="Times New Roman" w:cs="Times New Roman"/>
          <w:sz w:val="24"/>
          <w:szCs w:val="24"/>
        </w:rPr>
        <w:t xml:space="preserve"> that enable authorised end-users to receive and view the content delivered to t</w:t>
      </w:r>
      <w:r w:rsidRPr="00A70042">
        <w:rPr>
          <w:rFonts w:ascii="Times New Roman" w:hAnsi="Times New Roman" w:cs="Times New Roman"/>
          <w:sz w:val="24"/>
          <w:szCs w:val="24"/>
        </w:rPr>
        <w:t xml:space="preserve">he users’ terminals e.g. TV sets. For over two decades, CASs have become so popular and influential over the behaviours of consumers by enabling them to select their choice of TV </w:t>
      </w:r>
      <w:r w:rsidRPr="00A70042">
        <w:rPr>
          <w:rFonts w:ascii="Times New Roman" w:hAnsi="Times New Roman" w:cs="Times New Roman"/>
          <w:sz w:val="24"/>
          <w:szCs w:val="24"/>
        </w:rPr>
        <w:lastRenderedPageBreak/>
        <w:t>programmes, use their TV sets as computerised devices to browse and surf through the internet, as well as viewing specialised content e.g. video on demand.</w:t>
      </w:r>
    </w:p>
    <w:p w14:paraId="3D047D10" w14:textId="77777777" w:rsidR="002A78B4" w:rsidRPr="00A70042" w:rsidRDefault="00C604A3" w:rsidP="00A70042">
      <w:pPr>
        <w:spacing w:before="360" w:line="468" w:lineRule="auto"/>
        <w:jc w:val="both"/>
        <w:rPr>
          <w:rFonts w:ascii="Times New Roman" w:hAnsi="Times New Roman" w:cs="Times New Roman"/>
          <w:sz w:val="24"/>
          <w:szCs w:val="24"/>
        </w:rPr>
      </w:pPr>
      <w:r w:rsidRPr="00A70042">
        <w:rPr>
          <w:rFonts w:ascii="Times New Roman" w:hAnsi="Times New Roman" w:cs="Times New Roman"/>
          <w:sz w:val="24"/>
          <w:szCs w:val="24"/>
        </w:rPr>
        <w:t>As the content flows through CASs and related components, including APIs and electronic programming guides (EPGs), CAS platforms have long been considered to function as one of the gatekeepers to control access to the end-users. This consideration was driven by two main points: Firstly, as proprietary technologies are chosen by the platform owners with regard to APIs and EPGs, consumers could be locked into the platforms because of the network effects and switching costs. Secondly, the potential limitation or denial of access to alternative content resulting from such control mechanisms would cause the monopolisation of the consumer base(s) along with public policy problems, in particular ‘media diversity and pluralism’.</w:t>
      </w:r>
    </w:p>
    <w:p w14:paraId="300C7281" w14:textId="77777777" w:rsidR="00E45FA5" w:rsidRPr="00A70042" w:rsidRDefault="00C604A3" w:rsidP="00A70042">
      <w:pPr>
        <w:spacing w:before="360" w:line="468" w:lineRule="auto"/>
        <w:jc w:val="both"/>
        <w:rPr>
          <w:rFonts w:ascii="Times New Roman" w:hAnsi="Times New Roman" w:cs="Times New Roman"/>
          <w:spacing w:val="-4"/>
          <w:sz w:val="24"/>
          <w:szCs w:val="24"/>
        </w:rPr>
      </w:pPr>
      <w:r w:rsidRPr="00A70042">
        <w:rPr>
          <w:rFonts w:ascii="Times New Roman" w:hAnsi="Times New Roman" w:cs="Times New Roman"/>
          <w:spacing w:val="-4"/>
          <w:sz w:val="24"/>
          <w:szCs w:val="24"/>
        </w:rPr>
        <w:t>In response to the abovementioned problems, European policy makers followed a mid-way approach through which proprietary solutions are allowed with an intensive ex-ante and ex-post scrutiny over the relationship between the upstream i.e. pay-TV and downstream i.e. CAS, markets. Whilst enabling faster development of the industry on the basis of proprietary platforms, EU authorities did not allow the relevant parties to collaborate on an anti-competitive basis and/or to exclude potential competitors from the market(s). On the one hand, the EU Commission closely monitored concentrative i.e. merger and acquisition based and collaborative i.e. joint venture based actions, by means of imposing conditions for clearances, including mandated third party access to technical platforms and/or premium content. On the other hand, CAS providers are obliged to grant all broadcasters access to their technical platforms through FRAND terms, under the ECRF (formerly 2002/19/EC Access Directive, now under the EECC).</w:t>
      </w:r>
      <w:r w:rsidRPr="00A70042">
        <w:rPr>
          <w:rStyle w:val="FootnoteReference"/>
          <w:rFonts w:ascii="Times New Roman" w:hAnsi="Times New Roman" w:cs="Times New Roman"/>
          <w:spacing w:val="-4"/>
          <w:sz w:val="24"/>
          <w:szCs w:val="24"/>
        </w:rPr>
        <w:footnoteReference w:id="682"/>
      </w:r>
      <w:r w:rsidR="00DC2F5C" w:rsidRPr="00A70042">
        <w:rPr>
          <w:rStyle w:val="FootnoteReference"/>
          <w:rFonts w:ascii="Times New Roman" w:hAnsi="Times New Roman" w:cs="Times New Roman"/>
          <w:spacing w:val="-4"/>
          <w:sz w:val="24"/>
          <w:szCs w:val="24"/>
        </w:rPr>
        <w:t xml:space="preserve"> </w:t>
      </w:r>
    </w:p>
    <w:p w14:paraId="31B6646E" w14:textId="77777777" w:rsidR="00A10684" w:rsidRPr="00A70042" w:rsidRDefault="00C604A3"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lastRenderedPageBreak/>
        <w:t>While the first type of conditions under the merger clearances represent regulatory actions promoting both inter and intra-platform competition, the latter generic, ex-ante conditional access obligation mainly aims at intra-platform competition.</w:t>
      </w:r>
      <w:r w:rsidRPr="00820EF9">
        <w:rPr>
          <w:rStyle w:val="FootnoteReference"/>
          <w:rFonts w:ascii="Times New Roman" w:hAnsi="Times New Roman" w:cs="Times New Roman"/>
          <w:sz w:val="24"/>
          <w:szCs w:val="24"/>
        </w:rPr>
        <w:footnoteReference w:id="683"/>
      </w:r>
      <w:r w:rsidRPr="00820EF9">
        <w:rPr>
          <w:rFonts w:ascii="Times New Roman" w:hAnsi="Times New Roman" w:cs="Times New Roman"/>
          <w:sz w:val="24"/>
          <w:szCs w:val="24"/>
        </w:rPr>
        <w:t xml:space="preserve"> Crucially, all the related remedies embody ensuring interoperability as the key requirement. In M&amp;A cases,</w:t>
      </w:r>
      <w:r w:rsidRPr="00820EF9">
        <w:rPr>
          <w:rStyle w:val="FootnoteReference"/>
          <w:rFonts w:ascii="Times New Roman" w:hAnsi="Times New Roman" w:cs="Times New Roman"/>
          <w:sz w:val="24"/>
          <w:szCs w:val="24"/>
        </w:rPr>
        <w:footnoteReference w:id="684"/>
      </w:r>
      <w:r w:rsidRPr="00820EF9">
        <w:rPr>
          <w:rFonts w:ascii="Times New Roman" w:hAnsi="Times New Roman" w:cs="Times New Roman"/>
          <w:sz w:val="24"/>
          <w:szCs w:val="24"/>
        </w:rPr>
        <w:t xml:space="preserve"> the Commission investigated whether comprehensive service packages and deals between the parties would foreclose effect</w:t>
      </w:r>
      <w:r w:rsidRPr="00A70042">
        <w:rPr>
          <w:rFonts w:ascii="Times New Roman" w:hAnsi="Times New Roman" w:cs="Times New Roman"/>
          <w:sz w:val="24"/>
          <w:szCs w:val="24"/>
        </w:rPr>
        <w:t>ive competition in emerging and traditional markets, as well as whether notified concentrations or joint ventures would exclude competitors via either exclusively controlled technical platforms or privileged access to premium content. When compared to the generic CAS obligation enshrined under the EECC, this means a broadened viewpoint incorporating both intra and inter platform competition.</w:t>
      </w:r>
    </w:p>
    <w:p w14:paraId="19C502CE" w14:textId="77777777" w:rsidR="00670D82" w:rsidRPr="00820EF9" w:rsidRDefault="00931C60"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Nonetheless, the CAS obligation set out under the EECC specifies a unique regulatory path by which all broadcasters are enabled to have their content received and viewed by the analogue TV users who rely on set-top boxes, namely the CASs. This ECRF obligation contemplates a remedy with no burden of proof for anti-competitive effects. Notably, this generic and symmetric obligation is applicable to all transmission providers, the technical platform, irrespective of their market powers.</w:t>
      </w:r>
      <w:r w:rsidRPr="00A70042">
        <w:rPr>
          <w:rStyle w:val="FootnoteReference"/>
          <w:rFonts w:ascii="Times New Roman" w:hAnsi="Times New Roman" w:cs="Times New Roman"/>
          <w:bCs/>
          <w:iCs/>
          <w:sz w:val="24"/>
          <w:szCs w:val="24"/>
        </w:rPr>
        <w:footnoteReference w:id="685"/>
      </w:r>
      <w:r w:rsidRPr="00820EF9">
        <w:rPr>
          <w:rFonts w:ascii="Times New Roman" w:hAnsi="Times New Roman" w:cs="Times New Roman"/>
          <w:sz w:val="24"/>
          <w:szCs w:val="24"/>
        </w:rPr>
        <w:t xml:space="preserve"> The CAS obligation is a remarkab</w:t>
      </w:r>
      <w:r w:rsidR="00314908" w:rsidRPr="00A70042">
        <w:rPr>
          <w:rFonts w:ascii="Times New Roman" w:hAnsi="Times New Roman" w:cs="Times New Roman"/>
          <w:sz w:val="24"/>
          <w:szCs w:val="24"/>
        </w:rPr>
        <w:t>l</w:t>
      </w:r>
      <w:r w:rsidRPr="00A70042">
        <w:rPr>
          <w:rFonts w:ascii="Times New Roman" w:hAnsi="Times New Roman" w:cs="Times New Roman"/>
          <w:sz w:val="24"/>
          <w:szCs w:val="24"/>
        </w:rPr>
        <w:t xml:space="preserve">e example of an interoperability-centric remedy within the </w:t>
      </w:r>
      <w:r w:rsidRPr="00A70042">
        <w:rPr>
          <w:rFonts w:ascii="Times New Roman" w:hAnsi="Times New Roman" w:cs="Times New Roman"/>
          <w:sz w:val="24"/>
          <w:szCs w:val="24"/>
        </w:rPr>
        <w:lastRenderedPageBreak/>
        <w:t>intersected area of the telecommunications and media industries</w:t>
      </w:r>
      <w:r w:rsidR="00314908" w:rsidRPr="00A70042">
        <w:rPr>
          <w:rFonts w:ascii="Times New Roman" w:hAnsi="Times New Roman" w:cs="Times New Roman"/>
          <w:sz w:val="24"/>
          <w:szCs w:val="24"/>
        </w:rPr>
        <w:t xml:space="preserve">, </w:t>
      </w:r>
      <w:r w:rsidR="00761BB9" w:rsidRPr="00A70042">
        <w:rPr>
          <w:rFonts w:ascii="Times New Roman" w:hAnsi="Times New Roman" w:cs="Times New Roman"/>
          <w:sz w:val="24"/>
          <w:szCs w:val="24"/>
        </w:rPr>
        <w:t xml:space="preserve">also </w:t>
      </w:r>
      <w:r w:rsidR="00314908" w:rsidRPr="00A70042">
        <w:rPr>
          <w:rFonts w:ascii="Times New Roman" w:hAnsi="Times New Roman" w:cs="Times New Roman"/>
          <w:sz w:val="24"/>
          <w:szCs w:val="24"/>
        </w:rPr>
        <w:t>featuring</w:t>
      </w:r>
      <w:r w:rsidRPr="00A70042">
        <w:rPr>
          <w:rFonts w:ascii="Times New Roman" w:hAnsi="Times New Roman" w:cs="Times New Roman"/>
          <w:sz w:val="24"/>
          <w:szCs w:val="24"/>
        </w:rPr>
        <w:t xml:space="preserve"> CAS providers </w:t>
      </w:r>
      <w:r w:rsidR="00314908" w:rsidRPr="00A70042">
        <w:rPr>
          <w:rFonts w:ascii="Times New Roman" w:hAnsi="Times New Roman" w:cs="Times New Roman"/>
          <w:sz w:val="24"/>
          <w:szCs w:val="24"/>
        </w:rPr>
        <w:t xml:space="preserve">out of </w:t>
      </w:r>
      <w:r w:rsidR="00761BB9" w:rsidRPr="00A70042">
        <w:rPr>
          <w:rFonts w:ascii="Times New Roman" w:hAnsi="Times New Roman" w:cs="Times New Roman"/>
          <w:sz w:val="24"/>
          <w:szCs w:val="24"/>
        </w:rPr>
        <w:t xml:space="preserve">the two industries’ </w:t>
      </w:r>
      <w:r w:rsidRPr="00A70042">
        <w:rPr>
          <w:rFonts w:ascii="Times New Roman" w:hAnsi="Times New Roman" w:cs="Times New Roman"/>
          <w:sz w:val="24"/>
          <w:szCs w:val="24"/>
        </w:rPr>
        <w:t>convergence.</w:t>
      </w:r>
      <w:r w:rsidRPr="00820EF9">
        <w:rPr>
          <w:rStyle w:val="FootnoteReference"/>
          <w:rFonts w:ascii="Times New Roman" w:hAnsi="Times New Roman" w:cs="Times New Roman"/>
          <w:sz w:val="24"/>
          <w:szCs w:val="24"/>
        </w:rPr>
        <w:footnoteReference w:id="686"/>
      </w:r>
    </w:p>
    <w:p w14:paraId="1F9315C9" w14:textId="77777777" w:rsidR="00704E5F" w:rsidRPr="00774EDB" w:rsidRDefault="00761BB9"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While transmission through a CAS platform, as well as broadcasting, is managed usually by content providers, this dual role position being assumed by the same stakeholder potentially poses a strain over media diversity and pluralism, as well as potential competition. The CAS obligation enshrined under the EECC is conceivable as a response to eliminate this by offering an intra-platform interoperability-based solution. Besides, APIs and EPGs are also covered within the additional obligations that are envisaged to be imposed by the NRAs under certain, limited circumstances.</w:t>
      </w:r>
      <w:r w:rsidRPr="00820EF9">
        <w:rPr>
          <w:rStyle w:val="FootnoteReference"/>
          <w:rFonts w:ascii="Times New Roman" w:hAnsi="Times New Roman" w:cs="Times New Roman"/>
          <w:sz w:val="24"/>
          <w:szCs w:val="24"/>
        </w:rPr>
        <w:footnoteReference w:id="687"/>
      </w:r>
      <w:r w:rsidRPr="00820EF9">
        <w:rPr>
          <w:rFonts w:ascii="Times New Roman" w:hAnsi="Times New Roman" w:cs="Times New Roman"/>
          <w:sz w:val="24"/>
          <w:szCs w:val="24"/>
        </w:rPr>
        <w:t xml:space="preserve"> Last but not least, while the Commission is empowered to determine a common API across the </w:t>
      </w:r>
      <w:r w:rsidRPr="00A70042">
        <w:rPr>
          <w:rFonts w:ascii="Times New Roman" w:hAnsi="Times New Roman" w:cs="Times New Roman"/>
          <w:sz w:val="24"/>
          <w:szCs w:val="24"/>
        </w:rPr>
        <w:t xml:space="preserve">EU, </w:t>
      </w:r>
      <w:r w:rsidRPr="00774EDB">
        <w:rPr>
          <w:rFonts w:ascii="Times New Roman" w:hAnsi="Times New Roman" w:cs="Times New Roman"/>
          <w:sz w:val="24"/>
          <w:szCs w:val="24"/>
        </w:rPr>
        <w:t>this last-resort regulatory step would be unnecessary in the absence of horizontal concerns and risks threatening a competitive marketplace.</w:t>
      </w:r>
      <w:r w:rsidRPr="00774EDB">
        <w:rPr>
          <w:rStyle w:val="FootnoteReference"/>
          <w:rFonts w:ascii="Times New Roman" w:hAnsi="Times New Roman" w:cs="Times New Roman"/>
          <w:sz w:val="24"/>
          <w:szCs w:val="24"/>
        </w:rPr>
        <w:footnoteReference w:id="688"/>
      </w:r>
    </w:p>
    <w:p w14:paraId="6434FA02" w14:textId="77777777" w:rsidR="00397F95" w:rsidRPr="00774EDB" w:rsidRDefault="00A43369" w:rsidP="00A70042">
      <w:pPr>
        <w:pStyle w:val="ListParagraph"/>
        <w:numPr>
          <w:ilvl w:val="3"/>
          <w:numId w:val="33"/>
        </w:numPr>
        <w:tabs>
          <w:tab w:val="left" w:pos="851"/>
        </w:tabs>
        <w:spacing w:before="360"/>
        <w:ind w:left="0" w:firstLine="0"/>
        <w:contextualSpacing w:val="0"/>
        <w:jc w:val="both"/>
        <w:rPr>
          <w:rFonts w:ascii="Times New Roman" w:eastAsiaTheme="majorEastAsia" w:hAnsi="Times New Roman" w:cs="Times New Roman"/>
          <w:b/>
          <w:iCs/>
          <w:sz w:val="24"/>
          <w:szCs w:val="24"/>
        </w:rPr>
      </w:pPr>
      <w:bookmarkStart w:id="520" w:name="_Toc17611456"/>
      <w:bookmarkStart w:id="521" w:name="_Toc53576089"/>
      <w:r w:rsidRPr="00774EDB">
        <w:rPr>
          <w:rStyle w:val="Heading4Char"/>
          <w:rFonts w:ascii="Times New Roman" w:hAnsi="Times New Roman" w:cs="Times New Roman"/>
          <w:b/>
          <w:i w:val="0"/>
          <w:color w:val="auto"/>
          <w:sz w:val="24"/>
          <w:szCs w:val="24"/>
        </w:rPr>
        <w:t xml:space="preserve">NGN based </w:t>
      </w:r>
      <w:r w:rsidR="00655D07" w:rsidRPr="00774EDB">
        <w:rPr>
          <w:rStyle w:val="Heading4Char"/>
          <w:rFonts w:ascii="Times New Roman" w:hAnsi="Times New Roman" w:cs="Times New Roman"/>
          <w:b/>
          <w:i w:val="0"/>
          <w:color w:val="auto"/>
          <w:sz w:val="24"/>
          <w:szCs w:val="24"/>
        </w:rPr>
        <w:t>implications</w:t>
      </w:r>
      <w:bookmarkEnd w:id="520"/>
      <w:bookmarkEnd w:id="521"/>
      <w:r w:rsidR="00655D07" w:rsidRPr="00774EDB">
        <w:rPr>
          <w:rStyle w:val="Heading4Char"/>
          <w:rFonts w:ascii="Times New Roman" w:hAnsi="Times New Roman" w:cs="Times New Roman"/>
          <w:b/>
          <w:i w:val="0"/>
          <w:color w:val="auto"/>
          <w:sz w:val="24"/>
          <w:szCs w:val="24"/>
        </w:rPr>
        <w:t xml:space="preserve"> </w:t>
      </w:r>
    </w:p>
    <w:p w14:paraId="3718B1E9" w14:textId="77777777" w:rsidR="00FE44E8" w:rsidRPr="00774EDB" w:rsidRDefault="00761BB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As mentioned above, there exist certain areas where interoperability constitutes a subject matter of regulation under the ECRF. Considering no distinction could be mentioned as to the underlying networks and services from the interoperability viewpoint, NGN interoperability could be said to be embodied within conventional areas of regulation. Notwithstanding, the transition from legacy networks to NGNs undoubtedly brings about new issues and requirements which need to be paid </w:t>
      </w:r>
      <w:r w:rsidRPr="00774EDB">
        <w:rPr>
          <w:rFonts w:ascii="Times New Roman" w:hAnsi="Times New Roman" w:cs="Times New Roman"/>
          <w:sz w:val="24"/>
          <w:szCs w:val="24"/>
        </w:rPr>
        <w:lastRenderedPageBreak/>
        <w:t>particular attention to. Below, starting with the generic interoperability provisions, the EECC is examined with a focus on the NGN related challenges.</w:t>
      </w:r>
      <w:r w:rsidR="00FE44E8" w:rsidRPr="00774EDB">
        <w:rPr>
          <w:rFonts w:ascii="Times New Roman" w:hAnsi="Times New Roman" w:cs="Times New Roman"/>
          <w:sz w:val="24"/>
          <w:szCs w:val="24"/>
        </w:rPr>
        <w:t xml:space="preserve">  </w:t>
      </w:r>
    </w:p>
    <w:p w14:paraId="1F2B8D83" w14:textId="77777777" w:rsidR="001F7B15" w:rsidRPr="00774EDB" w:rsidRDefault="00761BB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formulated under various articles of the EECC, i.e. Articles 61, 62, 72 and 73, access and interconnection remedies lie at the centre of the ECRF. Under Article 61(2/b) of the EECC, which represents a generic and symmetric provision, it is stipulated that NRAs be able to impose “in justified cases and to the extent that is necessary, obligations on undertakings that control access to end users to make their services interoperable”.</w:t>
      </w:r>
      <w:r w:rsidRPr="00774EDB">
        <w:rPr>
          <w:rStyle w:val="FootnoteReference"/>
          <w:rFonts w:ascii="Times New Roman" w:hAnsi="Times New Roman" w:cs="Times New Roman"/>
          <w:sz w:val="24"/>
          <w:szCs w:val="24"/>
        </w:rPr>
        <w:footnoteReference w:id="689"/>
      </w:r>
      <w:r w:rsidRPr="00774EDB">
        <w:rPr>
          <w:rFonts w:ascii="Times New Roman" w:hAnsi="Times New Roman" w:cs="Times New Roman"/>
          <w:sz w:val="24"/>
          <w:szCs w:val="24"/>
        </w:rPr>
        <w:t xml:space="preserve"> As opposed to this rather widely formulated measure, Article 73(1) of the EECC entails a set of remedies focused on SMP undertakings. Within this framework, it is established that SMP undertakings might be subject to a number of interoperability-centric remedies, as given below:</w:t>
      </w:r>
      <w:r w:rsidR="00BE290E" w:rsidRPr="00774EDB">
        <w:rPr>
          <w:rFonts w:ascii="Times New Roman" w:hAnsi="Times New Roman" w:cs="Times New Roman"/>
          <w:sz w:val="24"/>
          <w:szCs w:val="24"/>
        </w:rPr>
        <w:t xml:space="preserve"> </w:t>
      </w:r>
    </w:p>
    <w:p w14:paraId="1A7F7CC2" w14:textId="77777777" w:rsidR="00537BDE" w:rsidRPr="00820EF9" w:rsidRDefault="00FE44E8" w:rsidP="00A70042">
      <w:pPr>
        <w:spacing w:before="360"/>
        <w:ind w:left="720"/>
        <w:jc w:val="both"/>
        <w:rPr>
          <w:rFonts w:ascii="Times New Roman" w:hAnsi="Times New Roman" w:cs="Times New Roman"/>
          <w:iCs/>
          <w:sz w:val="24"/>
          <w:szCs w:val="24"/>
        </w:rPr>
      </w:pPr>
      <w:r w:rsidRPr="00820EF9">
        <w:rPr>
          <w:rFonts w:ascii="Times New Roman" w:hAnsi="Times New Roman" w:cs="Times New Roman"/>
          <w:iCs/>
          <w:sz w:val="24"/>
          <w:szCs w:val="24"/>
        </w:rPr>
        <w:t>“</w:t>
      </w:r>
      <w:r w:rsidR="00537BDE" w:rsidRPr="00A70042">
        <w:rPr>
          <w:rFonts w:ascii="Times New Roman" w:hAnsi="Times New Roman" w:cs="Times New Roman"/>
          <w:iCs/>
          <w:sz w:val="24"/>
          <w:szCs w:val="24"/>
        </w:rPr>
        <w:t xml:space="preserve">(f) </w:t>
      </w:r>
      <w:r w:rsidR="00537BDE" w:rsidRPr="00774EDB">
        <w:rPr>
          <w:rFonts w:ascii="Times New Roman" w:hAnsi="Times New Roman" w:cs="Times New Roman"/>
          <w:iCs/>
          <w:sz w:val="24"/>
          <w:szCs w:val="24"/>
        </w:rPr>
        <w:t>to grant open access to technical interfaces, protocols or other key technologies that are indispensable for the interoperability of services or virtual network services;</w:t>
      </w:r>
    </w:p>
    <w:p w14:paraId="27E1DAA5" w14:textId="77777777" w:rsidR="00537BDE" w:rsidRPr="00A70042" w:rsidRDefault="00537BDE" w:rsidP="00A70042">
      <w:pPr>
        <w:spacing w:before="120"/>
        <w:ind w:firstLine="720"/>
        <w:jc w:val="both"/>
        <w:rPr>
          <w:rFonts w:ascii="Times New Roman" w:hAnsi="Times New Roman" w:cs="Times New Roman"/>
          <w:iCs/>
          <w:sz w:val="24"/>
          <w:szCs w:val="24"/>
        </w:rPr>
      </w:pPr>
      <w:r w:rsidRPr="00A70042">
        <w:rPr>
          <w:rFonts w:ascii="Times New Roman" w:hAnsi="Times New Roman" w:cs="Times New Roman"/>
          <w:iCs/>
          <w:sz w:val="24"/>
          <w:szCs w:val="24"/>
        </w:rPr>
        <w:t>(…)</w:t>
      </w:r>
    </w:p>
    <w:p w14:paraId="1E8DC050" w14:textId="77777777" w:rsidR="00537BDE" w:rsidRPr="00A70042" w:rsidRDefault="00537BDE" w:rsidP="00A70042">
      <w:pPr>
        <w:spacing w:before="120"/>
        <w:ind w:left="720"/>
        <w:jc w:val="both"/>
        <w:rPr>
          <w:rFonts w:ascii="Times New Roman" w:hAnsi="Times New Roman" w:cs="Times New Roman"/>
          <w:iCs/>
          <w:sz w:val="24"/>
          <w:szCs w:val="24"/>
        </w:rPr>
      </w:pPr>
      <w:r w:rsidRPr="00A70042">
        <w:rPr>
          <w:rFonts w:ascii="Times New Roman" w:hAnsi="Times New Roman" w:cs="Times New Roman"/>
          <w:iCs/>
          <w:sz w:val="24"/>
          <w:szCs w:val="24"/>
        </w:rPr>
        <w:t>(h) to provide specific services needed to ensure interoperability of end-to-end services to users, or roaming on mobile networks;</w:t>
      </w:r>
    </w:p>
    <w:p w14:paraId="3F1784C5" w14:textId="77777777" w:rsidR="00D732E9" w:rsidRPr="00A70042" w:rsidRDefault="00537BDE" w:rsidP="00A70042">
      <w:pPr>
        <w:spacing w:before="360"/>
        <w:ind w:left="720"/>
        <w:jc w:val="both"/>
        <w:rPr>
          <w:rFonts w:ascii="Times New Roman" w:hAnsi="Times New Roman" w:cs="Times New Roman"/>
          <w:iCs/>
          <w:sz w:val="24"/>
          <w:szCs w:val="24"/>
        </w:rPr>
      </w:pPr>
      <w:r w:rsidRPr="00A70042">
        <w:rPr>
          <w:rFonts w:ascii="Times New Roman" w:hAnsi="Times New Roman" w:cs="Times New Roman"/>
          <w:iCs/>
          <w:sz w:val="24"/>
          <w:szCs w:val="24"/>
        </w:rPr>
        <w:t>(i) to provide access to operational support systems or similar software systems necessary to ensure fair competition in the provision of services</w:t>
      </w:r>
      <w:r w:rsidR="00FE44E8" w:rsidRPr="00A70042">
        <w:rPr>
          <w:rFonts w:ascii="Times New Roman" w:hAnsi="Times New Roman" w:cs="Times New Roman"/>
          <w:iCs/>
          <w:sz w:val="24"/>
          <w:szCs w:val="24"/>
        </w:rPr>
        <w:t>”</w:t>
      </w:r>
    </w:p>
    <w:p w14:paraId="248B79B5" w14:textId="77777777" w:rsidR="00537BDE" w:rsidRPr="00A70042" w:rsidRDefault="00761BB9"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 xml:space="preserve">The SMP remedies stated above might be argued to cover NGN-based intelligence and functionalities, as featured via a service-neutral network design. Although not </w:t>
      </w:r>
      <w:r w:rsidRPr="00A70042">
        <w:rPr>
          <w:rFonts w:ascii="Times New Roman" w:hAnsi="Times New Roman" w:cs="Times New Roman"/>
          <w:sz w:val="24"/>
          <w:szCs w:val="24"/>
        </w:rPr>
        <w:lastRenderedPageBreak/>
        <w:t>reflected in the finalised version, a stronger NGN-based implication could be derived from the EECC Proposal, which envisaged that SMP undertakings could be required:</w:t>
      </w:r>
      <w:r w:rsidR="00537BDE" w:rsidRPr="00A70042">
        <w:rPr>
          <w:rFonts w:ascii="Times New Roman" w:hAnsi="Times New Roman" w:cs="Times New Roman"/>
          <w:sz w:val="24"/>
          <w:szCs w:val="24"/>
        </w:rPr>
        <w:t xml:space="preserve"> </w:t>
      </w:r>
    </w:p>
    <w:p w14:paraId="54A1DAFD" w14:textId="39B251B2" w:rsidR="00537BDE" w:rsidRPr="00A70042" w:rsidRDefault="002759C3" w:rsidP="00A70042">
      <w:pPr>
        <w:spacing w:before="360"/>
        <w:ind w:left="720" w:right="720"/>
        <w:jc w:val="both"/>
        <w:rPr>
          <w:rFonts w:ascii="Times New Roman" w:hAnsi="Times New Roman" w:cs="Times New Roman"/>
          <w:spacing w:val="-4"/>
          <w:sz w:val="24"/>
          <w:szCs w:val="24"/>
        </w:rPr>
      </w:pPr>
      <w:r>
        <w:rPr>
          <w:rFonts w:ascii="Times New Roman" w:hAnsi="Times New Roman" w:cs="Times New Roman"/>
          <w:spacing w:val="-4"/>
          <w:sz w:val="24"/>
          <w:szCs w:val="24"/>
        </w:rPr>
        <w:t>“</w:t>
      </w:r>
      <w:r w:rsidR="00537BDE" w:rsidRPr="00A70042">
        <w:rPr>
          <w:rFonts w:ascii="Times New Roman" w:hAnsi="Times New Roman" w:cs="Times New Roman"/>
          <w:spacing w:val="-4"/>
          <w:sz w:val="24"/>
          <w:szCs w:val="24"/>
        </w:rPr>
        <w:t xml:space="preserve">to provide specified services needed to ensure interoperability of end-to-end services to users, including facilities for </w:t>
      </w:r>
      <w:r w:rsidR="00537BDE" w:rsidRPr="00A70042">
        <w:rPr>
          <w:rFonts w:ascii="Times New Roman" w:hAnsi="Times New Roman" w:cs="Times New Roman"/>
          <w:i/>
          <w:iCs/>
          <w:spacing w:val="-4"/>
          <w:sz w:val="24"/>
          <w:szCs w:val="24"/>
        </w:rPr>
        <w:t>software emulated networks intelligent network services</w:t>
      </w:r>
      <w:r w:rsidR="00537BDE" w:rsidRPr="00A70042">
        <w:rPr>
          <w:rFonts w:ascii="Times New Roman" w:hAnsi="Times New Roman" w:cs="Times New Roman"/>
          <w:spacing w:val="-4"/>
          <w:sz w:val="24"/>
          <w:szCs w:val="24"/>
        </w:rPr>
        <w:t xml:space="preserve"> or roaming on mobile networks</w:t>
      </w:r>
      <w:r w:rsidR="007D4536" w:rsidRPr="00A70042">
        <w:rPr>
          <w:rFonts w:ascii="Times New Roman" w:hAnsi="Times New Roman" w:cs="Times New Roman"/>
          <w:spacing w:val="-4"/>
          <w:sz w:val="24"/>
          <w:szCs w:val="24"/>
        </w:rPr>
        <w:t>.</w:t>
      </w:r>
      <w:r>
        <w:rPr>
          <w:rFonts w:ascii="Times New Roman" w:hAnsi="Times New Roman" w:cs="Times New Roman"/>
          <w:spacing w:val="-4"/>
          <w:sz w:val="24"/>
          <w:szCs w:val="24"/>
        </w:rPr>
        <w:t>”</w:t>
      </w:r>
      <w:r w:rsidR="00D73B3C" w:rsidRPr="00A70042">
        <w:rPr>
          <w:rStyle w:val="FootnoteReference"/>
          <w:rFonts w:ascii="Times New Roman" w:hAnsi="Times New Roman" w:cs="Times New Roman"/>
          <w:spacing w:val="-4"/>
          <w:sz w:val="24"/>
          <w:szCs w:val="24"/>
        </w:rPr>
        <w:footnoteReference w:id="690"/>
      </w:r>
    </w:p>
    <w:p w14:paraId="2021CF6E" w14:textId="08598396" w:rsidR="000805F8" w:rsidRPr="00A70042" w:rsidRDefault="00761BB9"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As ‘software emulated networks</w:t>
      </w:r>
      <w:r w:rsidRPr="00A70042">
        <w:rPr>
          <w:rFonts w:ascii="Times New Roman" w:hAnsi="Times New Roman" w:cs="Times New Roman" w:hint="eastAsia"/>
          <w:sz w:val="24"/>
          <w:szCs w:val="24"/>
        </w:rPr>
        <w:t>’</w:t>
      </w:r>
      <w:r w:rsidRPr="00A70042">
        <w:rPr>
          <w:rFonts w:ascii="Times New Roman" w:hAnsi="Times New Roman" w:cs="Times New Roman"/>
          <w:sz w:val="24"/>
          <w:szCs w:val="24"/>
        </w:rPr>
        <w:t xml:space="preserve">have a self-standing nature and outreach the </w:t>
      </w:r>
      <w:r w:rsidRPr="00A70042">
        <w:rPr>
          <w:rFonts w:ascii="Times New Roman" w:hAnsi="Times New Roman" w:cs="Times New Roman"/>
          <w:i/>
          <w:iCs/>
          <w:sz w:val="24"/>
          <w:szCs w:val="24"/>
        </w:rPr>
        <w:t>virtual network services</w:t>
      </w:r>
      <w:r w:rsidRPr="00A70042">
        <w:rPr>
          <w:rFonts w:ascii="Times New Roman" w:hAnsi="Times New Roman" w:cs="Times New Roman"/>
          <w:sz w:val="24"/>
          <w:szCs w:val="24"/>
        </w:rPr>
        <w:t xml:space="preserve"> or </w:t>
      </w:r>
      <w:r w:rsidRPr="00820EF9">
        <w:rPr>
          <w:rFonts w:ascii="Times New Roman" w:hAnsi="Times New Roman" w:cs="Times New Roman"/>
          <w:i/>
          <w:sz w:val="24"/>
          <w:szCs w:val="24"/>
        </w:rPr>
        <w:t xml:space="preserve">software systems </w:t>
      </w:r>
      <w:r w:rsidRPr="00A70042">
        <w:rPr>
          <w:rFonts w:ascii="Times New Roman" w:hAnsi="Times New Roman" w:cs="Times New Roman"/>
          <w:iCs/>
          <w:sz w:val="24"/>
          <w:szCs w:val="24"/>
        </w:rPr>
        <w:t xml:space="preserve">referred to under the EECC, </w:t>
      </w:r>
      <w:r w:rsidRPr="00A70042">
        <w:rPr>
          <w:rFonts w:ascii="Times New Roman" w:hAnsi="Times New Roman" w:cs="Times New Roman"/>
          <w:sz w:val="24"/>
          <w:szCs w:val="24"/>
        </w:rPr>
        <w:t xml:space="preserve">one could interpret the Commission proposal not being reflected in the EECC as a missed opportunity. This is particularly true as prospective </w:t>
      </w:r>
      <w:r w:rsidRPr="00820EF9">
        <w:rPr>
          <w:rFonts w:ascii="Times New Roman" w:hAnsi="Times New Roman" w:cs="Times New Roman"/>
          <w:sz w:val="24"/>
          <w:szCs w:val="24"/>
        </w:rPr>
        <w:t>NGN players would</w:t>
      </w:r>
      <w:r w:rsidRPr="00A70042">
        <w:rPr>
          <w:rFonts w:ascii="Times New Roman" w:hAnsi="Times New Roman" w:cs="Times New Roman"/>
          <w:sz w:val="24"/>
          <w:szCs w:val="24"/>
        </w:rPr>
        <w:t xml:space="preserve"> no longer act just as a telecom operator, but potentially as the controller of an IP ecosystem embodying software-governed service layers e.g. access, cloud and CDN, and in collaborations with content providers. Hence, </w:t>
      </w:r>
      <w:r w:rsidRPr="00820EF9">
        <w:rPr>
          <w:rFonts w:ascii="Times New Roman" w:hAnsi="Times New Roman" w:cs="Times New Roman"/>
          <w:sz w:val="24"/>
          <w:szCs w:val="24"/>
        </w:rPr>
        <w:t>intelligence in this context relates</w:t>
      </w:r>
      <w:r w:rsidRPr="00A70042">
        <w:rPr>
          <w:rFonts w:ascii="Times New Roman" w:hAnsi="Times New Roman" w:cs="Times New Roman"/>
          <w:sz w:val="24"/>
          <w:szCs w:val="24"/>
        </w:rPr>
        <w:t xml:space="preserve"> to a privately governed IP network, going beyond the conventional wisdom of interoperability or ‘end-to-end connectivity’ which the ECRF is primarily focused on.</w:t>
      </w:r>
    </w:p>
    <w:p w14:paraId="6AB158A0" w14:textId="662C364D" w:rsidR="005014F9" w:rsidRPr="00A70042" w:rsidRDefault="00761BB9" w:rsidP="00A70042">
      <w:pPr>
        <w:spacing w:before="360"/>
        <w:jc w:val="both"/>
        <w:rPr>
          <w:rFonts w:ascii="Times New Roman" w:hAnsi="Times New Roman" w:cs="Times New Roman"/>
          <w:color w:val="000000"/>
          <w:spacing w:val="-2"/>
          <w:sz w:val="24"/>
          <w:szCs w:val="24"/>
        </w:rPr>
      </w:pPr>
      <w:r w:rsidRPr="00A70042">
        <w:rPr>
          <w:rFonts w:ascii="Times New Roman" w:hAnsi="Times New Roman" w:cs="Times New Roman"/>
          <w:spacing w:val="-2"/>
          <w:sz w:val="24"/>
          <w:szCs w:val="24"/>
        </w:rPr>
        <w:t>On the other hand, the regulatory focus in the NGN context, would mean sharing of the SMP operators’ proprietary protocols that govern their network functionalities. As a globally standardized IP-based multimedia communications system replacing circuit-switched networks seems to be a far-fetched possibility, it</w:t>
      </w:r>
      <w:r w:rsidR="007D4536" w:rsidRPr="00A70042">
        <w:rPr>
          <w:rFonts w:ascii="Times New Roman" w:hAnsi="Times New Roman" w:cs="Times New Roman"/>
          <w:spacing w:val="-2"/>
          <w:sz w:val="24"/>
          <w:szCs w:val="24"/>
        </w:rPr>
        <w:t xml:space="preserve"> is important</w:t>
      </w:r>
      <w:r w:rsidRPr="00A70042">
        <w:rPr>
          <w:rFonts w:ascii="Times New Roman" w:hAnsi="Times New Roman" w:cs="Times New Roman"/>
          <w:spacing w:val="-2"/>
          <w:sz w:val="24"/>
          <w:szCs w:val="24"/>
        </w:rPr>
        <w:t xml:space="preserve"> to both stimulate the development of NGNs and have some safeguards to pre-empt the anti-competitive effects that would result from market imbalances.</w:t>
      </w:r>
      <w:r w:rsidR="002A7ACA" w:rsidRPr="00A70042">
        <w:rPr>
          <w:rFonts w:ascii="Times New Roman" w:hAnsi="Times New Roman" w:cs="Times New Roman"/>
          <w:spacing w:val="-2"/>
          <w:sz w:val="24"/>
          <w:szCs w:val="24"/>
        </w:rPr>
        <w:t xml:space="preserve"> Incorporating</w:t>
      </w:r>
      <w:r w:rsidR="007D4536" w:rsidRPr="00A70042">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 xml:space="preserve">NGN interoperability </w:t>
      </w:r>
      <w:r w:rsidR="002A7ACA" w:rsidRPr="00A70042">
        <w:rPr>
          <w:rFonts w:ascii="Times New Roman" w:hAnsi="Times New Roman" w:cs="Times New Roman"/>
          <w:spacing w:val="-2"/>
          <w:sz w:val="24"/>
          <w:szCs w:val="24"/>
        </w:rPr>
        <w:t>within this broader context emerges to be a part of the regulatory puzzle</w:t>
      </w:r>
      <w:r w:rsidRPr="00A70042">
        <w:rPr>
          <w:rFonts w:ascii="Times New Roman" w:hAnsi="Times New Roman" w:cs="Times New Roman"/>
          <w:spacing w:val="-2"/>
          <w:sz w:val="24"/>
          <w:szCs w:val="24"/>
        </w:rPr>
        <w:t>.</w:t>
      </w:r>
      <w:r w:rsidR="007C4708" w:rsidRPr="00A70042">
        <w:rPr>
          <w:rFonts w:ascii="Times New Roman" w:hAnsi="Times New Roman" w:cs="Times New Roman"/>
          <w:spacing w:val="-2"/>
          <w:sz w:val="24"/>
          <w:szCs w:val="24"/>
        </w:rPr>
        <w:t xml:space="preserve"> </w:t>
      </w:r>
    </w:p>
    <w:p w14:paraId="4D2B5119" w14:textId="5526BF97" w:rsidR="006D2798" w:rsidRPr="00820EF9" w:rsidRDefault="00496DB8"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lastRenderedPageBreak/>
        <w:t>I</w:t>
      </w:r>
      <w:r w:rsidR="00625A9E" w:rsidRPr="00A70042">
        <w:rPr>
          <w:rFonts w:ascii="Times New Roman" w:hAnsi="Times New Roman" w:cs="Times New Roman"/>
          <w:sz w:val="24"/>
          <w:szCs w:val="24"/>
        </w:rPr>
        <w:t>n the NGN based transition, market players will face lessened number of interconnection nodes,</w:t>
      </w:r>
      <w:r w:rsidR="00625A9E" w:rsidRPr="00820EF9">
        <w:rPr>
          <w:rStyle w:val="FootnoteReference"/>
          <w:rFonts w:ascii="Times New Roman" w:hAnsi="Times New Roman" w:cs="Times New Roman"/>
          <w:sz w:val="24"/>
          <w:szCs w:val="24"/>
        </w:rPr>
        <w:footnoteReference w:id="691"/>
      </w:r>
      <w:r w:rsidR="00625A9E" w:rsidRPr="00820EF9">
        <w:rPr>
          <w:rFonts w:ascii="Times New Roman" w:hAnsi="Times New Roman" w:cs="Times New Roman"/>
          <w:sz w:val="24"/>
          <w:szCs w:val="24"/>
        </w:rPr>
        <w:t xml:space="preserve"> whereas they might experience new digital gateways which are less standardised and much more controlled by the incumbents. Therefore, both the European Commission and NRAs may</w:t>
      </w:r>
      <w:r w:rsidR="00625A9E" w:rsidRPr="00A70042">
        <w:rPr>
          <w:rFonts w:ascii="Times New Roman" w:hAnsi="Times New Roman" w:cs="Times New Roman"/>
          <w:sz w:val="24"/>
          <w:szCs w:val="24"/>
        </w:rPr>
        <w:t xml:space="preserve"> have to ensure that interconnection is possible at specific functional levels i.e. transport and service levels, in a reasonable, non-discriminatory and transparent manner.</w:t>
      </w:r>
      <w:r w:rsidR="00625A9E" w:rsidRPr="00A70042">
        <w:rPr>
          <w:rFonts w:ascii="Times New Roman" w:hAnsi="Times New Roman" w:cs="Times New Roman"/>
          <w:sz w:val="24"/>
          <w:szCs w:val="24"/>
          <w:lang w:eastAsia="en-GB"/>
        </w:rPr>
        <w:t xml:space="preserve"> </w:t>
      </w:r>
      <w:r w:rsidR="00625A9E" w:rsidRPr="00A70042">
        <w:rPr>
          <w:rFonts w:ascii="Times New Roman" w:hAnsi="Times New Roman" w:cs="Times New Roman"/>
          <w:sz w:val="24"/>
          <w:szCs w:val="24"/>
        </w:rPr>
        <w:t>In fact, they ought to consider that operators having market power may not have an incentive to open up their networks to competition at the service level, with a view to limiting the use of emerging NGN capabilities, which potentially affects the ability of independent service providers to integrate their services into the NGN platforms.</w:t>
      </w:r>
      <w:r w:rsidR="00625A9E" w:rsidRPr="00820EF9">
        <w:rPr>
          <w:rStyle w:val="FootnoteReference"/>
          <w:rFonts w:ascii="Times New Roman" w:hAnsi="Times New Roman" w:cs="Times New Roman"/>
          <w:sz w:val="24"/>
          <w:szCs w:val="24"/>
        </w:rPr>
        <w:footnoteReference w:id="692"/>
      </w:r>
    </w:p>
    <w:p w14:paraId="65A5B6C7" w14:textId="6D19B84D" w:rsidR="00A82186" w:rsidRPr="00820EF9" w:rsidRDefault="00625A9E"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 xml:space="preserve">Against this background, a broader perspective ideally needs to be upheld concerning ICT interoperability, encompassing not only physical and logical interconnection requirements but also more complex vertical/horizontal interconnectivity problems. However, neither the EECC nor broadly speaking the ECRF, mirrors this viewpoint. </w:t>
      </w:r>
      <w:r w:rsidRPr="00820EF9">
        <w:rPr>
          <w:rFonts w:ascii="Times New Roman" w:hAnsi="Times New Roman" w:cs="Times New Roman"/>
          <w:sz w:val="24"/>
          <w:szCs w:val="24"/>
        </w:rPr>
        <w:t>A</w:t>
      </w:r>
      <w:r w:rsidRPr="00A70042">
        <w:rPr>
          <w:rFonts w:ascii="Times New Roman" w:hAnsi="Times New Roman" w:cs="Times New Roman"/>
          <w:sz w:val="24"/>
          <w:szCs w:val="24"/>
        </w:rPr>
        <w:t>lthough acknowledging that “[i]nteroperability is an evolving concept in dynamic markets”,</w:t>
      </w:r>
      <w:r w:rsidRPr="00820EF9">
        <w:rPr>
          <w:rStyle w:val="FootnoteReference"/>
          <w:rFonts w:ascii="Times New Roman" w:hAnsi="Times New Roman" w:cs="Times New Roman"/>
          <w:sz w:val="24"/>
          <w:szCs w:val="24"/>
        </w:rPr>
        <w:footnoteReference w:id="693"/>
      </w:r>
      <w:r w:rsidRPr="00820EF9">
        <w:rPr>
          <w:rFonts w:ascii="Times New Roman" w:hAnsi="Times New Roman" w:cs="Times New Roman"/>
          <w:sz w:val="24"/>
          <w:szCs w:val="24"/>
        </w:rPr>
        <w:t xml:space="preserve"> the ECRF’s perspective is mainly concerned with how to solve the infrastructural pro</w:t>
      </w:r>
      <w:r w:rsidRPr="00A70042">
        <w:rPr>
          <w:rFonts w:ascii="Times New Roman" w:hAnsi="Times New Roman" w:cs="Times New Roman"/>
          <w:sz w:val="24"/>
          <w:szCs w:val="24"/>
        </w:rPr>
        <w:t>blems. Having said that, the ECRF appears to consider</w:t>
      </w:r>
      <w:r w:rsidRPr="00A70042">
        <w:rPr>
          <w:rFonts w:ascii="Times New Roman" w:hAnsi="Times New Roman" w:cs="Times New Roman" w:hint="eastAsia"/>
          <w:sz w:val="24"/>
          <w:szCs w:val="24"/>
        </w:rPr>
        <w:t>‘</w:t>
      </w:r>
      <w:r w:rsidRPr="00A70042">
        <w:rPr>
          <w:rFonts w:ascii="Times New Roman" w:hAnsi="Times New Roman" w:cs="Times New Roman"/>
          <w:sz w:val="24"/>
          <w:szCs w:val="24"/>
        </w:rPr>
        <w:t>interoperability</w:t>
      </w:r>
      <w:r w:rsidRPr="00A70042">
        <w:rPr>
          <w:rFonts w:ascii="Times New Roman" w:hAnsi="Times New Roman" w:cs="Times New Roman" w:hint="eastAsia"/>
          <w:sz w:val="24"/>
          <w:szCs w:val="24"/>
        </w:rPr>
        <w:t>’</w:t>
      </w:r>
      <w:r w:rsidRPr="00A70042">
        <w:rPr>
          <w:rFonts w:ascii="Times New Roman" w:hAnsi="Times New Roman" w:cs="Times New Roman"/>
          <w:sz w:val="24"/>
          <w:szCs w:val="24"/>
        </w:rPr>
        <w:t xml:space="preserve"> as a subordinate problem to be managed through the available tools, i.e. standardisation, access and interconnection remedies, with an emphasis on the bottom layers in the IP stack.</w:t>
      </w:r>
    </w:p>
    <w:p w14:paraId="42DE8622" w14:textId="77777777" w:rsidR="00397F95" w:rsidRPr="00774EDB" w:rsidRDefault="00F968F7" w:rsidP="00A70042">
      <w:pPr>
        <w:pStyle w:val="Heading3"/>
        <w:numPr>
          <w:ilvl w:val="2"/>
          <w:numId w:val="33"/>
        </w:numPr>
        <w:spacing w:before="360"/>
        <w:ind w:left="709" w:hanging="709"/>
        <w:jc w:val="both"/>
        <w:rPr>
          <w:rFonts w:ascii="Times New Roman" w:hAnsi="Times New Roman" w:cs="Times New Roman"/>
          <w:b/>
          <w:color w:val="auto"/>
        </w:rPr>
      </w:pPr>
      <w:bookmarkStart w:id="522" w:name="_Toc17611457"/>
      <w:bookmarkStart w:id="523" w:name="_Toc17611674"/>
      <w:bookmarkStart w:id="524" w:name="_Toc17611886"/>
      <w:bookmarkStart w:id="525" w:name="_Toc17612100"/>
      <w:bookmarkStart w:id="526" w:name="_Toc17612313"/>
      <w:bookmarkStart w:id="527" w:name="_Toc17611458"/>
      <w:bookmarkStart w:id="528" w:name="_Toc53576090"/>
      <w:bookmarkEnd w:id="522"/>
      <w:bookmarkEnd w:id="523"/>
      <w:bookmarkEnd w:id="524"/>
      <w:bookmarkEnd w:id="525"/>
      <w:bookmarkEnd w:id="526"/>
      <w:r w:rsidRPr="00774EDB">
        <w:rPr>
          <w:rFonts w:ascii="Times New Roman" w:hAnsi="Times New Roman" w:cs="Times New Roman"/>
          <w:b/>
          <w:color w:val="auto"/>
        </w:rPr>
        <w:lastRenderedPageBreak/>
        <w:t xml:space="preserve">Introduction of new ECS categories and </w:t>
      </w:r>
      <w:r w:rsidR="00625A9E" w:rsidRPr="00774EDB">
        <w:rPr>
          <w:rFonts w:ascii="Times New Roman" w:hAnsi="Times New Roman" w:cs="Times New Roman"/>
          <w:b/>
          <w:color w:val="auto"/>
        </w:rPr>
        <w:t xml:space="preserve">the </w:t>
      </w:r>
      <w:r w:rsidRPr="00774EDB">
        <w:rPr>
          <w:rFonts w:ascii="Times New Roman" w:hAnsi="Times New Roman" w:cs="Times New Roman"/>
          <w:b/>
          <w:color w:val="auto"/>
        </w:rPr>
        <w:t>reach of interoperability problems</w:t>
      </w:r>
      <w:bookmarkEnd w:id="527"/>
      <w:bookmarkEnd w:id="528"/>
      <w:r w:rsidRPr="00774EDB">
        <w:rPr>
          <w:rFonts w:ascii="Times New Roman" w:hAnsi="Times New Roman" w:cs="Times New Roman"/>
          <w:b/>
          <w:color w:val="auto"/>
        </w:rPr>
        <w:t xml:space="preserve"> </w:t>
      </w:r>
    </w:p>
    <w:p w14:paraId="5B5E89AC" w14:textId="77777777" w:rsidR="007B775E" w:rsidRPr="00774EDB" w:rsidRDefault="00F968F7" w:rsidP="00A70042">
      <w:pPr>
        <w:pStyle w:val="Heading4"/>
        <w:numPr>
          <w:ilvl w:val="3"/>
          <w:numId w:val="33"/>
        </w:numPr>
        <w:tabs>
          <w:tab w:val="left" w:pos="851"/>
        </w:tabs>
        <w:spacing w:before="360"/>
        <w:ind w:left="0" w:firstLine="0"/>
        <w:jc w:val="both"/>
        <w:rPr>
          <w:rFonts w:ascii="Times New Roman" w:hAnsi="Times New Roman" w:cs="Times New Roman"/>
          <w:b/>
          <w:i w:val="0"/>
          <w:color w:val="auto"/>
          <w:sz w:val="24"/>
          <w:szCs w:val="24"/>
        </w:rPr>
      </w:pPr>
      <w:bookmarkStart w:id="529" w:name="_Toc17611459"/>
      <w:bookmarkStart w:id="530" w:name="_Toc17611676"/>
      <w:bookmarkStart w:id="531" w:name="_Toc17611888"/>
      <w:bookmarkStart w:id="532" w:name="_Toc17612102"/>
      <w:bookmarkStart w:id="533" w:name="_Toc17612315"/>
      <w:bookmarkStart w:id="534" w:name="_Toc17611460"/>
      <w:bookmarkStart w:id="535" w:name="_Toc53576091"/>
      <w:bookmarkStart w:id="536" w:name="_Hlk11372680"/>
      <w:bookmarkEnd w:id="529"/>
      <w:bookmarkEnd w:id="530"/>
      <w:bookmarkEnd w:id="531"/>
      <w:bookmarkEnd w:id="532"/>
      <w:bookmarkEnd w:id="533"/>
      <w:r w:rsidRPr="00774EDB">
        <w:rPr>
          <w:rFonts w:ascii="Times New Roman" w:hAnsi="Times New Roman" w:cs="Times New Roman"/>
          <w:b/>
          <w:i w:val="0"/>
          <w:color w:val="auto"/>
          <w:sz w:val="24"/>
          <w:szCs w:val="24"/>
        </w:rPr>
        <w:t xml:space="preserve">OTT Impact and a new carve-out under </w:t>
      </w:r>
      <w:r w:rsidR="00625A9E" w:rsidRPr="00774EDB">
        <w:rPr>
          <w:rFonts w:ascii="Times New Roman" w:hAnsi="Times New Roman" w:cs="Times New Roman"/>
          <w:b/>
          <w:i w:val="0"/>
          <w:color w:val="auto"/>
          <w:sz w:val="24"/>
          <w:szCs w:val="24"/>
        </w:rPr>
        <w:t xml:space="preserve">the </w:t>
      </w:r>
      <w:r w:rsidRPr="00774EDB">
        <w:rPr>
          <w:rFonts w:ascii="Times New Roman" w:hAnsi="Times New Roman" w:cs="Times New Roman"/>
          <w:b/>
          <w:i w:val="0"/>
          <w:color w:val="auto"/>
          <w:sz w:val="24"/>
          <w:szCs w:val="24"/>
        </w:rPr>
        <w:t>E</w:t>
      </w:r>
      <w:r w:rsidR="00436976" w:rsidRPr="00774EDB">
        <w:rPr>
          <w:rFonts w:ascii="Times New Roman" w:hAnsi="Times New Roman" w:cs="Times New Roman"/>
          <w:b/>
          <w:i w:val="0"/>
          <w:color w:val="auto"/>
          <w:sz w:val="24"/>
          <w:szCs w:val="24"/>
        </w:rPr>
        <w:t>E</w:t>
      </w:r>
      <w:r w:rsidRPr="00774EDB">
        <w:rPr>
          <w:rFonts w:ascii="Times New Roman" w:hAnsi="Times New Roman" w:cs="Times New Roman"/>
          <w:b/>
          <w:i w:val="0"/>
          <w:color w:val="auto"/>
          <w:sz w:val="24"/>
          <w:szCs w:val="24"/>
        </w:rPr>
        <w:t>CC</w:t>
      </w:r>
      <w:bookmarkEnd w:id="534"/>
      <w:bookmarkEnd w:id="535"/>
      <w:r w:rsidRPr="00774EDB">
        <w:rPr>
          <w:rFonts w:ascii="Times New Roman" w:hAnsi="Times New Roman" w:cs="Times New Roman"/>
          <w:b/>
          <w:i w:val="0"/>
          <w:color w:val="auto"/>
          <w:sz w:val="24"/>
          <w:szCs w:val="24"/>
        </w:rPr>
        <w:t xml:space="preserve"> </w:t>
      </w:r>
    </w:p>
    <w:bookmarkEnd w:id="536"/>
    <w:p w14:paraId="777E81F0" w14:textId="77777777" w:rsidR="00D93AD1" w:rsidRPr="00774EDB" w:rsidRDefault="00625A9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mentioned above, the EECC has introduced new categories of electronic communications’ services (ECSs), and this new categorisation reaches out to internet-based over-the-top (OTT)</w:t>
      </w:r>
      <w:r w:rsidRPr="00774EDB">
        <w:rPr>
          <w:rStyle w:val="FootnoteReference"/>
          <w:rFonts w:ascii="Times New Roman" w:hAnsi="Times New Roman" w:cs="Times New Roman"/>
          <w:sz w:val="24"/>
          <w:szCs w:val="24"/>
        </w:rPr>
        <w:footnoteReference w:id="694"/>
      </w:r>
      <w:r w:rsidRPr="00774EDB">
        <w:rPr>
          <w:rFonts w:ascii="Times New Roman" w:hAnsi="Times New Roman" w:cs="Times New Roman"/>
          <w:sz w:val="24"/>
          <w:szCs w:val="24"/>
        </w:rPr>
        <w:t xml:space="preserve"> services. Having said that, the EECC revitalised the existing regulatory structure along with a rather light-touch regulatory treatment of the OTT services. While the introduction of new service types might not be conceived of as a revolution because of the limited expansion, the EECC addressing the long-debated OTT issue and related interoperability challenges is worth being elaborated.</w:t>
      </w:r>
    </w:p>
    <w:p w14:paraId="33937AF1" w14:textId="77777777" w:rsidR="00796F3A" w:rsidRPr="00774EDB" w:rsidRDefault="00625A9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OTT apps and business models, taking advantage of the global internet, are offered mostly by the global companies i.e. Facebook, Microsoft and Google and, albeit to a small extent, by local companies which often target niche markets and limited customer bases. OTT companies, while serving their customers increasingly on the global scale, pose a competitive threat over the telco companies (telcoes). In contrast to the latter, the former have no physical network infrastructure and offer their services through broadband access networks which are run over the nationally managed electronic communications networks. The big contrast between the telcoes and the OTTs is in consumers being charged with no or a minimum fee by the latter. While they offer their apps and services often with no cost to the end-users, they run ads over their one, or usually multi-sided, platforms. They make a profit through the strategy of </w:t>
      </w:r>
      <w:r w:rsidRPr="00774EDB">
        <w:rPr>
          <w:rFonts w:ascii="Times New Roman" w:hAnsi="Times New Roman" w:cs="Times New Roman"/>
          <w:sz w:val="24"/>
          <w:szCs w:val="24"/>
        </w:rPr>
        <w:lastRenderedPageBreak/>
        <w:t>making each side of the platform meet, namely the consumers on the one hand and advertisers / businesses on the other.</w:t>
      </w:r>
    </w:p>
    <w:p w14:paraId="2715EB5F" w14:textId="77777777" w:rsidR="00796F3A" w:rsidRPr="00A70042" w:rsidRDefault="00625A9E"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Despite the OTTs having no infrastructure deployment, the wide-ranging communication,</w:t>
      </w:r>
      <w:r w:rsidRPr="00A70042">
        <w:rPr>
          <w:rStyle w:val="FootnoteReference"/>
          <w:rFonts w:ascii="Times New Roman" w:hAnsi="Times New Roman" w:cs="Times New Roman"/>
          <w:spacing w:val="-2"/>
          <w:sz w:val="24"/>
          <w:szCs w:val="24"/>
        </w:rPr>
        <w:footnoteReference w:id="695"/>
      </w:r>
      <w:r w:rsidRPr="00A70042">
        <w:rPr>
          <w:rFonts w:ascii="Times New Roman" w:hAnsi="Times New Roman" w:cs="Times New Roman"/>
          <w:spacing w:val="-2"/>
          <w:sz w:val="24"/>
          <w:szCs w:val="24"/>
        </w:rPr>
        <w:t xml:space="preserve"> entertainment</w:t>
      </w:r>
      <w:r w:rsidRPr="00A70042">
        <w:rPr>
          <w:rStyle w:val="FootnoteReference"/>
          <w:rFonts w:ascii="Times New Roman" w:hAnsi="Times New Roman" w:cs="Times New Roman"/>
          <w:spacing w:val="-2"/>
          <w:sz w:val="24"/>
          <w:szCs w:val="24"/>
        </w:rPr>
        <w:footnoteReference w:id="696"/>
      </w:r>
      <w:r w:rsidRPr="00A70042">
        <w:rPr>
          <w:rFonts w:ascii="Times New Roman" w:hAnsi="Times New Roman" w:cs="Times New Roman"/>
          <w:spacing w:val="-2"/>
          <w:sz w:val="24"/>
          <w:szCs w:val="24"/>
        </w:rPr>
        <w:t xml:space="preserve"> and social networking services being offered by these players increasingly arouses a tension between such OTT players and the telcoes. The so-called tension mainly results from the fact that </w:t>
      </w:r>
      <w:r w:rsidRPr="00A70042">
        <w:rPr>
          <w:rFonts w:ascii="Times New Roman" w:hAnsi="Times New Roman" w:cs="Times New Roman"/>
          <w:spacing w:val="-2"/>
          <w:sz w:val="24"/>
          <w:szCs w:val="24"/>
          <w:lang w:eastAsia="en-GB"/>
        </w:rPr>
        <w:t>OTT business models potentially affect the traditional revenue streams and profit levels of the telcoes. To illustrate, OTTs like WhatsApp threaten the SMS revenues of mobile operators, and Voice over Internet Protocol (VoIP) services like Skype or Viber threaten their voice revenues.</w:t>
      </w:r>
      <w:r w:rsidRPr="00A70042">
        <w:rPr>
          <w:rStyle w:val="FootnoteReference"/>
          <w:rFonts w:ascii="Times New Roman" w:hAnsi="Times New Roman" w:cs="Times New Roman"/>
          <w:spacing w:val="-2"/>
          <w:sz w:val="24"/>
          <w:szCs w:val="24"/>
        </w:rPr>
        <w:footnoteReference w:id="697"/>
      </w:r>
    </w:p>
    <w:p w14:paraId="2AE74685" w14:textId="051E9AFD" w:rsidR="00250E07" w:rsidRPr="00774EDB" w:rsidRDefault="00625A9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It is widely acknowledged that the ubiquity of OTT apps for communications, messaging and social media has made the traditional revenue model for telcoes unsustainable.</w:t>
      </w:r>
      <w:r w:rsidRPr="00774EDB">
        <w:rPr>
          <w:rStyle w:val="FootnoteReference"/>
          <w:rFonts w:ascii="Times New Roman" w:hAnsi="Times New Roman" w:cs="Times New Roman"/>
          <w:sz w:val="24"/>
          <w:szCs w:val="24"/>
        </w:rPr>
        <w:footnoteReference w:id="698"/>
      </w:r>
      <w:r w:rsidRPr="00774EDB">
        <w:rPr>
          <w:rFonts w:ascii="Times New Roman" w:hAnsi="Times New Roman" w:cs="Times New Roman"/>
          <w:sz w:val="24"/>
          <w:szCs w:val="24"/>
        </w:rPr>
        <w:t xml:space="preserve"> Combining internet access, communications and media services in a more valuable manner, these apps, while replacing the formerly vertically integrated services by telcoes,</w:t>
      </w:r>
      <w:r w:rsidRPr="00774EDB">
        <w:rPr>
          <w:rStyle w:val="FootnoteReference"/>
          <w:rFonts w:ascii="Times New Roman" w:hAnsi="Times New Roman" w:cs="Times New Roman"/>
          <w:sz w:val="24"/>
          <w:szCs w:val="24"/>
        </w:rPr>
        <w:footnoteReference w:id="699"/>
      </w:r>
      <w:r w:rsidRPr="00774EDB">
        <w:rPr>
          <w:rFonts w:ascii="Times New Roman" w:hAnsi="Times New Roman" w:cs="Times New Roman"/>
          <w:sz w:val="24"/>
          <w:szCs w:val="24"/>
        </w:rPr>
        <w:t xml:space="preserve"> also raise the risk of obsolescence of the current regulatory rules. Against the dynamic needs of ICT users and new business models including OTTs, the regulatory focus on the traditional carriers has been debated for over a decade, with some regulatory implications concerning OTT players as well. This global agenda has also influenced the European regulatory politics, ending up with some reflections on </w:t>
      </w:r>
      <w:r w:rsidRPr="00774EDB">
        <w:rPr>
          <w:rFonts w:ascii="Times New Roman" w:hAnsi="Times New Roman" w:cs="Times New Roman"/>
          <w:sz w:val="24"/>
          <w:szCs w:val="24"/>
        </w:rPr>
        <w:lastRenderedPageBreak/>
        <w:t>new regulatory burdens to be imposed on the online communication service (OCS) providers, namely OTT players.</w:t>
      </w:r>
      <w:r w:rsidRPr="00774EDB">
        <w:rPr>
          <w:rStyle w:val="FootnoteReference"/>
          <w:rFonts w:ascii="Times New Roman" w:hAnsi="Times New Roman" w:cs="Times New Roman"/>
          <w:sz w:val="24"/>
          <w:szCs w:val="24"/>
        </w:rPr>
        <w:footnoteReference w:id="700"/>
      </w:r>
    </w:p>
    <w:p w14:paraId="776EC20F" w14:textId="12AF2DFE" w:rsidR="005C447E" w:rsidRPr="00774EDB" w:rsidRDefault="00625A9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European legislators, considering that a growing convergence between OTT players and ECS providers exists,</w:t>
      </w:r>
      <w:r w:rsidR="00A12068" w:rsidRPr="00774EDB">
        <w:rPr>
          <w:rFonts w:ascii="Times New Roman" w:hAnsi="Times New Roman" w:cs="Times New Roman"/>
          <w:sz w:val="24"/>
          <w:szCs w:val="24"/>
        </w:rPr>
        <w:t xml:space="preserve"> </w:t>
      </w:r>
      <w:r w:rsidRPr="00774EDB">
        <w:rPr>
          <w:rFonts w:ascii="Times New Roman" w:hAnsi="Times New Roman" w:cs="Times New Roman"/>
          <w:sz w:val="24"/>
          <w:szCs w:val="24"/>
        </w:rPr>
        <w:t>seems to have triggered a more equivalent regulatory response between them. Not for all the regulatory purposes, but mainly from the consumer protection viewpoint, a number of modifications were covered by the EECC. Based on not purely technical but more on economic reasons i.e. substitution, ECS and OCS providers were considered to have comparable features. Notwithstanding, OCS providers, e.g. WhatsApp, Skype and Viber, cannot fully control access to the end-users. More explicitly, they cannot fully control the signal when it is carried over the ‘best-effort’ access network.</w:t>
      </w:r>
      <w:r w:rsidRPr="00774EDB">
        <w:rPr>
          <w:rStyle w:val="FootnoteReference"/>
          <w:rFonts w:ascii="Times New Roman" w:hAnsi="Times New Roman" w:cs="Times New Roman"/>
          <w:sz w:val="24"/>
          <w:szCs w:val="24"/>
        </w:rPr>
        <w:footnoteReference w:id="701"/>
      </w:r>
      <w:r w:rsidRPr="00774EDB">
        <w:rPr>
          <w:rFonts w:ascii="Times New Roman" w:hAnsi="Times New Roman" w:cs="Times New Roman"/>
          <w:sz w:val="24"/>
          <w:szCs w:val="24"/>
        </w:rPr>
        <w:t xml:space="preserve"> Despite these technical points, OCS providers are widely acknowledged to offer equivalent communications services with ECSs, as reflected in the EECC.</w:t>
      </w:r>
    </w:p>
    <w:p w14:paraId="7C98E912" w14:textId="77777777" w:rsidR="00BB27E0" w:rsidRPr="00774EDB" w:rsidRDefault="00625A9E"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According to the EECC, not only ECS but also OCS based voice communication services are covered within the definition of ‘inter-personal communications services’ (ICSs).</w:t>
      </w:r>
      <w:r w:rsidRPr="00774EDB">
        <w:rPr>
          <w:rStyle w:val="FootnoteReference"/>
          <w:rFonts w:ascii="Times New Roman" w:hAnsi="Times New Roman" w:cs="Times New Roman"/>
          <w:sz w:val="24"/>
          <w:szCs w:val="24"/>
        </w:rPr>
        <w:footnoteReference w:id="702"/>
      </w:r>
      <w:r w:rsidRPr="00774EDB">
        <w:rPr>
          <w:rFonts w:ascii="Times New Roman" w:hAnsi="Times New Roman" w:cs="Times New Roman"/>
          <w:sz w:val="24"/>
          <w:szCs w:val="24"/>
        </w:rPr>
        <w:t xml:space="preserve"> Thereby, both of these services have been exposed to regulatory control, </w:t>
      </w:r>
      <w:r w:rsidRPr="00774EDB">
        <w:rPr>
          <w:rFonts w:ascii="Times New Roman" w:hAnsi="Times New Roman" w:cs="Times New Roman"/>
          <w:sz w:val="24"/>
          <w:szCs w:val="24"/>
        </w:rPr>
        <w:lastRenderedPageBreak/>
        <w:t>albeit with significant differences. That is to say, a more light-touch regulation is envisaged for the OCSs, whereas ECSs are meant to be regulated under heavy-handed access regulations, as mentioned above. Before delving into the details of the newly envisaged obligations of OCS providers, it is important to draw the whole picture of ECSs, including different types of OCSs i.e. number-based and number-independent.</w:t>
      </w:r>
    </w:p>
    <w:p w14:paraId="502C8A80" w14:textId="109BCE10" w:rsidR="002C7EC8" w:rsidRPr="00774EDB" w:rsidRDefault="002C7EC8" w:rsidP="00A70042">
      <w:pPr>
        <w:pStyle w:val="Heading4"/>
        <w:numPr>
          <w:ilvl w:val="3"/>
          <w:numId w:val="33"/>
        </w:numPr>
        <w:tabs>
          <w:tab w:val="left" w:pos="851"/>
        </w:tabs>
        <w:spacing w:before="360"/>
        <w:ind w:left="0" w:firstLine="0"/>
        <w:jc w:val="both"/>
        <w:rPr>
          <w:rFonts w:ascii="Times New Roman" w:hAnsi="Times New Roman" w:cs="Times New Roman"/>
          <w:b/>
          <w:i w:val="0"/>
          <w:color w:val="auto"/>
          <w:sz w:val="24"/>
          <w:szCs w:val="24"/>
        </w:rPr>
      </w:pPr>
      <w:bookmarkStart w:id="537" w:name="_Toc17611461"/>
      <w:bookmarkStart w:id="538" w:name="_Toc17611678"/>
      <w:bookmarkStart w:id="539" w:name="_Toc17611890"/>
      <w:bookmarkStart w:id="540" w:name="_Toc17612104"/>
      <w:bookmarkStart w:id="541" w:name="_Toc17612317"/>
      <w:bookmarkStart w:id="542" w:name="_Toc17611462"/>
      <w:bookmarkStart w:id="543" w:name="_Toc53576092"/>
      <w:bookmarkStart w:id="544" w:name="_Hlk16232609"/>
      <w:bookmarkEnd w:id="537"/>
      <w:bookmarkEnd w:id="538"/>
      <w:bookmarkEnd w:id="539"/>
      <w:bookmarkEnd w:id="540"/>
      <w:bookmarkEnd w:id="541"/>
      <w:r w:rsidRPr="00774EDB">
        <w:rPr>
          <w:rFonts w:ascii="Times New Roman" w:hAnsi="Times New Roman" w:cs="Times New Roman"/>
          <w:b/>
          <w:i w:val="0"/>
          <w:color w:val="auto"/>
          <w:sz w:val="24"/>
          <w:szCs w:val="24"/>
        </w:rPr>
        <w:t>Introduction of new ECS categories</w:t>
      </w:r>
      <w:bookmarkEnd w:id="542"/>
      <w:bookmarkEnd w:id="543"/>
    </w:p>
    <w:bookmarkEnd w:id="544"/>
    <w:p w14:paraId="3B58C639" w14:textId="77777777" w:rsidR="00875484" w:rsidRPr="00774EDB" w:rsidRDefault="009724C9"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 xml:space="preserve">In the original (2002) form of the ECRF, an ‘electronic communications service’ was defined as a service normally provided for remuneration which consists </w:t>
      </w:r>
      <w:r w:rsidRPr="00774EDB">
        <w:rPr>
          <w:rFonts w:ascii="Times New Roman" w:hAnsi="Times New Roman" w:cs="Times New Roman"/>
          <w:i/>
          <w:sz w:val="24"/>
          <w:szCs w:val="24"/>
        </w:rPr>
        <w:t>wholly or mainly in the conveyance of signals on electronic communications networks</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703"/>
      </w:r>
      <w:r w:rsidRPr="00774EDB">
        <w:rPr>
          <w:rFonts w:ascii="Times New Roman" w:hAnsi="Times New Roman" w:cs="Times New Roman"/>
          <w:sz w:val="24"/>
          <w:szCs w:val="24"/>
        </w:rPr>
        <w:t xml:space="preserve"> According to this definition, an ECS simply meant “conveyance of signals on electronic communications networks” in return for a remuneration, reflecting on the distinction between ‘transmission’ and ‘content’. As described above, the main thrusts and access remedies were designed according to this distinction by which an infrastructural vision is embedded within this framework.</w:t>
      </w:r>
    </w:p>
    <w:p w14:paraId="7C1F10D6" w14:textId="00F06666" w:rsidR="00F84564" w:rsidRPr="00A70042" w:rsidRDefault="00875484" w:rsidP="00A70042">
      <w:pPr>
        <w:spacing w:before="360" w:line="468" w:lineRule="auto"/>
        <w:jc w:val="both"/>
        <w:rPr>
          <w:rFonts w:ascii="Times New Roman" w:hAnsi="Times New Roman" w:cs="Times New Roman"/>
          <w:color w:val="000000"/>
          <w:sz w:val="24"/>
          <w:szCs w:val="24"/>
        </w:rPr>
      </w:pPr>
      <w:r w:rsidRPr="00774EDB">
        <w:rPr>
          <w:rFonts w:ascii="Times New Roman" w:hAnsi="Times New Roman" w:cs="Times New Roman"/>
          <w:sz w:val="24"/>
          <w:szCs w:val="24"/>
        </w:rPr>
        <w:t xml:space="preserve"> </w:t>
      </w:r>
      <w:r w:rsidR="009724C9" w:rsidRPr="00774EDB">
        <w:rPr>
          <w:rFonts w:ascii="Times New Roman" w:hAnsi="Times New Roman" w:cs="Times New Roman"/>
          <w:sz w:val="24"/>
          <w:szCs w:val="24"/>
        </w:rPr>
        <w:t xml:space="preserve">While this regulatory mindset is still being kept on, an important change has taken place regarding the definition and categories of an ECS. According to the EECC, an ‘electronic communications service’ </w:t>
      </w:r>
      <w:r w:rsidR="009724C9" w:rsidRPr="00A70042">
        <w:rPr>
          <w:rFonts w:ascii="Times New Roman" w:hAnsi="Times New Roman" w:cs="Times New Roman"/>
          <w:sz w:val="24"/>
          <w:szCs w:val="24"/>
        </w:rPr>
        <w:t xml:space="preserve">(ECS) means a </w:t>
      </w:r>
      <w:r w:rsidR="009724C9" w:rsidRPr="00A70042">
        <w:rPr>
          <w:rFonts w:ascii="Times New Roman" w:hAnsi="Times New Roman" w:cs="Times New Roman" w:hint="eastAsia"/>
          <w:sz w:val="24"/>
          <w:szCs w:val="24"/>
        </w:rPr>
        <w:t>“</w:t>
      </w:r>
      <w:r w:rsidR="009724C9" w:rsidRPr="00774EDB">
        <w:rPr>
          <w:rFonts w:ascii="Times New Roman" w:hAnsi="Times New Roman" w:cs="Times New Roman"/>
          <w:sz w:val="24"/>
          <w:szCs w:val="24"/>
        </w:rPr>
        <w:t>service normally provided for remuneration via electronic communications networks, which encompasses, with the exception of services providing, or exercising editorial control over, content transmitted using electronic communications networks and services, the following types of services:</w:t>
      </w:r>
    </w:p>
    <w:p w14:paraId="4ED5EBFC" w14:textId="77777777" w:rsidR="009724C9" w:rsidRPr="00774EDB" w:rsidRDefault="009724C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(a) ‘internet access service’ as defined in point (2) of the second paragraph of Article 2 of Regulation (EU) 2015/2120;</w:t>
      </w:r>
    </w:p>
    <w:p w14:paraId="7FCB0154" w14:textId="77777777" w:rsidR="009724C9" w:rsidRPr="00774EDB" w:rsidRDefault="009724C9"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(b) interpersonal communications service, and</w:t>
      </w:r>
    </w:p>
    <w:p w14:paraId="29FEEB1A" w14:textId="77777777" w:rsidR="00BB5F3B" w:rsidRPr="00774EDB" w:rsidRDefault="009724C9"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(c) services consisting wholly or mainly in the conveyance of signals, such as transmission services used for the provision of machine-to-machine services and for broadcasting”</w:t>
      </w:r>
      <w:r w:rsidRPr="00A70042">
        <w:rPr>
          <w:rFonts w:ascii="Times New Roman" w:hAnsi="Times New Roman" w:cs="Times New Roman"/>
          <w:sz w:val="24"/>
          <w:szCs w:val="24"/>
        </w:rPr>
        <w:t>.</w:t>
      </w:r>
      <w:r w:rsidRPr="00A70042">
        <w:rPr>
          <w:rStyle w:val="FootnoteReference"/>
          <w:rFonts w:ascii="Times New Roman" w:hAnsi="Times New Roman" w:cs="Times New Roman"/>
          <w:sz w:val="24"/>
          <w:szCs w:val="24"/>
        </w:rPr>
        <w:footnoteReference w:id="704"/>
      </w:r>
      <w:r w:rsidRPr="00A70042">
        <w:rPr>
          <w:rFonts w:ascii="Times New Roman" w:hAnsi="Times New Roman" w:cs="Times New Roman"/>
          <w:sz w:val="24"/>
          <w:szCs w:val="24"/>
        </w:rPr>
        <w:t xml:space="preserve"> According to this renewed definition, an ECS </w:t>
      </w:r>
      <w:r w:rsidRPr="00774EDB">
        <w:rPr>
          <w:rFonts w:ascii="Times New Roman" w:hAnsi="Times New Roman" w:cs="Times New Roman"/>
          <w:sz w:val="24"/>
          <w:szCs w:val="24"/>
        </w:rPr>
        <w:t>will contain;</w:t>
      </w:r>
    </w:p>
    <w:p w14:paraId="6D972EEA" w14:textId="77777777" w:rsidR="009724C9" w:rsidRPr="00774EDB" w:rsidRDefault="009724C9" w:rsidP="00A70042">
      <w:pPr>
        <w:pStyle w:val="ListParagraph"/>
        <w:numPr>
          <w:ilvl w:val="0"/>
          <w:numId w:val="19"/>
        </w:numPr>
        <w:spacing w:before="120"/>
        <w:contextualSpacing w:val="0"/>
        <w:jc w:val="both"/>
        <w:rPr>
          <w:rFonts w:ascii="Times New Roman" w:hAnsi="Times New Roman" w:cs="Times New Roman"/>
          <w:sz w:val="24"/>
          <w:szCs w:val="24"/>
        </w:rPr>
      </w:pPr>
      <w:r w:rsidRPr="00774EDB">
        <w:rPr>
          <w:rFonts w:ascii="Times New Roman" w:hAnsi="Times New Roman" w:cs="Times New Roman"/>
          <w:sz w:val="24"/>
          <w:szCs w:val="24"/>
        </w:rPr>
        <w:t>internet access services (IASs),</w:t>
      </w:r>
    </w:p>
    <w:p w14:paraId="5BEFB6E0" w14:textId="77777777" w:rsidR="009724C9" w:rsidRPr="00774EDB" w:rsidRDefault="009724C9" w:rsidP="00A70042">
      <w:pPr>
        <w:pStyle w:val="ListParagraph"/>
        <w:numPr>
          <w:ilvl w:val="0"/>
          <w:numId w:val="19"/>
        </w:numPr>
        <w:spacing w:before="120"/>
        <w:contextualSpacing w:val="0"/>
        <w:jc w:val="both"/>
        <w:rPr>
          <w:rFonts w:ascii="Times New Roman" w:hAnsi="Times New Roman" w:cs="Times New Roman"/>
          <w:sz w:val="24"/>
          <w:szCs w:val="24"/>
        </w:rPr>
      </w:pPr>
      <w:r w:rsidRPr="00774EDB">
        <w:rPr>
          <w:rFonts w:ascii="Times New Roman" w:hAnsi="Times New Roman" w:cs="Times New Roman"/>
          <w:sz w:val="24"/>
          <w:szCs w:val="24"/>
        </w:rPr>
        <w:t>inter-personal communications services (ICSs), encompassing two sub-categories of number-based and number-independent, and</w:t>
      </w:r>
    </w:p>
    <w:p w14:paraId="1647908F" w14:textId="77777777" w:rsidR="005238BF" w:rsidRPr="00774EDB" w:rsidRDefault="009724C9" w:rsidP="00A70042">
      <w:pPr>
        <w:pStyle w:val="ListParagraph"/>
        <w:numPr>
          <w:ilvl w:val="0"/>
          <w:numId w:val="19"/>
        </w:numPr>
        <w:spacing w:before="120"/>
        <w:contextualSpacing w:val="0"/>
        <w:jc w:val="both"/>
        <w:rPr>
          <w:rFonts w:ascii="Times New Roman" w:hAnsi="Times New Roman" w:cs="Times New Roman"/>
          <w:sz w:val="24"/>
          <w:szCs w:val="24"/>
        </w:rPr>
      </w:pPr>
      <w:r w:rsidRPr="00774EDB">
        <w:rPr>
          <w:rFonts w:ascii="Times New Roman" w:hAnsi="Times New Roman" w:cs="Times New Roman"/>
          <w:sz w:val="24"/>
          <w:szCs w:val="24"/>
        </w:rPr>
        <w:t xml:space="preserve">services consisting wholly or mainly of the conveyance of signals, e.g. M2M transmissions. </w:t>
      </w:r>
      <w:r w:rsidR="005238BF" w:rsidRPr="00774EDB">
        <w:rPr>
          <w:rFonts w:ascii="Times New Roman" w:hAnsi="Times New Roman" w:cs="Times New Roman"/>
          <w:sz w:val="24"/>
          <w:szCs w:val="24"/>
        </w:rPr>
        <w:t xml:space="preserve"> </w:t>
      </w:r>
    </w:p>
    <w:p w14:paraId="4E4A6D58" w14:textId="77777777" w:rsidR="008A46B0" w:rsidRPr="00A70042" w:rsidRDefault="009724C9"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The abovementioned new categorisation reveals a diversion from the criterion ‘conveyance of signals’ in defining an ECS. While the formerly acknowledged ECSs supposedly meant IASs, number-based ICSs and M2M broadcasting transmissions based on the referred criterion, the EECC includes number-independent ICSs into the scope of ECSs as well. While M2M transmission is worth being elaborated separately, it is important to emphasize here that ICSs are grouped into two, by looking at whether end-users are assigned numbers by the service provider. ICSs being offered to customers on the basis of the assigned geographical or non-geographical numbers means a lower threshold for ex-ante regulation, compared to number-independent ICSs.</w:t>
      </w:r>
      <w:r w:rsidRPr="00A70042">
        <w:rPr>
          <w:rStyle w:val="FootnoteReference"/>
          <w:rFonts w:ascii="Times New Roman" w:hAnsi="Times New Roman" w:cs="Times New Roman"/>
          <w:spacing w:val="-2"/>
          <w:sz w:val="24"/>
          <w:szCs w:val="24"/>
        </w:rPr>
        <w:footnoteReference w:id="705"/>
      </w:r>
    </w:p>
    <w:p w14:paraId="0CE2E7C4" w14:textId="62F8F7CB" w:rsidR="00FC7A85" w:rsidRPr="00A70042" w:rsidRDefault="009724C9"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lastRenderedPageBreak/>
        <w:t>Another key aspect of the new classification is the issue of ‘remuneration</w:t>
      </w:r>
      <w:r w:rsidRPr="00A70042">
        <w:rPr>
          <w:rFonts w:ascii="Times New Roman" w:hAnsi="Times New Roman" w:cs="Times New Roman" w:hint="eastAsia"/>
          <w:spacing w:val="-2"/>
          <w:sz w:val="24"/>
          <w:szCs w:val="24"/>
        </w:rPr>
        <w:t>’</w:t>
      </w:r>
      <w:r w:rsidRPr="00A70042">
        <w:rPr>
          <w:rFonts w:ascii="Times New Roman" w:hAnsi="Times New Roman" w:cs="Times New Roman"/>
          <w:spacing w:val="-2"/>
          <w:sz w:val="24"/>
          <w:szCs w:val="24"/>
        </w:rPr>
        <w:t xml:space="preserve"> that diverges from the classic monetary relationship between the parties. According to this, it is acknowledged that ECSs “are often supplied to the end-user not only for money, but increasingly and in particular for the provision of personal data or other data. The concept of remuneration should therefore encompass situations where the provider of a service requests and the end-user knowingly provides, personal data within the meaning of Regulation (EU) 2016/679 or other data directly or indirectly to the provider</w:t>
      </w:r>
      <w:r w:rsidR="00A12068" w:rsidRPr="00A70042">
        <w:rPr>
          <w:rFonts w:ascii="Times New Roman" w:hAnsi="Times New Roman" w:cs="Times New Roman"/>
          <w:spacing w:val="-2"/>
          <w:sz w:val="24"/>
          <w:szCs w:val="24"/>
        </w:rPr>
        <w:t>.</w:t>
      </w:r>
      <w:r w:rsidRPr="00A70042">
        <w:rPr>
          <w:rFonts w:ascii="Times New Roman" w:hAnsi="Times New Roman" w:cs="Times New Roman"/>
          <w:spacing w:val="-2"/>
          <w:sz w:val="24"/>
          <w:szCs w:val="24"/>
        </w:rPr>
        <w:t>”</w:t>
      </w:r>
      <w:r w:rsidRPr="00A70042">
        <w:rPr>
          <w:rStyle w:val="FootnoteReference"/>
          <w:rFonts w:ascii="Times New Roman" w:hAnsi="Times New Roman" w:cs="Times New Roman"/>
          <w:spacing w:val="-2"/>
          <w:sz w:val="24"/>
          <w:szCs w:val="24"/>
        </w:rPr>
        <w:footnoteReference w:id="706"/>
      </w:r>
    </w:p>
    <w:p w14:paraId="67A69A74" w14:textId="6CA541E1" w:rsidR="00761923" w:rsidRPr="00774EDB" w:rsidRDefault="009724C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Finally, as long as “the interpersonal and interactive communication facility is a minor and purely ancillary feature to another service and for objective technical reasons cannot be used without that principal service, and its integration is not a means to circumvent the applicability of the rules governing electronic communications services”, one could not mention about a number-based ICS, or broadly speaking an ECS.</w:t>
      </w:r>
      <w:r w:rsidRPr="00774EDB">
        <w:rPr>
          <w:rStyle w:val="FootnoteReference"/>
          <w:rFonts w:ascii="Times New Roman" w:hAnsi="Times New Roman" w:cs="Times New Roman"/>
          <w:sz w:val="24"/>
          <w:szCs w:val="24"/>
        </w:rPr>
        <w:footnoteReference w:id="707"/>
      </w:r>
      <w:r w:rsidRPr="00774EDB">
        <w:rPr>
          <w:rFonts w:ascii="Times New Roman" w:hAnsi="Times New Roman" w:cs="Times New Roman"/>
          <w:sz w:val="24"/>
          <w:szCs w:val="24"/>
        </w:rPr>
        <w:t xml:space="preserve"> This is to pre-empt all types of OCS-enabled services and products from being taken as an ECS, although many of them would make it possible for their users to communicate with each other through VoIP. While the thrust behind this delimitation seems to create a boundary between the mainstream OCSs and others that make use of ‘interpersonal and interactive communication’ as “a minor ancillary feature”, it seems hardly possible to set out the intended boundaries against the dynamic</w:t>
      </w:r>
      <w:r w:rsidR="00C355E0" w:rsidRPr="00774EDB">
        <w:rPr>
          <w:rFonts w:ascii="Times New Roman" w:hAnsi="Times New Roman" w:cs="Times New Roman"/>
          <w:sz w:val="24"/>
          <w:szCs w:val="24"/>
        </w:rPr>
        <w:t xml:space="preserve"> nature</w:t>
      </w:r>
      <w:r w:rsidRPr="00774EDB">
        <w:rPr>
          <w:rFonts w:ascii="Times New Roman" w:hAnsi="Times New Roman" w:cs="Times New Roman"/>
          <w:sz w:val="24"/>
          <w:szCs w:val="24"/>
        </w:rPr>
        <w:t xml:space="preserve"> of future communication means, technologies and devices.</w:t>
      </w:r>
    </w:p>
    <w:p w14:paraId="7D805012" w14:textId="77777777" w:rsidR="002C7EC8" w:rsidRPr="00774EDB" w:rsidRDefault="002C7EC8" w:rsidP="00A70042">
      <w:pPr>
        <w:pStyle w:val="Heading5"/>
        <w:numPr>
          <w:ilvl w:val="4"/>
          <w:numId w:val="33"/>
        </w:numPr>
        <w:tabs>
          <w:tab w:val="left" w:pos="993"/>
        </w:tabs>
        <w:spacing w:before="360"/>
        <w:ind w:left="0" w:firstLine="0"/>
        <w:jc w:val="both"/>
        <w:rPr>
          <w:rFonts w:ascii="Times New Roman" w:hAnsi="Times New Roman" w:cs="Times New Roman"/>
          <w:b/>
          <w:sz w:val="24"/>
          <w:szCs w:val="24"/>
        </w:rPr>
      </w:pPr>
      <w:bookmarkStart w:id="545" w:name="_Toc17611463"/>
      <w:bookmarkStart w:id="546" w:name="_Toc53576093"/>
      <w:r w:rsidRPr="00774EDB">
        <w:rPr>
          <w:rFonts w:ascii="Times New Roman" w:hAnsi="Times New Roman" w:cs="Times New Roman"/>
          <w:b/>
          <w:color w:val="auto"/>
          <w:sz w:val="24"/>
          <w:szCs w:val="24"/>
        </w:rPr>
        <w:lastRenderedPageBreak/>
        <w:t>Number-independent inter-personal communications services</w:t>
      </w:r>
      <w:bookmarkEnd w:id="545"/>
      <w:bookmarkEnd w:id="546"/>
    </w:p>
    <w:p w14:paraId="7420A5A1" w14:textId="77777777" w:rsidR="00610F92" w:rsidRPr="00774EDB" w:rsidRDefault="00C355E0"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As mentioned above, if an undertaking provides ICSs based on the numbers assigned according to a national or international numbering plan, then it is assumed to provide number-based ICSs within the meaning of the EECC. On the other hand, all of the online communications services (OCSs) provided by ICS providers are not necessarily affiliated with a geographical or non-geographical number. Whereas number-based ICSs are usually provided by conventional telcoes, Skype, WhatsApp and Viber and many other OCS and OTT providers could be assigned numbers as they wish within the context of a national or international numbering plan.</w:t>
      </w:r>
    </w:p>
    <w:p w14:paraId="5B721515" w14:textId="77777777" w:rsidR="001E0A2F" w:rsidRPr="00774EDB" w:rsidRDefault="00C355E0"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According to the EECC, number-based ICS providers are to be treated the same as other ECS providers, e.g. telcoes, concerning a number of issues relating to consumer protection, which incorporate certain contractual, technical and administrative standards. For instance, according to Article 109(2) of the EECC, p</w:t>
      </w:r>
      <w:r w:rsidRPr="00A70042">
        <w:rPr>
          <w:rFonts w:ascii="Times New Roman" w:hAnsi="Times New Roman" w:cs="Times New Roman"/>
          <w:sz w:val="24"/>
          <w:szCs w:val="24"/>
        </w:rPr>
        <w:t xml:space="preserve">roviders of number-based ICSs have an obligation </w:t>
      </w:r>
      <w:r w:rsidRPr="00A70042">
        <w:rPr>
          <w:rFonts w:ascii="Times New Roman" w:hAnsi="Times New Roman" w:cs="Times New Roman" w:hint="eastAsia"/>
          <w:sz w:val="24"/>
          <w:szCs w:val="24"/>
        </w:rPr>
        <w:t>“</w:t>
      </w:r>
      <w:r w:rsidRPr="00A70042">
        <w:rPr>
          <w:rFonts w:ascii="Times New Roman" w:hAnsi="Times New Roman" w:cs="Times New Roman"/>
          <w:sz w:val="24"/>
          <w:szCs w:val="24"/>
        </w:rPr>
        <w:t>to provide access to emergency services through emergency communications to the most appropriate PSAP [public safety answering point]</w:t>
      </w:r>
      <w:r w:rsidRPr="00A70042">
        <w:rPr>
          <w:rFonts w:ascii="Times New Roman" w:hAnsi="Times New Roman" w:cs="Times New Roman" w:hint="eastAsia"/>
          <w:sz w:val="24"/>
          <w:szCs w:val="24"/>
        </w:rPr>
        <w:t>”</w:t>
      </w:r>
      <w:r w:rsidRPr="00A70042">
        <w:rPr>
          <w:rFonts w:ascii="Times New Roman" w:hAnsi="Times New Roman" w:cs="Times New Roman"/>
          <w:sz w:val="24"/>
          <w:szCs w:val="24"/>
        </w:rPr>
        <w:t>.</w:t>
      </w:r>
      <w:r w:rsidRPr="00A70042">
        <w:rPr>
          <w:rStyle w:val="FootnoteReference"/>
          <w:rFonts w:ascii="Times New Roman" w:hAnsi="Times New Roman" w:cs="Times New Roman"/>
          <w:sz w:val="24"/>
          <w:szCs w:val="24"/>
        </w:rPr>
        <w:footnoteReference w:id="708"/>
      </w:r>
      <w:r w:rsidRPr="00A70042">
        <w:rPr>
          <w:rFonts w:ascii="Times New Roman" w:hAnsi="Times New Roman" w:cs="Times New Roman"/>
          <w:sz w:val="24"/>
          <w:szCs w:val="24"/>
        </w:rPr>
        <w:t xml:space="preserve"> Bundle-related requirements, e.g. relating to the extension of subscription periods, are likewise imposed on number-based ICS providers, as well as IAS providers, according to Article 107 of the EECC. Last but not least, it is established that providers of number-based ICSs should respect the end-users</w:t>
      </w:r>
      <w:r w:rsidRPr="00A70042">
        <w:rPr>
          <w:rFonts w:ascii="Times New Roman" w:hAnsi="Times New Roman" w:cs="Times New Roman" w:hint="eastAsia"/>
          <w:sz w:val="24"/>
          <w:szCs w:val="24"/>
        </w:rPr>
        <w:t>’</w:t>
      </w:r>
      <w:r w:rsidRPr="00A70042">
        <w:rPr>
          <w:rFonts w:ascii="Times New Roman" w:hAnsi="Times New Roman" w:cs="Times New Roman"/>
          <w:sz w:val="24"/>
          <w:szCs w:val="24"/>
        </w:rPr>
        <w:t xml:space="preserve"> decision when making data available to directory service providers.</w:t>
      </w:r>
      <w:r w:rsidRPr="00A70042">
        <w:rPr>
          <w:rStyle w:val="FootnoteReference"/>
          <w:rFonts w:ascii="Times New Roman" w:hAnsi="Times New Roman" w:cs="Times New Roman"/>
          <w:sz w:val="24"/>
          <w:szCs w:val="24"/>
        </w:rPr>
        <w:footnoteReference w:id="709"/>
      </w:r>
      <w:r w:rsidRPr="00A70042">
        <w:rPr>
          <w:rFonts w:ascii="Times New Roman" w:hAnsi="Times New Roman" w:cs="Times New Roman"/>
          <w:sz w:val="24"/>
          <w:szCs w:val="24"/>
        </w:rPr>
        <w:t xml:space="preserve"> Exceptionally, </w:t>
      </w:r>
      <w:r w:rsidRPr="00774EDB">
        <w:rPr>
          <w:rFonts w:ascii="Times New Roman" w:hAnsi="Times New Roman" w:cs="Times New Roman"/>
          <w:sz w:val="24"/>
          <w:szCs w:val="24"/>
        </w:rPr>
        <w:t xml:space="preserve">information </w:t>
      </w:r>
      <w:r w:rsidRPr="00774EDB">
        <w:rPr>
          <w:rFonts w:ascii="Times New Roman" w:hAnsi="Times New Roman" w:cs="Times New Roman"/>
          <w:sz w:val="24"/>
          <w:szCs w:val="24"/>
        </w:rPr>
        <w:lastRenderedPageBreak/>
        <w:t>requirements for contracts are arranged as to address all the ICS providers comprising both providers of number-independent ICSs and IASs.</w:t>
      </w:r>
      <w:r w:rsidRPr="00774EDB">
        <w:rPr>
          <w:rStyle w:val="FootnoteReference"/>
          <w:rFonts w:ascii="Times New Roman" w:hAnsi="Times New Roman" w:cs="Times New Roman"/>
          <w:sz w:val="24"/>
          <w:szCs w:val="24"/>
        </w:rPr>
        <w:footnoteReference w:id="710"/>
      </w:r>
    </w:p>
    <w:p w14:paraId="03AD6CCF" w14:textId="77777777" w:rsidR="00B34016" w:rsidRPr="00774EDB" w:rsidRDefault="00C355E0" w:rsidP="00A70042">
      <w:pPr>
        <w:spacing w:before="360" w:line="468" w:lineRule="auto"/>
        <w:jc w:val="both"/>
        <w:rPr>
          <w:rFonts w:ascii="Times New Roman" w:hAnsi="Times New Roman" w:cs="Times New Roman"/>
          <w:sz w:val="24"/>
          <w:szCs w:val="24"/>
        </w:rPr>
      </w:pPr>
      <w:r w:rsidRPr="00774EDB">
        <w:rPr>
          <w:rFonts w:ascii="Times New Roman" w:hAnsi="Times New Roman" w:cs="Times New Roman"/>
          <w:sz w:val="24"/>
          <w:szCs w:val="24"/>
        </w:rPr>
        <w:t>As stated above, number-independent ICS providers are treated more lightly than number-based ICS providers are treated under the EECC. Except with a few contractual obligations mentioned above, i.e. information requirements, number-independent ICS providers are only subject to generic security obligations as per Article 40 of the EECC.</w:t>
      </w:r>
      <w:r w:rsidRPr="00774EDB">
        <w:rPr>
          <w:rStyle w:val="FootnoteReference"/>
          <w:rFonts w:ascii="Times New Roman" w:hAnsi="Times New Roman" w:cs="Times New Roman"/>
          <w:sz w:val="24"/>
          <w:szCs w:val="24"/>
        </w:rPr>
        <w:footnoteReference w:id="711"/>
      </w:r>
      <w:r w:rsidRPr="00774EDB">
        <w:rPr>
          <w:rFonts w:ascii="Times New Roman" w:hAnsi="Times New Roman" w:cs="Times New Roman"/>
          <w:sz w:val="24"/>
          <w:szCs w:val="24"/>
        </w:rPr>
        <w:t xml:space="preserve"> Number-independent ICS providers do not have any other ex-ante obligation directly imposed by the EECC, apart from those specified above, i.e. under Articles 40, 102 and partially 109. On the other hand, an exceptional remedy is envisaged under Article 61(2/c) of the EECC. According to this provision, such undertakings could be subject to an obligation:</w:t>
      </w:r>
    </w:p>
    <w:p w14:paraId="7763C0D6" w14:textId="215D8559" w:rsidR="00B34016" w:rsidRPr="00A70042" w:rsidRDefault="004F63D1" w:rsidP="00A70042">
      <w:pPr>
        <w:spacing w:before="360"/>
        <w:ind w:left="720" w:right="720"/>
        <w:jc w:val="both"/>
        <w:rPr>
          <w:rFonts w:ascii="Times New Roman" w:hAnsi="Times New Roman" w:cs="Times New Roman"/>
          <w:color w:val="000000"/>
          <w:sz w:val="24"/>
          <w:szCs w:val="24"/>
        </w:rPr>
      </w:pPr>
      <w:r>
        <w:rPr>
          <w:rFonts w:ascii="Times New Roman" w:hAnsi="Times New Roman" w:cs="Times New Roman"/>
          <w:sz w:val="24"/>
          <w:szCs w:val="24"/>
        </w:rPr>
        <w:t>“</w:t>
      </w:r>
      <w:r w:rsidR="00186F3C" w:rsidRPr="00A70042">
        <w:rPr>
          <w:rFonts w:ascii="Times New Roman" w:hAnsi="Times New Roman" w:cs="Times New Roman"/>
          <w:color w:val="000000"/>
          <w:sz w:val="24"/>
          <w:szCs w:val="24"/>
        </w:rPr>
        <w:t xml:space="preserve">in justified cases, </w:t>
      </w:r>
      <w:r w:rsidR="000C2FD1" w:rsidRPr="00A70042">
        <w:rPr>
          <w:rFonts w:ascii="Times New Roman" w:hAnsi="Times New Roman" w:cs="Times New Roman"/>
          <w:color w:val="000000"/>
          <w:sz w:val="24"/>
          <w:szCs w:val="24"/>
        </w:rPr>
        <w:t>(</w:t>
      </w:r>
      <w:r w:rsidR="000C2FD1" w:rsidRPr="00A70042">
        <w:rPr>
          <w:rFonts w:ascii="Times New Roman" w:hAnsi="Times New Roman" w:cs="Times New Roman" w:hint="eastAsia"/>
          <w:color w:val="000000"/>
          <w:sz w:val="24"/>
          <w:szCs w:val="24"/>
        </w:rPr>
        <w:t>…</w:t>
      </w:r>
      <w:r w:rsidR="000C2FD1" w:rsidRPr="00A70042">
        <w:rPr>
          <w:rFonts w:ascii="Times New Roman" w:hAnsi="Times New Roman" w:cs="Times New Roman"/>
          <w:color w:val="000000"/>
          <w:sz w:val="24"/>
          <w:szCs w:val="24"/>
        </w:rPr>
        <w:t xml:space="preserve">) </w:t>
      </w:r>
      <w:r w:rsidR="00186F3C" w:rsidRPr="00A70042">
        <w:rPr>
          <w:rFonts w:ascii="Times New Roman" w:hAnsi="Times New Roman" w:cs="Times New Roman"/>
          <w:color w:val="000000"/>
          <w:sz w:val="24"/>
          <w:szCs w:val="24"/>
        </w:rPr>
        <w:t>to make their services interoperable, namely where access</w:t>
      </w:r>
      <w:r w:rsidR="000C2FD1" w:rsidRPr="00A70042">
        <w:rPr>
          <w:rFonts w:ascii="Times New Roman" w:hAnsi="Times New Roman" w:cs="Times New Roman"/>
          <w:color w:val="000000"/>
          <w:sz w:val="24"/>
          <w:szCs w:val="24"/>
        </w:rPr>
        <w:t xml:space="preserve"> </w:t>
      </w:r>
      <w:r w:rsidR="00186F3C" w:rsidRPr="00A70042">
        <w:rPr>
          <w:rFonts w:ascii="Times New Roman" w:hAnsi="Times New Roman" w:cs="Times New Roman"/>
          <w:color w:val="000000"/>
          <w:sz w:val="24"/>
          <w:szCs w:val="24"/>
        </w:rPr>
        <w:t>to emergency services or end-to-end connectivity between end-users is endangered</w:t>
      </w:r>
      <w:r w:rsidR="000C2FD1" w:rsidRPr="00A70042">
        <w:rPr>
          <w:rFonts w:ascii="Times New Roman" w:hAnsi="Times New Roman" w:cs="Times New Roman"/>
          <w:color w:val="000000"/>
          <w:sz w:val="24"/>
          <w:szCs w:val="24"/>
        </w:rPr>
        <w:t xml:space="preserve"> </w:t>
      </w:r>
      <w:r w:rsidR="00186F3C" w:rsidRPr="00A70042">
        <w:rPr>
          <w:rFonts w:ascii="Times New Roman" w:hAnsi="Times New Roman" w:cs="Times New Roman"/>
          <w:color w:val="000000"/>
          <w:sz w:val="24"/>
          <w:szCs w:val="24"/>
        </w:rPr>
        <w:t>due to a lack of interoperability between interp</w:t>
      </w:r>
      <w:r w:rsidR="000C2FD1" w:rsidRPr="00A70042">
        <w:rPr>
          <w:rFonts w:ascii="Times New Roman" w:hAnsi="Times New Roman" w:cs="Times New Roman"/>
          <w:color w:val="000000"/>
          <w:sz w:val="24"/>
          <w:szCs w:val="24"/>
        </w:rPr>
        <w:t>er</w:t>
      </w:r>
      <w:r w:rsidR="00B34016" w:rsidRPr="00A70042">
        <w:rPr>
          <w:rFonts w:ascii="Times New Roman" w:hAnsi="Times New Roman" w:cs="Times New Roman"/>
          <w:color w:val="000000"/>
          <w:sz w:val="24"/>
          <w:szCs w:val="24"/>
        </w:rPr>
        <w:t>sonal communications services</w:t>
      </w:r>
      <w:r w:rsidR="0076165F">
        <w:rPr>
          <w:rFonts w:ascii="Times New Roman" w:hAnsi="Times New Roman" w:cs="Times New Roman"/>
          <w:color w:val="000000"/>
          <w:sz w:val="24"/>
          <w:szCs w:val="24"/>
        </w:rPr>
        <w:t>.</w:t>
      </w:r>
      <w:r>
        <w:rPr>
          <w:rFonts w:ascii="Times New Roman" w:hAnsi="Times New Roman" w:cs="Times New Roman"/>
          <w:color w:val="000000"/>
          <w:sz w:val="24"/>
          <w:szCs w:val="24"/>
        </w:rPr>
        <w:t>”</w:t>
      </w:r>
      <w:r w:rsidR="00B34016" w:rsidRPr="00A70042">
        <w:rPr>
          <w:rStyle w:val="FootnoteReference"/>
          <w:rFonts w:ascii="Times New Roman" w:hAnsi="Times New Roman" w:cs="Times New Roman"/>
          <w:color w:val="000000"/>
          <w:sz w:val="24"/>
          <w:szCs w:val="24"/>
        </w:rPr>
        <w:footnoteReference w:id="712"/>
      </w:r>
    </w:p>
    <w:p w14:paraId="4ACF3DC4" w14:textId="1BD17DCD" w:rsidR="00C355E0" w:rsidRPr="00A70042" w:rsidRDefault="00C355E0"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lastRenderedPageBreak/>
        <w:t>Hence, in the event of an actual threat to end-to-end connectivity or to effective access to emergency services, the Commission and where necessary the relevant NRA, may identify a need for measures to ensure interoperability, for instance through a standardisation process.</w:t>
      </w:r>
      <w:r w:rsidRPr="00A70042">
        <w:rPr>
          <w:rStyle w:val="FootnoteReference"/>
          <w:rFonts w:ascii="Times New Roman" w:hAnsi="Times New Roman" w:cs="Times New Roman"/>
          <w:spacing w:val="-2"/>
          <w:sz w:val="24"/>
          <w:szCs w:val="24"/>
        </w:rPr>
        <w:footnoteReference w:id="713"/>
      </w:r>
      <w:r w:rsidRPr="00A70042">
        <w:rPr>
          <w:rFonts w:ascii="Times New Roman" w:hAnsi="Times New Roman" w:cs="Times New Roman"/>
          <w:spacing w:val="-2"/>
          <w:sz w:val="24"/>
          <w:szCs w:val="24"/>
        </w:rPr>
        <w:t xml:space="preserve"> This regulatory prospect means that OCS and OTT providers, e.g. Skype, WhatsApp and Viber, will potentially be exposed to the abovementioned measure(s) should their consumers face problems with regards to “access to emergency services or end-to-end connectivity</w:t>
      </w:r>
      <w:r w:rsidRPr="00A70042">
        <w:rPr>
          <w:rFonts w:ascii="Times New Roman" w:hAnsi="Times New Roman" w:cs="Times New Roman" w:hint="eastAsia"/>
          <w:spacing w:val="-2"/>
          <w:sz w:val="24"/>
          <w:szCs w:val="24"/>
        </w:rPr>
        <w:t>”</w:t>
      </w:r>
      <w:r w:rsidRPr="00A70042">
        <w:rPr>
          <w:rFonts w:ascii="Times New Roman" w:hAnsi="Times New Roman" w:cs="Times New Roman"/>
          <w:spacing w:val="-2"/>
          <w:sz w:val="24"/>
          <w:szCs w:val="24"/>
        </w:rPr>
        <w:t>resulting from the lack of interoperability. This is a note-worthy regulatory step towards ensuring the interoperability of upper layer applications and services, going beyond traditional telecommunications networks</w:t>
      </w:r>
      <w:r w:rsidRPr="00A70042">
        <w:rPr>
          <w:rStyle w:val="FootnoteReference"/>
          <w:rFonts w:ascii="Times New Roman" w:hAnsi="Times New Roman" w:cs="Times New Roman"/>
          <w:spacing w:val="-2"/>
          <w:sz w:val="24"/>
          <w:szCs w:val="24"/>
        </w:rPr>
        <w:footnoteReference w:id="714"/>
      </w:r>
      <w:r w:rsidRPr="00A70042">
        <w:rPr>
          <w:rFonts w:ascii="Times New Roman" w:hAnsi="Times New Roman" w:cs="Times New Roman"/>
          <w:spacing w:val="-2"/>
          <w:sz w:val="24"/>
          <w:szCs w:val="24"/>
        </w:rPr>
        <w:t xml:space="preserve"> and the conventional wisdom of infrastructural regulation.</w:t>
      </w:r>
    </w:p>
    <w:p w14:paraId="7C78BEBA" w14:textId="52919C04" w:rsidR="00642589" w:rsidRPr="00A70042" w:rsidRDefault="00C355E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Against this background, ensuring ‘end-to-end connectivity’ appears to be the main policy driver for ICT interoperability, being adjusted and expanded in view of accompanying reasons, i.e. access to emergency services, that would warrant public policy interventions. Notwithstanding, this expansive step would be deemed incomplete in view of the ever-growing convergence between the OCSs and OTTs and conventional ECSs. As a matter of fact, around 3% of the global OCS users are encompassed by the definition of inter-personal communications services,</w:t>
      </w:r>
      <w:r w:rsidRPr="00774EDB">
        <w:rPr>
          <w:rStyle w:val="FootnoteReference"/>
          <w:rFonts w:ascii="Times New Roman" w:hAnsi="Times New Roman" w:cs="Times New Roman"/>
          <w:sz w:val="24"/>
          <w:szCs w:val="24"/>
        </w:rPr>
        <w:footnoteReference w:id="715"/>
      </w:r>
      <w:r w:rsidRPr="00774EDB">
        <w:rPr>
          <w:rFonts w:ascii="Times New Roman" w:hAnsi="Times New Roman" w:cs="Times New Roman"/>
          <w:sz w:val="24"/>
          <w:szCs w:val="24"/>
        </w:rPr>
        <w:t xml:space="preserve"> and the multiple criteria for interoperability-centric interventions would not effectively comprehend the everyday expanding ICT world with all its constituent dynamics.</w:t>
      </w:r>
    </w:p>
    <w:p w14:paraId="3F39DF8E" w14:textId="77777777" w:rsidR="00BB0571" w:rsidRPr="00774EDB" w:rsidRDefault="002C7EC8" w:rsidP="00A70042">
      <w:pPr>
        <w:pStyle w:val="Heading5"/>
        <w:numPr>
          <w:ilvl w:val="4"/>
          <w:numId w:val="33"/>
        </w:numPr>
        <w:tabs>
          <w:tab w:val="left" w:pos="1134"/>
        </w:tabs>
        <w:spacing w:before="360"/>
        <w:ind w:left="0" w:firstLine="0"/>
        <w:jc w:val="both"/>
        <w:rPr>
          <w:rFonts w:ascii="Times New Roman" w:hAnsi="Times New Roman" w:cs="Times New Roman"/>
          <w:b/>
          <w:color w:val="auto"/>
          <w:sz w:val="24"/>
          <w:szCs w:val="24"/>
        </w:rPr>
      </w:pPr>
      <w:bookmarkStart w:id="547" w:name="_Toc17611464"/>
      <w:bookmarkStart w:id="548" w:name="_Toc53576094"/>
      <w:r w:rsidRPr="00774EDB">
        <w:rPr>
          <w:rFonts w:ascii="Times New Roman" w:hAnsi="Times New Roman" w:cs="Times New Roman"/>
          <w:b/>
          <w:color w:val="auto"/>
          <w:sz w:val="24"/>
          <w:szCs w:val="24"/>
        </w:rPr>
        <w:lastRenderedPageBreak/>
        <w:t>M2M transmission services</w:t>
      </w:r>
      <w:bookmarkEnd w:id="547"/>
      <w:bookmarkEnd w:id="548"/>
    </w:p>
    <w:p w14:paraId="44D2CE69" w14:textId="77777777" w:rsidR="00692834" w:rsidRPr="00774EDB" w:rsidRDefault="00396BD7"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mentioned above, M2M transmission represents another new ECS category within the meaning of the ECRF. Under the EECC, “services consisting wholly or mainly of the conveyance of signals, such as transmission services used for M2M communications and for broadcasting” are set out as the third ECS category, alongside ICSs and IASs.</w:t>
      </w:r>
      <w:r w:rsidRPr="00774EDB">
        <w:rPr>
          <w:rStyle w:val="FootnoteReference"/>
          <w:rFonts w:ascii="Times New Roman" w:hAnsi="Times New Roman" w:cs="Times New Roman"/>
          <w:sz w:val="24"/>
          <w:szCs w:val="24"/>
        </w:rPr>
        <w:footnoteReference w:id="716"/>
      </w:r>
      <w:r w:rsidRPr="00774EDB">
        <w:rPr>
          <w:rFonts w:ascii="Times New Roman" w:hAnsi="Times New Roman" w:cs="Times New Roman"/>
          <w:sz w:val="24"/>
          <w:szCs w:val="24"/>
        </w:rPr>
        <w:t xml:space="preserve"> If not the same as ICS or IAS providers, undertakings which offer M2M transmission to the consumers, e.g. either using mobile numbering codes (MNCs) assigned to themselves or relying on third party MNCs, are subjected to ex-ante regulation for certain purposes, e.g. network security. This new service cluster comes up with not only responsibilities but also with more rights, along with a more IoT (M2M) friendly legal environment.</w:t>
      </w:r>
    </w:p>
    <w:p w14:paraId="0FA5BBB9" w14:textId="6EF42940" w:rsidR="00D66176" w:rsidRPr="00A70042" w:rsidRDefault="00396BD7"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 xml:space="preserve">This EU approach seems to have arisen in view of the challenges as well as the opportunities brought about by the IoT services, which rest on broadband connectivity as well as other inputs, e.g. smart devices, clouds and microprocessors. Usually, Subscriber Identity Module (SIM) cards are distributed by the mobile operators to M2M providers, e.g. gas and electricity suppliers, thermostat manufacturers and smart car producers, which do not normally </w:t>
      </w:r>
      <w:r w:rsidR="006E49BA">
        <w:rPr>
          <w:rFonts w:ascii="Times New Roman" w:hAnsi="Times New Roman" w:cs="Times New Roman"/>
          <w:spacing w:val="-2"/>
          <w:sz w:val="24"/>
          <w:szCs w:val="24"/>
        </w:rPr>
        <w:t>capture</w:t>
      </w:r>
      <w:r w:rsidR="006E49BA" w:rsidRPr="00A70042">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the management of SIMs that are embedded into the M2M devices, e.g. smart meters. Based on the idea of transferability of this management to M2M providers, the EECC’s policy approach envisages that M2M providers will be able to manage MNCs, according to the numbering plans of the relevant countries. By then, it is expected that M2M providers can easily manage their subscribers, have a closer contact and marketing approach from having the ability to differentiate their products e.g. with possible advantages like multi-network roaming.</w:t>
      </w:r>
      <w:r w:rsidR="006053CD" w:rsidRPr="00A70042">
        <w:rPr>
          <w:rFonts w:ascii="Times New Roman" w:hAnsi="Times New Roman" w:cs="Times New Roman"/>
          <w:spacing w:val="-2"/>
          <w:sz w:val="24"/>
          <w:szCs w:val="24"/>
        </w:rPr>
        <w:t xml:space="preserve"> </w:t>
      </w:r>
    </w:p>
    <w:p w14:paraId="234F0BC3" w14:textId="1C477A4E" w:rsidR="00CA3510" w:rsidRPr="00774EDB" w:rsidRDefault="00A52BA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Going beyond the management of MNCs, M2M providers might step forward hav</w:t>
      </w:r>
      <w:r w:rsidR="006E49BA">
        <w:rPr>
          <w:rFonts w:ascii="Times New Roman" w:hAnsi="Times New Roman" w:cs="Times New Roman"/>
          <w:sz w:val="24"/>
          <w:szCs w:val="24"/>
        </w:rPr>
        <w:t>ing</w:t>
      </w:r>
      <w:r w:rsidRPr="00774EDB">
        <w:rPr>
          <w:rFonts w:ascii="Times New Roman" w:hAnsi="Times New Roman" w:cs="Times New Roman"/>
          <w:sz w:val="24"/>
          <w:szCs w:val="24"/>
        </w:rPr>
        <w:t xml:space="preserve"> their virtual networks. In such a case, they will be able to act as authorised ECS providers as long as they meet the required standards under the ECRF. This means M2M providers, which represent the IoT providers utilising cellular networks, will then be an ECS provider of a separate status, according to the EECC. This is a real and would-be common scenario as the IoT networks will potentially become more prevalent in our daily lives with a greater interplay with electronic communications networks and services. Given this fact, the IoT/M2M providers might consider running separate networks as a feasible option and opt to have and govern their network facilities rather than relying on a hosting network.</w:t>
      </w:r>
      <w:r w:rsidR="0002295F" w:rsidRPr="00774EDB">
        <w:rPr>
          <w:rFonts w:ascii="Times New Roman" w:hAnsi="Times New Roman" w:cs="Times New Roman"/>
          <w:sz w:val="24"/>
          <w:szCs w:val="24"/>
        </w:rPr>
        <w:t xml:space="preserve"> </w:t>
      </w:r>
    </w:p>
    <w:p w14:paraId="010AD4BB" w14:textId="156E4A40" w:rsidR="00C84EB3" w:rsidRPr="00774EDB" w:rsidRDefault="00A52BA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Although </w:t>
      </w:r>
      <w:r w:rsidR="00E80E6D">
        <w:rPr>
          <w:rFonts w:ascii="Times New Roman" w:hAnsi="Times New Roman" w:cs="Times New Roman"/>
          <w:sz w:val="24"/>
          <w:szCs w:val="24"/>
        </w:rPr>
        <w:t>hav</w:t>
      </w:r>
      <w:r w:rsidRPr="00774EDB">
        <w:rPr>
          <w:rFonts w:ascii="Times New Roman" w:hAnsi="Times New Roman" w:cs="Times New Roman"/>
          <w:sz w:val="24"/>
          <w:szCs w:val="24"/>
        </w:rPr>
        <w:t>ing a</w:t>
      </w:r>
      <w:r w:rsidR="00E80E6D">
        <w:rPr>
          <w:rFonts w:ascii="Times New Roman" w:hAnsi="Times New Roman" w:cs="Times New Roman"/>
          <w:sz w:val="24"/>
          <w:szCs w:val="24"/>
        </w:rPr>
        <w:t xml:space="preserve"> physical or even</w:t>
      </w:r>
      <w:r w:rsidRPr="00774EDB">
        <w:rPr>
          <w:rFonts w:ascii="Times New Roman" w:hAnsi="Times New Roman" w:cs="Times New Roman"/>
          <w:sz w:val="24"/>
          <w:szCs w:val="24"/>
        </w:rPr>
        <w:t xml:space="preserve"> virtual </w:t>
      </w:r>
      <w:r w:rsidR="00E80E6D">
        <w:rPr>
          <w:rFonts w:ascii="Times New Roman" w:hAnsi="Times New Roman" w:cs="Times New Roman"/>
          <w:sz w:val="24"/>
          <w:szCs w:val="24"/>
        </w:rPr>
        <w:t xml:space="preserve">(hosted) </w:t>
      </w:r>
      <w:r w:rsidRPr="00774EDB">
        <w:rPr>
          <w:rFonts w:ascii="Times New Roman" w:hAnsi="Times New Roman" w:cs="Times New Roman"/>
          <w:sz w:val="24"/>
          <w:szCs w:val="24"/>
        </w:rPr>
        <w:t xml:space="preserve">network </w:t>
      </w:r>
      <w:r w:rsidR="00E80E6D">
        <w:rPr>
          <w:rFonts w:ascii="Times New Roman" w:hAnsi="Times New Roman" w:cs="Times New Roman"/>
          <w:sz w:val="24"/>
          <w:szCs w:val="24"/>
        </w:rPr>
        <w:t>offer</w:t>
      </w:r>
      <w:r w:rsidRPr="00774EDB">
        <w:rPr>
          <w:rFonts w:ascii="Times New Roman" w:hAnsi="Times New Roman" w:cs="Times New Roman"/>
          <w:sz w:val="24"/>
          <w:szCs w:val="24"/>
        </w:rPr>
        <w:t xml:space="preserve">s the full potential to solve numbering related problems, such problems would not be fully dismissed under other scenarios where the IoT service providers have limited management capabilities over their subscribers. In the scenarios where M2M providers do not have fully-fledged MNC management i.e. </w:t>
      </w:r>
      <w:r w:rsidR="003D41F0" w:rsidRPr="00774EDB">
        <w:rPr>
          <w:rFonts w:ascii="Times New Roman" w:hAnsi="Times New Roman" w:cs="Times New Roman"/>
          <w:sz w:val="24"/>
          <w:szCs w:val="24"/>
        </w:rPr>
        <w:t>because of</w:t>
      </w:r>
      <w:r w:rsidRPr="00774EDB">
        <w:rPr>
          <w:rFonts w:ascii="Times New Roman" w:hAnsi="Times New Roman" w:cs="Times New Roman"/>
          <w:sz w:val="24"/>
          <w:szCs w:val="24"/>
        </w:rPr>
        <w:t xml:space="preserve"> contractual </w:t>
      </w:r>
      <w:r w:rsidR="003D41F0" w:rsidRPr="00774EDB">
        <w:rPr>
          <w:rFonts w:ascii="Times New Roman" w:hAnsi="Times New Roman" w:cs="Times New Roman"/>
          <w:sz w:val="24"/>
          <w:szCs w:val="24"/>
        </w:rPr>
        <w:t xml:space="preserve">and/or network-related constraints </w:t>
      </w:r>
      <w:r w:rsidRPr="00774EDB">
        <w:rPr>
          <w:rFonts w:ascii="Times New Roman" w:hAnsi="Times New Roman" w:cs="Times New Roman"/>
          <w:sz w:val="24"/>
          <w:szCs w:val="24"/>
        </w:rPr>
        <w:t xml:space="preserve">with </w:t>
      </w:r>
      <w:r w:rsidR="003D41F0" w:rsidRPr="00774EDB">
        <w:rPr>
          <w:rFonts w:ascii="Times New Roman" w:hAnsi="Times New Roman" w:cs="Times New Roman"/>
          <w:sz w:val="24"/>
          <w:szCs w:val="24"/>
        </w:rPr>
        <w:t xml:space="preserve">the </w:t>
      </w:r>
      <w:r w:rsidRPr="00774EDB">
        <w:rPr>
          <w:rFonts w:ascii="Times New Roman" w:hAnsi="Times New Roman" w:cs="Times New Roman"/>
          <w:sz w:val="24"/>
          <w:szCs w:val="24"/>
        </w:rPr>
        <w:t xml:space="preserve">network operators, their customers will eventually face switching </w:t>
      </w:r>
      <w:r w:rsidR="00CE68E2" w:rsidRPr="00774EDB">
        <w:rPr>
          <w:rFonts w:ascii="Times New Roman" w:hAnsi="Times New Roman" w:cs="Times New Roman"/>
          <w:sz w:val="24"/>
          <w:szCs w:val="24"/>
        </w:rPr>
        <w:t>difficultie</w:t>
      </w:r>
      <w:r w:rsidRPr="00774EDB">
        <w:rPr>
          <w:rFonts w:ascii="Times New Roman" w:hAnsi="Times New Roman" w:cs="Times New Roman"/>
          <w:sz w:val="24"/>
          <w:szCs w:val="24"/>
        </w:rPr>
        <w:t>s while they wish to port their SIMs across the mobile networks. Another noticeable fact behind this situation is that number portability is not possible on a technically convenient and widely applicable basis in such scenarios, unlike the mobile number portability which individual mobile users currently benefit from.</w:t>
      </w:r>
    </w:p>
    <w:p w14:paraId="5C604922" w14:textId="39FD551A" w:rsidR="00DB0507" w:rsidRPr="00774EDB" w:rsidRDefault="00CE68E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Against this background, the EECC implicates a solution called ‘over-the-air (OTA) provisioning of numbering resources’ based on industry implementations.</w:t>
      </w:r>
      <w:r w:rsidRPr="00774EDB">
        <w:rPr>
          <w:rStyle w:val="FootnoteReference"/>
          <w:rFonts w:ascii="Times New Roman" w:hAnsi="Times New Roman" w:cs="Times New Roman"/>
          <w:sz w:val="24"/>
          <w:szCs w:val="24"/>
        </w:rPr>
        <w:footnoteReference w:id="717"/>
      </w:r>
      <w:r w:rsidRPr="00774EDB">
        <w:rPr>
          <w:rFonts w:ascii="Times New Roman" w:hAnsi="Times New Roman" w:cs="Times New Roman"/>
          <w:sz w:val="24"/>
          <w:szCs w:val="24"/>
        </w:rPr>
        <w:t xml:space="preserve"> OTA </w:t>
      </w:r>
      <w:r w:rsidRPr="00774EDB">
        <w:rPr>
          <w:rFonts w:ascii="Times New Roman" w:hAnsi="Times New Roman" w:cs="Times New Roman"/>
          <w:sz w:val="24"/>
          <w:szCs w:val="24"/>
        </w:rPr>
        <w:lastRenderedPageBreak/>
        <w:t>provisioning of numbering resources enables the reprogramming of communications equipment identifiers without physical access to the devices concerned.</w:t>
      </w:r>
      <w:r w:rsidRPr="00774EDB">
        <w:rPr>
          <w:rStyle w:val="FootnoteReference"/>
          <w:rFonts w:ascii="Times New Roman" w:hAnsi="Times New Roman" w:cs="Times New Roman"/>
          <w:sz w:val="24"/>
          <w:szCs w:val="24"/>
        </w:rPr>
        <w:footnoteReference w:id="718"/>
      </w:r>
      <w:r w:rsidRPr="00774EDB">
        <w:rPr>
          <w:rFonts w:ascii="Times New Roman" w:hAnsi="Times New Roman" w:cs="Times New Roman"/>
          <w:sz w:val="24"/>
          <w:szCs w:val="24"/>
        </w:rPr>
        <w:t xml:space="preserve"> By this means, switching would no longer be a problem for the M2M providers and users when they opt for changing their connectivity (ECS) providers. According to the EECC,</w:t>
      </w:r>
    </w:p>
    <w:p w14:paraId="74E2974C" w14:textId="58AD288D" w:rsidR="006930F8" w:rsidRPr="00A70042" w:rsidRDefault="00186B3E" w:rsidP="00A70042">
      <w:pPr>
        <w:spacing w:before="360"/>
        <w:ind w:left="720" w:right="720"/>
        <w:jc w:val="both"/>
        <w:rPr>
          <w:rFonts w:ascii="Times New Roman" w:hAnsi="Times New Roman" w:cs="Times New Roman"/>
          <w:color w:val="000000"/>
          <w:sz w:val="24"/>
          <w:szCs w:val="24"/>
        </w:rPr>
      </w:pPr>
      <w:r w:rsidRPr="00A70042">
        <w:rPr>
          <w:rFonts w:ascii="Times New Roman" w:hAnsi="Times New Roman" w:cs="Times New Roman"/>
          <w:color w:val="000000"/>
          <w:sz w:val="24"/>
          <w:szCs w:val="24"/>
        </w:rPr>
        <w:t>Without prejudice to Article 106, Member States shall promote over-the-air provisioning, where technically feasible, to facilitate switching of providers of electronic communications networks or services by end-users, in particular providers and end-users of machine-to-machine services</w:t>
      </w:r>
      <w:r w:rsidR="00337EE0" w:rsidRPr="00A70042">
        <w:rPr>
          <w:rFonts w:ascii="Times New Roman" w:hAnsi="Times New Roman" w:cs="Times New Roman"/>
          <w:color w:val="000000"/>
          <w:sz w:val="24"/>
          <w:szCs w:val="24"/>
        </w:rPr>
        <w:t>.</w:t>
      </w:r>
      <w:r w:rsidR="00A061C3" w:rsidRPr="00A70042">
        <w:rPr>
          <w:rStyle w:val="FootnoteReference"/>
          <w:rFonts w:ascii="Times New Roman" w:hAnsi="Times New Roman" w:cs="Times New Roman"/>
          <w:sz w:val="24"/>
          <w:szCs w:val="24"/>
        </w:rPr>
        <w:footnoteReference w:id="719"/>
      </w:r>
    </w:p>
    <w:p w14:paraId="487F95EF" w14:textId="36583A2D" w:rsidR="009F65A2" w:rsidRPr="00774EDB" w:rsidRDefault="001C028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Should OTA provisioning be adopted widely as encouraged by the EECC, M2M providers would easily have their SIMs changed across the mobile network operators with remote controlling. Assuming many M2M providers will not have their networks, this solution would be helpful for them switching with no or minimum cost. This will undeniably help the development of M2M services on a larger scale</w:t>
      </w:r>
      <w:r w:rsidR="00694E33" w:rsidRPr="00774EDB">
        <w:rPr>
          <w:rFonts w:ascii="Times New Roman" w:hAnsi="Times New Roman" w:cs="Times New Roman"/>
          <w:sz w:val="24"/>
          <w:szCs w:val="24"/>
        </w:rPr>
        <w:t xml:space="preserve"> although infrastructural, legal and regulatory conditions would differ among Member States</w:t>
      </w:r>
      <w:r w:rsidRPr="00774EDB">
        <w:rPr>
          <w:rFonts w:ascii="Times New Roman" w:hAnsi="Times New Roman" w:cs="Times New Roman"/>
          <w:sz w:val="24"/>
          <w:szCs w:val="24"/>
        </w:rPr>
        <w:t>. On the other hand, this solution, which seems to be a technologically oriented measure, does not cover non-cellular network options. It also seems that data-related constraints, e.g. portability of the IoT data, and interoperability problems, e.g. compatibility of the IoT hardware and software, are kept outside of the regulatory vision contemplated by the EECC.</w:t>
      </w:r>
    </w:p>
    <w:p w14:paraId="78E37193" w14:textId="53112CDC" w:rsidR="00D732E9" w:rsidRPr="00774EDB" w:rsidRDefault="00694E3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While M2M providers</w:t>
      </w:r>
      <w:r w:rsidR="008D40A4" w:rsidRPr="00774EDB">
        <w:rPr>
          <w:rFonts w:ascii="Times New Roman" w:hAnsi="Times New Roman" w:cs="Times New Roman"/>
          <w:sz w:val="24"/>
          <w:szCs w:val="24"/>
        </w:rPr>
        <w:t xml:space="preserve"> or users</w:t>
      </w:r>
      <w:r w:rsidRPr="00774EDB">
        <w:rPr>
          <w:rFonts w:ascii="Times New Roman" w:hAnsi="Times New Roman" w:cs="Times New Roman"/>
          <w:sz w:val="24"/>
          <w:szCs w:val="24"/>
        </w:rPr>
        <w:t xml:space="preserve"> switching between connectivity service providers, e.g. mobile operators, is envisaged by the EECC, facilitating </w:t>
      </w:r>
      <w:r w:rsidR="008D40A4" w:rsidRPr="00774EDB">
        <w:rPr>
          <w:rFonts w:ascii="Times New Roman" w:hAnsi="Times New Roman" w:cs="Times New Roman"/>
          <w:sz w:val="24"/>
          <w:szCs w:val="24"/>
        </w:rPr>
        <w:t xml:space="preserve">migration of </w:t>
      </w:r>
      <w:r w:rsidRPr="00774EDB">
        <w:rPr>
          <w:rFonts w:ascii="Times New Roman" w:hAnsi="Times New Roman" w:cs="Times New Roman"/>
          <w:sz w:val="24"/>
          <w:szCs w:val="24"/>
        </w:rPr>
        <w:t xml:space="preserve">IoT </w:t>
      </w:r>
      <w:r w:rsidR="008D40A4" w:rsidRPr="00774EDB">
        <w:rPr>
          <w:rFonts w:ascii="Times New Roman" w:hAnsi="Times New Roman" w:cs="Times New Roman"/>
          <w:sz w:val="24"/>
          <w:szCs w:val="24"/>
        </w:rPr>
        <w:t>providers/</w:t>
      </w:r>
      <w:r w:rsidRPr="00774EDB">
        <w:rPr>
          <w:rFonts w:ascii="Times New Roman" w:hAnsi="Times New Roman" w:cs="Times New Roman"/>
          <w:sz w:val="24"/>
          <w:szCs w:val="24"/>
        </w:rPr>
        <w:t xml:space="preserve">users from one software-governed platform to another is not mandated or encouraged. In this regard, lack of common standards enabling interoperability between the IoT platforms would be a barrier for competition, having the potential to prevent </w:t>
      </w:r>
      <w:r w:rsidR="008D40A4" w:rsidRPr="00774EDB">
        <w:rPr>
          <w:rFonts w:ascii="Times New Roman" w:hAnsi="Times New Roman" w:cs="Times New Roman"/>
          <w:sz w:val="24"/>
          <w:szCs w:val="24"/>
        </w:rPr>
        <w:t xml:space="preserve">or delay </w:t>
      </w:r>
      <w:r w:rsidRPr="00774EDB">
        <w:rPr>
          <w:rFonts w:ascii="Times New Roman" w:hAnsi="Times New Roman" w:cs="Times New Roman"/>
          <w:sz w:val="24"/>
          <w:szCs w:val="24"/>
        </w:rPr>
        <w:t>new entries to the market. In addition to this, data portability constraints that would hamper transferability of the IoT data from one platform to another should be added as another problem closely associated with interoperability. Summing up,</w:t>
      </w:r>
      <w:r w:rsidR="008252AC"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the ECRF seems to </w:t>
      </w:r>
      <w:r w:rsidR="008252AC" w:rsidRPr="00774EDB">
        <w:rPr>
          <w:rFonts w:ascii="Times New Roman" w:hAnsi="Times New Roman" w:cs="Times New Roman"/>
          <w:sz w:val="24"/>
          <w:szCs w:val="24"/>
        </w:rPr>
        <w:t xml:space="preserve">be incomplete and </w:t>
      </w:r>
      <w:r w:rsidR="00B71D3E" w:rsidRPr="00774EDB">
        <w:rPr>
          <w:rFonts w:ascii="Times New Roman" w:hAnsi="Times New Roman" w:cs="Times New Roman"/>
          <w:sz w:val="24"/>
          <w:szCs w:val="24"/>
        </w:rPr>
        <w:t>potentially overridden by</w:t>
      </w:r>
      <w:r w:rsidR="008252AC" w:rsidRPr="00774EDB">
        <w:rPr>
          <w:rFonts w:ascii="Times New Roman" w:hAnsi="Times New Roman" w:cs="Times New Roman"/>
          <w:sz w:val="24"/>
          <w:szCs w:val="24"/>
        </w:rPr>
        <w:t xml:space="preserve"> </w:t>
      </w:r>
      <w:r w:rsidRPr="00774EDB">
        <w:rPr>
          <w:rFonts w:ascii="Times New Roman" w:hAnsi="Times New Roman" w:cs="Times New Roman"/>
          <w:sz w:val="24"/>
          <w:szCs w:val="24"/>
        </w:rPr>
        <w:t>the running pace and dynamics of the IoT markets, considering that the abovementioned problems surrounding the lack of interoperability would affect a competitive marketplace, despite the envisaged solutions, e.g. OTA provisioning.</w:t>
      </w:r>
      <w:r w:rsidR="00286ABB" w:rsidRPr="00774EDB">
        <w:rPr>
          <w:rFonts w:ascii="Times New Roman" w:hAnsi="Times New Roman" w:cs="Times New Roman"/>
          <w:sz w:val="24"/>
          <w:szCs w:val="24"/>
        </w:rPr>
        <w:t xml:space="preserve">      </w:t>
      </w:r>
    </w:p>
    <w:p w14:paraId="48891069" w14:textId="77777777" w:rsidR="001943A8" w:rsidRPr="00774EDB" w:rsidRDefault="006C617E" w:rsidP="00A70042">
      <w:pPr>
        <w:pStyle w:val="Heading2"/>
        <w:numPr>
          <w:ilvl w:val="1"/>
          <w:numId w:val="33"/>
        </w:numPr>
        <w:tabs>
          <w:tab w:val="left" w:pos="567"/>
        </w:tabs>
        <w:spacing w:before="360"/>
        <w:ind w:left="0" w:firstLine="0"/>
        <w:jc w:val="both"/>
        <w:rPr>
          <w:rFonts w:ascii="Times New Roman" w:hAnsi="Times New Roman" w:cs="Times New Roman"/>
          <w:b/>
          <w:color w:val="auto"/>
          <w:sz w:val="24"/>
          <w:szCs w:val="24"/>
        </w:rPr>
      </w:pPr>
      <w:bookmarkStart w:id="549" w:name="_Toc17611465"/>
      <w:bookmarkStart w:id="550" w:name="_Toc53576095"/>
      <w:r w:rsidRPr="00774EDB">
        <w:rPr>
          <w:rFonts w:ascii="Times New Roman" w:hAnsi="Times New Roman" w:cs="Times New Roman"/>
          <w:b/>
          <w:color w:val="auto"/>
          <w:sz w:val="24"/>
          <w:szCs w:val="24"/>
        </w:rPr>
        <w:t xml:space="preserve">Assessment of </w:t>
      </w:r>
      <w:r w:rsidR="00E34A32" w:rsidRPr="00774EDB">
        <w:rPr>
          <w:rFonts w:ascii="Times New Roman" w:hAnsi="Times New Roman" w:cs="Times New Roman"/>
          <w:b/>
          <w:color w:val="auto"/>
          <w:sz w:val="24"/>
          <w:szCs w:val="24"/>
        </w:rPr>
        <w:t xml:space="preserve">the </w:t>
      </w:r>
      <w:r w:rsidRPr="00774EDB">
        <w:rPr>
          <w:rFonts w:ascii="Times New Roman" w:hAnsi="Times New Roman" w:cs="Times New Roman"/>
          <w:b/>
          <w:color w:val="auto"/>
          <w:sz w:val="24"/>
          <w:szCs w:val="24"/>
        </w:rPr>
        <w:t>ECRF</w:t>
      </w:r>
      <w:bookmarkEnd w:id="549"/>
      <w:bookmarkEnd w:id="550"/>
    </w:p>
    <w:p w14:paraId="4E49992A" w14:textId="62AF1C8B" w:rsidR="00F668E3" w:rsidRPr="00A70042" w:rsidRDefault="00E34A32" w:rsidP="00A70042">
      <w:pPr>
        <w:spacing w:before="360"/>
        <w:jc w:val="both"/>
        <w:rPr>
          <w:rFonts w:ascii="Times New Roman" w:hAnsi="Times New Roman" w:cs="Times New Roman"/>
          <w:sz w:val="24"/>
          <w:szCs w:val="24"/>
        </w:rPr>
      </w:pPr>
      <w:r w:rsidRPr="00820EF9">
        <w:rPr>
          <w:rFonts w:ascii="Times New Roman" w:hAnsi="Times New Roman" w:cs="Times New Roman"/>
          <w:sz w:val="24"/>
          <w:szCs w:val="24"/>
        </w:rPr>
        <w:t>The ECRF, starting from the liberalisation period in the nineties, was built on the idea that eliminat</w:t>
      </w:r>
      <w:r w:rsidRPr="00A70042">
        <w:rPr>
          <w:rFonts w:ascii="Times New Roman" w:hAnsi="Times New Roman" w:cs="Times New Roman"/>
          <w:sz w:val="24"/>
          <w:szCs w:val="24"/>
        </w:rPr>
        <w:t xml:space="preserve">ion of monopolies, either public or private, would ensure a competitive market resulting in the benefits to be reaped by the end-users. To that end, European policy makers mandated Member States to remove the special and exclusive rights conferred onto the legal monopolies and enacted harmonization directives with a view to ensure a competitive telecommunications landscape. Until the adoption of the 2002 regulatory framework, the main concern was related to ensuring adequate and effective interconnection along with the required level of interoperability being achieved towards pan-European networks and services. This perspective, while being kept on, has been extended to other areas of ex-ante regulation, including conditional access to the set-box systems. Access to wide-ranging network facilities, e.g. local loops, civil </w:t>
      </w:r>
      <w:r w:rsidRPr="00A70042">
        <w:rPr>
          <w:rFonts w:ascii="Times New Roman" w:hAnsi="Times New Roman" w:cs="Times New Roman"/>
          <w:sz w:val="24"/>
          <w:szCs w:val="24"/>
        </w:rPr>
        <w:lastRenderedPageBreak/>
        <w:t>engineering ducts and inbuilding wiring, are incorporated within the potential access remedies to be imposed by NRAs for competition purposes.</w:t>
      </w:r>
    </w:p>
    <w:p w14:paraId="3C02111C" w14:textId="23B5204C" w:rsidR="00882114" w:rsidRPr="00A70042" w:rsidRDefault="00E34A32"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Albeit with the acknowledgment that “interoperability is of benefit to end-users and is an important aim of this regulatory framework”,</w:t>
      </w:r>
      <w:r w:rsidRPr="00820EF9">
        <w:rPr>
          <w:rStyle w:val="FootnoteReference"/>
          <w:rFonts w:ascii="Times New Roman" w:hAnsi="Times New Roman" w:cs="Times New Roman"/>
          <w:sz w:val="24"/>
          <w:szCs w:val="24"/>
        </w:rPr>
        <w:footnoteReference w:id="720"/>
      </w:r>
      <w:r w:rsidRPr="00820EF9">
        <w:rPr>
          <w:rFonts w:ascii="Times New Roman" w:hAnsi="Times New Roman" w:cs="Times New Roman"/>
          <w:sz w:val="24"/>
          <w:szCs w:val="24"/>
        </w:rPr>
        <w:t xml:space="preserve"> the ECRF’s vision was to date, and still is, far more elabora</w:t>
      </w:r>
      <w:r w:rsidRPr="00A70042">
        <w:rPr>
          <w:rFonts w:ascii="Times New Roman" w:hAnsi="Times New Roman" w:cs="Times New Roman"/>
          <w:sz w:val="24"/>
          <w:szCs w:val="24"/>
        </w:rPr>
        <w:t>ted regarding the assessment of infrastructural problems. Although having a deepening perspective, the regulatory approach pursued by the European authorities is by and large kept within the boundaries of access, interconnection and leased lines markets.</w:t>
      </w:r>
      <w:r w:rsidRPr="00820EF9">
        <w:rPr>
          <w:rStyle w:val="FootnoteReference"/>
          <w:rFonts w:ascii="Times New Roman" w:hAnsi="Times New Roman" w:cs="Times New Roman"/>
          <w:sz w:val="24"/>
          <w:szCs w:val="24"/>
        </w:rPr>
        <w:footnoteReference w:id="721"/>
      </w:r>
      <w:r w:rsidRPr="00820EF9">
        <w:rPr>
          <w:rFonts w:ascii="Times New Roman" w:hAnsi="Times New Roman" w:cs="Times New Roman"/>
          <w:sz w:val="24"/>
          <w:szCs w:val="24"/>
        </w:rPr>
        <w:t xml:space="preserve"> </w:t>
      </w:r>
      <w:r w:rsidRPr="00A70042">
        <w:rPr>
          <w:rFonts w:ascii="Times New Roman" w:hAnsi="Times New Roman" w:cs="Times New Roman"/>
          <w:sz w:val="24"/>
          <w:szCs w:val="24"/>
        </w:rPr>
        <w:t xml:space="preserve">Mainly based on the SMP regime, this regulatory vision aims at creating more competitive markets by means of access and/or price obligations formulated and designed according to the new entrants’ needs. While interoperability-centric remedies also have a stake in this context, such remedies appear narrow and limited largely because of the infrastructural perspective envisioned by the ECRF. Notably, it appears that </w:t>
      </w:r>
      <w:r w:rsidR="001C5693">
        <w:rPr>
          <w:rFonts w:ascii="Times New Roman" w:hAnsi="Times New Roman" w:cs="Times New Roman"/>
          <w:sz w:val="24"/>
          <w:szCs w:val="24"/>
        </w:rPr>
        <w:t xml:space="preserve">achievement of </w:t>
      </w:r>
      <w:r w:rsidRPr="00A70042">
        <w:rPr>
          <w:rFonts w:ascii="Times New Roman" w:hAnsi="Times New Roman" w:cs="Times New Roman"/>
          <w:sz w:val="24"/>
          <w:szCs w:val="24"/>
        </w:rPr>
        <w:t>interoperability is viewed as more of a</w:t>
      </w:r>
      <w:r w:rsidR="00C01CA3" w:rsidRPr="00A70042">
        <w:rPr>
          <w:rFonts w:ascii="Times New Roman" w:hAnsi="Times New Roman" w:cs="Times New Roman"/>
          <w:sz w:val="24"/>
          <w:szCs w:val="24"/>
        </w:rPr>
        <w:t xml:space="preserve"> supplementary </w:t>
      </w:r>
      <w:r w:rsidRPr="00A70042">
        <w:rPr>
          <w:rFonts w:ascii="Times New Roman" w:hAnsi="Times New Roman" w:cs="Times New Roman"/>
          <w:sz w:val="24"/>
          <w:szCs w:val="24"/>
        </w:rPr>
        <w:t xml:space="preserve">remedy towards the ascertained goals of the ECRF, i.e. promotion of competition, </w:t>
      </w:r>
      <w:r w:rsidR="00912A8A" w:rsidRPr="00A70042">
        <w:rPr>
          <w:rFonts w:ascii="Times New Roman" w:hAnsi="Times New Roman" w:cs="Times New Roman"/>
          <w:sz w:val="24"/>
          <w:szCs w:val="24"/>
        </w:rPr>
        <w:t xml:space="preserve">promotion of the interests of the EU citizens, end-to-end connectivity, </w:t>
      </w:r>
      <w:r w:rsidR="001C5693">
        <w:rPr>
          <w:rFonts w:ascii="Times New Roman" w:hAnsi="Times New Roman" w:cs="Times New Roman"/>
          <w:sz w:val="24"/>
          <w:szCs w:val="24"/>
        </w:rPr>
        <w:t xml:space="preserve">and to a lesser extent, </w:t>
      </w:r>
      <w:r w:rsidRPr="00A70042">
        <w:rPr>
          <w:rFonts w:ascii="Times New Roman" w:hAnsi="Times New Roman" w:cs="Times New Roman"/>
          <w:sz w:val="24"/>
          <w:szCs w:val="24"/>
        </w:rPr>
        <w:t>media pluralism and cultural diversity.</w:t>
      </w:r>
    </w:p>
    <w:p w14:paraId="4AB47F74" w14:textId="77777777" w:rsidR="00011480" w:rsidRPr="00774EDB" w:rsidRDefault="00E34A3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last milestone towards the so-called policy objectives has been set out by the EECC, through an overhaul over the ECRF in a number of ways, including by expanding the regulatory vision towards software-governed, mainly online communications, services. First and foremost, it is proposed that ECSs are re-</w:t>
      </w:r>
      <w:r w:rsidRPr="00774EDB">
        <w:rPr>
          <w:rFonts w:ascii="Times New Roman" w:hAnsi="Times New Roman" w:cs="Times New Roman"/>
          <w:sz w:val="24"/>
          <w:szCs w:val="24"/>
        </w:rPr>
        <w:lastRenderedPageBreak/>
        <w:t>categorised as to cover ICSs and M2M transmission in which the former is subdivided into two: (i) number-based ICSs, (ii) number-independent ICSs. Plus, according to this new categorisation, number-independent ICSs as usually being offered by the OTT players such as Facebook, Skype and Viber will be the subject matter of a limited number of obligations. In this regard, OTT interoperability is earmarked as one of the front-line topics, revealing a potential area of intervention, i.e. by means of standardisation, to respond to the end-user needs based on ‘</w:t>
      </w:r>
      <w:r w:rsidRPr="00A70042">
        <w:rPr>
          <w:rFonts w:ascii="Times New Roman" w:hAnsi="Times New Roman" w:cs="Times New Roman"/>
          <w:sz w:val="24"/>
          <w:szCs w:val="24"/>
        </w:rPr>
        <w:t>end-to-end connectivity</w:t>
      </w:r>
      <w:r w:rsidRPr="00A70042">
        <w:rPr>
          <w:rFonts w:ascii="Times New Roman" w:hAnsi="Times New Roman" w:cs="Times New Roman" w:hint="eastAsia"/>
          <w:sz w:val="24"/>
          <w:szCs w:val="24"/>
        </w:rPr>
        <w:t>’</w:t>
      </w:r>
      <w:r w:rsidRPr="00A70042">
        <w:rPr>
          <w:rFonts w:ascii="Times New Roman" w:hAnsi="Times New Roman" w:cs="Times New Roman"/>
          <w:sz w:val="24"/>
          <w:szCs w:val="24"/>
        </w:rPr>
        <w:t xml:space="preserve"> or </w:t>
      </w:r>
      <w:r w:rsidRPr="00774EDB">
        <w:rPr>
          <w:rFonts w:ascii="Times New Roman" w:hAnsi="Times New Roman" w:cs="Times New Roman"/>
          <w:sz w:val="24"/>
          <w:szCs w:val="24"/>
        </w:rPr>
        <w:t>‘access to the emergency services’.</w:t>
      </w:r>
      <w:r w:rsidR="00587438" w:rsidRPr="00774EDB">
        <w:rPr>
          <w:rFonts w:ascii="Times New Roman" w:hAnsi="Times New Roman" w:cs="Times New Roman"/>
          <w:sz w:val="24"/>
          <w:szCs w:val="24"/>
        </w:rPr>
        <w:t xml:space="preserve"> </w:t>
      </w:r>
    </w:p>
    <w:p w14:paraId="1AC6E7BD" w14:textId="71BC9FD8" w:rsidR="004738AA" w:rsidRPr="00774EDB" w:rsidRDefault="00E34A3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Given the fact that number-based ICSs constitute a very small percentage of the software-governed </w:t>
      </w:r>
      <w:r w:rsidR="00873DD6">
        <w:rPr>
          <w:rFonts w:ascii="Times New Roman" w:hAnsi="Times New Roman" w:cs="Times New Roman"/>
          <w:sz w:val="24"/>
          <w:szCs w:val="24"/>
        </w:rPr>
        <w:t xml:space="preserve">OTT </w:t>
      </w:r>
      <w:r w:rsidRPr="00774EDB">
        <w:rPr>
          <w:rFonts w:ascii="Times New Roman" w:hAnsi="Times New Roman" w:cs="Times New Roman"/>
          <w:sz w:val="24"/>
          <w:szCs w:val="24"/>
        </w:rPr>
        <w:t>services,</w:t>
      </w:r>
      <w:r w:rsidRPr="00774EDB">
        <w:rPr>
          <w:rStyle w:val="FootnoteReference"/>
          <w:rFonts w:ascii="Times New Roman" w:hAnsi="Times New Roman" w:cs="Times New Roman"/>
          <w:sz w:val="24"/>
          <w:szCs w:val="24"/>
        </w:rPr>
        <w:footnoteReference w:id="722"/>
      </w:r>
      <w:r w:rsidRPr="00774EDB">
        <w:rPr>
          <w:rFonts w:ascii="Times New Roman" w:hAnsi="Times New Roman" w:cs="Times New Roman"/>
          <w:sz w:val="24"/>
          <w:szCs w:val="24"/>
        </w:rPr>
        <w:t xml:space="preserve"> OTT-based regulatory expansion denotes </w:t>
      </w:r>
      <w:r w:rsidR="00912A8A" w:rsidRPr="00774EDB">
        <w:rPr>
          <w:rFonts w:ascii="Times New Roman" w:hAnsi="Times New Roman" w:cs="Times New Roman"/>
          <w:sz w:val="24"/>
          <w:szCs w:val="24"/>
        </w:rPr>
        <w:t xml:space="preserve">more of </w:t>
      </w:r>
      <w:r w:rsidRPr="00774EDB">
        <w:rPr>
          <w:rFonts w:ascii="Times New Roman" w:hAnsi="Times New Roman" w:cs="Times New Roman"/>
          <w:sz w:val="24"/>
          <w:szCs w:val="24"/>
        </w:rPr>
        <w:t xml:space="preserve">a </w:t>
      </w:r>
      <w:r w:rsidR="00912A8A" w:rsidRPr="00774EDB">
        <w:rPr>
          <w:rFonts w:ascii="Times New Roman" w:hAnsi="Times New Roman" w:cs="Times New Roman"/>
          <w:sz w:val="24"/>
          <w:szCs w:val="24"/>
        </w:rPr>
        <w:t>fine-tuning</w:t>
      </w:r>
      <w:r w:rsidRPr="00774EDB">
        <w:rPr>
          <w:rFonts w:ascii="Times New Roman" w:hAnsi="Times New Roman" w:cs="Times New Roman"/>
          <w:sz w:val="24"/>
          <w:szCs w:val="24"/>
        </w:rPr>
        <w:t xml:space="preserve"> rather than a radical </w:t>
      </w:r>
      <w:r w:rsidR="00912A8A" w:rsidRPr="00774EDB">
        <w:rPr>
          <w:rFonts w:ascii="Times New Roman" w:hAnsi="Times New Roman" w:cs="Times New Roman"/>
          <w:sz w:val="24"/>
          <w:szCs w:val="24"/>
        </w:rPr>
        <w:t>change</w:t>
      </w:r>
      <w:r w:rsidRPr="00774EDB">
        <w:rPr>
          <w:rFonts w:ascii="Times New Roman" w:hAnsi="Times New Roman" w:cs="Times New Roman"/>
          <w:sz w:val="24"/>
          <w:szCs w:val="24"/>
        </w:rPr>
        <w:t xml:space="preserve">. Furthermore, a serious and elaborated regulatory response to NGN </w:t>
      </w:r>
      <w:r w:rsidR="00D346C9" w:rsidRPr="00774EDB">
        <w:rPr>
          <w:rFonts w:ascii="Times New Roman" w:hAnsi="Times New Roman" w:cs="Times New Roman"/>
          <w:sz w:val="24"/>
          <w:szCs w:val="24"/>
        </w:rPr>
        <w:t xml:space="preserve">including </w:t>
      </w:r>
      <w:r w:rsidRPr="00774EDB">
        <w:rPr>
          <w:rFonts w:ascii="Times New Roman" w:hAnsi="Times New Roman" w:cs="Times New Roman"/>
          <w:sz w:val="24"/>
          <w:szCs w:val="24"/>
        </w:rPr>
        <w:t xml:space="preserve">interoperability </w:t>
      </w:r>
      <w:r w:rsidR="00D346C9" w:rsidRPr="00774EDB">
        <w:rPr>
          <w:rFonts w:ascii="Times New Roman" w:hAnsi="Times New Roman" w:cs="Times New Roman"/>
          <w:sz w:val="24"/>
          <w:szCs w:val="24"/>
        </w:rPr>
        <w:t xml:space="preserve">aspects </w:t>
      </w:r>
      <w:r w:rsidRPr="00774EDB">
        <w:rPr>
          <w:rFonts w:ascii="Times New Roman" w:hAnsi="Times New Roman" w:cs="Times New Roman"/>
          <w:sz w:val="24"/>
          <w:szCs w:val="24"/>
        </w:rPr>
        <w:t xml:space="preserve">could hardly be found under the EECC. </w:t>
      </w:r>
      <w:r w:rsidR="00912A8A" w:rsidRPr="00774EDB">
        <w:rPr>
          <w:rFonts w:ascii="Times New Roman" w:hAnsi="Times New Roman" w:cs="Times New Roman"/>
          <w:sz w:val="24"/>
          <w:szCs w:val="24"/>
        </w:rPr>
        <w:t xml:space="preserve">Nor </w:t>
      </w:r>
      <w:r w:rsidR="00CF4964" w:rsidRPr="00774EDB">
        <w:rPr>
          <w:rFonts w:ascii="Times New Roman" w:hAnsi="Times New Roman" w:cs="Times New Roman"/>
          <w:sz w:val="24"/>
          <w:szCs w:val="24"/>
        </w:rPr>
        <w:t xml:space="preserve">such </w:t>
      </w:r>
      <w:r w:rsidR="00912A8A" w:rsidRPr="00774EDB">
        <w:rPr>
          <w:rFonts w:ascii="Times New Roman" w:hAnsi="Times New Roman" w:cs="Times New Roman"/>
          <w:sz w:val="24"/>
          <w:szCs w:val="24"/>
        </w:rPr>
        <w:t>a</w:t>
      </w:r>
      <w:r w:rsidRPr="00774EDB">
        <w:rPr>
          <w:rFonts w:ascii="Times New Roman" w:hAnsi="Times New Roman" w:cs="Times New Roman"/>
          <w:sz w:val="24"/>
          <w:szCs w:val="24"/>
        </w:rPr>
        <w:t xml:space="preserve"> re</w:t>
      </w:r>
      <w:r w:rsidR="00D346C9" w:rsidRPr="00774EDB">
        <w:rPr>
          <w:rFonts w:ascii="Times New Roman" w:hAnsi="Times New Roman" w:cs="Times New Roman"/>
          <w:sz w:val="24"/>
          <w:szCs w:val="24"/>
        </w:rPr>
        <w:t>percussion</w:t>
      </w:r>
      <w:r w:rsidR="00912A8A"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could be mentioned </w:t>
      </w:r>
      <w:r w:rsidR="00912A8A" w:rsidRPr="00774EDB">
        <w:rPr>
          <w:rFonts w:ascii="Times New Roman" w:hAnsi="Times New Roman" w:cs="Times New Roman"/>
          <w:sz w:val="24"/>
          <w:szCs w:val="24"/>
        </w:rPr>
        <w:t>with regards</w:t>
      </w:r>
      <w:r w:rsidRPr="00774EDB">
        <w:rPr>
          <w:rFonts w:ascii="Times New Roman" w:hAnsi="Times New Roman" w:cs="Times New Roman"/>
          <w:sz w:val="24"/>
          <w:szCs w:val="24"/>
        </w:rPr>
        <w:t xml:space="preserve"> to </w:t>
      </w:r>
      <w:r w:rsidR="00D346C9" w:rsidRPr="00774EDB">
        <w:rPr>
          <w:rFonts w:ascii="Times New Roman" w:hAnsi="Times New Roman" w:cs="Times New Roman"/>
          <w:sz w:val="24"/>
          <w:szCs w:val="24"/>
        </w:rPr>
        <w:t xml:space="preserve">many </w:t>
      </w:r>
      <w:r w:rsidRPr="00774EDB">
        <w:rPr>
          <w:rFonts w:ascii="Times New Roman" w:hAnsi="Times New Roman" w:cs="Times New Roman"/>
          <w:sz w:val="24"/>
          <w:szCs w:val="24"/>
        </w:rPr>
        <w:t xml:space="preserve">other ICT </w:t>
      </w:r>
      <w:r w:rsidR="00D346C9" w:rsidRPr="00774EDB">
        <w:rPr>
          <w:rFonts w:ascii="Times New Roman" w:hAnsi="Times New Roman" w:cs="Times New Roman"/>
          <w:sz w:val="24"/>
          <w:szCs w:val="24"/>
        </w:rPr>
        <w:t xml:space="preserve">networks and </w:t>
      </w:r>
      <w:r w:rsidRPr="00774EDB">
        <w:rPr>
          <w:rFonts w:ascii="Times New Roman" w:hAnsi="Times New Roman" w:cs="Times New Roman"/>
          <w:sz w:val="24"/>
          <w:szCs w:val="24"/>
        </w:rPr>
        <w:t xml:space="preserve">services, including cloud computing that </w:t>
      </w:r>
      <w:r w:rsidR="00D346C9" w:rsidRPr="00774EDB">
        <w:rPr>
          <w:rFonts w:ascii="Times New Roman" w:hAnsi="Times New Roman" w:cs="Times New Roman"/>
          <w:sz w:val="24"/>
          <w:szCs w:val="24"/>
        </w:rPr>
        <w:t>entail</w:t>
      </w:r>
      <w:r w:rsidRPr="00774EDB">
        <w:rPr>
          <w:rFonts w:ascii="Times New Roman" w:hAnsi="Times New Roman" w:cs="Times New Roman"/>
          <w:sz w:val="24"/>
          <w:szCs w:val="24"/>
        </w:rPr>
        <w:t xml:space="preserve">s many significant aspects of </w:t>
      </w:r>
      <w:r w:rsidR="00D346C9" w:rsidRPr="00774EDB">
        <w:rPr>
          <w:rFonts w:ascii="Times New Roman" w:hAnsi="Times New Roman" w:cs="Times New Roman"/>
          <w:sz w:val="24"/>
          <w:szCs w:val="24"/>
        </w:rPr>
        <w:t xml:space="preserve">ICT </w:t>
      </w:r>
      <w:r w:rsidRPr="00774EDB">
        <w:rPr>
          <w:rFonts w:ascii="Times New Roman" w:hAnsi="Times New Roman" w:cs="Times New Roman"/>
          <w:sz w:val="24"/>
          <w:szCs w:val="24"/>
        </w:rPr>
        <w:t>service provision</w:t>
      </w:r>
      <w:r w:rsidR="00D346C9" w:rsidRPr="00774EDB">
        <w:rPr>
          <w:rFonts w:ascii="Times New Roman" w:hAnsi="Times New Roman" w:cs="Times New Roman"/>
          <w:sz w:val="24"/>
          <w:szCs w:val="24"/>
        </w:rPr>
        <w:t>ing</w:t>
      </w:r>
      <w:r w:rsidRPr="00774EDB">
        <w:rPr>
          <w:rFonts w:ascii="Times New Roman" w:hAnsi="Times New Roman" w:cs="Times New Roman"/>
          <w:sz w:val="24"/>
          <w:szCs w:val="24"/>
        </w:rPr>
        <w:t xml:space="preserve">, i.e. virtualisation, multi-purpose capacity allocation and data processing. On that point, it is note-worthy that European policy makers still consider lack of interoperability and accompanying problems as a subordinate topic within the overall regulatory structure. Not only the </w:t>
      </w:r>
      <w:r w:rsidR="00D346C9" w:rsidRPr="00774EDB">
        <w:rPr>
          <w:rFonts w:ascii="Times New Roman" w:hAnsi="Times New Roman" w:cs="Times New Roman"/>
          <w:sz w:val="24"/>
          <w:szCs w:val="24"/>
        </w:rPr>
        <w:t xml:space="preserve">ECRF’s </w:t>
      </w:r>
      <w:r w:rsidRPr="00774EDB">
        <w:rPr>
          <w:rFonts w:ascii="Times New Roman" w:hAnsi="Times New Roman" w:cs="Times New Roman"/>
          <w:sz w:val="24"/>
          <w:szCs w:val="24"/>
        </w:rPr>
        <w:t xml:space="preserve">limited scope, but also the partial and limited interoperability obligations </w:t>
      </w:r>
      <w:r w:rsidR="00D346C9" w:rsidRPr="00774EDB">
        <w:rPr>
          <w:rFonts w:ascii="Times New Roman" w:hAnsi="Times New Roman" w:cs="Times New Roman"/>
          <w:sz w:val="24"/>
          <w:szCs w:val="24"/>
        </w:rPr>
        <w:t xml:space="preserve">thereunder </w:t>
      </w:r>
      <w:r w:rsidRPr="00774EDB">
        <w:rPr>
          <w:rFonts w:ascii="Times New Roman" w:hAnsi="Times New Roman" w:cs="Times New Roman"/>
          <w:sz w:val="24"/>
          <w:szCs w:val="24"/>
        </w:rPr>
        <w:t>point to a narrow-minded perspective.</w:t>
      </w:r>
    </w:p>
    <w:p w14:paraId="4B7070E6" w14:textId="3F1C9353" w:rsidR="00A70061" w:rsidRPr="00774EDB" w:rsidRDefault="00E34A3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Having said that, the ECRF continues to have a regulatory vision focused on the bottom infrastructural layers. </w:t>
      </w:r>
      <w:r w:rsidRPr="00820EF9">
        <w:rPr>
          <w:rFonts w:ascii="Times New Roman" w:hAnsi="Times New Roman" w:cs="Times New Roman"/>
          <w:sz w:val="24"/>
          <w:szCs w:val="24"/>
        </w:rPr>
        <w:t>However, handling infrastructural problems under the ECRF, but putting other</w:t>
      </w:r>
      <w:r w:rsidRPr="00A70042">
        <w:rPr>
          <w:rFonts w:ascii="Times New Roman" w:hAnsi="Times New Roman" w:cs="Times New Roman"/>
          <w:sz w:val="24"/>
          <w:szCs w:val="24"/>
        </w:rPr>
        <w:t xml:space="preserve">, upper-layer problems aside would not be in harmony with </w:t>
      </w:r>
      <w:r w:rsidRPr="00A70042">
        <w:rPr>
          <w:rFonts w:ascii="Times New Roman" w:hAnsi="Times New Roman" w:cs="Times New Roman"/>
          <w:sz w:val="24"/>
          <w:szCs w:val="24"/>
        </w:rPr>
        <w:lastRenderedPageBreak/>
        <w:t>the real-life challenges surrounding IP-based convergence. The ECRF’s vision comes from the past experiences of ex-ante regulation revolving around</w:t>
      </w:r>
      <w:r w:rsidRPr="00774EDB">
        <w:rPr>
          <w:rFonts w:ascii="Times New Roman" w:hAnsi="Times New Roman" w:cs="Times New Roman"/>
          <w:sz w:val="24"/>
          <w:szCs w:val="24"/>
        </w:rPr>
        <w:t xml:space="preserve"> how to liberalise formerly monopolised markets and make them competitive. </w:t>
      </w:r>
      <w:r w:rsidR="00B513AD">
        <w:rPr>
          <w:rFonts w:ascii="Times New Roman" w:hAnsi="Times New Roman" w:cs="Times New Roman"/>
          <w:sz w:val="24"/>
          <w:szCs w:val="24"/>
        </w:rPr>
        <w:t>A</w:t>
      </w:r>
      <w:r w:rsidRPr="00774EDB">
        <w:rPr>
          <w:rFonts w:ascii="Times New Roman" w:hAnsi="Times New Roman" w:cs="Times New Roman"/>
          <w:sz w:val="24"/>
          <w:szCs w:val="24"/>
        </w:rPr>
        <w:t xml:space="preserve"> deeper analysis should be done that incorporates other ICT services than ECSs and notwithstanding the regulatory expansion brought with the EECC. In so doing, a layered and holistic approach encompassing all the IP layers and refraining from the infrastructural focus, needs to be considered</w:t>
      </w:r>
      <w:r w:rsidR="00B513AD">
        <w:rPr>
          <w:rFonts w:ascii="Times New Roman" w:hAnsi="Times New Roman" w:cs="Times New Roman"/>
          <w:sz w:val="24"/>
          <w:szCs w:val="24"/>
        </w:rPr>
        <w:t xml:space="preserve"> first and foremost</w:t>
      </w:r>
      <w:r w:rsidRPr="00774EDB">
        <w:rPr>
          <w:rFonts w:ascii="Times New Roman" w:hAnsi="Times New Roman" w:cs="Times New Roman"/>
          <w:sz w:val="24"/>
          <w:szCs w:val="24"/>
        </w:rPr>
        <w:t xml:space="preserve">. It is noticeable that upper layer markets have undergone their infancy and were kicked-off to grow, while telecommunications </w:t>
      </w:r>
      <w:r w:rsidR="000632F2" w:rsidRPr="00774EDB">
        <w:rPr>
          <w:rFonts w:ascii="Times New Roman" w:hAnsi="Times New Roman" w:cs="Times New Roman"/>
          <w:sz w:val="24"/>
          <w:szCs w:val="24"/>
        </w:rPr>
        <w:t xml:space="preserve">(lower layer) </w:t>
      </w:r>
      <w:r w:rsidRPr="00774EDB">
        <w:rPr>
          <w:rFonts w:ascii="Times New Roman" w:hAnsi="Times New Roman" w:cs="Times New Roman"/>
          <w:sz w:val="24"/>
          <w:szCs w:val="24"/>
        </w:rPr>
        <w:t xml:space="preserve">markets </w:t>
      </w:r>
      <w:r w:rsidR="00EA1F8A">
        <w:rPr>
          <w:rFonts w:ascii="Times New Roman" w:hAnsi="Times New Roman" w:cs="Times New Roman"/>
          <w:sz w:val="24"/>
          <w:szCs w:val="24"/>
        </w:rPr>
        <w:t>have so far been</w:t>
      </w:r>
      <w:r w:rsidR="00B513AD">
        <w:rPr>
          <w:rFonts w:ascii="Times New Roman" w:hAnsi="Times New Roman" w:cs="Times New Roman"/>
          <w:sz w:val="24"/>
          <w:szCs w:val="24"/>
        </w:rPr>
        <w:t xml:space="preserve"> </w:t>
      </w:r>
      <w:r w:rsidRPr="00774EDB">
        <w:rPr>
          <w:rFonts w:ascii="Times New Roman" w:hAnsi="Times New Roman" w:cs="Times New Roman"/>
          <w:sz w:val="24"/>
          <w:szCs w:val="24"/>
        </w:rPr>
        <w:t>under heavy regulation. While developmental difference between the former and latter is in favour of the former,</w:t>
      </w:r>
      <w:r w:rsidRPr="00774EDB">
        <w:rPr>
          <w:rStyle w:val="FootnoteReference"/>
          <w:rFonts w:ascii="Times New Roman" w:hAnsi="Times New Roman" w:cs="Times New Roman"/>
          <w:sz w:val="24"/>
          <w:szCs w:val="24"/>
        </w:rPr>
        <w:footnoteReference w:id="723"/>
      </w:r>
      <w:r w:rsidRPr="00774EDB">
        <w:rPr>
          <w:rFonts w:ascii="Times New Roman" w:hAnsi="Times New Roman" w:cs="Times New Roman"/>
          <w:sz w:val="24"/>
          <w:szCs w:val="24"/>
        </w:rPr>
        <w:t xml:space="preserve"> their convergence has remarkably increased in time, also with </w:t>
      </w:r>
      <w:r w:rsidR="00B513AD">
        <w:rPr>
          <w:rFonts w:ascii="Times New Roman" w:hAnsi="Times New Roman" w:cs="Times New Roman"/>
          <w:sz w:val="24"/>
          <w:szCs w:val="24"/>
        </w:rPr>
        <w:t>greater</w:t>
      </w:r>
      <w:r w:rsidR="00B513AD" w:rsidRPr="00774EDB">
        <w:rPr>
          <w:rFonts w:ascii="Times New Roman" w:hAnsi="Times New Roman" w:cs="Times New Roman"/>
          <w:sz w:val="24"/>
          <w:szCs w:val="24"/>
        </w:rPr>
        <w:t xml:space="preserve"> </w:t>
      </w:r>
      <w:r w:rsidRPr="00774EDB">
        <w:rPr>
          <w:rFonts w:ascii="Times New Roman" w:hAnsi="Times New Roman" w:cs="Times New Roman"/>
          <w:sz w:val="24"/>
          <w:szCs w:val="24"/>
        </w:rPr>
        <w:t>implications for interoperability.</w:t>
      </w:r>
    </w:p>
    <w:p w14:paraId="4F7E0F09" w14:textId="464CAF6B" w:rsidR="00C054E6" w:rsidRPr="00774EDB" w:rsidRDefault="00E34A3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 the so-called IP world, the convergence process has in reality been dominated by a process of the delivery of more and more communication services in the internet,</w:t>
      </w:r>
      <w:r w:rsidRPr="00774EDB">
        <w:rPr>
          <w:rStyle w:val="FootnoteReference"/>
          <w:rFonts w:ascii="Times New Roman" w:hAnsi="Times New Roman" w:cs="Times New Roman"/>
          <w:sz w:val="24"/>
          <w:szCs w:val="24"/>
        </w:rPr>
        <w:footnoteReference w:id="724"/>
      </w:r>
      <w:r w:rsidRPr="00774EDB">
        <w:rPr>
          <w:rFonts w:ascii="Times New Roman" w:hAnsi="Times New Roman" w:cs="Times New Roman"/>
          <w:sz w:val="24"/>
          <w:szCs w:val="24"/>
        </w:rPr>
        <w:t xml:space="preserve"> often led by the upper-layer, the IT-intensive, software-governed services. With OTT, the internet is seen as the generic platform for the provision of broadcast content and the associated advanced services, regarding for instance the integration with social networking and community services taking advantage of the proven dynamics and huge innovation potentials of the internet.</w:t>
      </w:r>
      <w:r w:rsidRPr="00774EDB">
        <w:rPr>
          <w:rStyle w:val="FootnoteReference"/>
          <w:rFonts w:ascii="Times New Roman" w:hAnsi="Times New Roman" w:cs="Times New Roman"/>
          <w:sz w:val="24"/>
          <w:szCs w:val="24"/>
        </w:rPr>
        <w:footnoteReference w:id="725"/>
      </w:r>
      <w:r w:rsidRPr="00774EDB">
        <w:rPr>
          <w:rFonts w:ascii="Times New Roman" w:hAnsi="Times New Roman" w:cs="Times New Roman"/>
          <w:sz w:val="24"/>
          <w:szCs w:val="24"/>
        </w:rPr>
        <w:t xml:space="preserve"> That is to say, internet-driven software markets, or broadly speaking the upper layers, have a transformational power over the convergence process </w:t>
      </w:r>
      <w:r w:rsidR="00EA1F8A">
        <w:rPr>
          <w:rFonts w:ascii="Times New Roman" w:hAnsi="Times New Roman" w:cs="Times New Roman"/>
          <w:sz w:val="24"/>
          <w:szCs w:val="24"/>
        </w:rPr>
        <w:t>on</w:t>
      </w:r>
      <w:r w:rsidRPr="00774EDB">
        <w:rPr>
          <w:rFonts w:ascii="Times New Roman" w:hAnsi="Times New Roman" w:cs="Times New Roman"/>
          <w:sz w:val="24"/>
          <w:szCs w:val="24"/>
        </w:rPr>
        <w:t xml:space="preserve">going between telecom, media and IT markets. While IT </w:t>
      </w:r>
      <w:r w:rsidRPr="00774EDB">
        <w:rPr>
          <w:rFonts w:ascii="Times New Roman" w:hAnsi="Times New Roman" w:cs="Times New Roman"/>
          <w:sz w:val="24"/>
          <w:szCs w:val="24"/>
        </w:rPr>
        <w:lastRenderedPageBreak/>
        <w:t xml:space="preserve">markets predominantly </w:t>
      </w:r>
      <w:r w:rsidR="000632F2" w:rsidRPr="00774EDB">
        <w:rPr>
          <w:rFonts w:ascii="Times New Roman" w:hAnsi="Times New Roman" w:cs="Times New Roman"/>
          <w:sz w:val="24"/>
          <w:szCs w:val="24"/>
        </w:rPr>
        <w:t>lead</w:t>
      </w:r>
      <w:r w:rsidRPr="00774EDB">
        <w:rPr>
          <w:rFonts w:ascii="Times New Roman" w:hAnsi="Times New Roman" w:cs="Times New Roman"/>
          <w:sz w:val="24"/>
          <w:szCs w:val="24"/>
        </w:rPr>
        <w:t xml:space="preserve"> the IP convergence,</w:t>
      </w:r>
      <w:r w:rsidRPr="00774EDB">
        <w:rPr>
          <w:rStyle w:val="FootnoteReference"/>
          <w:rFonts w:ascii="Times New Roman" w:hAnsi="Times New Roman" w:cs="Times New Roman"/>
          <w:sz w:val="24"/>
          <w:szCs w:val="24"/>
        </w:rPr>
        <w:footnoteReference w:id="726"/>
      </w:r>
      <w:r w:rsidRPr="00774EDB">
        <w:rPr>
          <w:rFonts w:ascii="Times New Roman" w:hAnsi="Times New Roman" w:cs="Times New Roman"/>
          <w:sz w:val="24"/>
          <w:szCs w:val="24"/>
        </w:rPr>
        <w:t xml:space="preserve"> the increasing interdependencies and interrelationships between the infrastructural and software-governed markets </w:t>
      </w:r>
      <w:r w:rsidR="00EA1F8A">
        <w:rPr>
          <w:rFonts w:ascii="Times New Roman" w:hAnsi="Times New Roman" w:cs="Times New Roman"/>
          <w:sz w:val="24"/>
          <w:szCs w:val="24"/>
        </w:rPr>
        <w:t xml:space="preserve">should </w:t>
      </w:r>
      <w:r w:rsidR="000632F2" w:rsidRPr="00774EDB">
        <w:rPr>
          <w:rFonts w:ascii="Times New Roman" w:hAnsi="Times New Roman" w:cs="Times New Roman"/>
          <w:sz w:val="24"/>
          <w:szCs w:val="24"/>
        </w:rPr>
        <w:t xml:space="preserve">drive </w:t>
      </w:r>
      <w:r w:rsidRPr="00774EDB">
        <w:rPr>
          <w:rFonts w:ascii="Times New Roman" w:hAnsi="Times New Roman" w:cs="Times New Roman"/>
          <w:sz w:val="24"/>
          <w:szCs w:val="24"/>
        </w:rPr>
        <w:t>new paradigmatic thinking to be translated to the regulatory sphere.</w:t>
      </w:r>
    </w:p>
    <w:p w14:paraId="3728CE39" w14:textId="69902BC7" w:rsidR="00912A1E" w:rsidRPr="00774EDB" w:rsidRDefault="000632F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Considering</w:t>
      </w:r>
      <w:r w:rsidR="00486E46" w:rsidRPr="00774EDB">
        <w:rPr>
          <w:rFonts w:ascii="Times New Roman" w:hAnsi="Times New Roman" w:cs="Times New Roman"/>
          <w:sz w:val="24"/>
          <w:szCs w:val="24"/>
        </w:rPr>
        <w:t xml:space="preserve"> the case studies below will help re-examine the convergence process and the interoperability dynamics, suffice </w:t>
      </w:r>
      <w:r w:rsidR="00F50C6F">
        <w:rPr>
          <w:rFonts w:ascii="Times New Roman" w:hAnsi="Times New Roman" w:cs="Times New Roman"/>
          <w:sz w:val="24"/>
          <w:szCs w:val="24"/>
        </w:rPr>
        <w:t xml:space="preserve">it </w:t>
      </w:r>
      <w:r w:rsidR="00486E46" w:rsidRPr="00774EDB">
        <w:rPr>
          <w:rFonts w:ascii="Times New Roman" w:hAnsi="Times New Roman" w:cs="Times New Roman"/>
          <w:sz w:val="24"/>
          <w:szCs w:val="24"/>
        </w:rPr>
        <w:t xml:space="preserve">to say here that the IP convergence, based on the cross-layer relationships, has an increasing role to play in </w:t>
      </w:r>
      <w:r w:rsidR="009C7337" w:rsidRPr="00774EDB">
        <w:rPr>
          <w:rFonts w:ascii="Times New Roman" w:hAnsi="Times New Roman" w:cs="Times New Roman"/>
          <w:sz w:val="24"/>
          <w:szCs w:val="24"/>
        </w:rPr>
        <w:t xml:space="preserve">ICT </w:t>
      </w:r>
      <w:r w:rsidR="00486E46" w:rsidRPr="00774EDB">
        <w:rPr>
          <w:rFonts w:ascii="Times New Roman" w:hAnsi="Times New Roman" w:cs="Times New Roman"/>
          <w:sz w:val="24"/>
          <w:szCs w:val="24"/>
        </w:rPr>
        <w:t xml:space="preserve">regulation </w:t>
      </w:r>
      <w:r w:rsidR="009C7337" w:rsidRPr="00774EDB">
        <w:rPr>
          <w:rFonts w:ascii="Times New Roman" w:hAnsi="Times New Roman" w:cs="Times New Roman"/>
          <w:sz w:val="24"/>
          <w:szCs w:val="24"/>
        </w:rPr>
        <w:t>including</w:t>
      </w:r>
      <w:r w:rsidR="00486E46" w:rsidRPr="00774EDB">
        <w:rPr>
          <w:rFonts w:ascii="Times New Roman" w:hAnsi="Times New Roman" w:cs="Times New Roman"/>
          <w:sz w:val="24"/>
          <w:szCs w:val="24"/>
        </w:rPr>
        <w:t xml:space="preserve"> interoperability</w:t>
      </w:r>
      <w:r w:rsidR="009C7337" w:rsidRPr="00774EDB">
        <w:rPr>
          <w:rFonts w:ascii="Times New Roman" w:hAnsi="Times New Roman" w:cs="Times New Roman"/>
          <w:sz w:val="24"/>
          <w:szCs w:val="24"/>
        </w:rPr>
        <w:t xml:space="preserve"> aspects</w:t>
      </w:r>
      <w:r w:rsidR="00486E46" w:rsidRPr="00774EDB">
        <w:rPr>
          <w:rFonts w:ascii="Times New Roman" w:hAnsi="Times New Roman" w:cs="Times New Roman"/>
          <w:sz w:val="24"/>
          <w:szCs w:val="24"/>
        </w:rPr>
        <w:t>. Having said that, the so-called interdependencies between the IP layers require more attention, as they would potential</w:t>
      </w:r>
      <w:r w:rsidR="006827D6" w:rsidRPr="00774EDB">
        <w:rPr>
          <w:rFonts w:ascii="Times New Roman" w:hAnsi="Times New Roman" w:cs="Times New Roman"/>
          <w:sz w:val="24"/>
          <w:szCs w:val="24"/>
        </w:rPr>
        <w:t>ly</w:t>
      </w:r>
      <w:r w:rsidR="00486E46" w:rsidRPr="00774EDB">
        <w:rPr>
          <w:rFonts w:ascii="Times New Roman" w:hAnsi="Times New Roman" w:cs="Times New Roman"/>
          <w:sz w:val="24"/>
          <w:szCs w:val="24"/>
        </w:rPr>
        <w:t xml:space="preserve"> </w:t>
      </w:r>
      <w:r w:rsidR="006827D6" w:rsidRPr="00774EDB">
        <w:rPr>
          <w:rFonts w:ascii="Times New Roman" w:hAnsi="Times New Roman" w:cs="Times New Roman"/>
          <w:sz w:val="24"/>
          <w:szCs w:val="24"/>
        </w:rPr>
        <w:t>pave the way</w:t>
      </w:r>
      <w:r w:rsidR="00486E46" w:rsidRPr="00774EDB">
        <w:rPr>
          <w:rFonts w:ascii="Times New Roman" w:hAnsi="Times New Roman" w:cs="Times New Roman"/>
          <w:sz w:val="24"/>
          <w:szCs w:val="24"/>
        </w:rPr>
        <w:t xml:space="preserve"> </w:t>
      </w:r>
      <w:r w:rsidR="006827D6" w:rsidRPr="00774EDB">
        <w:rPr>
          <w:rFonts w:ascii="Times New Roman" w:hAnsi="Times New Roman" w:cs="Times New Roman"/>
          <w:sz w:val="24"/>
          <w:szCs w:val="24"/>
        </w:rPr>
        <w:t>for</w:t>
      </w:r>
      <w:r w:rsidR="00486E46" w:rsidRPr="00774EDB">
        <w:rPr>
          <w:rFonts w:ascii="Times New Roman" w:hAnsi="Times New Roman" w:cs="Times New Roman"/>
          <w:sz w:val="24"/>
          <w:szCs w:val="24"/>
        </w:rPr>
        <w:t xml:space="preserve"> revi</w:t>
      </w:r>
      <w:r w:rsidR="006827D6" w:rsidRPr="00774EDB">
        <w:rPr>
          <w:rFonts w:ascii="Times New Roman" w:hAnsi="Times New Roman" w:cs="Times New Roman"/>
          <w:sz w:val="24"/>
          <w:szCs w:val="24"/>
        </w:rPr>
        <w:t>ew</w:t>
      </w:r>
      <w:r w:rsidR="00486E46" w:rsidRPr="00774EDB">
        <w:rPr>
          <w:rFonts w:ascii="Times New Roman" w:hAnsi="Times New Roman" w:cs="Times New Roman"/>
          <w:sz w:val="24"/>
          <w:szCs w:val="24"/>
        </w:rPr>
        <w:t xml:space="preserve"> </w:t>
      </w:r>
      <w:r w:rsidR="006827D6" w:rsidRPr="00774EDB">
        <w:rPr>
          <w:rFonts w:ascii="Times New Roman" w:hAnsi="Times New Roman" w:cs="Times New Roman"/>
          <w:sz w:val="24"/>
          <w:szCs w:val="24"/>
        </w:rPr>
        <w:t>of the</w:t>
      </w:r>
      <w:r w:rsidR="00486E46" w:rsidRPr="00774EDB">
        <w:rPr>
          <w:rFonts w:ascii="Times New Roman" w:hAnsi="Times New Roman" w:cs="Times New Roman"/>
          <w:sz w:val="24"/>
          <w:szCs w:val="24"/>
        </w:rPr>
        <w:t xml:space="preserve"> conventional wisdom </w:t>
      </w:r>
      <w:r w:rsidR="009C7337" w:rsidRPr="00774EDB">
        <w:rPr>
          <w:rFonts w:ascii="Times New Roman" w:hAnsi="Times New Roman" w:cs="Times New Roman"/>
          <w:sz w:val="24"/>
          <w:szCs w:val="24"/>
        </w:rPr>
        <w:t>concerning ex ante</w:t>
      </w:r>
      <w:r w:rsidR="00486E46" w:rsidRPr="00774EDB">
        <w:rPr>
          <w:rFonts w:ascii="Times New Roman" w:hAnsi="Times New Roman" w:cs="Times New Roman"/>
          <w:sz w:val="24"/>
          <w:szCs w:val="24"/>
        </w:rPr>
        <w:t xml:space="preserve"> regulation</w:t>
      </w:r>
      <w:r w:rsidR="006827D6" w:rsidRPr="00774EDB">
        <w:rPr>
          <w:rFonts w:ascii="Times New Roman" w:hAnsi="Times New Roman" w:cs="Times New Roman"/>
          <w:sz w:val="24"/>
          <w:szCs w:val="24"/>
        </w:rPr>
        <w:t>.</w:t>
      </w:r>
    </w:p>
    <w:p w14:paraId="154BBDE4" w14:textId="240A8C4E" w:rsidR="00CD6DFD" w:rsidRPr="00A70042" w:rsidRDefault="00486E46"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Summing up, interoperability-centric problems, with some regulatory exceptions given above, </w:t>
      </w:r>
      <w:r w:rsidR="00EA1F8A">
        <w:rPr>
          <w:rFonts w:ascii="Times New Roman" w:hAnsi="Times New Roman" w:cs="Times New Roman"/>
          <w:sz w:val="24"/>
          <w:szCs w:val="24"/>
        </w:rPr>
        <w:t xml:space="preserve">are happened to </w:t>
      </w:r>
      <w:r w:rsidRPr="00774EDB">
        <w:rPr>
          <w:rFonts w:ascii="Times New Roman" w:hAnsi="Times New Roman" w:cs="Times New Roman"/>
          <w:sz w:val="24"/>
          <w:szCs w:val="24"/>
        </w:rPr>
        <w:t xml:space="preserve">fall under the realm of competition law in the EU legal system. This would automatically mean that market stakeholders will have to await the results from the competition law decisions, and relevant problems will have to be worked out in between such results and industry led solutions. While the </w:t>
      </w:r>
      <w:r w:rsidR="00EA1F8A">
        <w:rPr>
          <w:rFonts w:ascii="Times New Roman" w:hAnsi="Times New Roman" w:cs="Times New Roman"/>
          <w:sz w:val="24"/>
          <w:szCs w:val="24"/>
        </w:rPr>
        <w:t xml:space="preserve">current situation under </w:t>
      </w:r>
      <w:r w:rsidRPr="00774EDB">
        <w:rPr>
          <w:rFonts w:ascii="Times New Roman" w:hAnsi="Times New Roman" w:cs="Times New Roman"/>
          <w:sz w:val="24"/>
          <w:szCs w:val="24"/>
        </w:rPr>
        <w:t xml:space="preserve">the ECRF </w:t>
      </w:r>
      <w:r w:rsidR="00EA1F8A">
        <w:rPr>
          <w:rFonts w:ascii="Times New Roman" w:hAnsi="Times New Roman" w:cs="Times New Roman"/>
          <w:sz w:val="24"/>
          <w:szCs w:val="24"/>
        </w:rPr>
        <w:t xml:space="preserve">whereby a </w:t>
      </w:r>
      <w:r w:rsidR="00EA1F8A" w:rsidRPr="00774EDB">
        <w:rPr>
          <w:rFonts w:ascii="Times New Roman" w:hAnsi="Times New Roman" w:cs="Times New Roman"/>
          <w:sz w:val="24"/>
          <w:szCs w:val="24"/>
        </w:rPr>
        <w:t xml:space="preserve">secondary role </w:t>
      </w:r>
      <w:r w:rsidR="00EA1F8A">
        <w:rPr>
          <w:rFonts w:ascii="Times New Roman" w:hAnsi="Times New Roman" w:cs="Times New Roman"/>
          <w:sz w:val="24"/>
          <w:szCs w:val="24"/>
        </w:rPr>
        <w:t>is conferred to</w:t>
      </w:r>
      <w:r w:rsidRPr="00774EDB">
        <w:rPr>
          <w:rFonts w:ascii="Times New Roman" w:hAnsi="Times New Roman" w:cs="Times New Roman"/>
          <w:sz w:val="24"/>
          <w:szCs w:val="24"/>
        </w:rPr>
        <w:t xml:space="preserve"> interoperability </w:t>
      </w:r>
      <w:r w:rsidR="006827D6" w:rsidRPr="00774EDB">
        <w:rPr>
          <w:rFonts w:ascii="Times New Roman" w:hAnsi="Times New Roman" w:cs="Times New Roman"/>
          <w:sz w:val="24"/>
          <w:szCs w:val="24"/>
        </w:rPr>
        <w:t>should</w:t>
      </w:r>
      <w:r w:rsidRPr="00774EDB">
        <w:rPr>
          <w:rFonts w:ascii="Times New Roman" w:hAnsi="Times New Roman" w:cs="Times New Roman"/>
          <w:sz w:val="24"/>
          <w:szCs w:val="24"/>
        </w:rPr>
        <w:t xml:space="preserve"> not self-evident</w:t>
      </w:r>
      <w:r w:rsidR="006827D6" w:rsidRPr="00774EDB">
        <w:rPr>
          <w:rFonts w:ascii="Times New Roman" w:hAnsi="Times New Roman" w:cs="Times New Roman"/>
          <w:sz w:val="24"/>
          <w:szCs w:val="24"/>
        </w:rPr>
        <w:t>ly</w:t>
      </w:r>
      <w:r w:rsidRPr="00774EDB">
        <w:rPr>
          <w:rFonts w:ascii="Times New Roman" w:hAnsi="Times New Roman" w:cs="Times New Roman"/>
          <w:sz w:val="24"/>
          <w:szCs w:val="24"/>
        </w:rPr>
        <w:t xml:space="preserve"> </w:t>
      </w:r>
      <w:r w:rsidR="006827D6" w:rsidRPr="00774EDB">
        <w:rPr>
          <w:rFonts w:ascii="Times New Roman" w:hAnsi="Times New Roman" w:cs="Times New Roman"/>
          <w:sz w:val="24"/>
          <w:szCs w:val="24"/>
        </w:rPr>
        <w:t>justify</w:t>
      </w:r>
      <w:r w:rsidRPr="00774EDB">
        <w:rPr>
          <w:rFonts w:ascii="Times New Roman" w:hAnsi="Times New Roman" w:cs="Times New Roman"/>
          <w:sz w:val="24"/>
          <w:szCs w:val="24"/>
        </w:rPr>
        <w:t xml:space="preserve"> expand</w:t>
      </w:r>
      <w:r w:rsidR="006827D6" w:rsidRPr="00774EDB">
        <w:rPr>
          <w:rFonts w:ascii="Times New Roman" w:hAnsi="Times New Roman" w:cs="Times New Roman"/>
          <w:sz w:val="24"/>
          <w:szCs w:val="24"/>
        </w:rPr>
        <w:t>ing</w:t>
      </w:r>
      <w:r w:rsidRPr="00774EDB">
        <w:rPr>
          <w:rFonts w:ascii="Times New Roman" w:hAnsi="Times New Roman" w:cs="Times New Roman"/>
          <w:sz w:val="24"/>
          <w:szCs w:val="24"/>
        </w:rPr>
        <w:t xml:space="preserve"> the regulatory vision, the interdependencies and interrelationships between the ICT markets and players require a more elaborate and in-depth analysis. Given this fact, the chapter below is dedicated to the case studies based on cloud computing and the IoT</w:t>
      </w:r>
      <w:r w:rsidR="001D248F" w:rsidRPr="00774EDB">
        <w:rPr>
          <w:rFonts w:ascii="Times New Roman" w:hAnsi="Times New Roman" w:cs="Times New Roman"/>
          <w:sz w:val="24"/>
          <w:szCs w:val="24"/>
        </w:rPr>
        <w:t xml:space="preserve"> reflecting on the real-life scenarios, industrial solutions and interdependencies</w:t>
      </w:r>
      <w:r w:rsidRPr="00774EDB">
        <w:rPr>
          <w:rFonts w:ascii="Times New Roman" w:hAnsi="Times New Roman" w:cs="Times New Roman"/>
          <w:sz w:val="24"/>
          <w:szCs w:val="24"/>
        </w:rPr>
        <w:t>.</w:t>
      </w:r>
    </w:p>
    <w:p w14:paraId="677AA4CC" w14:textId="77777777" w:rsidR="00DE398F" w:rsidRDefault="00DE398F">
      <w:pPr>
        <w:rPr>
          <w:rFonts w:ascii="Times New Roman" w:eastAsiaTheme="majorEastAsia" w:hAnsi="Times New Roman" w:cs="Times New Roman"/>
          <w:b/>
          <w:sz w:val="24"/>
          <w:szCs w:val="24"/>
        </w:rPr>
      </w:pPr>
      <w:r>
        <w:rPr>
          <w:rFonts w:ascii="Times New Roman" w:hAnsi="Times New Roman" w:cs="Times New Roman"/>
          <w:b/>
          <w:sz w:val="24"/>
          <w:szCs w:val="24"/>
        </w:rPr>
        <w:br w:type="page"/>
      </w:r>
    </w:p>
    <w:p w14:paraId="15C09E4F" w14:textId="5123DA4D" w:rsidR="00466B48" w:rsidRPr="00774EDB" w:rsidRDefault="00014BE4" w:rsidP="00A70042">
      <w:pPr>
        <w:pStyle w:val="Heading1"/>
        <w:numPr>
          <w:ilvl w:val="0"/>
          <w:numId w:val="33"/>
        </w:numPr>
        <w:spacing w:before="360"/>
        <w:ind w:left="284" w:hanging="284"/>
        <w:jc w:val="both"/>
        <w:rPr>
          <w:rFonts w:ascii="Times New Roman" w:hAnsi="Times New Roman" w:cs="Times New Roman"/>
          <w:b/>
          <w:color w:val="auto"/>
          <w:sz w:val="24"/>
          <w:szCs w:val="24"/>
        </w:rPr>
      </w:pPr>
      <w:bookmarkStart w:id="551" w:name="_Toc17611466"/>
      <w:bookmarkStart w:id="552" w:name="_Toc53576096"/>
      <w:r w:rsidRPr="00774EDB">
        <w:rPr>
          <w:rFonts w:ascii="Times New Roman" w:hAnsi="Times New Roman" w:cs="Times New Roman"/>
          <w:b/>
          <w:color w:val="auto"/>
          <w:sz w:val="24"/>
          <w:szCs w:val="24"/>
        </w:rPr>
        <w:lastRenderedPageBreak/>
        <w:t xml:space="preserve">Case studies: Cloud </w:t>
      </w:r>
      <w:r w:rsidR="00AB5B0A" w:rsidRPr="00774EDB">
        <w:rPr>
          <w:rFonts w:ascii="Times New Roman" w:hAnsi="Times New Roman" w:cs="Times New Roman"/>
          <w:b/>
          <w:color w:val="auto"/>
          <w:sz w:val="24"/>
          <w:szCs w:val="24"/>
        </w:rPr>
        <w:t>c</w:t>
      </w:r>
      <w:r w:rsidRPr="00774EDB">
        <w:rPr>
          <w:rFonts w:ascii="Times New Roman" w:hAnsi="Times New Roman" w:cs="Times New Roman"/>
          <w:b/>
          <w:color w:val="auto"/>
          <w:sz w:val="24"/>
          <w:szCs w:val="24"/>
        </w:rPr>
        <w:t>omputing</w:t>
      </w:r>
      <w:r w:rsidR="00D732E9" w:rsidRPr="00774EDB">
        <w:rPr>
          <w:rFonts w:ascii="Times New Roman" w:hAnsi="Times New Roman" w:cs="Times New Roman"/>
          <w:b/>
          <w:color w:val="auto"/>
          <w:sz w:val="24"/>
          <w:szCs w:val="24"/>
        </w:rPr>
        <w:t xml:space="preserve"> and </w:t>
      </w:r>
      <w:r w:rsidR="00AB5B0A" w:rsidRPr="00774EDB">
        <w:rPr>
          <w:rFonts w:ascii="Times New Roman" w:hAnsi="Times New Roman" w:cs="Times New Roman"/>
          <w:b/>
          <w:color w:val="auto"/>
          <w:sz w:val="24"/>
          <w:szCs w:val="24"/>
        </w:rPr>
        <w:t xml:space="preserve">the </w:t>
      </w:r>
      <w:r w:rsidR="00D732E9" w:rsidRPr="00774EDB">
        <w:rPr>
          <w:rFonts w:ascii="Times New Roman" w:hAnsi="Times New Roman" w:cs="Times New Roman"/>
          <w:b/>
          <w:color w:val="auto"/>
          <w:sz w:val="24"/>
          <w:szCs w:val="24"/>
        </w:rPr>
        <w:t>Internet of Things</w:t>
      </w:r>
      <w:bookmarkEnd w:id="551"/>
      <w:bookmarkEnd w:id="552"/>
      <w:r w:rsidR="00D732E9" w:rsidRPr="00774EDB">
        <w:rPr>
          <w:rFonts w:ascii="Times New Roman" w:hAnsi="Times New Roman" w:cs="Times New Roman"/>
          <w:b/>
          <w:color w:val="auto"/>
          <w:sz w:val="24"/>
          <w:szCs w:val="24"/>
        </w:rPr>
        <w:t xml:space="preserve"> </w:t>
      </w:r>
    </w:p>
    <w:p w14:paraId="45865B8D" w14:textId="77777777" w:rsidR="00014BE4" w:rsidRPr="00774EDB" w:rsidRDefault="00D732E9" w:rsidP="00A70042">
      <w:pPr>
        <w:pStyle w:val="Heading2"/>
        <w:numPr>
          <w:ilvl w:val="1"/>
          <w:numId w:val="33"/>
        </w:numPr>
        <w:spacing w:before="360"/>
        <w:ind w:left="426" w:hanging="426"/>
        <w:jc w:val="both"/>
        <w:rPr>
          <w:rFonts w:ascii="Times New Roman" w:hAnsi="Times New Roman" w:cs="Times New Roman"/>
          <w:b/>
          <w:sz w:val="24"/>
          <w:szCs w:val="24"/>
        </w:rPr>
      </w:pPr>
      <w:bookmarkStart w:id="553" w:name="_Toc17611467"/>
      <w:bookmarkStart w:id="554" w:name="_Toc17611684"/>
      <w:bookmarkStart w:id="555" w:name="_Toc17611896"/>
      <w:bookmarkStart w:id="556" w:name="_Toc17612110"/>
      <w:bookmarkStart w:id="557" w:name="_Toc17612323"/>
      <w:bookmarkStart w:id="558" w:name="_Toc17611468"/>
      <w:bookmarkStart w:id="559" w:name="_Toc53576097"/>
      <w:bookmarkEnd w:id="553"/>
      <w:bookmarkEnd w:id="554"/>
      <w:bookmarkEnd w:id="555"/>
      <w:bookmarkEnd w:id="556"/>
      <w:bookmarkEnd w:id="557"/>
      <w:r w:rsidRPr="00774EDB">
        <w:rPr>
          <w:rFonts w:ascii="Times New Roman" w:hAnsi="Times New Roman" w:cs="Times New Roman"/>
          <w:b/>
          <w:color w:val="auto"/>
          <w:sz w:val="24"/>
          <w:szCs w:val="24"/>
        </w:rPr>
        <w:t>Cloud computing</w:t>
      </w:r>
      <w:bookmarkEnd w:id="558"/>
      <w:bookmarkEnd w:id="559"/>
    </w:p>
    <w:p w14:paraId="2C956DA9" w14:textId="77777777" w:rsidR="006358C3" w:rsidRPr="00774EDB" w:rsidRDefault="006358C3" w:rsidP="00A70042">
      <w:pPr>
        <w:pStyle w:val="Heading3"/>
        <w:numPr>
          <w:ilvl w:val="2"/>
          <w:numId w:val="33"/>
        </w:numPr>
        <w:spacing w:before="360"/>
        <w:ind w:left="0" w:firstLine="0"/>
        <w:jc w:val="both"/>
        <w:rPr>
          <w:rFonts w:ascii="Times New Roman" w:hAnsi="Times New Roman" w:cs="Times New Roman"/>
          <w:b/>
        </w:rPr>
      </w:pPr>
      <w:bookmarkStart w:id="560" w:name="_Toc17611469"/>
      <w:bookmarkStart w:id="561" w:name="_Toc17611686"/>
      <w:bookmarkStart w:id="562" w:name="_Toc17611898"/>
      <w:bookmarkStart w:id="563" w:name="_Toc17612112"/>
      <w:bookmarkStart w:id="564" w:name="_Toc17612325"/>
      <w:bookmarkStart w:id="565" w:name="_Toc17611470"/>
      <w:bookmarkStart w:id="566" w:name="_Toc53576098"/>
      <w:bookmarkEnd w:id="560"/>
      <w:bookmarkEnd w:id="561"/>
      <w:bookmarkEnd w:id="562"/>
      <w:bookmarkEnd w:id="563"/>
      <w:bookmarkEnd w:id="564"/>
      <w:r w:rsidRPr="00774EDB">
        <w:rPr>
          <w:rFonts w:ascii="Times New Roman" w:hAnsi="Times New Roman" w:cs="Times New Roman"/>
          <w:b/>
          <w:color w:val="auto"/>
        </w:rPr>
        <w:t xml:space="preserve">Definition, main characteristics and </w:t>
      </w:r>
      <w:r w:rsidR="00730E95" w:rsidRPr="00774EDB">
        <w:rPr>
          <w:rFonts w:ascii="Times New Roman" w:hAnsi="Times New Roman" w:cs="Times New Roman"/>
          <w:b/>
          <w:color w:val="auto"/>
        </w:rPr>
        <w:t xml:space="preserve">featured </w:t>
      </w:r>
      <w:r w:rsidR="00351867" w:rsidRPr="00774EDB">
        <w:rPr>
          <w:rFonts w:ascii="Times New Roman" w:hAnsi="Times New Roman" w:cs="Times New Roman"/>
          <w:b/>
          <w:color w:val="auto"/>
        </w:rPr>
        <w:t>models</w:t>
      </w:r>
      <w:bookmarkEnd w:id="565"/>
      <w:bookmarkEnd w:id="566"/>
      <w:r w:rsidRPr="00774EDB">
        <w:rPr>
          <w:rFonts w:ascii="Times New Roman" w:hAnsi="Times New Roman" w:cs="Times New Roman"/>
          <w:b/>
          <w:color w:val="auto"/>
        </w:rPr>
        <w:t xml:space="preserve"> </w:t>
      </w:r>
    </w:p>
    <w:p w14:paraId="46F80E48" w14:textId="77777777" w:rsidR="005351FF" w:rsidRPr="00774EDB" w:rsidRDefault="00E61D5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Cloud computing denotes a modern IT infrastructure in which part of the software or hardware resources are not in the hands of the user but are located on some remote servers and accessible through the internet.</w:t>
      </w:r>
      <w:r w:rsidRPr="00774EDB">
        <w:rPr>
          <w:rStyle w:val="FootnoteReference"/>
          <w:rFonts w:ascii="Times New Roman" w:hAnsi="Times New Roman" w:cs="Times New Roman"/>
          <w:sz w:val="24"/>
          <w:szCs w:val="24"/>
        </w:rPr>
        <w:footnoteReference w:id="727"/>
      </w:r>
      <w:r w:rsidRPr="00774EDB">
        <w:rPr>
          <w:rFonts w:ascii="Times New Roman" w:hAnsi="Times New Roman" w:cs="Times New Roman"/>
          <w:sz w:val="24"/>
          <w:szCs w:val="24"/>
        </w:rPr>
        <w:t xml:space="preserve"> Such servers are placed in the cloud centres, which host third parties’ data, software and applications, comprising the cloud resources that constitute ‘cloud computing’ along with the  necessary deployment, maintenance and management. A common definition of ‘cloud computing’ made by National Institute for Standards and Technology (NIST) describes ‘cloud computing’ as a “model for enabling convenient, on-demand network access to a shared pool of configurable computing resources e.g. networks, servers, storage, applications and services, that can be rapidly provisioned and released with minimal management effort or service provider interaction”.</w:t>
      </w:r>
      <w:r w:rsidRPr="00774EDB">
        <w:rPr>
          <w:rStyle w:val="FootnoteReference"/>
          <w:rFonts w:ascii="Times New Roman" w:hAnsi="Times New Roman" w:cs="Times New Roman"/>
          <w:sz w:val="24"/>
          <w:szCs w:val="24"/>
        </w:rPr>
        <w:footnoteReference w:id="728"/>
      </w:r>
    </w:p>
    <w:p w14:paraId="41CF406A" w14:textId="77777777" w:rsidR="00CE6452" w:rsidRPr="00774EDB" w:rsidRDefault="00E61D5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Cloud computing applies a utility model to produce and consume computing resources, in which the cloud abstracts all types of computing resources, including storage and as services i.e. cloud services.</w:t>
      </w:r>
      <w:r w:rsidRPr="00774EDB">
        <w:rPr>
          <w:rStyle w:val="FootnoteReference"/>
          <w:rFonts w:ascii="Times New Roman" w:hAnsi="Times New Roman" w:cs="Times New Roman"/>
          <w:sz w:val="24"/>
          <w:szCs w:val="24"/>
        </w:rPr>
        <w:footnoteReference w:id="729"/>
      </w:r>
      <w:r w:rsidRPr="00774EDB">
        <w:rPr>
          <w:rFonts w:ascii="Times New Roman" w:hAnsi="Times New Roman" w:cs="Times New Roman"/>
          <w:sz w:val="24"/>
          <w:szCs w:val="24"/>
        </w:rPr>
        <w:t xml:space="preserve"> The cloud user, either application developer or consumer, can access the cloud services over the internet, and the cloud users pay only </w:t>
      </w:r>
      <w:r w:rsidRPr="00774EDB">
        <w:rPr>
          <w:rFonts w:ascii="Times New Roman" w:hAnsi="Times New Roman" w:cs="Times New Roman"/>
          <w:sz w:val="24"/>
          <w:szCs w:val="24"/>
        </w:rPr>
        <w:lastRenderedPageBreak/>
        <w:t>for the time and services they need.</w:t>
      </w:r>
      <w:r w:rsidRPr="00774EDB">
        <w:rPr>
          <w:rStyle w:val="FootnoteReference"/>
          <w:rFonts w:ascii="Times New Roman" w:hAnsi="Times New Roman" w:cs="Times New Roman"/>
          <w:sz w:val="24"/>
          <w:szCs w:val="24"/>
        </w:rPr>
        <w:footnoteReference w:id="730"/>
      </w:r>
      <w:r w:rsidRPr="00774EDB">
        <w:rPr>
          <w:rFonts w:ascii="Times New Roman" w:hAnsi="Times New Roman" w:cs="Times New Roman"/>
          <w:sz w:val="24"/>
          <w:szCs w:val="24"/>
        </w:rPr>
        <w:t xml:space="preserve"> Geographically dispersed users’ requests, including for the necessary software updates, are met by the cloud (computing) providers in an efficient and customised manner. Resource pooling and rapid elasticity brought by the cloud computing respond to various demands in numerous settings i.e. big data management, the IoT and/or AI-driven services. Accordingly, from basic IT needs e.g. data storage, security and reducing the upfront costs, to advanced levels of utilisation, cloud computing has become a significant driver and part of running businesses in the digital world.</w:t>
      </w:r>
      <w:r w:rsidR="00CE6452" w:rsidRPr="00774EDB">
        <w:rPr>
          <w:rFonts w:ascii="Times New Roman" w:hAnsi="Times New Roman" w:cs="Times New Roman"/>
          <w:sz w:val="24"/>
          <w:szCs w:val="24"/>
        </w:rPr>
        <w:t xml:space="preserve">  </w:t>
      </w:r>
    </w:p>
    <w:p w14:paraId="23ED90B7" w14:textId="77777777" w:rsidR="006358C3" w:rsidRPr="00774EDB" w:rsidRDefault="00413DD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 an increasing fashion, cloud computing constitutes an integral part of the current ICT ecosystems, underlying a significant sphere of the digital economy. As an ever-faster-growing trend, enterprises rely on cloud computing in building and/or running their businesses, considering this either as a way to more efficiently provide their services and/or for storage and/or back-up purposes. This intensive demand is clearly shown by Cisco’s forecast that by 2021, 94% of workloads and compute instances will be processed by cloud data centres, whereas 6% will be processed by traditional data centres.</w:t>
      </w:r>
      <w:r w:rsidRPr="00774EDB">
        <w:rPr>
          <w:rStyle w:val="FootnoteReference"/>
          <w:rFonts w:ascii="Times New Roman" w:hAnsi="Times New Roman" w:cs="Times New Roman"/>
          <w:sz w:val="24"/>
          <w:szCs w:val="24"/>
        </w:rPr>
        <w:footnoteReference w:id="731"/>
      </w:r>
      <w:r w:rsidRPr="00774EDB">
        <w:rPr>
          <w:rFonts w:ascii="Times New Roman" w:hAnsi="Times New Roman" w:cs="Times New Roman"/>
          <w:sz w:val="24"/>
          <w:szCs w:val="24"/>
        </w:rPr>
        <w:t xml:space="preserve"> It is also note-worthy that, cloud networks and services have a significant role in retrieving, processing and analysing data from various resources in the era of big data.  Based on the diversification of user needs, a number of service and deployment models have so far emerged along with key and distinctive features.</w:t>
      </w:r>
    </w:p>
    <w:p w14:paraId="7B032452" w14:textId="4F07D948" w:rsidR="00DC65C3" w:rsidRPr="00774EDB" w:rsidRDefault="00413DD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Infrastructure as a Service (IaaS), Platform as a Service (PaaS) and Software as a Service (SaaS) are the main categories that denote </w:t>
      </w:r>
      <w:r w:rsidRPr="00774EDB">
        <w:rPr>
          <w:rFonts w:ascii="Times New Roman" w:hAnsi="Times New Roman" w:cs="Times New Roman"/>
          <w:i/>
          <w:sz w:val="24"/>
          <w:szCs w:val="24"/>
        </w:rPr>
        <w:t>service</w:t>
      </w:r>
      <w:r w:rsidRPr="00774EDB">
        <w:rPr>
          <w:rFonts w:ascii="Times New Roman" w:hAnsi="Times New Roman" w:cs="Times New Roman"/>
          <w:sz w:val="24"/>
          <w:szCs w:val="24"/>
        </w:rPr>
        <w:t xml:space="preserve"> models. Among these, IaaS </w:t>
      </w:r>
      <w:r w:rsidRPr="00774EDB">
        <w:rPr>
          <w:rFonts w:ascii="Times New Roman" w:hAnsi="Times New Roman" w:cs="Times New Roman"/>
          <w:sz w:val="24"/>
          <w:szCs w:val="24"/>
        </w:rPr>
        <w:lastRenderedPageBreak/>
        <w:t>is the most flexible model for the cloud users who are allowed to optimise their IT needs based on the networking, virtualised servers, OS, security and storage offered by the cloud (IaaS) provider. In this model, all physical servers and networking elements are virtualised, allowing the users to deploy their software tools, applications, databases, etc. These computing powers are increasingly embedded into the software infrastructure of the clouds, when moving to PaaS and SaaS. In the PaaS model, cloud users are offered web servers, development tools and databases through which they can run their own applications. Such cloud resources are al</w:t>
      </w:r>
      <w:r w:rsidR="0041442F" w:rsidRPr="00774EDB">
        <w:rPr>
          <w:rFonts w:ascii="Times New Roman" w:hAnsi="Times New Roman" w:cs="Times New Roman"/>
          <w:sz w:val="24"/>
          <w:szCs w:val="24"/>
        </w:rPr>
        <w:t>so-called</w:t>
      </w:r>
      <w:r w:rsidRPr="00774EDB">
        <w:rPr>
          <w:rFonts w:ascii="Times New Roman" w:hAnsi="Times New Roman" w:cs="Times New Roman"/>
          <w:sz w:val="24"/>
          <w:szCs w:val="24"/>
        </w:rPr>
        <w:t xml:space="preserve"> the ‘system middleware’, giving users the flexibility to manage the application parameters, while the control of the underlying infrastructure e.g. OSs and networking is kept on by the cloud provider. In the SaaS model, all the computing resources e.g. from the underlying hardware and software to the running applications, are purchased from the cloud provider. SaaS providers install, maintain and update software within the cloud back-end, and users’ access to the software is managed through the internet, or intranet, via client devices, PCs, etc.</w:t>
      </w:r>
      <w:r w:rsidRPr="00774EDB">
        <w:rPr>
          <w:rStyle w:val="FootnoteReference"/>
          <w:rFonts w:ascii="Times New Roman" w:hAnsi="Times New Roman" w:cs="Times New Roman"/>
          <w:sz w:val="24"/>
          <w:szCs w:val="24"/>
        </w:rPr>
        <w:footnoteReference w:id="732"/>
      </w:r>
      <w:r w:rsidRPr="00774EDB">
        <w:rPr>
          <w:rFonts w:ascii="Times New Roman" w:hAnsi="Times New Roman" w:cs="Times New Roman"/>
          <w:sz w:val="24"/>
          <w:szCs w:val="24"/>
        </w:rPr>
        <w:t xml:space="preserve"> Therefore, in this model, the maximised control of the cloud providers is exchanged with the lessened flexibility on the part of the users.</w:t>
      </w:r>
      <w:r w:rsidRPr="00774EDB">
        <w:rPr>
          <w:rStyle w:val="FootnoteReference"/>
          <w:rFonts w:ascii="Times New Roman" w:hAnsi="Times New Roman" w:cs="Times New Roman"/>
          <w:sz w:val="24"/>
          <w:szCs w:val="24"/>
        </w:rPr>
        <w:footnoteReference w:id="733"/>
      </w:r>
    </w:p>
    <w:p w14:paraId="6C380E4C" w14:textId="5070736C" w:rsidR="00A677D9" w:rsidRPr="00774EDB" w:rsidRDefault="00413DD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Alongside the service models, four types of </w:t>
      </w:r>
      <w:r w:rsidRPr="00774EDB">
        <w:rPr>
          <w:rFonts w:ascii="Times New Roman" w:hAnsi="Times New Roman" w:cs="Times New Roman"/>
          <w:i/>
          <w:sz w:val="24"/>
          <w:szCs w:val="24"/>
        </w:rPr>
        <w:t>deployment</w:t>
      </w:r>
      <w:r w:rsidRPr="00774EDB">
        <w:rPr>
          <w:rFonts w:ascii="Times New Roman" w:hAnsi="Times New Roman" w:cs="Times New Roman"/>
          <w:sz w:val="24"/>
          <w:szCs w:val="24"/>
        </w:rPr>
        <w:t xml:space="preserve"> models are widely acknowledged that reflect the global needs of the users and enterprises. ‘Private </w:t>
      </w:r>
      <w:r w:rsidRPr="00774EDB">
        <w:rPr>
          <w:rFonts w:ascii="Times New Roman" w:hAnsi="Times New Roman" w:cs="Times New Roman"/>
          <w:sz w:val="24"/>
          <w:szCs w:val="24"/>
        </w:rPr>
        <w:lastRenderedPageBreak/>
        <w:t>clouds’ are operated on the basis of meeting individual client demands with the dedicated hardware and software, whereas ‘public clouds’ are managed to meet the general public’s demands. In the case of ‘community clouds’, the cloud infrastructure is shared by several organizations and supports a specific community that has shared concerns e.g. mission, security requirements, policy and compliance considerations.</w:t>
      </w:r>
      <w:r w:rsidRPr="00774EDB">
        <w:rPr>
          <w:rStyle w:val="FootnoteReference"/>
          <w:rFonts w:ascii="Times New Roman" w:hAnsi="Times New Roman" w:cs="Times New Roman"/>
          <w:sz w:val="24"/>
          <w:szCs w:val="24"/>
        </w:rPr>
        <w:footnoteReference w:id="734"/>
      </w:r>
      <w:r w:rsidRPr="00774EDB">
        <w:rPr>
          <w:rFonts w:ascii="Times New Roman" w:hAnsi="Times New Roman" w:cs="Times New Roman"/>
          <w:sz w:val="24"/>
          <w:szCs w:val="24"/>
        </w:rPr>
        <w:t xml:space="preserve"> Finally, the ‘hybrid cloud’ infrastructure is a composition of two or more clouds, private, community or public, that remain unique entities but are bound together by standardized or proprietary technology that enables data and application portability e.g. cloud bursting for load-balancing between clouds.</w:t>
      </w:r>
      <w:r w:rsidRPr="00774EDB">
        <w:rPr>
          <w:rStyle w:val="FootnoteReference"/>
          <w:rFonts w:ascii="Times New Roman" w:hAnsi="Times New Roman" w:cs="Times New Roman"/>
          <w:sz w:val="24"/>
          <w:szCs w:val="24"/>
        </w:rPr>
        <w:footnoteReference w:id="735"/>
      </w:r>
    </w:p>
    <w:p w14:paraId="3D896D39" w14:textId="77777777" w:rsidR="00014BE4" w:rsidRPr="00774EDB" w:rsidRDefault="00351867" w:rsidP="00A70042">
      <w:pPr>
        <w:pStyle w:val="Heading3"/>
        <w:numPr>
          <w:ilvl w:val="2"/>
          <w:numId w:val="33"/>
        </w:numPr>
        <w:spacing w:before="360"/>
        <w:ind w:left="0" w:firstLine="0"/>
        <w:jc w:val="both"/>
        <w:rPr>
          <w:rFonts w:ascii="Times New Roman" w:hAnsi="Times New Roman" w:cs="Times New Roman"/>
          <w:b/>
          <w:color w:val="auto"/>
        </w:rPr>
      </w:pPr>
      <w:bookmarkStart w:id="567" w:name="_Toc17611471"/>
      <w:bookmarkStart w:id="568" w:name="_Toc53576099"/>
      <w:r w:rsidRPr="00774EDB">
        <w:rPr>
          <w:rFonts w:ascii="Times New Roman" w:hAnsi="Times New Roman" w:cs="Times New Roman"/>
          <w:b/>
          <w:color w:val="auto"/>
        </w:rPr>
        <w:t>Technical and economic underpinnings</w:t>
      </w:r>
      <w:bookmarkEnd w:id="567"/>
      <w:bookmarkEnd w:id="568"/>
    </w:p>
    <w:p w14:paraId="5BA8E47D" w14:textId="77777777" w:rsidR="006D3D7B" w:rsidRPr="00774EDB" w:rsidRDefault="00413DD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While the existing platforms, software and applications could be run by the users more efficiently and easily in the cloud environment, behind the scene lies a very complicated back-end. In this back-end, lies an assembly of the hardware and software elements from different resources, ending up as a distinct composition and organisational structure. These architectural components also refer to the economic underpinnings of cloud computing.</w:t>
      </w:r>
    </w:p>
    <w:p w14:paraId="69FB69A7" w14:textId="77777777" w:rsidR="00413DDD" w:rsidRPr="00774EDB" w:rsidRDefault="00413DD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Technically speaking, the essential concept of cloud computing is that IT resources are made available within an environment that enables them to be used, via a communications network, as a service.</w:t>
      </w:r>
      <w:r w:rsidRPr="00774EDB">
        <w:rPr>
          <w:rStyle w:val="FootnoteReference"/>
          <w:rFonts w:ascii="Times New Roman" w:hAnsi="Times New Roman" w:cs="Times New Roman"/>
          <w:sz w:val="24"/>
          <w:szCs w:val="24"/>
        </w:rPr>
        <w:footnoteReference w:id="736"/>
      </w:r>
      <w:r w:rsidRPr="00774EDB">
        <w:rPr>
          <w:rFonts w:ascii="Times New Roman" w:hAnsi="Times New Roman" w:cs="Times New Roman"/>
          <w:sz w:val="24"/>
          <w:szCs w:val="24"/>
        </w:rPr>
        <w:t xml:space="preserve"> Having said this, cloud-based storage, security, processing, messaging and reporting are offered to the users by the cloud </w:t>
      </w:r>
      <w:r w:rsidRPr="00774EDB">
        <w:rPr>
          <w:rFonts w:ascii="Times New Roman" w:hAnsi="Times New Roman" w:cs="Times New Roman"/>
          <w:sz w:val="24"/>
          <w:szCs w:val="24"/>
        </w:rPr>
        <w:lastRenderedPageBreak/>
        <w:t>provider, whereas the physical link between the user and the cloud provider is secured by the ECS providers (ISPs). Furthermore, cloud-based content is often delivered to the end-users through content delivery networks (CDNs) that are deployed in premises closer to the end-users with the aim of high-speed delivery of content to the geographically-dispersed end-users.</w:t>
      </w:r>
      <w:r w:rsidRPr="00774EDB">
        <w:rPr>
          <w:rStyle w:val="FootnoteReference"/>
          <w:rFonts w:ascii="Times New Roman" w:hAnsi="Times New Roman" w:cs="Times New Roman"/>
          <w:sz w:val="24"/>
          <w:szCs w:val="24"/>
        </w:rPr>
        <w:footnoteReference w:id="737"/>
      </w:r>
      <w:r w:rsidRPr="00774EDB">
        <w:rPr>
          <w:rFonts w:ascii="Times New Roman" w:hAnsi="Times New Roman" w:cs="Times New Roman"/>
          <w:sz w:val="24"/>
          <w:szCs w:val="24"/>
        </w:rPr>
        <w:t xml:space="preserve"> These external elements underlie and complement the cloud infrastructure, assuring the intended usages and benefits from cloud computing. Representing the constituents of evolving supply structures and ecosystems, such internal and external elements are analysed below.</w:t>
      </w:r>
    </w:p>
    <w:p w14:paraId="439C806A" w14:textId="77777777" w:rsidR="008550BA" w:rsidRPr="00774EDB" w:rsidRDefault="008550BA" w:rsidP="00A70042">
      <w:pPr>
        <w:pStyle w:val="Heading4"/>
        <w:numPr>
          <w:ilvl w:val="3"/>
          <w:numId w:val="33"/>
        </w:numPr>
        <w:tabs>
          <w:tab w:val="left" w:pos="851"/>
        </w:tabs>
        <w:spacing w:before="360"/>
        <w:ind w:left="0" w:firstLine="0"/>
        <w:jc w:val="both"/>
        <w:rPr>
          <w:rFonts w:ascii="Times New Roman" w:hAnsi="Times New Roman" w:cs="Times New Roman"/>
          <w:b/>
          <w:i w:val="0"/>
          <w:sz w:val="24"/>
          <w:szCs w:val="24"/>
        </w:rPr>
      </w:pPr>
      <w:bookmarkStart w:id="569" w:name="_Toc17611472"/>
      <w:bookmarkStart w:id="570" w:name="_Toc17611689"/>
      <w:bookmarkStart w:id="571" w:name="_Toc17611901"/>
      <w:bookmarkStart w:id="572" w:name="_Toc17612115"/>
      <w:bookmarkStart w:id="573" w:name="_Toc17612328"/>
      <w:bookmarkStart w:id="574" w:name="_Toc17611473"/>
      <w:bookmarkStart w:id="575" w:name="_Toc53576100"/>
      <w:bookmarkEnd w:id="569"/>
      <w:bookmarkEnd w:id="570"/>
      <w:bookmarkEnd w:id="571"/>
      <w:bookmarkEnd w:id="572"/>
      <w:bookmarkEnd w:id="573"/>
      <w:r w:rsidRPr="00774EDB">
        <w:rPr>
          <w:rFonts w:ascii="Times New Roman" w:hAnsi="Times New Roman" w:cs="Times New Roman"/>
          <w:b/>
          <w:i w:val="0"/>
          <w:color w:val="auto"/>
          <w:sz w:val="24"/>
          <w:szCs w:val="24"/>
        </w:rPr>
        <w:t>Cloud layers and components</w:t>
      </w:r>
      <w:r w:rsidR="00495546" w:rsidRPr="00774EDB">
        <w:rPr>
          <w:rFonts w:ascii="Times New Roman" w:hAnsi="Times New Roman" w:cs="Times New Roman"/>
          <w:b/>
          <w:i w:val="0"/>
          <w:color w:val="auto"/>
          <w:sz w:val="24"/>
          <w:szCs w:val="24"/>
        </w:rPr>
        <w:t xml:space="preserve"> (internal elements)</w:t>
      </w:r>
      <w:bookmarkEnd w:id="574"/>
      <w:bookmarkEnd w:id="575"/>
      <w:r w:rsidRPr="00774EDB">
        <w:rPr>
          <w:rFonts w:ascii="Times New Roman" w:hAnsi="Times New Roman" w:cs="Times New Roman"/>
          <w:b/>
          <w:i w:val="0"/>
          <w:color w:val="auto"/>
          <w:sz w:val="24"/>
          <w:szCs w:val="24"/>
        </w:rPr>
        <w:t xml:space="preserve"> </w:t>
      </w:r>
    </w:p>
    <w:p w14:paraId="7E48AF96" w14:textId="620C8269" w:rsidR="00ED375A" w:rsidRPr="00774EDB" w:rsidRDefault="00EF372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While cloud providers mainly aim for the provision of cloud resources to third parties e.g. individual users, commercial enterprises and software developers, each constituent layer has a key role, like a building block, in the supply of cloud services. For instance, the web servers, databases and development tools function as the core of the cloud platforms without which software developers could not create and manage their own applications in the cloud environment. Likewise, in the absence of ‘virtualisation’, which enables multiple users being served via the same servers, the intended results from clouds e.g. scalability and efficiencies could not be achieved. Virtualised servers, along with the related networking, mechanical and electrical facilities, constitute the ‘infrastructure’ layer that internally lays the ground for upper layer cloud services, namely the provision of platform and applications, including the necessary maintenance and upgrades. On top of the platform and application layers exists the application layer, which hosts the applications running for various purposes i.e. </w:t>
      </w:r>
      <w:r w:rsidRPr="00774EDB">
        <w:rPr>
          <w:rFonts w:ascii="Times New Roman" w:hAnsi="Times New Roman" w:cs="Times New Roman"/>
          <w:sz w:val="24"/>
          <w:szCs w:val="24"/>
        </w:rPr>
        <w:lastRenderedPageBreak/>
        <w:t xml:space="preserve">customer relationship management (CRM) and e-mailing. For such applications, when purchased by users, it is usually not known that they already rely on cloud computing. These </w:t>
      </w:r>
      <w:r w:rsidRPr="00774EDB">
        <w:rPr>
          <w:rFonts w:ascii="Times New Roman" w:hAnsi="Times New Roman" w:cs="Times New Roman"/>
          <w:i/>
          <w:sz w:val="24"/>
          <w:szCs w:val="24"/>
        </w:rPr>
        <w:t>internal</w:t>
      </w:r>
      <w:r w:rsidRPr="00774EDB">
        <w:rPr>
          <w:rFonts w:ascii="Times New Roman" w:hAnsi="Times New Roman" w:cs="Times New Roman"/>
          <w:sz w:val="24"/>
          <w:szCs w:val="24"/>
        </w:rPr>
        <w:t xml:space="preserve"> elements not only represent the benefits unique to cloud computing but also constitute the key inputs used to create the cloud services offered to third parties and in drawing up the service models specified above. In Figure </w:t>
      </w:r>
      <w:r w:rsidR="00B52414">
        <w:rPr>
          <w:rFonts w:ascii="Times New Roman" w:hAnsi="Times New Roman" w:cs="Times New Roman"/>
          <w:sz w:val="24"/>
          <w:szCs w:val="24"/>
        </w:rPr>
        <w:t>8</w:t>
      </w:r>
      <w:r w:rsidR="00B52414" w:rsidRPr="00774EDB">
        <w:rPr>
          <w:rFonts w:ascii="Times New Roman" w:hAnsi="Times New Roman" w:cs="Times New Roman"/>
          <w:sz w:val="24"/>
          <w:szCs w:val="24"/>
        </w:rPr>
        <w:t xml:space="preserve"> </w:t>
      </w:r>
      <w:r w:rsidRPr="00774EDB">
        <w:rPr>
          <w:rFonts w:ascii="Times New Roman" w:hAnsi="Times New Roman" w:cs="Times New Roman"/>
          <w:sz w:val="24"/>
          <w:szCs w:val="24"/>
        </w:rPr>
        <w:t>can be seen these internal elements that constitute the cloud layers as well as the service models.</w:t>
      </w:r>
    </w:p>
    <w:p w14:paraId="0ACB475B" w14:textId="5E500A71" w:rsidR="00774D82" w:rsidRDefault="00774D82" w:rsidP="00DE398F">
      <w:pPr>
        <w:spacing w:line="240" w:lineRule="auto"/>
        <w:jc w:val="both"/>
        <w:rPr>
          <w:rFonts w:ascii="Times New Roman" w:hAnsi="Times New Roman" w:cs="Times New Roman"/>
          <w:sz w:val="24"/>
          <w:szCs w:val="24"/>
        </w:rPr>
      </w:pPr>
    </w:p>
    <w:p w14:paraId="4A963BB5" w14:textId="27E0383E" w:rsidR="006F500B" w:rsidRPr="00774EDB" w:rsidRDefault="006F500B" w:rsidP="00DE398F">
      <w:pPr>
        <w:spacing w:line="240" w:lineRule="auto"/>
        <w:jc w:val="both"/>
        <w:rPr>
          <w:rFonts w:ascii="Times New Roman" w:hAnsi="Times New Roman" w:cs="Times New Roman"/>
          <w:sz w:val="24"/>
          <w:szCs w:val="24"/>
        </w:rPr>
      </w:pPr>
      <w:r>
        <w:rPr>
          <w:noProof/>
        </w:rPr>
        <w:drawing>
          <wp:inline distT="0" distB="0" distL="0" distR="0" wp14:anchorId="5FDA5ACB" wp14:editId="58EA5D8B">
            <wp:extent cx="5339972" cy="3597215"/>
            <wp:effectExtent l="0" t="0" r="0" b="3810"/>
            <wp:docPr id="36" name="Resim 36" descr="Pyramid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Resim 36" descr="Pyramid diagram"/>
                    <pic:cNvPicPr/>
                  </pic:nvPicPr>
                  <pic:blipFill rotWithShape="1">
                    <a:blip r:embed="rId19"/>
                    <a:srcRect l="40986" t="24294" r="18020" b="10251"/>
                    <a:stretch/>
                  </pic:blipFill>
                  <pic:spPr bwMode="auto">
                    <a:xfrm>
                      <a:off x="0" y="0"/>
                      <a:ext cx="5361481" cy="3611704"/>
                    </a:xfrm>
                    <a:prstGeom prst="rect">
                      <a:avLst/>
                    </a:prstGeom>
                    <a:ln>
                      <a:noFill/>
                    </a:ln>
                    <a:extLst>
                      <a:ext uri="{53640926-AAD7-44D8-BBD7-CCE9431645EC}">
                        <a14:shadowObscured xmlns:a14="http://schemas.microsoft.com/office/drawing/2010/main"/>
                      </a:ext>
                    </a:extLst>
                  </pic:spPr>
                </pic:pic>
              </a:graphicData>
            </a:graphic>
          </wp:inline>
        </w:drawing>
      </w:r>
    </w:p>
    <w:p w14:paraId="1BFDBFAB" w14:textId="7A802348" w:rsidR="00DE398F" w:rsidRPr="00FD2CDE" w:rsidRDefault="00DE398F" w:rsidP="00A70042">
      <w:pPr>
        <w:spacing w:before="120"/>
        <w:jc w:val="both"/>
        <w:outlineLvl w:val="7"/>
        <w:rPr>
          <w:rFonts w:ascii="Times New Roman" w:hAnsi="Times New Roman" w:cs="Times New Roman"/>
          <w:sz w:val="24"/>
          <w:szCs w:val="24"/>
        </w:rPr>
      </w:pPr>
      <w:bookmarkStart w:id="576" w:name="_Toc17612471"/>
      <w:r w:rsidRPr="00A70042">
        <w:rPr>
          <w:rFonts w:ascii="Times New Roman" w:hAnsi="Times New Roman" w:cs="Times New Roman"/>
          <w:b/>
          <w:bCs/>
          <w:sz w:val="24"/>
          <w:szCs w:val="24"/>
        </w:rPr>
        <w:t>Figure</w:t>
      </w:r>
      <w:r w:rsidR="00550ED9" w:rsidRPr="00A70042">
        <w:rPr>
          <w:rFonts w:ascii="Times New Roman" w:hAnsi="Times New Roman" w:cs="Times New Roman"/>
          <w:b/>
          <w:bCs/>
          <w:sz w:val="24"/>
          <w:szCs w:val="24"/>
        </w:rPr>
        <w:t xml:space="preserve"> </w:t>
      </w:r>
      <w:r w:rsidR="00327E6E">
        <w:rPr>
          <w:rFonts w:ascii="Times New Roman" w:hAnsi="Times New Roman" w:cs="Times New Roman"/>
          <w:b/>
          <w:bCs/>
          <w:sz w:val="24"/>
          <w:szCs w:val="24"/>
        </w:rPr>
        <w:t>8</w:t>
      </w:r>
      <w:r w:rsidRPr="00A70042">
        <w:rPr>
          <w:rFonts w:ascii="Times New Roman" w:hAnsi="Times New Roman" w:cs="Times New Roman"/>
          <w:b/>
          <w:bCs/>
          <w:sz w:val="24"/>
          <w:szCs w:val="24"/>
        </w:rPr>
        <w:t>:</w:t>
      </w:r>
      <w:r w:rsidRPr="00FD2CDE">
        <w:rPr>
          <w:rFonts w:ascii="Times New Roman" w:hAnsi="Times New Roman" w:cs="Times New Roman"/>
          <w:sz w:val="24"/>
          <w:szCs w:val="24"/>
        </w:rPr>
        <w:t xml:space="preserve"> </w:t>
      </w:r>
      <w:bookmarkStart w:id="577" w:name="_Hlk17845212"/>
      <w:r w:rsidRPr="00FD2CDE">
        <w:rPr>
          <w:rFonts w:ascii="Times New Roman" w:hAnsi="Times New Roman" w:cs="Times New Roman"/>
          <w:sz w:val="24"/>
          <w:szCs w:val="24"/>
        </w:rPr>
        <w:t>Cloud layers (internal elements</w:t>
      </w:r>
      <w:bookmarkEnd w:id="577"/>
      <w:r w:rsidRPr="00FD2CDE">
        <w:rPr>
          <w:rFonts w:ascii="Times New Roman" w:hAnsi="Times New Roman" w:cs="Times New Roman"/>
          <w:sz w:val="24"/>
          <w:szCs w:val="24"/>
        </w:rPr>
        <w:t>)</w:t>
      </w:r>
      <w:bookmarkEnd w:id="576"/>
    </w:p>
    <w:p w14:paraId="337D1566" w14:textId="77777777" w:rsidR="00774D82" w:rsidRPr="00A70042" w:rsidRDefault="00F245CF" w:rsidP="00A70042">
      <w:pPr>
        <w:jc w:val="both"/>
        <w:rPr>
          <w:rFonts w:ascii="Times New Roman" w:hAnsi="Times New Roman" w:cs="Times New Roman"/>
          <w:sz w:val="20"/>
          <w:szCs w:val="20"/>
        </w:rPr>
      </w:pPr>
      <w:r w:rsidRPr="00A70042">
        <w:rPr>
          <w:rFonts w:ascii="Times New Roman" w:hAnsi="Times New Roman" w:cs="Times New Roman"/>
          <w:sz w:val="20"/>
          <w:szCs w:val="20"/>
        </w:rPr>
        <w:t>Source: C</w:t>
      </w:r>
      <w:r w:rsidR="003F2D0C" w:rsidRPr="00A70042">
        <w:rPr>
          <w:rFonts w:ascii="Times New Roman" w:hAnsi="Times New Roman" w:cs="Times New Roman"/>
          <w:sz w:val="20"/>
          <w:szCs w:val="20"/>
        </w:rPr>
        <w:t>onstructed by the</w:t>
      </w:r>
      <w:r w:rsidRPr="00A70042">
        <w:rPr>
          <w:rFonts w:ascii="Times New Roman" w:hAnsi="Times New Roman" w:cs="Times New Roman"/>
          <w:sz w:val="20"/>
          <w:szCs w:val="20"/>
        </w:rPr>
        <w:t xml:space="preserve"> author</w:t>
      </w:r>
    </w:p>
    <w:p w14:paraId="60AAAB64" w14:textId="56168E1E" w:rsidR="00192DA0" w:rsidRPr="00774EDB" w:rsidRDefault="00EF372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As can be seen in Figure </w:t>
      </w:r>
      <w:r w:rsidR="00B52414">
        <w:rPr>
          <w:rFonts w:ascii="Times New Roman" w:hAnsi="Times New Roman" w:cs="Times New Roman"/>
          <w:sz w:val="24"/>
          <w:szCs w:val="24"/>
        </w:rPr>
        <w:t>8</w:t>
      </w:r>
      <w:r w:rsidRPr="00774EDB">
        <w:rPr>
          <w:rFonts w:ascii="Times New Roman" w:hAnsi="Times New Roman" w:cs="Times New Roman"/>
          <w:sz w:val="24"/>
          <w:szCs w:val="24"/>
        </w:rPr>
        <w:t xml:space="preserve">, cloud computing consists of several layers functioning as the internal elements. This means a supply structure being managed by a single company, namely the cloud provider. Cloud providers offer services at different layers of the resource stack, simulating the functions performed by applications, operating </w:t>
      </w:r>
      <w:r w:rsidRPr="00774EDB">
        <w:rPr>
          <w:rFonts w:ascii="Times New Roman" w:hAnsi="Times New Roman" w:cs="Times New Roman"/>
          <w:sz w:val="24"/>
          <w:szCs w:val="24"/>
        </w:rPr>
        <w:lastRenderedPageBreak/>
        <w:t>systems, or physical hardware.</w:t>
      </w:r>
      <w:r w:rsidRPr="00774EDB">
        <w:rPr>
          <w:rStyle w:val="FootnoteReference"/>
          <w:rFonts w:ascii="Times New Roman" w:hAnsi="Times New Roman" w:cs="Times New Roman"/>
          <w:sz w:val="24"/>
          <w:szCs w:val="24"/>
        </w:rPr>
        <w:footnoteReference w:id="738"/>
      </w:r>
      <w:r w:rsidRPr="00774EDB">
        <w:rPr>
          <w:rFonts w:ascii="Times New Roman" w:hAnsi="Times New Roman" w:cs="Times New Roman"/>
          <w:sz w:val="24"/>
          <w:szCs w:val="24"/>
        </w:rPr>
        <w:t xml:space="preserve"> However, these functions are internalised and abstracted within the service provision, and many of these are not visible to the cloud users.</w:t>
      </w:r>
    </w:p>
    <w:p w14:paraId="6C6E4547" w14:textId="3A56E84C" w:rsidR="00ED375A" w:rsidRPr="00774EDB" w:rsidRDefault="00EF372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While these internal elements are organised and managed by the cloud provider, this single-handed management does not mean lack of distributed expertise along the layers. That is to say, cloud components do not necessarily have to be created by the cloud provider and could be purchased from third parties and sometimes be outsourced as well. This usually happens because of different companies’ expertise in the provision of related ICT services, i.e. virtualisation, networking (routers, switches) and security (anti-malware services), which are combined in the cloud environment in the end. The cloud supply structure is therefore argued to have been constituted from an array of firms whose products and services are complementary to each other.</w:t>
      </w:r>
      <w:r w:rsidRPr="00774EDB">
        <w:rPr>
          <w:rStyle w:val="FootnoteReference"/>
          <w:rFonts w:ascii="Times New Roman" w:hAnsi="Times New Roman" w:cs="Times New Roman"/>
          <w:sz w:val="24"/>
          <w:szCs w:val="24"/>
        </w:rPr>
        <w:footnoteReference w:id="739"/>
      </w:r>
      <w:r w:rsidRPr="00774EDB">
        <w:rPr>
          <w:rFonts w:ascii="Times New Roman" w:hAnsi="Times New Roman" w:cs="Times New Roman"/>
          <w:sz w:val="24"/>
          <w:szCs w:val="24"/>
        </w:rPr>
        <w:t xml:space="preserve"> While ‘complementarity’ has a role to define the relationships between the providers of such services, this is overshadowed by the single management over the internal elements on the part of the cloud provider.</w:t>
      </w:r>
      <w:r w:rsidR="00683558" w:rsidRPr="00774EDB">
        <w:rPr>
          <w:rFonts w:ascii="Times New Roman" w:hAnsi="Times New Roman" w:cs="Times New Roman"/>
          <w:sz w:val="24"/>
          <w:szCs w:val="24"/>
        </w:rPr>
        <w:t xml:space="preserve"> </w:t>
      </w:r>
      <w:r w:rsidR="001C50C1" w:rsidRPr="00774EDB">
        <w:rPr>
          <w:rFonts w:ascii="Times New Roman" w:hAnsi="Times New Roman" w:cs="Times New Roman"/>
          <w:sz w:val="24"/>
          <w:szCs w:val="24"/>
        </w:rPr>
        <w:t xml:space="preserve"> </w:t>
      </w:r>
      <w:r w:rsidR="00412169" w:rsidRPr="00774EDB">
        <w:rPr>
          <w:rFonts w:ascii="Times New Roman" w:hAnsi="Times New Roman" w:cs="Times New Roman"/>
          <w:sz w:val="24"/>
          <w:szCs w:val="24"/>
        </w:rPr>
        <w:t xml:space="preserve"> </w:t>
      </w:r>
    </w:p>
    <w:p w14:paraId="303C45FF" w14:textId="77777777" w:rsidR="00287DC1" w:rsidRPr="00774EDB" w:rsidRDefault="00287DC1" w:rsidP="00A70042">
      <w:pPr>
        <w:pStyle w:val="Heading4"/>
        <w:numPr>
          <w:ilvl w:val="3"/>
          <w:numId w:val="33"/>
        </w:numPr>
        <w:tabs>
          <w:tab w:val="left" w:pos="851"/>
        </w:tabs>
        <w:spacing w:before="360"/>
        <w:ind w:left="0" w:firstLine="0"/>
        <w:jc w:val="both"/>
        <w:rPr>
          <w:rFonts w:ascii="Times New Roman" w:hAnsi="Times New Roman" w:cs="Times New Roman"/>
          <w:b/>
          <w:i w:val="0"/>
          <w:color w:val="auto"/>
          <w:sz w:val="24"/>
          <w:szCs w:val="24"/>
        </w:rPr>
      </w:pPr>
      <w:bookmarkStart w:id="579" w:name="_Toc17611474"/>
      <w:bookmarkStart w:id="580" w:name="_Toc53576101"/>
      <w:r w:rsidRPr="00774EDB">
        <w:rPr>
          <w:rFonts w:ascii="Times New Roman" w:hAnsi="Times New Roman" w:cs="Times New Roman"/>
          <w:b/>
          <w:i w:val="0"/>
          <w:color w:val="auto"/>
          <w:sz w:val="24"/>
          <w:szCs w:val="24"/>
        </w:rPr>
        <w:t>Cloud ecosystem with external elements</w:t>
      </w:r>
      <w:bookmarkEnd w:id="579"/>
      <w:bookmarkEnd w:id="580"/>
    </w:p>
    <w:p w14:paraId="6621C719" w14:textId="77777777" w:rsidR="005C6079" w:rsidRPr="00774EDB" w:rsidRDefault="00EF372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While generation of the value chains in the cloud ecosystem depends on the effective combination of the cloud layers and components, the emergent cloud models could not be isolated from the underlying network elements. That is, the internal elements, the cloud layers and components, are complemented by the external elements, namely broadband network access and CDNs. As ubiquitous access to the cloud services is </w:t>
      </w:r>
      <w:r w:rsidRPr="00774EDB">
        <w:rPr>
          <w:rFonts w:ascii="Times New Roman" w:hAnsi="Times New Roman" w:cs="Times New Roman"/>
          <w:sz w:val="24"/>
          <w:szCs w:val="24"/>
        </w:rPr>
        <w:lastRenderedPageBreak/>
        <w:t>key to any viable cloud model, clouds inevitably rely on fixed e.g. fiber optic, cable and PSTN, and mobile e.g. GSM, UMTS and LTE networks. When the software and data reside in the cloud, the absence of a network connection has more serious consequences, effectively preventing end-users from running the cloud-native applications at all.</w:t>
      </w:r>
      <w:r w:rsidRPr="00774EDB">
        <w:rPr>
          <w:rStyle w:val="FootnoteReference"/>
          <w:rFonts w:ascii="Times New Roman" w:hAnsi="Times New Roman" w:cs="Times New Roman"/>
          <w:sz w:val="24"/>
          <w:szCs w:val="24"/>
        </w:rPr>
        <w:footnoteReference w:id="740"/>
      </w:r>
      <w:r w:rsidRPr="00774EDB">
        <w:rPr>
          <w:rFonts w:ascii="Times New Roman" w:hAnsi="Times New Roman" w:cs="Times New Roman"/>
          <w:sz w:val="24"/>
          <w:szCs w:val="24"/>
        </w:rPr>
        <w:t xml:space="preserve"> Although intranet-type closed models are imaginable, what makes the cloud’s offerings much more appealing than its predecessors e.g. traditional data centres is the ability of the cloud users to have access to the cloud’s resources over the internet, regardless of geographical and time-related constraints.</w:t>
      </w:r>
    </w:p>
    <w:p w14:paraId="05ACA78F" w14:textId="77777777" w:rsidR="00E05C9A" w:rsidRPr="00A70042" w:rsidRDefault="00EF372F" w:rsidP="00A70042">
      <w:pPr>
        <w:spacing w:before="360"/>
        <w:jc w:val="both"/>
        <w:rPr>
          <w:rFonts w:ascii="Times New Roman" w:hAnsi="Times New Roman" w:cs="Times New Roman"/>
          <w:color w:val="131413"/>
          <w:sz w:val="24"/>
          <w:szCs w:val="24"/>
        </w:rPr>
      </w:pPr>
      <w:r w:rsidRPr="00A70042">
        <w:rPr>
          <w:rFonts w:ascii="Times New Roman" w:hAnsi="Times New Roman" w:cs="Times New Roman"/>
          <w:sz w:val="24"/>
          <w:szCs w:val="24"/>
        </w:rPr>
        <w:t>On the other hand, cloud computing is likely to increase the demands being placed on the local access network that is run by the ISPs, and the access network might not have sufficient bandwidth to support the mass utilization, particularly at the times of unanticipated spikes.</w:t>
      </w:r>
      <w:r w:rsidRPr="00A70042">
        <w:rPr>
          <w:rStyle w:val="FootnoteReference"/>
          <w:rFonts w:ascii="Times New Roman" w:hAnsi="Times New Roman" w:cs="Times New Roman"/>
          <w:sz w:val="24"/>
          <w:szCs w:val="24"/>
        </w:rPr>
        <w:footnoteReference w:id="741"/>
      </w:r>
      <w:r w:rsidRPr="00A70042">
        <w:rPr>
          <w:rFonts w:ascii="Times New Roman" w:hAnsi="Times New Roman" w:cs="Times New Roman"/>
          <w:sz w:val="24"/>
          <w:szCs w:val="24"/>
        </w:rPr>
        <w:t xml:space="preserve"> This latter issue confers a key role on the CDNs which complements the role of ISPs. Not only to deal with such traffic bursts and load balancing, but also to provide premium, seamless, uninterrupted, quality-guaranteed content delivery. CDNs are extensively used by the cloud, as well as content providers,</w:t>
      </w:r>
      <w:r w:rsidRPr="00A70042">
        <w:rPr>
          <w:rStyle w:val="FootnoteReference"/>
          <w:rFonts w:ascii="Times New Roman" w:hAnsi="Times New Roman" w:cs="Times New Roman"/>
          <w:sz w:val="24"/>
          <w:szCs w:val="24"/>
        </w:rPr>
        <w:footnoteReference w:id="742"/>
      </w:r>
      <w:r w:rsidRPr="00A70042">
        <w:rPr>
          <w:rFonts w:ascii="Times New Roman" w:hAnsi="Times New Roman" w:cs="Times New Roman"/>
          <w:sz w:val="24"/>
          <w:szCs w:val="24"/>
        </w:rPr>
        <w:t xml:space="preserve"> creating another layer underlying the cloud services.</w:t>
      </w:r>
      <w:r w:rsidR="00E05C9A" w:rsidRPr="00A70042">
        <w:rPr>
          <w:rFonts w:ascii="Times New Roman" w:hAnsi="Times New Roman" w:cs="Times New Roman"/>
          <w:color w:val="131413"/>
          <w:sz w:val="24"/>
          <w:szCs w:val="24"/>
        </w:rPr>
        <w:t xml:space="preserve"> </w:t>
      </w:r>
    </w:p>
    <w:p w14:paraId="0B0151C2" w14:textId="77777777" w:rsidR="00993FF8" w:rsidRPr="00A70042" w:rsidRDefault="00AC548A" w:rsidP="00A70042">
      <w:pPr>
        <w:spacing w:before="360"/>
        <w:jc w:val="both"/>
        <w:rPr>
          <w:rFonts w:ascii="Times New Roman" w:hAnsi="Times New Roman" w:cs="Times New Roman"/>
          <w:color w:val="131413"/>
          <w:sz w:val="24"/>
          <w:szCs w:val="24"/>
        </w:rPr>
      </w:pPr>
      <w:r w:rsidRPr="00A70042">
        <w:rPr>
          <w:rFonts w:ascii="Times New Roman" w:hAnsi="Times New Roman" w:cs="Times New Roman"/>
          <w:sz w:val="24"/>
          <w:szCs w:val="24"/>
        </w:rPr>
        <w:t>A CDN takes content from a content provider (CP) and caches it on those distributed servers, which has two effects: first, content is brought closer to the end-user without passing through inter ISP peerings, thus making its delivery faster;</w:t>
      </w:r>
      <w:r w:rsidRPr="00A70042">
        <w:rPr>
          <w:rStyle w:val="FootnoteReference"/>
          <w:rFonts w:ascii="Times New Roman" w:hAnsi="Times New Roman" w:cs="Times New Roman"/>
          <w:sz w:val="24"/>
          <w:szCs w:val="24"/>
        </w:rPr>
        <w:footnoteReference w:id="743"/>
      </w:r>
      <w:r w:rsidRPr="00A70042">
        <w:rPr>
          <w:rFonts w:ascii="Times New Roman" w:hAnsi="Times New Roman" w:cs="Times New Roman"/>
          <w:sz w:val="24"/>
          <w:szCs w:val="24"/>
        </w:rPr>
        <w:t xml:space="preserve"> second, the CDN </w:t>
      </w:r>
      <w:r w:rsidRPr="00A70042">
        <w:rPr>
          <w:rFonts w:ascii="Times New Roman" w:hAnsi="Times New Roman" w:cs="Times New Roman"/>
          <w:sz w:val="24"/>
          <w:szCs w:val="24"/>
        </w:rPr>
        <w:lastRenderedPageBreak/>
        <w:t>has a contractual relationship with the ISP as the former often needs to terminate traffic.</w:t>
      </w:r>
      <w:r w:rsidRPr="00A70042">
        <w:rPr>
          <w:rStyle w:val="FootnoteReference"/>
          <w:rFonts w:ascii="Times New Roman" w:hAnsi="Times New Roman" w:cs="Times New Roman"/>
          <w:sz w:val="24"/>
          <w:szCs w:val="24"/>
        </w:rPr>
        <w:footnoteReference w:id="744"/>
      </w:r>
      <w:r w:rsidRPr="00A70042">
        <w:rPr>
          <w:rFonts w:ascii="Times New Roman" w:hAnsi="Times New Roman" w:cs="Times New Roman"/>
          <w:sz w:val="24"/>
          <w:szCs w:val="24"/>
        </w:rPr>
        <w:t xml:space="preserve"> In this emergent ecosystem, along with additional value chains, clouds have an increasing role to play; yet this role is unthinkable without taking account of these external elements. For connected consumers, content and applications must be seamlessly accessible via a diverse range of mobile devices, and this requires ‘cloud-delivered CDNs’ as well as ‘packet-optical infrastructure’.</w:t>
      </w:r>
      <w:r w:rsidRPr="00A70042">
        <w:rPr>
          <w:rStyle w:val="FootnoteReference"/>
          <w:rFonts w:ascii="Times New Roman" w:hAnsi="Times New Roman" w:cs="Times New Roman"/>
          <w:sz w:val="24"/>
          <w:szCs w:val="24"/>
        </w:rPr>
        <w:footnoteReference w:id="745"/>
      </w:r>
      <w:r w:rsidRPr="00A70042">
        <w:rPr>
          <w:rFonts w:ascii="Times New Roman" w:hAnsi="Times New Roman" w:cs="Times New Roman"/>
          <w:sz w:val="24"/>
          <w:szCs w:val="24"/>
        </w:rPr>
        <w:t xml:space="preserve"> While the former is realised by cloud services, the latter could be achieved via high-speed broadband access networks i.e. fiber-optic based NGA networks.</w:t>
      </w:r>
    </w:p>
    <w:p w14:paraId="388E4B05" w14:textId="77777777" w:rsidR="00592604" w:rsidRPr="00A70042" w:rsidRDefault="00AC548A" w:rsidP="00A70042">
      <w:pPr>
        <w:spacing w:before="360"/>
        <w:jc w:val="both"/>
        <w:rPr>
          <w:rFonts w:ascii="Times New Roman" w:hAnsi="Times New Roman" w:cs="Times New Roman"/>
          <w:color w:val="000000"/>
          <w:sz w:val="24"/>
          <w:szCs w:val="24"/>
        </w:rPr>
      </w:pPr>
      <w:r w:rsidRPr="00A70042">
        <w:rPr>
          <w:rFonts w:ascii="Times New Roman" w:hAnsi="Times New Roman" w:cs="Times New Roman"/>
          <w:sz w:val="24"/>
          <w:szCs w:val="24"/>
        </w:rPr>
        <w:t>CDN providers e.g. Akamai and Limelight, while serving content providers according to their specific needs, would be collaborating with the upper or lower layer operators, namely cloud providers or ISPs. By collaborating with and/or purchasing services from the former, CDN providers would gain added values e.g. cloud security solutions and functionalities e.g. data analytics, to be incorporated into their distribution networks.</w:t>
      </w:r>
      <w:r w:rsidRPr="00A70042">
        <w:rPr>
          <w:rStyle w:val="FootnoteReference"/>
          <w:rFonts w:ascii="Times New Roman" w:hAnsi="Times New Roman" w:cs="Times New Roman"/>
          <w:sz w:val="24"/>
          <w:szCs w:val="24"/>
        </w:rPr>
        <w:footnoteReference w:id="746"/>
      </w:r>
      <w:r w:rsidRPr="00A70042">
        <w:rPr>
          <w:rFonts w:ascii="Times New Roman" w:hAnsi="Times New Roman" w:cs="Times New Roman"/>
          <w:sz w:val="24"/>
          <w:szCs w:val="24"/>
        </w:rPr>
        <w:t xml:space="preserve"> These complementary services have become more important as the marketplace for basic content delivery services has become more competitive and diverse.</w:t>
      </w:r>
      <w:r w:rsidRPr="00A70042">
        <w:rPr>
          <w:rStyle w:val="FootnoteReference"/>
          <w:rFonts w:ascii="Times New Roman" w:hAnsi="Times New Roman" w:cs="Times New Roman"/>
          <w:sz w:val="24"/>
          <w:szCs w:val="24"/>
        </w:rPr>
        <w:footnoteReference w:id="747"/>
      </w:r>
      <w:r w:rsidRPr="00A70042">
        <w:rPr>
          <w:rFonts w:ascii="Times New Roman" w:hAnsi="Times New Roman" w:cs="Times New Roman"/>
          <w:sz w:val="24"/>
          <w:szCs w:val="24"/>
        </w:rPr>
        <w:t xml:space="preserve"> On top of </w:t>
      </w:r>
      <w:r w:rsidRPr="00A70042">
        <w:rPr>
          <w:rFonts w:ascii="Times New Roman" w:hAnsi="Times New Roman" w:cs="Times New Roman"/>
          <w:sz w:val="24"/>
          <w:szCs w:val="24"/>
        </w:rPr>
        <w:lastRenderedPageBreak/>
        <w:t>this, collaboration between CDN providers and ISPs i.e. through licensing agreements would enable new channels of scalability, traffic routing and network resourcing for the former.</w:t>
      </w:r>
      <w:r w:rsidRPr="00A70042">
        <w:rPr>
          <w:rStyle w:val="FootnoteReference"/>
          <w:rFonts w:ascii="Times New Roman" w:hAnsi="Times New Roman" w:cs="Times New Roman"/>
          <w:sz w:val="24"/>
          <w:szCs w:val="24"/>
        </w:rPr>
        <w:footnoteReference w:id="748"/>
      </w:r>
      <w:r w:rsidRPr="00A70042">
        <w:rPr>
          <w:rFonts w:ascii="Times New Roman" w:hAnsi="Times New Roman" w:cs="Times New Roman"/>
          <w:sz w:val="24"/>
          <w:szCs w:val="24"/>
        </w:rPr>
        <w:t xml:space="preserve"> These collaborative acts also support the ISPs expanding their networking capabilities. For example, ISPs with a limited geographic footprint cannot implement a CDN to serve global content providers unless they partner with other CDNs or ISPs.</w:t>
      </w:r>
      <w:r w:rsidRPr="00A70042">
        <w:rPr>
          <w:rStyle w:val="FootnoteReference"/>
          <w:rFonts w:ascii="Times New Roman" w:hAnsi="Times New Roman" w:cs="Times New Roman"/>
          <w:sz w:val="24"/>
          <w:szCs w:val="24"/>
        </w:rPr>
        <w:footnoteReference w:id="749"/>
      </w:r>
    </w:p>
    <w:p w14:paraId="58FCB9CA" w14:textId="26F246C1" w:rsidR="00862818" w:rsidRPr="00A70042" w:rsidRDefault="00D0451B" w:rsidP="00A70042">
      <w:pPr>
        <w:spacing w:before="360"/>
        <w:jc w:val="both"/>
        <w:rPr>
          <w:rFonts w:ascii="Times New Roman" w:hAnsi="Times New Roman" w:cs="Times New Roman"/>
          <w:color w:val="131413"/>
          <w:sz w:val="24"/>
          <w:szCs w:val="24"/>
        </w:rPr>
      </w:pPr>
      <w:r w:rsidRPr="00A70042">
        <w:rPr>
          <w:rFonts w:ascii="Times New Roman" w:hAnsi="Times New Roman" w:cs="Times New Roman"/>
          <w:sz w:val="24"/>
          <w:szCs w:val="24"/>
        </w:rPr>
        <w:t>While CDNs are spread across the globe, ISPs’ networks are restrained within geographical (national) territories. Their unmatchable scopes, as well as other distinctive functionalities, make these networks collaborate as well as competing indirectly with regard to content delivery and termination. As the clouds host a significant portion of the IP traffic</w:t>
      </w:r>
      <w:r w:rsidRPr="00A70042">
        <w:rPr>
          <w:rStyle w:val="FootnoteReference"/>
          <w:rFonts w:ascii="Times New Roman" w:hAnsi="Times New Roman" w:cs="Times New Roman"/>
          <w:sz w:val="24"/>
          <w:szCs w:val="24"/>
        </w:rPr>
        <w:footnoteReference w:id="750"/>
      </w:r>
      <w:r w:rsidRPr="00A70042">
        <w:rPr>
          <w:rFonts w:ascii="Times New Roman" w:hAnsi="Times New Roman" w:cs="Times New Roman"/>
          <w:sz w:val="24"/>
          <w:szCs w:val="24"/>
        </w:rPr>
        <w:t xml:space="preserve"> which transcends CDNs and broadband networks, there is an inherent link between such networks and cloud-based content delivery. From a broader perspective, transactions between these stakeholders are a reminder of the “symbiotic” relationships among the players across the layers, as argued by Fransman.</w:t>
      </w:r>
      <w:r w:rsidRPr="00A70042">
        <w:rPr>
          <w:rStyle w:val="FootnoteReference"/>
          <w:rFonts w:ascii="Times New Roman" w:hAnsi="Times New Roman" w:cs="Times New Roman"/>
          <w:sz w:val="24"/>
          <w:szCs w:val="24"/>
        </w:rPr>
        <w:footnoteReference w:id="751"/>
      </w:r>
      <w:r w:rsidRPr="00A70042">
        <w:rPr>
          <w:rFonts w:ascii="Times New Roman" w:hAnsi="Times New Roman" w:cs="Times New Roman"/>
          <w:sz w:val="24"/>
          <w:szCs w:val="24"/>
        </w:rPr>
        <w:t xml:space="preserve"> According to Fransman, the ICT ecosystem consists of six, or a simplified four, “layers” that interact with each other through symbiotic relationships.</w:t>
      </w:r>
      <w:r w:rsidRPr="00A70042">
        <w:rPr>
          <w:rStyle w:val="FootnoteReference"/>
          <w:rFonts w:ascii="Times New Roman" w:hAnsi="Times New Roman" w:cs="Times New Roman"/>
          <w:sz w:val="24"/>
          <w:szCs w:val="24"/>
        </w:rPr>
        <w:footnoteReference w:id="752"/>
      </w:r>
      <w:r w:rsidRPr="00A70042">
        <w:rPr>
          <w:rFonts w:ascii="Times New Roman" w:hAnsi="Times New Roman" w:cs="Times New Roman"/>
          <w:sz w:val="24"/>
          <w:szCs w:val="24"/>
        </w:rPr>
        <w:t xml:space="preserve"> From this viewpoint, the interdependencies between the internal and </w:t>
      </w:r>
      <w:r w:rsidRPr="00A70042">
        <w:rPr>
          <w:rFonts w:ascii="Times New Roman" w:hAnsi="Times New Roman" w:cs="Times New Roman"/>
          <w:sz w:val="24"/>
          <w:szCs w:val="24"/>
        </w:rPr>
        <w:lastRenderedPageBreak/>
        <w:t xml:space="preserve">external elements of the overall (cloud) ecosystem play a key role in understanding cloud computing and the possible inroads to regulatory pathways in cloud computing and broader contexts. The Figure </w:t>
      </w:r>
      <w:r w:rsidR="00B52414">
        <w:rPr>
          <w:rFonts w:ascii="Times New Roman" w:hAnsi="Times New Roman" w:cs="Times New Roman"/>
          <w:sz w:val="24"/>
          <w:szCs w:val="24"/>
        </w:rPr>
        <w:t>9</w:t>
      </w:r>
      <w:r w:rsidR="00B52414" w:rsidRPr="00A70042">
        <w:rPr>
          <w:rFonts w:ascii="Times New Roman" w:hAnsi="Times New Roman" w:cs="Times New Roman"/>
          <w:sz w:val="24"/>
          <w:szCs w:val="24"/>
        </w:rPr>
        <w:t xml:space="preserve"> </w:t>
      </w:r>
      <w:r w:rsidRPr="00A70042">
        <w:rPr>
          <w:rFonts w:ascii="Times New Roman" w:hAnsi="Times New Roman" w:cs="Times New Roman"/>
          <w:sz w:val="24"/>
          <w:szCs w:val="24"/>
        </w:rPr>
        <w:t>demonstrates all the relevant layers that encompass the overall (cloud) ecosystem.</w:t>
      </w:r>
    </w:p>
    <w:p w14:paraId="72705378" w14:textId="13022FB7" w:rsidR="00862818" w:rsidRDefault="006F500B" w:rsidP="00A70042">
      <w:pPr>
        <w:spacing w:before="360" w:line="240" w:lineRule="auto"/>
        <w:jc w:val="center"/>
        <w:rPr>
          <w:rFonts w:ascii="Times New Roman" w:hAnsi="Times New Roman" w:cs="Times New Roman"/>
          <w:color w:val="131413"/>
          <w:sz w:val="24"/>
          <w:szCs w:val="24"/>
        </w:rPr>
      </w:pPr>
      <w:r>
        <w:rPr>
          <w:noProof/>
        </w:rPr>
        <w:drawing>
          <wp:inline distT="0" distB="0" distL="0" distR="0" wp14:anchorId="55ED4443" wp14:editId="0516A85E">
            <wp:extent cx="5098211" cy="4192889"/>
            <wp:effectExtent l="0" t="0" r="7620" b="0"/>
            <wp:docPr id="42" name="Resim 42" descr="Pyramid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Resim 42" descr="Pyramid diagram"/>
                    <pic:cNvPicPr/>
                  </pic:nvPicPr>
                  <pic:blipFill rotWithShape="1">
                    <a:blip r:embed="rId20"/>
                    <a:srcRect l="34601" t="25481" r="33123" b="11601"/>
                    <a:stretch/>
                  </pic:blipFill>
                  <pic:spPr bwMode="auto">
                    <a:xfrm>
                      <a:off x="0" y="0"/>
                      <a:ext cx="5125572" cy="4215391"/>
                    </a:xfrm>
                    <a:prstGeom prst="rect">
                      <a:avLst/>
                    </a:prstGeom>
                    <a:ln>
                      <a:noFill/>
                    </a:ln>
                    <a:extLst>
                      <a:ext uri="{53640926-AAD7-44D8-BBD7-CCE9431645EC}">
                        <a14:shadowObscured xmlns:a14="http://schemas.microsoft.com/office/drawing/2010/main"/>
                      </a:ext>
                    </a:extLst>
                  </pic:spPr>
                </pic:pic>
              </a:graphicData>
            </a:graphic>
          </wp:inline>
        </w:drawing>
      </w:r>
    </w:p>
    <w:p w14:paraId="5A3F21AC" w14:textId="606AC9AA" w:rsidR="00F701D3" w:rsidRPr="00A70042" w:rsidRDefault="00862818" w:rsidP="00A70042">
      <w:pPr>
        <w:spacing w:before="120"/>
        <w:jc w:val="both"/>
        <w:outlineLvl w:val="7"/>
        <w:rPr>
          <w:rFonts w:ascii="Times New Roman" w:hAnsi="Times New Roman" w:cs="Times New Roman"/>
          <w:color w:val="131413"/>
          <w:sz w:val="24"/>
          <w:szCs w:val="24"/>
        </w:rPr>
      </w:pPr>
      <w:bookmarkStart w:id="583" w:name="_Toc17612472"/>
      <w:r w:rsidRPr="00A70042">
        <w:rPr>
          <w:rFonts w:ascii="Times New Roman" w:hAnsi="Times New Roman" w:cs="Times New Roman"/>
          <w:b/>
          <w:bCs/>
          <w:color w:val="131413"/>
          <w:sz w:val="24"/>
          <w:szCs w:val="24"/>
        </w:rPr>
        <w:t>Figure</w:t>
      </w:r>
      <w:r w:rsidR="00550ED9" w:rsidRPr="00A70042">
        <w:rPr>
          <w:rFonts w:ascii="Times New Roman" w:hAnsi="Times New Roman" w:cs="Times New Roman"/>
          <w:b/>
          <w:bCs/>
          <w:color w:val="131413"/>
          <w:sz w:val="24"/>
          <w:szCs w:val="24"/>
        </w:rPr>
        <w:t xml:space="preserve"> </w:t>
      </w:r>
      <w:r w:rsidR="00327E6E">
        <w:rPr>
          <w:rFonts w:ascii="Times New Roman" w:hAnsi="Times New Roman" w:cs="Times New Roman"/>
          <w:b/>
          <w:bCs/>
          <w:color w:val="131413"/>
          <w:sz w:val="24"/>
          <w:szCs w:val="24"/>
        </w:rPr>
        <w:t>9</w:t>
      </w:r>
      <w:r w:rsidRPr="00A70042">
        <w:rPr>
          <w:rFonts w:ascii="Times New Roman" w:hAnsi="Times New Roman" w:cs="Times New Roman"/>
          <w:b/>
          <w:bCs/>
          <w:color w:val="131413"/>
          <w:sz w:val="24"/>
          <w:szCs w:val="24"/>
        </w:rPr>
        <w:t>:</w:t>
      </w:r>
      <w:r w:rsidRPr="00A70042">
        <w:rPr>
          <w:rFonts w:ascii="Times New Roman" w:hAnsi="Times New Roman" w:cs="Times New Roman"/>
          <w:color w:val="131413"/>
          <w:sz w:val="24"/>
          <w:szCs w:val="24"/>
        </w:rPr>
        <w:t xml:space="preserve"> Cloud ecosystem (with internal and external elements)</w:t>
      </w:r>
      <w:bookmarkEnd w:id="583"/>
    </w:p>
    <w:p w14:paraId="4A2B46AF" w14:textId="77777777" w:rsidR="00AF6B95" w:rsidRPr="00A70042" w:rsidRDefault="00862818" w:rsidP="00A70042">
      <w:pPr>
        <w:jc w:val="both"/>
        <w:rPr>
          <w:rFonts w:ascii="Times New Roman" w:hAnsi="Times New Roman" w:cs="Times New Roman"/>
          <w:color w:val="131413"/>
          <w:sz w:val="20"/>
          <w:szCs w:val="20"/>
        </w:rPr>
      </w:pPr>
      <w:r w:rsidRPr="00A70042">
        <w:rPr>
          <w:rFonts w:ascii="Times New Roman" w:hAnsi="Times New Roman" w:cs="Times New Roman"/>
          <w:color w:val="131413"/>
          <w:sz w:val="20"/>
          <w:szCs w:val="20"/>
        </w:rPr>
        <w:t>Source: Constructed by the author</w:t>
      </w:r>
    </w:p>
    <w:p w14:paraId="7943968A" w14:textId="77777777" w:rsidR="004A737C" w:rsidRPr="00774EDB" w:rsidRDefault="004A737C" w:rsidP="00A70042">
      <w:pPr>
        <w:pStyle w:val="Heading4"/>
        <w:numPr>
          <w:ilvl w:val="3"/>
          <w:numId w:val="33"/>
        </w:numPr>
        <w:spacing w:before="360"/>
        <w:ind w:left="851" w:hanging="851"/>
        <w:jc w:val="both"/>
        <w:rPr>
          <w:rFonts w:ascii="Times New Roman" w:hAnsi="Times New Roman" w:cs="Times New Roman"/>
          <w:b/>
          <w:i w:val="0"/>
          <w:color w:val="auto"/>
          <w:sz w:val="24"/>
          <w:szCs w:val="24"/>
        </w:rPr>
      </w:pPr>
      <w:bookmarkStart w:id="584" w:name="_Toc17611475"/>
      <w:bookmarkStart w:id="585" w:name="_Toc53576102"/>
      <w:r w:rsidRPr="00774EDB">
        <w:rPr>
          <w:rFonts w:ascii="Times New Roman" w:hAnsi="Times New Roman" w:cs="Times New Roman"/>
          <w:b/>
          <w:i w:val="0"/>
          <w:color w:val="auto"/>
          <w:sz w:val="24"/>
          <w:szCs w:val="24"/>
        </w:rPr>
        <w:t>The differences and relationship between the organisational (supply) structures</w:t>
      </w:r>
      <w:bookmarkEnd w:id="584"/>
      <w:bookmarkEnd w:id="585"/>
      <w:r w:rsidRPr="00774EDB">
        <w:rPr>
          <w:rFonts w:ascii="Times New Roman" w:hAnsi="Times New Roman" w:cs="Times New Roman"/>
          <w:b/>
          <w:i w:val="0"/>
          <w:color w:val="auto"/>
          <w:sz w:val="24"/>
          <w:szCs w:val="24"/>
        </w:rPr>
        <w:t xml:space="preserve">  </w:t>
      </w:r>
    </w:p>
    <w:p w14:paraId="7C071044" w14:textId="25F39AB0" w:rsidR="0072058E" w:rsidRPr="00A70042" w:rsidRDefault="00646DE3" w:rsidP="00A70042">
      <w:pPr>
        <w:spacing w:before="360"/>
        <w:jc w:val="both"/>
        <w:rPr>
          <w:rFonts w:ascii="Times New Roman" w:hAnsi="Times New Roman" w:cs="Times New Roman"/>
          <w:color w:val="131413"/>
          <w:sz w:val="24"/>
          <w:szCs w:val="24"/>
        </w:rPr>
      </w:pPr>
      <w:r w:rsidRPr="00A70042">
        <w:rPr>
          <w:rFonts w:ascii="Times New Roman" w:hAnsi="Times New Roman" w:cs="Times New Roman"/>
          <w:sz w:val="24"/>
          <w:szCs w:val="24"/>
        </w:rPr>
        <w:t xml:space="preserve">As manifested in Figure </w:t>
      </w:r>
      <w:r w:rsidR="0043710C">
        <w:rPr>
          <w:rFonts w:ascii="Times New Roman" w:hAnsi="Times New Roman" w:cs="Times New Roman"/>
          <w:sz w:val="24"/>
          <w:szCs w:val="24"/>
        </w:rPr>
        <w:t>9</w:t>
      </w:r>
      <w:r w:rsidRPr="00A70042">
        <w:rPr>
          <w:rFonts w:ascii="Times New Roman" w:hAnsi="Times New Roman" w:cs="Times New Roman"/>
          <w:sz w:val="24"/>
          <w:szCs w:val="24"/>
        </w:rPr>
        <w:t xml:space="preserve">, not only the cloud components, namely the ‘internal’ elements themselves, but also the ‘external’ elements which constitute the ‘access </w:t>
      </w:r>
      <w:r w:rsidRPr="00A70042">
        <w:rPr>
          <w:rFonts w:ascii="Times New Roman" w:hAnsi="Times New Roman" w:cs="Times New Roman"/>
          <w:sz w:val="24"/>
          <w:szCs w:val="24"/>
        </w:rPr>
        <w:lastRenderedPageBreak/>
        <w:t>layer’ denote a multi-layered structure. This structure is comprised of access and cloud layers including sub-layers and services, which all together constitute an ecosystem. Given this fact, the supply structure of the cloud environment, based on the internal elements, differs from that of the cloud ecosystem, based on both internal and external elements.</w:t>
      </w:r>
    </w:p>
    <w:p w14:paraId="3607EBDA" w14:textId="0B379187" w:rsidR="004A737C" w:rsidRPr="00A70042" w:rsidRDefault="002D3CD8" w:rsidP="00A70042">
      <w:pPr>
        <w:spacing w:before="360"/>
        <w:jc w:val="both"/>
        <w:rPr>
          <w:rFonts w:ascii="Times New Roman" w:hAnsi="Times New Roman" w:cs="Times New Roman"/>
          <w:color w:val="131413"/>
          <w:sz w:val="24"/>
          <w:szCs w:val="24"/>
        </w:rPr>
      </w:pPr>
      <w:r w:rsidRPr="00A70042">
        <w:rPr>
          <w:rFonts w:ascii="Times New Roman" w:hAnsi="Times New Roman" w:cs="Times New Roman"/>
          <w:sz w:val="24"/>
          <w:szCs w:val="24"/>
        </w:rPr>
        <w:t>First and foremost, in the first structure solely based on the internal elements, the demand and supply equilibrium depends on the ‘coordination’ of the mainstream and complementary cloud services. More explicitly, SaaS, PaaS and IaaS type cloud services are offered by the cloud providers that create the environment whereby various software and hardware are coupled and managed by means of the so-called ‘coordination’. To couple these internal elements, the cloud provider identifies the networking, storage, processing, maintenance, security and other needs and makes ‘make-or-buy’ decisions accordingly. In this vein, the relationship between the mainstream and complementary services is defined and managed by the cloud provider themselves. Upstream and downstream market relationships could emerge out of this coordination and management. Albeit with the difficulties regarding dynamic and allocative efficiencies in solving potential competition and regulatory problems, the decision-making processes could still be built on the traditional concepts and precedents i.e. market definition.</w:t>
      </w:r>
      <w:r w:rsidR="0043232D" w:rsidRPr="00A70042">
        <w:rPr>
          <w:rFonts w:ascii="Times New Roman" w:hAnsi="Times New Roman" w:cs="Times New Roman"/>
          <w:color w:val="131413"/>
          <w:sz w:val="24"/>
          <w:szCs w:val="24"/>
        </w:rPr>
        <w:t xml:space="preserve">  </w:t>
      </w:r>
      <w:r w:rsidR="004A737C" w:rsidRPr="00A70042">
        <w:rPr>
          <w:rFonts w:ascii="Times New Roman" w:hAnsi="Times New Roman" w:cs="Times New Roman"/>
          <w:color w:val="131413"/>
          <w:sz w:val="24"/>
          <w:szCs w:val="24"/>
        </w:rPr>
        <w:t xml:space="preserve">  </w:t>
      </w:r>
    </w:p>
    <w:p w14:paraId="549C0F7F" w14:textId="595B984D" w:rsidR="0043232D" w:rsidRPr="00A70042" w:rsidRDefault="002D3CD8" w:rsidP="00A70042">
      <w:pPr>
        <w:spacing w:before="360"/>
        <w:jc w:val="both"/>
        <w:rPr>
          <w:rFonts w:ascii="Times New Roman" w:hAnsi="Times New Roman" w:cs="Times New Roman"/>
          <w:color w:val="131413"/>
          <w:sz w:val="24"/>
          <w:szCs w:val="24"/>
        </w:rPr>
      </w:pPr>
      <w:r w:rsidRPr="00A70042">
        <w:rPr>
          <w:rFonts w:ascii="Times New Roman" w:hAnsi="Times New Roman" w:cs="Times New Roman"/>
          <w:sz w:val="24"/>
          <w:szCs w:val="24"/>
        </w:rPr>
        <w:t xml:space="preserve">On the other hand, the same could hardly be concluded for the broader setting, namely when the external elements are embedded into the cloud environment. Primarily, the competition/regulatory lens in this setting needs to be more comprehensive and inclusive, not being limited to the cloud components. When including the external elements into the supply structure, the setting turns out to be an ecosystem and could </w:t>
      </w:r>
      <w:r w:rsidRPr="00A70042">
        <w:rPr>
          <w:rFonts w:ascii="Times New Roman" w:hAnsi="Times New Roman" w:cs="Times New Roman"/>
          <w:sz w:val="24"/>
          <w:szCs w:val="24"/>
        </w:rPr>
        <w:lastRenderedPageBreak/>
        <w:t xml:space="preserve">hardly be restrained with a two-sided market relationship. </w:t>
      </w:r>
      <w:r w:rsidR="0001723E" w:rsidRPr="00A70042">
        <w:rPr>
          <w:rFonts w:ascii="Times New Roman" w:hAnsi="Times New Roman" w:cs="Times New Roman"/>
          <w:sz w:val="24"/>
          <w:szCs w:val="24"/>
        </w:rPr>
        <w:t>Considering</w:t>
      </w:r>
      <w:r w:rsidRPr="00A70042">
        <w:rPr>
          <w:rFonts w:ascii="Times New Roman" w:hAnsi="Times New Roman" w:cs="Times New Roman"/>
          <w:sz w:val="24"/>
          <w:szCs w:val="24"/>
        </w:rPr>
        <w:t xml:space="preserve"> the coordination of the internal element</w:t>
      </w:r>
      <w:r w:rsidR="0001723E" w:rsidRPr="00A70042">
        <w:rPr>
          <w:rFonts w:ascii="Times New Roman" w:hAnsi="Times New Roman" w:cs="Times New Roman"/>
          <w:sz w:val="24"/>
          <w:szCs w:val="24"/>
        </w:rPr>
        <w:t>s</w:t>
      </w:r>
      <w:r w:rsidRPr="00A70042">
        <w:rPr>
          <w:rFonts w:ascii="Times New Roman" w:hAnsi="Times New Roman" w:cs="Times New Roman"/>
          <w:sz w:val="24"/>
          <w:szCs w:val="24"/>
        </w:rPr>
        <w:t xml:space="preserve"> rests on the cloud provider’s decisions, one-sided decisions based on single cloud management would no longer suit ecosystem relationships in the second broader setting. </w:t>
      </w:r>
      <w:r w:rsidR="0001723E" w:rsidRPr="00A70042">
        <w:rPr>
          <w:rFonts w:ascii="Times New Roman" w:hAnsi="Times New Roman" w:cs="Times New Roman"/>
          <w:sz w:val="24"/>
          <w:szCs w:val="24"/>
        </w:rPr>
        <w:t>When passing to the ecosystem setting</w:t>
      </w:r>
      <w:r w:rsidRPr="00A70042">
        <w:rPr>
          <w:rFonts w:ascii="Times New Roman" w:hAnsi="Times New Roman" w:cs="Times New Roman"/>
          <w:sz w:val="24"/>
          <w:szCs w:val="24"/>
        </w:rPr>
        <w:t xml:space="preserve">, the complementarity is replaced with the interdependencies. </w:t>
      </w:r>
      <w:r w:rsidR="0001723E" w:rsidRPr="00A70042">
        <w:rPr>
          <w:rFonts w:ascii="Times New Roman" w:hAnsi="Times New Roman" w:cs="Times New Roman"/>
          <w:sz w:val="24"/>
          <w:szCs w:val="24"/>
        </w:rPr>
        <w:t>Then</w:t>
      </w:r>
      <w:r w:rsidRPr="00A70042">
        <w:rPr>
          <w:rFonts w:ascii="Times New Roman" w:hAnsi="Times New Roman" w:cs="Times New Roman"/>
          <w:sz w:val="24"/>
          <w:szCs w:val="24"/>
        </w:rPr>
        <w:t>, the demand and supply equilibrium would hardly be truly found because of the emerging complexity and the so-called coordination problem</w:t>
      </w:r>
      <w:r w:rsidR="00555302" w:rsidRPr="00A70042">
        <w:rPr>
          <w:rFonts w:ascii="Times New Roman" w:hAnsi="Times New Roman" w:cs="Times New Roman"/>
          <w:sz w:val="24"/>
          <w:szCs w:val="24"/>
        </w:rPr>
        <w:t>, which</w:t>
      </w:r>
      <w:r w:rsidRPr="00A70042">
        <w:rPr>
          <w:rFonts w:ascii="Times New Roman" w:hAnsi="Times New Roman" w:cs="Times New Roman"/>
          <w:sz w:val="24"/>
          <w:szCs w:val="24"/>
        </w:rPr>
        <w:t xml:space="preserve"> </w:t>
      </w:r>
      <w:r w:rsidR="003650B5" w:rsidRPr="00A70042">
        <w:rPr>
          <w:rFonts w:ascii="Times New Roman" w:hAnsi="Times New Roman" w:cs="Times New Roman"/>
          <w:sz w:val="24"/>
          <w:szCs w:val="24"/>
        </w:rPr>
        <w:t>often comes up with</w:t>
      </w:r>
      <w:r w:rsidRPr="00A70042">
        <w:rPr>
          <w:rFonts w:ascii="Times New Roman" w:hAnsi="Times New Roman" w:cs="Times New Roman"/>
          <w:sz w:val="24"/>
          <w:szCs w:val="24"/>
        </w:rPr>
        <w:t xml:space="preserve"> multiple equilibria.</w:t>
      </w:r>
      <w:r w:rsidR="00481E3A" w:rsidRPr="00A70042">
        <w:rPr>
          <w:rStyle w:val="FootnoteReference"/>
          <w:rFonts w:ascii="Times New Roman" w:hAnsi="Times New Roman" w:cs="Times New Roman"/>
          <w:sz w:val="24"/>
          <w:szCs w:val="24"/>
        </w:rPr>
        <w:footnoteReference w:id="753"/>
      </w:r>
      <w:r w:rsidRPr="00A70042">
        <w:rPr>
          <w:rFonts w:ascii="Times New Roman" w:hAnsi="Times New Roman" w:cs="Times New Roman"/>
          <w:sz w:val="24"/>
          <w:szCs w:val="24"/>
        </w:rPr>
        <w:t xml:space="preserve">  </w:t>
      </w:r>
      <w:r w:rsidR="00D85027" w:rsidRPr="00A70042">
        <w:rPr>
          <w:rFonts w:ascii="Times New Roman" w:hAnsi="Times New Roman" w:cs="Times New Roman"/>
          <w:color w:val="131413"/>
          <w:sz w:val="24"/>
          <w:szCs w:val="24"/>
        </w:rPr>
        <w:t xml:space="preserve">  </w:t>
      </w:r>
      <w:r w:rsidR="0043232D" w:rsidRPr="00A70042">
        <w:rPr>
          <w:rFonts w:ascii="Times New Roman" w:hAnsi="Times New Roman" w:cs="Times New Roman"/>
          <w:color w:val="131413"/>
          <w:sz w:val="24"/>
          <w:szCs w:val="24"/>
        </w:rPr>
        <w:t xml:space="preserve"> </w:t>
      </w:r>
    </w:p>
    <w:p w14:paraId="06469DD3" w14:textId="7D8FF45E" w:rsidR="007D271B" w:rsidRPr="00A70042" w:rsidRDefault="0001723E" w:rsidP="00A70042">
      <w:pPr>
        <w:spacing w:before="360"/>
        <w:jc w:val="both"/>
        <w:rPr>
          <w:rFonts w:ascii="Times New Roman" w:hAnsi="Times New Roman" w:cs="Times New Roman"/>
          <w:color w:val="131413"/>
          <w:sz w:val="24"/>
          <w:szCs w:val="24"/>
        </w:rPr>
      </w:pPr>
      <w:r w:rsidRPr="00774EDB">
        <w:rPr>
          <w:rFonts w:ascii="Times New Roman" w:hAnsi="Times New Roman" w:cs="Times New Roman"/>
          <w:sz w:val="24"/>
          <w:szCs w:val="24"/>
        </w:rPr>
        <w:t>This problem is indirectly pointed out by some authors e.g. Cowen and Gawer</w:t>
      </w:r>
      <w:r w:rsidR="00555302" w:rsidRPr="00774EDB">
        <w:rPr>
          <w:rFonts w:ascii="Times New Roman" w:hAnsi="Times New Roman" w:cs="Times New Roman"/>
          <w:sz w:val="24"/>
          <w:szCs w:val="24"/>
        </w:rPr>
        <w:t xml:space="preserve"> (2012)</w:t>
      </w:r>
      <w:r w:rsidRPr="00774EDB">
        <w:rPr>
          <w:rFonts w:ascii="Times New Roman" w:hAnsi="Times New Roman" w:cs="Times New Roman"/>
          <w:sz w:val="24"/>
          <w:szCs w:val="24"/>
        </w:rPr>
        <w:t>, who refer to the organisational innovation in the cloud because of the multi-party structure.</w:t>
      </w:r>
      <w:r w:rsidRPr="00774EDB">
        <w:rPr>
          <w:rStyle w:val="FootnoteReference"/>
          <w:rFonts w:ascii="Times New Roman" w:hAnsi="Times New Roman" w:cs="Times New Roman"/>
          <w:sz w:val="24"/>
          <w:szCs w:val="24"/>
        </w:rPr>
        <w:footnoteReference w:id="754"/>
      </w:r>
      <w:r w:rsidRPr="00774EDB">
        <w:rPr>
          <w:rFonts w:ascii="Times New Roman" w:hAnsi="Times New Roman" w:cs="Times New Roman"/>
          <w:sz w:val="24"/>
          <w:szCs w:val="24"/>
        </w:rPr>
        <w:t xml:space="preserve"> While such arguments rest on the cloud computing market itself, the cloud-based interdependencies reach out to other markets e.g. content, broadband and CDNs in the ecosystem setting, </w:t>
      </w:r>
      <w:r w:rsidR="00884016" w:rsidRPr="00774EDB">
        <w:rPr>
          <w:rFonts w:ascii="Times New Roman" w:hAnsi="Times New Roman" w:cs="Times New Roman"/>
          <w:sz w:val="24"/>
          <w:szCs w:val="24"/>
        </w:rPr>
        <w:t>marking a stark distinction from</w:t>
      </w:r>
      <w:r w:rsidRPr="00774EDB">
        <w:rPr>
          <w:rFonts w:ascii="Times New Roman" w:hAnsi="Times New Roman" w:cs="Times New Roman"/>
          <w:sz w:val="24"/>
          <w:szCs w:val="24"/>
        </w:rPr>
        <w:t xml:space="preserve"> the first setting of the cloud environment. While the self-supply and outsourced cloud components are matched and coordinated across the board in the first setting, a broadening set of transactions and exchange decisions between ISPs, CDNs, cloud and content providers are made in the second setting of the cloud ecosystem.</w:t>
      </w:r>
      <w:r w:rsidR="00242AD3" w:rsidRPr="00774EDB">
        <w:rPr>
          <w:rFonts w:ascii="Times New Roman" w:hAnsi="Times New Roman" w:cs="Times New Roman"/>
          <w:sz w:val="24"/>
          <w:szCs w:val="24"/>
        </w:rPr>
        <w:t xml:space="preserve">    </w:t>
      </w:r>
      <w:r w:rsidR="00D85027" w:rsidRPr="00774EDB">
        <w:rPr>
          <w:rFonts w:ascii="Times New Roman" w:hAnsi="Times New Roman" w:cs="Times New Roman"/>
          <w:sz w:val="24"/>
          <w:szCs w:val="24"/>
        </w:rPr>
        <w:t xml:space="preserve">  </w:t>
      </w:r>
      <w:r w:rsidR="00EE403E" w:rsidRPr="00A70042">
        <w:rPr>
          <w:rFonts w:ascii="Times New Roman" w:hAnsi="Times New Roman" w:cs="Times New Roman"/>
          <w:color w:val="131413"/>
          <w:sz w:val="24"/>
          <w:szCs w:val="24"/>
        </w:rPr>
        <w:t xml:space="preserve"> </w:t>
      </w:r>
      <w:r w:rsidR="007D271B" w:rsidRPr="00A70042">
        <w:rPr>
          <w:rFonts w:ascii="Times New Roman" w:hAnsi="Times New Roman" w:cs="Times New Roman"/>
          <w:color w:val="131413"/>
          <w:sz w:val="24"/>
          <w:szCs w:val="24"/>
        </w:rPr>
        <w:t xml:space="preserve">   </w:t>
      </w:r>
      <w:r w:rsidR="00F36ECB" w:rsidRPr="00A70042">
        <w:rPr>
          <w:rFonts w:ascii="Times New Roman" w:hAnsi="Times New Roman" w:cs="Times New Roman"/>
          <w:color w:val="131413"/>
          <w:sz w:val="24"/>
          <w:szCs w:val="24"/>
        </w:rPr>
        <w:t xml:space="preserve"> </w:t>
      </w:r>
    </w:p>
    <w:p w14:paraId="42E5504E" w14:textId="77777777" w:rsidR="002F0347" w:rsidRPr="00A70042" w:rsidRDefault="00022229" w:rsidP="00A70042">
      <w:pPr>
        <w:spacing w:before="360"/>
        <w:jc w:val="both"/>
        <w:rPr>
          <w:rFonts w:ascii="Times New Roman" w:hAnsi="Times New Roman" w:cs="Times New Roman"/>
          <w:color w:val="131413"/>
          <w:sz w:val="24"/>
          <w:szCs w:val="24"/>
        </w:rPr>
      </w:pPr>
      <w:r w:rsidRPr="00A70042">
        <w:rPr>
          <w:rFonts w:ascii="Times New Roman" w:hAnsi="Times New Roman" w:cs="Times New Roman"/>
          <w:sz w:val="24"/>
          <w:szCs w:val="24"/>
        </w:rPr>
        <w:t>From the ecosystem perspective, as members continuously innovate and try to create value, they also attempt to gradually gain bargaining power vis-à-vis other members of the ecosystem.</w:t>
      </w:r>
      <w:r w:rsidRPr="00774EDB">
        <w:rPr>
          <w:rStyle w:val="FootnoteReference"/>
          <w:rFonts w:ascii="Times New Roman" w:hAnsi="Times New Roman" w:cs="Times New Roman"/>
          <w:sz w:val="24"/>
          <w:szCs w:val="24"/>
        </w:rPr>
        <w:footnoteReference w:id="755"/>
      </w:r>
      <w:r w:rsidRPr="00A70042">
        <w:rPr>
          <w:rFonts w:ascii="Times New Roman" w:hAnsi="Times New Roman" w:cs="Times New Roman"/>
          <w:sz w:val="24"/>
          <w:szCs w:val="24"/>
        </w:rPr>
        <w:t xml:space="preserve"> In an interdependent ecosystem, as a form of supply chain, it is not only rivals that can exploit the innovation and capture its value: it can be the firm’s buyers, suppliers, or complementors.</w:t>
      </w:r>
      <w:r w:rsidRPr="00774EDB">
        <w:rPr>
          <w:rStyle w:val="FootnoteReference"/>
          <w:rFonts w:ascii="Times New Roman" w:hAnsi="Times New Roman" w:cs="Times New Roman"/>
          <w:sz w:val="24"/>
          <w:szCs w:val="24"/>
        </w:rPr>
        <w:footnoteReference w:id="756"/>
      </w:r>
      <w:r w:rsidRPr="00A70042">
        <w:rPr>
          <w:rFonts w:ascii="Times New Roman" w:hAnsi="Times New Roman" w:cs="Times New Roman"/>
          <w:sz w:val="24"/>
          <w:szCs w:val="24"/>
        </w:rPr>
        <w:t xml:space="preserve"> This point, namely the heterogeneity of </w:t>
      </w:r>
      <w:r w:rsidRPr="00A70042">
        <w:rPr>
          <w:rFonts w:ascii="Times New Roman" w:hAnsi="Times New Roman" w:cs="Times New Roman"/>
          <w:sz w:val="24"/>
          <w:szCs w:val="24"/>
        </w:rPr>
        <w:lastRenderedPageBreak/>
        <w:t>players and their differential capabilities to interpret their environment and respond to it, marks the main difference between the ecosystem approach and the traditional economics approach which focuses on micro-level decision making processes largely based on linear processes.</w:t>
      </w:r>
      <w:r w:rsidRPr="00A70042">
        <w:rPr>
          <w:rStyle w:val="FootnoteReference"/>
          <w:rFonts w:ascii="Times New Roman" w:hAnsi="Times New Roman" w:cs="Times New Roman"/>
          <w:sz w:val="24"/>
          <w:szCs w:val="24"/>
        </w:rPr>
        <w:footnoteReference w:id="757"/>
      </w:r>
      <w:r w:rsidRPr="00A70042">
        <w:rPr>
          <w:rFonts w:ascii="Times New Roman" w:hAnsi="Times New Roman" w:cs="Times New Roman"/>
          <w:sz w:val="24"/>
          <w:szCs w:val="24"/>
        </w:rPr>
        <w:t xml:space="preserve"> Given this fact, the ecosystem approach would be appropriate and more relevant for the second broader setting that includes the external as well as internal (cloud) elements, when compared to the first setting.</w:t>
      </w:r>
      <w:r w:rsidR="00C938E6" w:rsidRPr="00A70042">
        <w:rPr>
          <w:rFonts w:ascii="Times New Roman" w:hAnsi="Times New Roman" w:cs="Times New Roman"/>
          <w:color w:val="131413"/>
          <w:sz w:val="24"/>
          <w:szCs w:val="24"/>
        </w:rPr>
        <w:t xml:space="preserve">  </w:t>
      </w:r>
    </w:p>
    <w:p w14:paraId="1B4D4E3C" w14:textId="77777777" w:rsidR="000138D8" w:rsidRPr="00774EDB" w:rsidRDefault="00E2609A" w:rsidP="00A70042">
      <w:pPr>
        <w:pStyle w:val="Heading3"/>
        <w:numPr>
          <w:ilvl w:val="2"/>
          <w:numId w:val="33"/>
        </w:numPr>
        <w:spacing w:before="360"/>
        <w:ind w:left="0" w:firstLine="0"/>
        <w:jc w:val="both"/>
        <w:rPr>
          <w:rFonts w:ascii="Times New Roman" w:hAnsi="Times New Roman" w:cs="Times New Roman"/>
          <w:b/>
          <w:color w:val="auto"/>
        </w:rPr>
      </w:pPr>
      <w:bookmarkStart w:id="587" w:name="_Toc17611476"/>
      <w:bookmarkStart w:id="588" w:name="_Toc17611693"/>
      <w:bookmarkStart w:id="589" w:name="_Toc17611905"/>
      <w:bookmarkStart w:id="590" w:name="_Toc17612119"/>
      <w:bookmarkStart w:id="591" w:name="_Toc17612332"/>
      <w:bookmarkStart w:id="592" w:name="_Toc17611477"/>
      <w:bookmarkStart w:id="593" w:name="_Toc53576103"/>
      <w:bookmarkEnd w:id="587"/>
      <w:bookmarkEnd w:id="588"/>
      <w:bookmarkEnd w:id="589"/>
      <w:bookmarkEnd w:id="590"/>
      <w:bookmarkEnd w:id="591"/>
      <w:r w:rsidRPr="00774EDB">
        <w:rPr>
          <w:rFonts w:ascii="Times New Roman" w:hAnsi="Times New Roman" w:cs="Times New Roman"/>
          <w:b/>
          <w:color w:val="auto"/>
        </w:rPr>
        <w:t xml:space="preserve">Interoperability debate </w:t>
      </w:r>
      <w:r w:rsidR="008B2EEE" w:rsidRPr="00774EDB">
        <w:rPr>
          <w:rFonts w:ascii="Times New Roman" w:hAnsi="Times New Roman" w:cs="Times New Roman"/>
          <w:b/>
          <w:color w:val="auto"/>
        </w:rPr>
        <w:t>in the cloud context</w:t>
      </w:r>
      <w:bookmarkEnd w:id="592"/>
      <w:bookmarkEnd w:id="593"/>
    </w:p>
    <w:p w14:paraId="61B7355F" w14:textId="77777777" w:rsidR="00A14CBA" w:rsidRPr="00A70042" w:rsidRDefault="00047F56" w:rsidP="00A70042">
      <w:pPr>
        <w:spacing w:before="360"/>
        <w:jc w:val="both"/>
        <w:rPr>
          <w:rFonts w:ascii="Times New Roman" w:hAnsi="Times New Roman" w:cs="Times New Roman"/>
          <w:color w:val="131413"/>
          <w:sz w:val="24"/>
          <w:szCs w:val="24"/>
        </w:rPr>
      </w:pPr>
      <w:r w:rsidRPr="00A70042">
        <w:rPr>
          <w:rFonts w:ascii="Times New Roman" w:hAnsi="Times New Roman" w:cs="Times New Roman"/>
          <w:sz w:val="24"/>
          <w:szCs w:val="24"/>
        </w:rPr>
        <w:t>External and internal elements that constitute the cloud ecosystem have some layers interdependent and interconnected to each other. These inter-links between the cloud layers are achieved by means of interoperability. The cloud components, including applications, platforms and infrastructure elements, should speak to each other for the cloud services to be run across the board. This denotes the narrow(est) viewpoint which could be compared to ‘intra-operability’ based on one provider cloud management, should we disregard the outer space of the cloud environment.</w:t>
      </w:r>
      <w:r w:rsidR="00634F59" w:rsidRPr="00A70042">
        <w:rPr>
          <w:rFonts w:ascii="Times New Roman" w:hAnsi="Times New Roman" w:cs="Times New Roman"/>
          <w:color w:val="131413"/>
          <w:sz w:val="24"/>
          <w:szCs w:val="24"/>
        </w:rPr>
        <w:t xml:space="preserve">  </w:t>
      </w:r>
    </w:p>
    <w:p w14:paraId="01F7C94C" w14:textId="77777777" w:rsidR="00571A84" w:rsidRPr="00A70042" w:rsidRDefault="00047F56" w:rsidP="00A70042">
      <w:pPr>
        <w:spacing w:before="360"/>
        <w:jc w:val="both"/>
        <w:rPr>
          <w:rFonts w:ascii="Times New Roman" w:hAnsi="Times New Roman" w:cs="Times New Roman"/>
          <w:color w:val="131413"/>
          <w:sz w:val="24"/>
          <w:szCs w:val="24"/>
        </w:rPr>
      </w:pPr>
      <w:r w:rsidRPr="00A70042">
        <w:rPr>
          <w:rFonts w:ascii="Times New Roman" w:hAnsi="Times New Roman" w:cs="Times New Roman"/>
          <w:sz w:val="24"/>
          <w:szCs w:val="24"/>
        </w:rPr>
        <w:t xml:space="preserve">However, just as with the components in the cloud speaking to each other, equivalent elements of different clouds should ideally interoperate with each other. For instance, virtual machines in the infrastructure layers of distinct clouds that are running third parties’ platforms or applications, should be able to be moved from one cloud to another. </w:t>
      </w:r>
      <w:r w:rsidR="00CD00C2" w:rsidRPr="00A70042">
        <w:rPr>
          <w:rFonts w:ascii="Times New Roman" w:hAnsi="Times New Roman" w:cs="Times New Roman"/>
          <w:sz w:val="24"/>
          <w:szCs w:val="24"/>
        </w:rPr>
        <w:t>W</w:t>
      </w:r>
      <w:r w:rsidRPr="00A70042">
        <w:rPr>
          <w:rFonts w:ascii="Times New Roman" w:hAnsi="Times New Roman" w:cs="Times New Roman"/>
          <w:sz w:val="24"/>
          <w:szCs w:val="24"/>
        </w:rPr>
        <w:t>hen they are integrated into a cloud environment, they should operate towards the same goal of service provisioning along with other components. Not only virtual machines, but also platforms and applications should be replaceable</w:t>
      </w:r>
      <w:r w:rsidR="00CD00C2" w:rsidRPr="00A70042">
        <w:rPr>
          <w:rFonts w:ascii="Times New Roman" w:hAnsi="Times New Roman" w:cs="Times New Roman"/>
          <w:sz w:val="24"/>
          <w:szCs w:val="24"/>
        </w:rPr>
        <w:t>,</w:t>
      </w:r>
      <w:r w:rsidRPr="00A70042">
        <w:rPr>
          <w:rFonts w:ascii="Times New Roman" w:hAnsi="Times New Roman" w:cs="Times New Roman"/>
          <w:sz w:val="24"/>
          <w:szCs w:val="24"/>
        </w:rPr>
        <w:t xml:space="preserve"> exchang</w:t>
      </w:r>
      <w:r w:rsidR="00CD00C2" w:rsidRPr="00A70042">
        <w:rPr>
          <w:rFonts w:ascii="Times New Roman" w:hAnsi="Times New Roman" w:cs="Times New Roman"/>
          <w:sz w:val="24"/>
          <w:szCs w:val="24"/>
        </w:rPr>
        <w:t>e</w:t>
      </w:r>
      <w:r w:rsidRPr="00A70042">
        <w:rPr>
          <w:rFonts w:ascii="Times New Roman" w:hAnsi="Times New Roman" w:cs="Times New Roman"/>
          <w:sz w:val="24"/>
          <w:szCs w:val="24"/>
        </w:rPr>
        <w:t xml:space="preserve"> data and information across the clouds. From this viewpoint</w:t>
      </w:r>
      <w:r w:rsidRPr="00774EDB">
        <w:rPr>
          <w:rFonts w:ascii="Times New Roman" w:hAnsi="Times New Roman" w:cs="Times New Roman"/>
          <w:sz w:val="24"/>
          <w:szCs w:val="24"/>
        </w:rPr>
        <w:t xml:space="preserve">, it is argued that cloud </w:t>
      </w:r>
      <w:r w:rsidRPr="00774EDB">
        <w:rPr>
          <w:rFonts w:ascii="Times New Roman" w:hAnsi="Times New Roman" w:cs="Times New Roman"/>
          <w:sz w:val="24"/>
          <w:szCs w:val="24"/>
        </w:rPr>
        <w:lastRenderedPageBreak/>
        <w:t>interoperability refers to the ability of customers to use the same management tools, server images and other software with a variety of cloud computing providers and platforms.</w:t>
      </w:r>
      <w:r w:rsidRPr="00774EDB">
        <w:rPr>
          <w:rStyle w:val="FootnoteReference"/>
          <w:rFonts w:ascii="Times New Roman" w:hAnsi="Times New Roman" w:cs="Times New Roman"/>
          <w:sz w:val="24"/>
          <w:szCs w:val="24"/>
        </w:rPr>
        <w:footnoteReference w:id="758"/>
      </w:r>
      <w:r w:rsidRPr="00774EDB">
        <w:rPr>
          <w:rFonts w:ascii="Times New Roman" w:hAnsi="Times New Roman" w:cs="Times New Roman"/>
          <w:sz w:val="24"/>
          <w:szCs w:val="24"/>
        </w:rPr>
        <w:t xml:space="preserve"> </w:t>
      </w:r>
      <w:r w:rsidRPr="00A70042">
        <w:rPr>
          <w:rFonts w:ascii="Times New Roman" w:hAnsi="Times New Roman" w:cs="Times New Roman"/>
          <w:sz w:val="24"/>
          <w:szCs w:val="24"/>
        </w:rPr>
        <w:t>All these refer to a</w:t>
      </w:r>
      <w:r w:rsidR="00CD00C2" w:rsidRPr="00A70042">
        <w:rPr>
          <w:rFonts w:ascii="Times New Roman" w:hAnsi="Times New Roman" w:cs="Times New Roman"/>
          <w:sz w:val="24"/>
          <w:szCs w:val="24"/>
        </w:rPr>
        <w:t>n</w:t>
      </w:r>
      <w:r w:rsidRPr="00A70042">
        <w:rPr>
          <w:rFonts w:ascii="Times New Roman" w:hAnsi="Times New Roman" w:cs="Times New Roman"/>
          <w:sz w:val="24"/>
          <w:szCs w:val="24"/>
        </w:rPr>
        <w:t xml:space="preserve"> </w:t>
      </w:r>
      <w:r w:rsidR="00CD00C2" w:rsidRPr="00A70042">
        <w:rPr>
          <w:rFonts w:ascii="Times New Roman" w:hAnsi="Times New Roman" w:cs="Times New Roman"/>
          <w:sz w:val="24"/>
          <w:szCs w:val="24"/>
        </w:rPr>
        <w:t>understanding</w:t>
      </w:r>
      <w:r w:rsidRPr="00A70042">
        <w:rPr>
          <w:rFonts w:ascii="Times New Roman" w:hAnsi="Times New Roman" w:cs="Times New Roman"/>
          <w:sz w:val="24"/>
          <w:szCs w:val="24"/>
        </w:rPr>
        <w:t xml:space="preserve"> for cloud interoperability, which suggests that the users’ applications, data and software in the disparate clouds be able to work together based on the mutually agreed specifications. Hereby the aim is to enable the cloud users and providers operating </w:t>
      </w:r>
      <w:r w:rsidRPr="00774EDB">
        <w:rPr>
          <w:rFonts w:ascii="Times New Roman" w:hAnsi="Times New Roman" w:cs="Times New Roman"/>
          <w:sz w:val="24"/>
          <w:szCs w:val="24"/>
        </w:rPr>
        <w:t>across and within different layers of the supply chain,</w:t>
      </w:r>
      <w:r w:rsidRPr="00A70042">
        <w:rPr>
          <w:rFonts w:ascii="Times New Roman" w:hAnsi="Times New Roman" w:cs="Times New Roman"/>
          <w:sz w:val="24"/>
          <w:szCs w:val="24"/>
        </w:rPr>
        <w:t xml:space="preserve"> </w:t>
      </w:r>
      <w:r w:rsidRPr="00774EDB">
        <w:rPr>
          <w:rFonts w:ascii="Times New Roman" w:hAnsi="Times New Roman" w:cs="Times New Roman"/>
          <w:sz w:val="24"/>
          <w:szCs w:val="24"/>
        </w:rPr>
        <w:t>to interact and exchange data and instructions.</w:t>
      </w:r>
      <w:r w:rsidRPr="00774EDB">
        <w:rPr>
          <w:rStyle w:val="FootnoteReference"/>
          <w:rFonts w:ascii="Times New Roman" w:hAnsi="Times New Roman" w:cs="Times New Roman"/>
          <w:sz w:val="24"/>
          <w:szCs w:val="24"/>
        </w:rPr>
        <w:footnoteReference w:id="759"/>
      </w:r>
      <w:r w:rsidR="005A28B1" w:rsidRPr="00774EDB">
        <w:rPr>
          <w:rFonts w:ascii="Times New Roman" w:hAnsi="Times New Roman" w:cs="Times New Roman"/>
          <w:sz w:val="24"/>
          <w:szCs w:val="24"/>
        </w:rPr>
        <w:t xml:space="preserve"> </w:t>
      </w:r>
    </w:p>
    <w:p w14:paraId="7A2BF2A5" w14:textId="77777777" w:rsidR="005A402F" w:rsidRPr="00774EDB" w:rsidRDefault="00CD00C2" w:rsidP="00A70042">
      <w:pPr>
        <w:spacing w:before="360"/>
        <w:jc w:val="both"/>
        <w:rPr>
          <w:rFonts w:ascii="Times New Roman" w:hAnsi="Times New Roman" w:cs="Times New Roman"/>
          <w:sz w:val="24"/>
          <w:szCs w:val="24"/>
        </w:rPr>
      </w:pPr>
      <w:r w:rsidRPr="00A70042">
        <w:rPr>
          <w:rFonts w:ascii="Times New Roman" w:hAnsi="Times New Roman" w:cs="Times New Roman"/>
          <w:sz w:val="24"/>
          <w:szCs w:val="24"/>
        </w:rPr>
        <w:t xml:space="preserve">However, neither intra-operability in one cloud nor interoperability between the clouds could be isolated from the underlying external layers. </w:t>
      </w:r>
      <w:r w:rsidRPr="00774EDB">
        <w:rPr>
          <w:rFonts w:ascii="Times New Roman" w:hAnsi="Times New Roman" w:cs="Times New Roman"/>
          <w:sz w:val="24"/>
          <w:szCs w:val="24"/>
        </w:rPr>
        <w:t xml:space="preserve">One should consider that the internal elements of the cloud layer, and the external elements of the access layer are constituents for a cloud ecosystem, setting out a broadened need for multi-layered interoperability. The physical link between a cloud infrastructure and an ISP means that the already established standards yielding the intended interconnectivity between the former and latter, includes software interoperability. </w:t>
      </w:r>
      <w:r w:rsidR="00534B49" w:rsidRPr="00774EDB">
        <w:rPr>
          <w:rFonts w:ascii="Times New Roman" w:hAnsi="Times New Roman" w:cs="Times New Roman"/>
          <w:sz w:val="24"/>
          <w:szCs w:val="24"/>
        </w:rPr>
        <w:t>The same</w:t>
      </w:r>
      <w:r w:rsidRPr="00774EDB">
        <w:rPr>
          <w:rFonts w:ascii="Times New Roman" w:hAnsi="Times New Roman" w:cs="Times New Roman"/>
          <w:sz w:val="24"/>
          <w:szCs w:val="24"/>
        </w:rPr>
        <w:t xml:space="preserve"> is true for the interlinks between the clouds and CDNs. Thus, the cross-layer protocols that ensure interoperability play a key role across the cloud-CDN-ISP interdependencies. To these interdependencies, content layer would be added as content providers (CPs) are always in interaction with cloud, CDN and internet service providers.</w:t>
      </w:r>
      <w:r w:rsidRPr="00774EDB">
        <w:rPr>
          <w:rStyle w:val="FootnoteReference"/>
          <w:rFonts w:ascii="Times New Roman" w:hAnsi="Times New Roman" w:cs="Times New Roman"/>
          <w:sz w:val="24"/>
          <w:szCs w:val="24"/>
        </w:rPr>
        <w:footnoteReference w:id="760"/>
      </w:r>
      <w:r w:rsidRPr="00774EDB">
        <w:rPr>
          <w:rFonts w:ascii="Times New Roman" w:hAnsi="Times New Roman" w:cs="Times New Roman"/>
          <w:sz w:val="24"/>
          <w:szCs w:val="24"/>
        </w:rPr>
        <w:t xml:space="preserve"> Through the </w:t>
      </w:r>
      <w:r w:rsidRPr="00774EDB">
        <w:rPr>
          <w:rFonts w:ascii="Times New Roman" w:hAnsi="Times New Roman" w:cs="Times New Roman"/>
          <w:sz w:val="24"/>
          <w:szCs w:val="24"/>
        </w:rPr>
        <w:lastRenderedPageBreak/>
        <w:t>interfaces across the value or supply chain, these ecosystem players coordinate and interoperate with each other.</w:t>
      </w:r>
    </w:p>
    <w:p w14:paraId="30569285" w14:textId="3220FBB9" w:rsidR="00966089" w:rsidRPr="00774EDB" w:rsidRDefault="00534B4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Given this fact, interoperability comes up as one of the most significant threads across the emergent cloud ecosystem</w:t>
      </w:r>
      <w:r w:rsidR="00504598" w:rsidRPr="00774EDB">
        <w:rPr>
          <w:rFonts w:ascii="Times New Roman" w:hAnsi="Times New Roman" w:cs="Times New Roman"/>
          <w:sz w:val="24"/>
          <w:szCs w:val="24"/>
        </w:rPr>
        <w:t>s</w:t>
      </w:r>
      <w:r w:rsidRPr="00774EDB">
        <w:rPr>
          <w:rFonts w:ascii="Times New Roman" w:hAnsi="Times New Roman" w:cs="Times New Roman"/>
          <w:sz w:val="24"/>
          <w:szCs w:val="24"/>
        </w:rPr>
        <w:t xml:space="preserve">, as well as the cloud environments, which are the supply structures analysed above. Below, interoperability is examined in view of these settings and the attendant needs and problems. </w:t>
      </w:r>
      <w:r w:rsidR="00FC1E70" w:rsidRPr="00774EDB">
        <w:rPr>
          <w:rFonts w:ascii="Times New Roman" w:hAnsi="Times New Roman" w:cs="Times New Roman"/>
          <w:sz w:val="24"/>
          <w:szCs w:val="24"/>
        </w:rPr>
        <w:t xml:space="preserve">     </w:t>
      </w:r>
    </w:p>
    <w:p w14:paraId="043FBBD5" w14:textId="77777777" w:rsidR="00CD70AE" w:rsidRPr="00774EDB" w:rsidRDefault="00B8628F" w:rsidP="00A70042">
      <w:pPr>
        <w:pStyle w:val="Heading4"/>
        <w:numPr>
          <w:ilvl w:val="3"/>
          <w:numId w:val="33"/>
        </w:numPr>
        <w:tabs>
          <w:tab w:val="left" w:pos="851"/>
        </w:tabs>
        <w:spacing w:before="360"/>
        <w:ind w:left="0" w:firstLine="0"/>
        <w:jc w:val="both"/>
        <w:rPr>
          <w:rFonts w:ascii="Times New Roman" w:hAnsi="Times New Roman" w:cs="Times New Roman"/>
          <w:b/>
          <w:i w:val="0"/>
          <w:sz w:val="24"/>
          <w:szCs w:val="24"/>
        </w:rPr>
      </w:pPr>
      <w:bookmarkStart w:id="594" w:name="_Toc17611478"/>
      <w:bookmarkStart w:id="595" w:name="_Toc53576104"/>
      <w:r w:rsidRPr="00774EDB">
        <w:rPr>
          <w:rFonts w:ascii="Times New Roman" w:hAnsi="Times New Roman" w:cs="Times New Roman"/>
          <w:b/>
          <w:i w:val="0"/>
          <w:color w:val="auto"/>
          <w:sz w:val="24"/>
          <w:szCs w:val="24"/>
        </w:rPr>
        <w:t>I</w:t>
      </w:r>
      <w:r w:rsidR="00CD70AE" w:rsidRPr="00774EDB">
        <w:rPr>
          <w:rFonts w:ascii="Times New Roman" w:hAnsi="Times New Roman" w:cs="Times New Roman"/>
          <w:b/>
          <w:i w:val="0"/>
          <w:color w:val="auto"/>
          <w:sz w:val="24"/>
          <w:szCs w:val="24"/>
        </w:rPr>
        <w:t xml:space="preserve">nteroperability </w:t>
      </w:r>
      <w:r w:rsidR="00BB36AB" w:rsidRPr="00774EDB">
        <w:rPr>
          <w:rFonts w:ascii="Times New Roman" w:hAnsi="Times New Roman" w:cs="Times New Roman"/>
          <w:b/>
          <w:i w:val="0"/>
          <w:color w:val="auto"/>
          <w:sz w:val="24"/>
          <w:szCs w:val="24"/>
        </w:rPr>
        <w:t>in the</w:t>
      </w:r>
      <w:r w:rsidR="00CD70AE" w:rsidRPr="00774EDB">
        <w:rPr>
          <w:rFonts w:ascii="Times New Roman" w:hAnsi="Times New Roman" w:cs="Times New Roman"/>
          <w:b/>
          <w:i w:val="0"/>
          <w:color w:val="auto"/>
          <w:sz w:val="24"/>
          <w:szCs w:val="24"/>
        </w:rPr>
        <w:t xml:space="preserve"> </w:t>
      </w:r>
      <w:r w:rsidRPr="00774EDB">
        <w:rPr>
          <w:rFonts w:ascii="Times New Roman" w:hAnsi="Times New Roman" w:cs="Times New Roman"/>
          <w:b/>
          <w:i w:val="0"/>
          <w:color w:val="auto"/>
          <w:sz w:val="24"/>
          <w:szCs w:val="24"/>
        </w:rPr>
        <w:t xml:space="preserve">cloud </w:t>
      </w:r>
      <w:r w:rsidR="00084DF8" w:rsidRPr="00774EDB">
        <w:rPr>
          <w:rFonts w:ascii="Times New Roman" w:hAnsi="Times New Roman" w:cs="Times New Roman"/>
          <w:b/>
          <w:i w:val="0"/>
          <w:color w:val="auto"/>
          <w:sz w:val="24"/>
          <w:szCs w:val="24"/>
        </w:rPr>
        <w:t>environment</w:t>
      </w:r>
      <w:bookmarkEnd w:id="594"/>
      <w:bookmarkEnd w:id="595"/>
      <w:r w:rsidR="00CD70AE" w:rsidRPr="00774EDB">
        <w:rPr>
          <w:rFonts w:ascii="Times New Roman" w:hAnsi="Times New Roman" w:cs="Times New Roman"/>
          <w:b/>
          <w:i w:val="0"/>
          <w:color w:val="auto"/>
          <w:sz w:val="24"/>
          <w:szCs w:val="24"/>
        </w:rPr>
        <w:t xml:space="preserve"> </w:t>
      </w:r>
    </w:p>
    <w:p w14:paraId="07BE39F6" w14:textId="43B55551" w:rsidR="00875BC3" w:rsidRPr="00774EDB" w:rsidRDefault="00504598"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Similar to the traditional legacy networks, such as the internet that builds upon TCP/IP protocols, interoperability in the cloud environment will occur at the various layers, starting with the infrastructure layer e.g. through the Open Virtualization Format (OVF), an industry-wide standard and moving to the upper layers that are mostly designed via proprietary interfaces.</w:t>
      </w:r>
      <w:r w:rsidRPr="00774EDB">
        <w:rPr>
          <w:rStyle w:val="FootnoteReference"/>
          <w:rFonts w:ascii="Times New Roman" w:hAnsi="Times New Roman" w:cs="Times New Roman"/>
          <w:sz w:val="24"/>
          <w:szCs w:val="24"/>
        </w:rPr>
        <w:footnoteReference w:id="761"/>
      </w:r>
      <w:r w:rsidRPr="00774EDB">
        <w:rPr>
          <w:rFonts w:ascii="Times New Roman" w:hAnsi="Times New Roman" w:cs="Times New Roman"/>
          <w:sz w:val="24"/>
          <w:szCs w:val="24"/>
        </w:rPr>
        <w:t xml:space="preserve"> Cloud components are run on the dedicated software components which represent the so-called layers, although they might not be typified as a modular layered system. Cloud management provides a complete framework for managing all aspects of the infrastructure i.e. provisioning, deployment, monitoring, securing, messaging, reporting etc., as well as the cloud applications working on these infrastructural elements.</w:t>
      </w:r>
      <w:r w:rsidRPr="00774EDB">
        <w:rPr>
          <w:rStyle w:val="FootnoteReference"/>
          <w:rFonts w:ascii="Times New Roman" w:hAnsi="Times New Roman" w:cs="Times New Roman"/>
          <w:sz w:val="24"/>
          <w:szCs w:val="24"/>
        </w:rPr>
        <w:footnoteReference w:id="762"/>
      </w:r>
      <w:r w:rsidRPr="00774EDB">
        <w:rPr>
          <w:rFonts w:ascii="Times New Roman" w:hAnsi="Times New Roman" w:cs="Times New Roman"/>
          <w:sz w:val="24"/>
          <w:szCs w:val="24"/>
        </w:rPr>
        <w:t xml:space="preserve"> As cloud APIs provided by the cloud management layer also allow applications to take control of the infrastructure they run on,</w:t>
      </w:r>
      <w:r w:rsidRPr="00774EDB">
        <w:rPr>
          <w:rStyle w:val="FootnoteReference"/>
          <w:rFonts w:ascii="Times New Roman" w:hAnsi="Times New Roman" w:cs="Times New Roman"/>
          <w:sz w:val="24"/>
          <w:szCs w:val="24"/>
        </w:rPr>
        <w:footnoteReference w:id="763"/>
      </w:r>
      <w:r w:rsidRPr="00774EDB">
        <w:rPr>
          <w:rFonts w:ascii="Times New Roman" w:hAnsi="Times New Roman" w:cs="Times New Roman"/>
          <w:sz w:val="24"/>
          <w:szCs w:val="24"/>
        </w:rPr>
        <w:t xml:space="preserve"> it may be argued that a modular theory does not fit well to the cloud context.</w:t>
      </w:r>
      <w:r w:rsidRPr="00774EDB">
        <w:rPr>
          <w:rStyle w:val="FootnoteReference"/>
          <w:rFonts w:ascii="Times New Roman" w:hAnsi="Times New Roman" w:cs="Times New Roman"/>
          <w:sz w:val="24"/>
          <w:szCs w:val="24"/>
        </w:rPr>
        <w:footnoteReference w:id="764"/>
      </w:r>
      <w:r w:rsidRPr="00774EDB">
        <w:rPr>
          <w:rFonts w:ascii="Times New Roman" w:hAnsi="Times New Roman" w:cs="Times New Roman"/>
          <w:sz w:val="24"/>
          <w:szCs w:val="24"/>
        </w:rPr>
        <w:t xml:space="preserve"> </w:t>
      </w:r>
      <w:r w:rsidR="00AC4DFE" w:rsidRPr="00774EDB">
        <w:rPr>
          <w:rFonts w:ascii="Times New Roman" w:hAnsi="Times New Roman" w:cs="Times New Roman"/>
          <w:sz w:val="24"/>
          <w:szCs w:val="24"/>
        </w:rPr>
        <w:lastRenderedPageBreak/>
        <w:t xml:space="preserve">Given the fact that </w:t>
      </w:r>
      <w:r w:rsidRPr="00774EDB">
        <w:rPr>
          <w:rFonts w:ascii="Times New Roman" w:hAnsi="Times New Roman" w:cs="Times New Roman"/>
          <w:sz w:val="24"/>
          <w:szCs w:val="24"/>
        </w:rPr>
        <w:t>management of the cloud components is performed by the cloud provider, interoperability confronts new problems i.e. tight coupling in the cloud.</w:t>
      </w:r>
      <w:r w:rsidR="000B1048" w:rsidRPr="00774EDB">
        <w:rPr>
          <w:rFonts w:ascii="Times New Roman" w:hAnsi="Times New Roman" w:cs="Times New Roman"/>
          <w:sz w:val="24"/>
          <w:szCs w:val="24"/>
        </w:rPr>
        <w:t xml:space="preserve">   </w:t>
      </w:r>
    </w:p>
    <w:p w14:paraId="62F2C1A8" w14:textId="77777777" w:rsidR="005A02C2" w:rsidRPr="00774EDB" w:rsidRDefault="00AC4DF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Tight coupling refers to a strategy of pursuing coupling between the essential components in the cloud environment. By contrast, loose coupling means that cloud components make few assumptions about each other e.g. regarding the format of exchanged data or the communication channels used.</w:t>
      </w:r>
      <w:r w:rsidRPr="00774EDB">
        <w:rPr>
          <w:rStyle w:val="FootnoteReference"/>
          <w:rFonts w:ascii="Times New Roman" w:hAnsi="Times New Roman" w:cs="Times New Roman"/>
          <w:sz w:val="24"/>
          <w:szCs w:val="24"/>
        </w:rPr>
        <w:footnoteReference w:id="765"/>
      </w:r>
      <w:r w:rsidRPr="00774EDB">
        <w:rPr>
          <w:rFonts w:ascii="Times New Roman" w:hAnsi="Times New Roman" w:cs="Times New Roman"/>
          <w:sz w:val="24"/>
          <w:szCs w:val="24"/>
        </w:rPr>
        <w:t xml:space="preserve"> Coupling strategies indirectly demonstrate the extent to which the cloud provider wants to centralise the application programming and processing within the cloud environment.</w:t>
      </w:r>
      <w:r w:rsidRPr="00774EDB">
        <w:rPr>
          <w:rStyle w:val="FootnoteReference"/>
          <w:rFonts w:ascii="Times New Roman" w:hAnsi="Times New Roman" w:cs="Times New Roman"/>
          <w:sz w:val="24"/>
          <w:szCs w:val="24"/>
        </w:rPr>
        <w:footnoteReference w:id="766"/>
      </w:r>
      <w:r w:rsidRPr="00774EDB">
        <w:rPr>
          <w:rFonts w:ascii="Times New Roman" w:hAnsi="Times New Roman" w:cs="Times New Roman"/>
          <w:sz w:val="24"/>
          <w:szCs w:val="24"/>
        </w:rPr>
        <w:t xml:space="preserve"> This could also be interpreted to show the level of the elasticity of cloud management against the third-party applications vis-à-vis cloud-native ones.</w:t>
      </w:r>
      <w:r w:rsidR="00962FD5" w:rsidRPr="00774EDB">
        <w:rPr>
          <w:rFonts w:ascii="Times New Roman" w:hAnsi="Times New Roman" w:cs="Times New Roman"/>
          <w:sz w:val="24"/>
          <w:szCs w:val="24"/>
        </w:rPr>
        <w:t xml:space="preserve"> </w:t>
      </w:r>
    </w:p>
    <w:p w14:paraId="07601803" w14:textId="77777777" w:rsidR="000F1A58" w:rsidRPr="00774EDB" w:rsidRDefault="00EF272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Coupling strategies are also supplemented by the fact that a few common standards are in place to govern the cloud computing industry. While the greatest level of interoperability is likely to be found for IaaS cloud services, where functionality is often broadly equivalent and there are a number of standard interfaces, some of which are formally standardized such as the CDMI and others like the OVF being de-facto standards in the marketplace, PaaS and SaaS cloud services have lower levels of interoperability.</w:t>
      </w:r>
      <w:r w:rsidRPr="00774EDB">
        <w:rPr>
          <w:rStyle w:val="FootnoteReference"/>
          <w:rFonts w:ascii="Times New Roman" w:hAnsi="Times New Roman" w:cs="Times New Roman"/>
          <w:sz w:val="24"/>
          <w:szCs w:val="24"/>
        </w:rPr>
        <w:footnoteReference w:id="767"/>
      </w:r>
      <w:r w:rsidRPr="00774EDB">
        <w:rPr>
          <w:rFonts w:ascii="Times New Roman" w:hAnsi="Times New Roman" w:cs="Times New Roman"/>
          <w:sz w:val="24"/>
          <w:szCs w:val="24"/>
        </w:rPr>
        <w:t xml:space="preserve"> Except with these few standard interfaces that ensure interoperability at the infrastructure layer, common standards at the upper layers do not exist in the cloud environment.</w:t>
      </w:r>
      <w:r w:rsidRPr="00774EDB">
        <w:rPr>
          <w:rStyle w:val="FootnoteReference"/>
          <w:rFonts w:ascii="Times New Roman" w:hAnsi="Times New Roman" w:cs="Times New Roman"/>
          <w:sz w:val="24"/>
          <w:szCs w:val="24"/>
        </w:rPr>
        <w:footnoteReference w:id="768"/>
      </w:r>
      <w:r w:rsidRPr="00774EDB">
        <w:rPr>
          <w:rFonts w:ascii="Times New Roman" w:hAnsi="Times New Roman" w:cs="Times New Roman"/>
          <w:sz w:val="24"/>
          <w:szCs w:val="24"/>
        </w:rPr>
        <w:t xml:space="preserve"> Therefore, undertakings may exploit the fact that their customers have been locked into their cloud service and impose the use of their </w:t>
      </w:r>
      <w:r w:rsidRPr="00774EDB">
        <w:rPr>
          <w:rFonts w:ascii="Times New Roman" w:hAnsi="Times New Roman" w:cs="Times New Roman"/>
          <w:sz w:val="24"/>
          <w:szCs w:val="24"/>
        </w:rPr>
        <w:lastRenderedPageBreak/>
        <w:t>own software.</w:t>
      </w:r>
      <w:r w:rsidRPr="00774EDB">
        <w:rPr>
          <w:rStyle w:val="FootnoteReference"/>
          <w:rFonts w:ascii="Times New Roman" w:hAnsi="Times New Roman" w:cs="Times New Roman"/>
          <w:sz w:val="24"/>
          <w:szCs w:val="24"/>
        </w:rPr>
        <w:footnoteReference w:id="769"/>
      </w:r>
      <w:r w:rsidRPr="00774EDB">
        <w:rPr>
          <w:rFonts w:ascii="Times New Roman" w:hAnsi="Times New Roman" w:cs="Times New Roman"/>
          <w:sz w:val="24"/>
          <w:szCs w:val="24"/>
        </w:rPr>
        <w:t xml:space="preserve"> This snapshot of the cloud environment would enable the cloud providers to establish an installed customer base and to heighten the switching costs. In the case of the vendor lock-in scenario, when one cloud customer relying on a PaaS or SaaS wishes to migrate from one provider to another, they would face technical and/or financial challenges resulting from this lack of interoperability. Such challenges primarily relate to the portability of applications, software tools and datasets, although mandated data portability alleviates these problems to an extent.</w:t>
      </w:r>
    </w:p>
    <w:p w14:paraId="637059B8" w14:textId="1E96DB1F" w:rsidR="00966089" w:rsidRPr="00774EDB" w:rsidRDefault="00EF272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Under the GDPR (Article 20) was introduced a new right called the ‘right to data portability’ (RtDP) enabling individual users to move their data across the data controllers.</w:t>
      </w:r>
      <w:r w:rsidRPr="00774EDB">
        <w:rPr>
          <w:rStyle w:val="FootnoteReference"/>
          <w:rFonts w:ascii="Times New Roman" w:hAnsi="Times New Roman" w:cs="Times New Roman"/>
          <w:sz w:val="24"/>
          <w:szCs w:val="24"/>
        </w:rPr>
        <w:footnoteReference w:id="770"/>
      </w:r>
      <w:r w:rsidRPr="00774EDB">
        <w:rPr>
          <w:rFonts w:ascii="Times New Roman" w:hAnsi="Times New Roman" w:cs="Times New Roman"/>
          <w:sz w:val="24"/>
          <w:szCs w:val="24"/>
        </w:rPr>
        <w:t xml:space="preserve"> According to this </w:t>
      </w:r>
      <w:r w:rsidR="007666B8">
        <w:rPr>
          <w:rFonts w:ascii="Times New Roman" w:hAnsi="Times New Roman" w:cs="Times New Roman"/>
          <w:sz w:val="24"/>
          <w:szCs w:val="24"/>
        </w:rPr>
        <w:t>new statutory</w:t>
      </w:r>
      <w:r w:rsidRPr="00774EDB">
        <w:rPr>
          <w:rFonts w:ascii="Times New Roman" w:hAnsi="Times New Roman" w:cs="Times New Roman"/>
          <w:sz w:val="24"/>
          <w:szCs w:val="24"/>
        </w:rPr>
        <w:t xml:space="preserve"> right, data subjects (natural persons) have the right not only to extract their personal data from the cloud provider but also to have that data transferred from one cloud provider to another. However, this right is subject to various limitations. Firstly, the GDPR allows usage of this second part of the RtDP, namely transmission of personal data “</w:t>
      </w:r>
      <w:r w:rsidRPr="00774EDB">
        <w:rPr>
          <w:rFonts w:ascii="Times New Roman" w:hAnsi="Times New Roman" w:cs="Times New Roman"/>
          <w:i/>
          <w:sz w:val="24"/>
          <w:szCs w:val="24"/>
        </w:rPr>
        <w:t>where technically feasible</w:t>
      </w:r>
      <w:r w:rsidRPr="00774EDB">
        <w:rPr>
          <w:rFonts w:ascii="Times New Roman" w:hAnsi="Times New Roman" w:cs="Times New Roman"/>
          <w:sz w:val="24"/>
          <w:szCs w:val="24"/>
        </w:rPr>
        <w:t>” (GDPR, Article 20(2)). Secondly, the RtDP is limited to natural persons and does not cover the data of businesses i.e. regarding management, analytics and marketing, that might be hosted by the cloud providers.</w:t>
      </w:r>
      <w:r w:rsidR="000F1A58" w:rsidRPr="00774EDB">
        <w:rPr>
          <w:rFonts w:ascii="Times New Roman" w:hAnsi="Times New Roman" w:cs="Times New Roman"/>
          <w:sz w:val="24"/>
          <w:szCs w:val="24"/>
        </w:rPr>
        <w:t xml:space="preserve"> </w:t>
      </w:r>
      <w:r w:rsidR="0034506E" w:rsidRPr="00774EDB">
        <w:rPr>
          <w:rFonts w:ascii="Times New Roman" w:hAnsi="Times New Roman" w:cs="Times New Roman"/>
          <w:sz w:val="24"/>
          <w:szCs w:val="24"/>
        </w:rPr>
        <w:t xml:space="preserve"> </w:t>
      </w:r>
    </w:p>
    <w:p w14:paraId="68CB5A13" w14:textId="7610B6E7" w:rsidR="00966089" w:rsidRPr="00774EDB" w:rsidRDefault="00EF272E" w:rsidP="00A70042">
      <w:pPr>
        <w:spacing w:before="360"/>
        <w:jc w:val="both"/>
        <w:rPr>
          <w:rFonts w:ascii="Times New Roman" w:hAnsi="Times New Roman" w:cs="Times New Roman"/>
          <w:sz w:val="24"/>
          <w:szCs w:val="24"/>
        </w:rPr>
      </w:pPr>
      <w:r w:rsidRPr="00A70042">
        <w:rPr>
          <w:rFonts w:ascii="Times New Roman" w:hAnsi="Times New Roman" w:cs="Times New Roman"/>
          <w:spacing w:val="-2"/>
          <w:sz w:val="24"/>
          <w:szCs w:val="24"/>
        </w:rPr>
        <w:t>On the other hand, EU Regulation 2018/1807</w:t>
      </w:r>
      <w:r w:rsidRPr="00A70042">
        <w:rPr>
          <w:rStyle w:val="FootnoteReference"/>
          <w:rFonts w:ascii="Times New Roman" w:hAnsi="Times New Roman" w:cs="Times New Roman"/>
          <w:spacing w:val="-2"/>
          <w:sz w:val="24"/>
          <w:szCs w:val="24"/>
        </w:rPr>
        <w:footnoteReference w:id="771"/>
      </w:r>
      <w:r w:rsidRPr="00A70042">
        <w:rPr>
          <w:rFonts w:ascii="Times New Roman" w:hAnsi="Times New Roman" w:cs="Times New Roman"/>
          <w:spacing w:val="-2"/>
          <w:sz w:val="24"/>
          <w:szCs w:val="24"/>
        </w:rPr>
        <w:t xml:space="preserve"> that was put into force under the DSM initiative, paves the way for the elimination of data portability constraints. Aiming at removal of the obstacles against the free flow of data across the EU, Regulation 2018/1807 adopted a self-regulatory process to ensure the portability of non-personal </w:t>
      </w:r>
      <w:r w:rsidRPr="00A70042">
        <w:rPr>
          <w:rFonts w:ascii="Times New Roman" w:hAnsi="Times New Roman" w:cs="Times New Roman"/>
          <w:spacing w:val="-2"/>
          <w:sz w:val="24"/>
          <w:szCs w:val="24"/>
        </w:rPr>
        <w:lastRenderedPageBreak/>
        <w:t>data,</w:t>
      </w:r>
      <w:r w:rsidRPr="00A70042">
        <w:rPr>
          <w:rStyle w:val="FootnoteReference"/>
          <w:rFonts w:ascii="Times New Roman" w:hAnsi="Times New Roman" w:cs="Times New Roman"/>
          <w:spacing w:val="-2"/>
          <w:sz w:val="24"/>
          <w:szCs w:val="24"/>
        </w:rPr>
        <w:footnoteReference w:id="772"/>
      </w:r>
      <w:r w:rsidRPr="00A70042">
        <w:rPr>
          <w:rFonts w:ascii="Times New Roman" w:hAnsi="Times New Roman" w:cs="Times New Roman"/>
          <w:spacing w:val="-2"/>
          <w:sz w:val="24"/>
          <w:szCs w:val="24"/>
        </w:rPr>
        <w:t xml:space="preserve"> alongside other policy objectives i.e. prevention of data localisation. To that effect, “a principle-based approach that provides for cooperation among Member States, as well as self-regulation” is laid down under the Regulation,</w:t>
      </w:r>
      <w:r w:rsidRPr="00A70042">
        <w:rPr>
          <w:rStyle w:val="FootnoteReference"/>
          <w:rFonts w:ascii="Times New Roman" w:hAnsi="Times New Roman" w:cs="Times New Roman"/>
          <w:spacing w:val="-2"/>
          <w:sz w:val="24"/>
          <w:szCs w:val="24"/>
        </w:rPr>
        <w:footnoteReference w:id="773"/>
      </w:r>
      <w:r w:rsidRPr="00A70042">
        <w:rPr>
          <w:rFonts w:ascii="Times New Roman" w:hAnsi="Times New Roman" w:cs="Times New Roman"/>
          <w:spacing w:val="-2"/>
          <w:sz w:val="24"/>
          <w:szCs w:val="24"/>
        </w:rPr>
        <w:t xml:space="preserve"> whereby the Commission will be monitoring and issuing guidance and evaluation reports throughout the period.</w:t>
      </w:r>
      <w:r w:rsidRPr="00A70042">
        <w:rPr>
          <w:rStyle w:val="FootnoteReference"/>
          <w:rFonts w:ascii="Times New Roman" w:hAnsi="Times New Roman" w:cs="Times New Roman"/>
          <w:spacing w:val="-2"/>
          <w:sz w:val="24"/>
          <w:szCs w:val="24"/>
        </w:rPr>
        <w:footnoteReference w:id="774"/>
      </w:r>
      <w:r w:rsidRPr="00A70042">
        <w:rPr>
          <w:rFonts w:ascii="Times New Roman" w:hAnsi="Times New Roman" w:cs="Times New Roman"/>
          <w:spacing w:val="-2"/>
          <w:sz w:val="24"/>
          <w:szCs w:val="24"/>
        </w:rPr>
        <w:t xml:space="preserve"> In the end it is targeted by means of self-regulatory codes of conduct, so users can port data between cloud service providers and back into their own IT environments.</w:t>
      </w:r>
      <w:r w:rsidRPr="00A70042">
        <w:rPr>
          <w:rStyle w:val="FootnoteReference"/>
          <w:rFonts w:ascii="Times New Roman" w:hAnsi="Times New Roman" w:cs="Times New Roman"/>
          <w:spacing w:val="-2"/>
          <w:sz w:val="24"/>
          <w:szCs w:val="24"/>
        </w:rPr>
        <w:footnoteReference w:id="775"/>
      </w:r>
      <w:r w:rsidRPr="00A70042">
        <w:rPr>
          <w:rFonts w:ascii="Times New Roman" w:hAnsi="Times New Roman" w:cs="Times New Roman"/>
          <w:spacing w:val="-2"/>
          <w:sz w:val="24"/>
          <w:szCs w:val="24"/>
        </w:rPr>
        <w:t xml:space="preserve"> Before the entry into force of this Regulation, major stakeholders like Google, Microsoft, Facebook and Twitter had started to collaborate under an open source project to facilitate data portability between competing services.</w:t>
      </w:r>
      <w:r w:rsidRPr="00A70042">
        <w:rPr>
          <w:rStyle w:val="FootnoteReference"/>
          <w:rFonts w:ascii="Times New Roman" w:hAnsi="Times New Roman" w:cs="Times New Roman"/>
          <w:spacing w:val="-2"/>
          <w:sz w:val="24"/>
          <w:szCs w:val="24"/>
        </w:rPr>
        <w:footnoteReference w:id="776"/>
      </w:r>
      <w:r w:rsidR="007E60E6" w:rsidRPr="00A70042">
        <w:rPr>
          <w:rFonts w:ascii="Times New Roman" w:hAnsi="Times New Roman" w:cs="Times New Roman"/>
          <w:spacing w:val="-2"/>
          <w:sz w:val="24"/>
          <w:szCs w:val="24"/>
        </w:rPr>
        <w:t xml:space="preserve"> </w:t>
      </w:r>
    </w:p>
    <w:p w14:paraId="5C4B7D3E" w14:textId="77777777" w:rsidR="00DA71C6" w:rsidRPr="00774EDB" w:rsidRDefault="00301B5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the light of these recent legislative and industry-led developments, vendor lock-in concerns might be argued to have dispersed thanks to the emerging data portability tools and safeguards. However, such measures aim at portability of ‘data’, not the applications and software tools that are hosted by the clouds. A distinction should be drawn between the data that is subject to data portability measures and the applications and software, including databases, which are not. Applications, including databases, will have their own individual design and structure, be it processes, specific formats, </w:t>
      </w:r>
      <w:r w:rsidRPr="00774EDB">
        <w:rPr>
          <w:rFonts w:ascii="Times New Roman" w:hAnsi="Times New Roman" w:cs="Times New Roman"/>
          <w:sz w:val="24"/>
          <w:szCs w:val="24"/>
        </w:rPr>
        <w:lastRenderedPageBreak/>
        <w:t>behaviours and outputs.</w:t>
      </w:r>
      <w:r w:rsidRPr="00774EDB">
        <w:rPr>
          <w:rStyle w:val="FootnoteReference"/>
          <w:rFonts w:ascii="Times New Roman" w:hAnsi="Times New Roman" w:cs="Times New Roman"/>
          <w:sz w:val="24"/>
          <w:szCs w:val="24"/>
        </w:rPr>
        <w:footnoteReference w:id="777"/>
      </w:r>
      <w:r w:rsidRPr="00774EDB">
        <w:rPr>
          <w:rFonts w:ascii="Times New Roman" w:hAnsi="Times New Roman" w:cs="Times New Roman"/>
          <w:sz w:val="24"/>
          <w:szCs w:val="24"/>
        </w:rPr>
        <w:t xml:space="preserve"> This is what differentiates one from another and a legal move to standardise actual applications might have negative implications for innovation and competition.</w:t>
      </w:r>
      <w:r w:rsidRPr="00774EDB">
        <w:rPr>
          <w:rStyle w:val="FootnoteReference"/>
          <w:rFonts w:ascii="Times New Roman" w:hAnsi="Times New Roman" w:cs="Times New Roman"/>
          <w:sz w:val="24"/>
          <w:szCs w:val="24"/>
        </w:rPr>
        <w:footnoteReference w:id="778"/>
      </w:r>
      <w:r w:rsidRPr="00774EDB">
        <w:rPr>
          <w:rFonts w:ascii="Times New Roman" w:hAnsi="Times New Roman" w:cs="Times New Roman"/>
          <w:sz w:val="24"/>
          <w:szCs w:val="24"/>
        </w:rPr>
        <w:t xml:space="preserve"> On the other hand, the emergent fragility and fragmentation, along with absent common standards, would harm interoperability at the application and/or platform layers, in spite of data portability.</w:t>
      </w:r>
    </w:p>
    <w:p w14:paraId="316F159E" w14:textId="244B8A6A" w:rsidR="0047378E" w:rsidRPr="00774EDB" w:rsidRDefault="00301B5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Against the insufficiency of data portability and standardisation efforts, there might be a need to resort to sector-specific and/or competition law remedies in order to respond to interoperability and accompanying problems. Remarkably, EU legal rules and remedies based on IPR</w:t>
      </w:r>
      <w:r w:rsidR="000A035D">
        <w:rPr>
          <w:rFonts w:ascii="Times New Roman" w:hAnsi="Times New Roman" w:cs="Times New Roman"/>
          <w:sz w:val="24"/>
          <w:szCs w:val="24"/>
        </w:rPr>
        <w:t>,</w:t>
      </w:r>
      <w:r w:rsidRPr="00774EDB">
        <w:rPr>
          <w:rFonts w:ascii="Times New Roman" w:hAnsi="Times New Roman" w:cs="Times New Roman"/>
          <w:sz w:val="24"/>
          <w:szCs w:val="24"/>
        </w:rPr>
        <w:t xml:space="preserve"> and sector-specific and competition laws, have different perspectives to deal with the interoperability problems, including vendor lock-in. That is, invoking interoperability-centric tools would require a background scenario of either an abusive behaviour e.g., refusal to supply, or of an imminent harm to ex</w:t>
      </w:r>
      <w:r w:rsidR="00F17D6F" w:rsidRPr="00774EDB">
        <w:rPr>
          <w:rFonts w:ascii="Times New Roman" w:hAnsi="Times New Roman" w:cs="Times New Roman"/>
          <w:sz w:val="24"/>
          <w:szCs w:val="24"/>
        </w:rPr>
        <w:t xml:space="preserve"> ante </w:t>
      </w:r>
      <w:r w:rsidRPr="00774EDB">
        <w:rPr>
          <w:rFonts w:ascii="Times New Roman" w:hAnsi="Times New Roman" w:cs="Times New Roman"/>
          <w:sz w:val="24"/>
          <w:szCs w:val="24"/>
        </w:rPr>
        <w:t xml:space="preserve">principles or rules i.e. end-to-end connectivity. In the case of such scenarios, </w:t>
      </w:r>
      <w:r w:rsidR="00F17D6F" w:rsidRPr="00774EDB">
        <w:rPr>
          <w:rFonts w:ascii="Times New Roman" w:hAnsi="Times New Roman" w:cs="Times New Roman"/>
          <w:sz w:val="24"/>
          <w:szCs w:val="24"/>
        </w:rPr>
        <w:t xml:space="preserve">available tools and </w:t>
      </w:r>
      <w:r w:rsidRPr="00774EDB">
        <w:rPr>
          <w:rFonts w:ascii="Times New Roman" w:hAnsi="Times New Roman" w:cs="Times New Roman"/>
          <w:sz w:val="24"/>
          <w:szCs w:val="24"/>
        </w:rPr>
        <w:t xml:space="preserve">remedies including data portability measures could </w:t>
      </w:r>
      <w:r w:rsidR="000A035D">
        <w:rPr>
          <w:rFonts w:ascii="Times New Roman" w:hAnsi="Times New Roman" w:cs="Times New Roman"/>
          <w:sz w:val="24"/>
          <w:szCs w:val="24"/>
        </w:rPr>
        <w:t>address</w:t>
      </w:r>
      <w:r w:rsidRPr="00774EDB">
        <w:rPr>
          <w:rFonts w:ascii="Times New Roman" w:hAnsi="Times New Roman" w:cs="Times New Roman"/>
          <w:sz w:val="24"/>
          <w:szCs w:val="24"/>
        </w:rPr>
        <w:t xml:space="preserve"> the potential problems to be confronted in the cloud </w:t>
      </w:r>
      <w:r w:rsidR="00F17D6F" w:rsidRPr="00774EDB">
        <w:rPr>
          <w:rFonts w:ascii="Times New Roman" w:hAnsi="Times New Roman" w:cs="Times New Roman"/>
          <w:sz w:val="24"/>
          <w:szCs w:val="24"/>
        </w:rPr>
        <w:t>environment</w:t>
      </w:r>
      <w:r w:rsidRPr="00774EDB">
        <w:rPr>
          <w:rFonts w:ascii="Times New Roman" w:hAnsi="Times New Roman" w:cs="Times New Roman"/>
          <w:sz w:val="24"/>
          <w:szCs w:val="24"/>
        </w:rPr>
        <w:t>.</w:t>
      </w:r>
    </w:p>
    <w:p w14:paraId="0D9D197B" w14:textId="77777777" w:rsidR="007D2EA6" w:rsidRPr="00774EDB" w:rsidRDefault="00FB08DD" w:rsidP="00A70042">
      <w:pPr>
        <w:pStyle w:val="Heading4"/>
        <w:numPr>
          <w:ilvl w:val="3"/>
          <w:numId w:val="33"/>
        </w:numPr>
        <w:tabs>
          <w:tab w:val="left" w:pos="993"/>
        </w:tabs>
        <w:spacing w:before="360"/>
        <w:ind w:left="0" w:firstLine="0"/>
        <w:jc w:val="both"/>
        <w:rPr>
          <w:rFonts w:ascii="Times New Roman" w:hAnsi="Times New Roman" w:cs="Times New Roman"/>
          <w:b/>
          <w:sz w:val="24"/>
          <w:szCs w:val="24"/>
        </w:rPr>
      </w:pPr>
      <w:bookmarkStart w:id="596" w:name="_Toc17611479"/>
      <w:bookmarkStart w:id="597" w:name="_Toc53576105"/>
      <w:r w:rsidRPr="00774EDB">
        <w:rPr>
          <w:rFonts w:ascii="Times New Roman" w:hAnsi="Times New Roman" w:cs="Times New Roman"/>
          <w:b/>
          <w:i w:val="0"/>
          <w:color w:val="auto"/>
          <w:sz w:val="24"/>
          <w:szCs w:val="24"/>
        </w:rPr>
        <w:t>I</w:t>
      </w:r>
      <w:r w:rsidR="0085147E" w:rsidRPr="00774EDB">
        <w:rPr>
          <w:rFonts w:ascii="Times New Roman" w:hAnsi="Times New Roman" w:cs="Times New Roman"/>
          <w:b/>
          <w:i w:val="0"/>
          <w:color w:val="auto"/>
          <w:sz w:val="24"/>
          <w:szCs w:val="24"/>
        </w:rPr>
        <w:t xml:space="preserve">nteroperability in the </w:t>
      </w:r>
      <w:r w:rsidRPr="00774EDB">
        <w:rPr>
          <w:rFonts w:ascii="Times New Roman" w:hAnsi="Times New Roman" w:cs="Times New Roman"/>
          <w:b/>
          <w:i w:val="0"/>
          <w:color w:val="auto"/>
          <w:sz w:val="24"/>
          <w:szCs w:val="24"/>
        </w:rPr>
        <w:t>cloud ecosystem</w:t>
      </w:r>
      <w:bookmarkEnd w:id="596"/>
      <w:bookmarkEnd w:id="597"/>
    </w:p>
    <w:p w14:paraId="5E3BF4D8" w14:textId="77777777" w:rsidR="00075702" w:rsidRPr="00774EDB" w:rsidRDefault="00847CC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Interoperability, from an industry-specific perspective, is destined to be dealt with through standardisation, in the way the European Commission envisions the picture. This approach could be compared to the narrow-minded approach dedicated to the cloud environment described above. However, an in-depth analysis seems inevitable when one looks at the cloud ecosystem that relies upon the underlying and external </w:t>
      </w:r>
      <w:r w:rsidRPr="00774EDB">
        <w:rPr>
          <w:rFonts w:ascii="Times New Roman" w:hAnsi="Times New Roman" w:cs="Times New Roman"/>
          <w:sz w:val="24"/>
          <w:szCs w:val="24"/>
        </w:rPr>
        <w:lastRenderedPageBreak/>
        <w:t>elements of the broadband and content delivery networks that constitute the access layer and has interlinks with the content value proposition. From this broader point of view, issues regarding interoperability could not be separated from, and need to be analysed with, the associated layers or external elements within the overall ecosystem.</w:t>
      </w:r>
    </w:p>
    <w:p w14:paraId="012B84EA" w14:textId="77777777" w:rsidR="00967697" w:rsidRPr="00774EDB" w:rsidRDefault="00847CC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Here, the interactions between the ecosystem players should be reemphasized as they reframe the collaborative as well as competitive relations between the players. For instance, operators of the access layer, namely CDNs and ISPs, aim to enhance and differentiate their services against the newly emerging IP </w:t>
      </w:r>
      <w:r w:rsidR="00C12307" w:rsidRPr="00774EDB">
        <w:rPr>
          <w:rFonts w:ascii="Times New Roman" w:hAnsi="Times New Roman" w:cs="Times New Roman"/>
          <w:sz w:val="24"/>
          <w:szCs w:val="24"/>
        </w:rPr>
        <w:t>multimedia</w:t>
      </w:r>
      <w:r w:rsidRPr="00774EDB">
        <w:rPr>
          <w:rFonts w:ascii="Times New Roman" w:hAnsi="Times New Roman" w:cs="Times New Roman"/>
          <w:sz w:val="24"/>
          <w:szCs w:val="24"/>
        </w:rPr>
        <w:t xml:space="preserve"> services, which are not heavily regulated and have a closer connection with the end-users. To that effect, both CDN and broadband operators are on the one hand collaborating and/or merging their powers with the content and application providers,</w:t>
      </w:r>
      <w:r w:rsidRPr="00774EDB">
        <w:rPr>
          <w:rStyle w:val="FootnoteReference"/>
          <w:rFonts w:ascii="Times New Roman" w:hAnsi="Times New Roman" w:cs="Times New Roman"/>
          <w:sz w:val="24"/>
          <w:szCs w:val="24"/>
        </w:rPr>
        <w:footnoteReference w:id="779"/>
      </w:r>
      <w:r w:rsidRPr="00774EDB">
        <w:rPr>
          <w:rFonts w:ascii="Times New Roman" w:hAnsi="Times New Roman" w:cs="Times New Roman"/>
          <w:sz w:val="24"/>
          <w:szCs w:val="24"/>
        </w:rPr>
        <w:t xml:space="preserve"> and on the other hand they strive to provide their own virtualisation and platform services, to gain a competitive edge.</w:t>
      </w:r>
      <w:r w:rsidRPr="00774EDB">
        <w:rPr>
          <w:rStyle w:val="FootnoteReference"/>
          <w:rFonts w:ascii="Times New Roman" w:hAnsi="Times New Roman" w:cs="Times New Roman"/>
          <w:sz w:val="24"/>
          <w:szCs w:val="24"/>
        </w:rPr>
        <w:footnoteReference w:id="780"/>
      </w:r>
      <w:r w:rsidRPr="00774EDB">
        <w:rPr>
          <w:rFonts w:ascii="Times New Roman" w:hAnsi="Times New Roman" w:cs="Times New Roman"/>
          <w:sz w:val="24"/>
          <w:szCs w:val="24"/>
        </w:rPr>
        <w:t xml:space="preserve"> To capture more frontiers against their competitors, as well as operating more efficiently, access providers w</w:t>
      </w:r>
      <w:r w:rsidR="00183A4F" w:rsidRPr="00774EDB">
        <w:rPr>
          <w:rFonts w:ascii="Times New Roman" w:hAnsi="Times New Roman" w:cs="Times New Roman"/>
          <w:sz w:val="24"/>
          <w:szCs w:val="24"/>
        </w:rPr>
        <w:t>ould</w:t>
      </w:r>
      <w:r w:rsidRPr="00774EDB">
        <w:rPr>
          <w:rFonts w:ascii="Times New Roman" w:hAnsi="Times New Roman" w:cs="Times New Roman"/>
          <w:sz w:val="24"/>
          <w:szCs w:val="24"/>
        </w:rPr>
        <w:t xml:space="preserve"> attempt further actions</w:t>
      </w:r>
      <w:r w:rsidR="00183A4F" w:rsidRPr="00774EDB">
        <w:rPr>
          <w:rFonts w:ascii="Times New Roman" w:hAnsi="Times New Roman" w:cs="Times New Roman"/>
          <w:sz w:val="24"/>
          <w:szCs w:val="24"/>
        </w:rPr>
        <w:t>, including network slicing.</w:t>
      </w:r>
      <w:r w:rsidRPr="00774EDB">
        <w:rPr>
          <w:rStyle w:val="FootnoteReference"/>
          <w:rFonts w:ascii="Times New Roman" w:hAnsi="Times New Roman" w:cs="Times New Roman"/>
          <w:sz w:val="24"/>
          <w:szCs w:val="24"/>
        </w:rPr>
        <w:footnoteReference w:id="781"/>
      </w:r>
      <w:r w:rsidRPr="00774EDB">
        <w:rPr>
          <w:rFonts w:ascii="Times New Roman" w:hAnsi="Times New Roman" w:cs="Times New Roman"/>
          <w:sz w:val="24"/>
          <w:szCs w:val="24"/>
        </w:rPr>
        <w:t xml:space="preserve"> In its fullest realization of this </w:t>
      </w:r>
      <w:r w:rsidR="00183A4F" w:rsidRPr="00774EDB">
        <w:rPr>
          <w:rFonts w:ascii="Times New Roman" w:hAnsi="Times New Roman" w:cs="Times New Roman"/>
          <w:sz w:val="24"/>
          <w:szCs w:val="24"/>
        </w:rPr>
        <w:t>strategy</w:t>
      </w:r>
      <w:r w:rsidRPr="00774EDB">
        <w:rPr>
          <w:rFonts w:ascii="Times New Roman" w:hAnsi="Times New Roman" w:cs="Times New Roman"/>
          <w:sz w:val="24"/>
          <w:szCs w:val="24"/>
        </w:rPr>
        <w:t>, the ISP can offer multiple tiers of cloud services ranging from wholesale access to core cloud resources i.e. computing, storage, and transport.</w:t>
      </w:r>
      <w:r w:rsidRPr="00774EDB">
        <w:rPr>
          <w:rStyle w:val="FootnoteReference"/>
          <w:rFonts w:ascii="Times New Roman" w:hAnsi="Times New Roman" w:cs="Times New Roman"/>
          <w:sz w:val="24"/>
          <w:szCs w:val="24"/>
        </w:rPr>
        <w:footnoteReference w:id="782"/>
      </w:r>
      <w:r w:rsidRPr="00774EDB">
        <w:rPr>
          <w:rFonts w:ascii="Times New Roman" w:hAnsi="Times New Roman" w:cs="Times New Roman"/>
          <w:sz w:val="24"/>
          <w:szCs w:val="24"/>
        </w:rPr>
        <w:t xml:space="preserve"> Such a scenario could be compared to CDNs deploying their networks to closer areas to the end-user termination points, to gain a favour in their relationship with the ISPs. From a broader viewpoint, CPs’ investments </w:t>
      </w:r>
      <w:r w:rsidRPr="00774EDB">
        <w:rPr>
          <w:rFonts w:ascii="Times New Roman" w:hAnsi="Times New Roman" w:cs="Times New Roman"/>
          <w:sz w:val="24"/>
          <w:szCs w:val="24"/>
        </w:rPr>
        <w:lastRenderedPageBreak/>
        <w:t>into deployment and management of CDNs should be underscored,</w:t>
      </w:r>
      <w:r w:rsidRPr="00774EDB">
        <w:rPr>
          <w:rStyle w:val="FootnoteReference"/>
          <w:rFonts w:ascii="Times New Roman" w:hAnsi="Times New Roman" w:cs="Times New Roman"/>
          <w:sz w:val="24"/>
          <w:szCs w:val="24"/>
        </w:rPr>
        <w:footnoteReference w:id="783"/>
      </w:r>
      <w:r w:rsidRPr="00774EDB">
        <w:rPr>
          <w:rFonts w:ascii="Times New Roman" w:hAnsi="Times New Roman" w:cs="Times New Roman"/>
          <w:sz w:val="24"/>
          <w:szCs w:val="24"/>
        </w:rPr>
        <w:t xml:space="preserve"> albeit with the difficulty for them to have a comparable coverage with CDNs.</w:t>
      </w:r>
      <w:r w:rsidR="00967697" w:rsidRPr="00774EDB">
        <w:rPr>
          <w:rFonts w:ascii="Times New Roman" w:hAnsi="Times New Roman" w:cs="Times New Roman"/>
          <w:sz w:val="24"/>
          <w:szCs w:val="24"/>
        </w:rPr>
        <w:t xml:space="preserve"> All these facts while demonstrating the natural, technical and territorial limitations of each ICT players, also denote the very ecosystem where the players do rely on myriad interactions between each other, mostly characterised with multiple equilibria. </w:t>
      </w:r>
    </w:p>
    <w:p w14:paraId="17AF3B90" w14:textId="5350B44F" w:rsidR="00352AB3" w:rsidRPr="00774EDB" w:rsidRDefault="00DD0A2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Under these circumstances, we are confronted with the term ‘coopetition’, which is depicted as to comprise cooperation and competition between competitors at the same time.</w:t>
      </w:r>
      <w:r w:rsidRPr="00774EDB">
        <w:rPr>
          <w:rStyle w:val="FootnoteReference"/>
          <w:rFonts w:ascii="Times New Roman" w:hAnsi="Times New Roman" w:cs="Times New Roman"/>
          <w:sz w:val="24"/>
          <w:szCs w:val="24"/>
        </w:rPr>
        <w:footnoteReference w:id="784"/>
      </w:r>
      <w:r w:rsidRPr="00774EDB">
        <w:rPr>
          <w:rFonts w:ascii="Times New Roman" w:hAnsi="Times New Roman" w:cs="Times New Roman"/>
          <w:sz w:val="24"/>
          <w:szCs w:val="24"/>
        </w:rPr>
        <w:t xml:space="preserve"> This term suggests no serious contradiction between competition and collaboration, but an enriched relationship built on both. According to this idea, as theorised by Adam M. Brandenburger and Barry J. Nalebuff, in order for the firms to have a sustainable development, they need to collaborate with other firms and organizations, including competitors, to address social, environmental, and economic needs.</w:t>
      </w:r>
      <w:r w:rsidRPr="00774EDB">
        <w:rPr>
          <w:rStyle w:val="FootnoteReference"/>
          <w:rFonts w:ascii="Times New Roman" w:hAnsi="Times New Roman" w:cs="Times New Roman"/>
          <w:sz w:val="24"/>
          <w:szCs w:val="24"/>
        </w:rPr>
        <w:footnoteReference w:id="785"/>
      </w:r>
      <w:r w:rsidRPr="00774EDB">
        <w:rPr>
          <w:rFonts w:ascii="Times New Roman" w:hAnsi="Times New Roman" w:cs="Times New Roman"/>
          <w:sz w:val="24"/>
          <w:szCs w:val="24"/>
        </w:rPr>
        <w:t xml:space="preserve"> Co</w:t>
      </w:r>
      <w:r w:rsidR="00CA2DCB" w:rsidRPr="00774EDB">
        <w:rPr>
          <w:rFonts w:ascii="Times New Roman" w:hAnsi="Times New Roman" w:cs="Times New Roman"/>
          <w:sz w:val="24"/>
          <w:szCs w:val="24"/>
        </w:rPr>
        <w:t>o</w:t>
      </w:r>
      <w:r w:rsidRPr="00774EDB">
        <w:rPr>
          <w:rFonts w:ascii="Times New Roman" w:hAnsi="Times New Roman" w:cs="Times New Roman"/>
          <w:sz w:val="24"/>
          <w:szCs w:val="24"/>
        </w:rPr>
        <w:t>petition is rapidly becoming a key success factor for enterprises operating in the contemporary business world, along with an increased importance in parallel with the globalization process.</w:t>
      </w:r>
      <w:r w:rsidRPr="00774EDB">
        <w:rPr>
          <w:rStyle w:val="FootnoteReference"/>
          <w:rFonts w:ascii="Times New Roman" w:hAnsi="Times New Roman" w:cs="Times New Roman"/>
          <w:sz w:val="24"/>
          <w:szCs w:val="24"/>
        </w:rPr>
        <w:footnoteReference w:id="786"/>
      </w:r>
      <w:r w:rsidRPr="00774EDB">
        <w:rPr>
          <w:rFonts w:ascii="Times New Roman" w:hAnsi="Times New Roman" w:cs="Times New Roman"/>
          <w:sz w:val="24"/>
          <w:szCs w:val="24"/>
        </w:rPr>
        <w:t xml:space="preserve"> This snapshot of ‘coopetition’ well matches with the cloud ecosystem which could be compared to broader ICT settings.</w:t>
      </w:r>
      <w:r w:rsidR="001D27E9">
        <w:rPr>
          <w:rStyle w:val="FootnoteReference"/>
          <w:rFonts w:ascii="Times New Roman" w:hAnsi="Times New Roman" w:cs="Times New Roman"/>
          <w:sz w:val="24"/>
          <w:szCs w:val="24"/>
        </w:rPr>
        <w:footnoteReference w:id="787"/>
      </w:r>
      <w:r w:rsidRPr="00774EDB">
        <w:rPr>
          <w:rFonts w:ascii="Times New Roman" w:hAnsi="Times New Roman" w:cs="Times New Roman"/>
          <w:sz w:val="24"/>
          <w:szCs w:val="24"/>
        </w:rPr>
        <w:t xml:space="preserve"> </w:t>
      </w:r>
      <w:r w:rsidR="0028435F" w:rsidRPr="00774EDB">
        <w:rPr>
          <w:rFonts w:ascii="Times New Roman" w:hAnsi="Times New Roman" w:cs="Times New Roman"/>
          <w:sz w:val="24"/>
          <w:szCs w:val="24"/>
        </w:rPr>
        <w:t>From this</w:t>
      </w:r>
      <w:r w:rsidRPr="00774EDB">
        <w:rPr>
          <w:rFonts w:ascii="Times New Roman" w:hAnsi="Times New Roman" w:cs="Times New Roman"/>
          <w:sz w:val="24"/>
          <w:szCs w:val="24"/>
        </w:rPr>
        <w:t xml:space="preserve"> </w:t>
      </w:r>
      <w:r w:rsidR="0028435F" w:rsidRPr="00774EDB">
        <w:rPr>
          <w:rFonts w:ascii="Times New Roman" w:hAnsi="Times New Roman" w:cs="Times New Roman"/>
          <w:sz w:val="24"/>
          <w:szCs w:val="24"/>
        </w:rPr>
        <w:lastRenderedPageBreak/>
        <w:t>viewpoint</w:t>
      </w:r>
      <w:r w:rsidRPr="00774EDB">
        <w:rPr>
          <w:rFonts w:ascii="Times New Roman" w:hAnsi="Times New Roman" w:cs="Times New Roman"/>
          <w:sz w:val="24"/>
          <w:szCs w:val="24"/>
        </w:rPr>
        <w:t xml:space="preserve">, ‘complementarity’ or ‘substitutability’ are destined to be replaced with broader and more complex relationships, coupled with multi-layered interdependencies. Against the cross-layer interactions, </w:t>
      </w:r>
      <w:r w:rsidR="0028435F" w:rsidRPr="00774EDB">
        <w:rPr>
          <w:rFonts w:ascii="Times New Roman" w:hAnsi="Times New Roman" w:cs="Times New Roman"/>
          <w:sz w:val="24"/>
          <w:szCs w:val="24"/>
        </w:rPr>
        <w:t>it would be highly questionable to pursue market-</w:t>
      </w:r>
      <w:r w:rsidR="009F349E" w:rsidRPr="00774EDB">
        <w:rPr>
          <w:rFonts w:ascii="Times New Roman" w:hAnsi="Times New Roman" w:cs="Times New Roman"/>
          <w:sz w:val="24"/>
          <w:szCs w:val="24"/>
        </w:rPr>
        <w:t>centric</w:t>
      </w:r>
      <w:r w:rsidR="0028435F" w:rsidRPr="00774EDB">
        <w:rPr>
          <w:rFonts w:ascii="Times New Roman" w:hAnsi="Times New Roman" w:cs="Times New Roman"/>
          <w:sz w:val="24"/>
          <w:szCs w:val="24"/>
        </w:rPr>
        <w:t xml:space="preserve"> approach, </w:t>
      </w:r>
      <w:r w:rsidR="009F349E" w:rsidRPr="00774EDB">
        <w:rPr>
          <w:rFonts w:ascii="Times New Roman" w:hAnsi="Times New Roman" w:cs="Times New Roman"/>
          <w:sz w:val="24"/>
          <w:szCs w:val="24"/>
        </w:rPr>
        <w:t>particular</w:t>
      </w:r>
      <w:r w:rsidR="0028435F" w:rsidRPr="00774EDB">
        <w:rPr>
          <w:rFonts w:ascii="Times New Roman" w:hAnsi="Times New Roman" w:cs="Times New Roman"/>
          <w:sz w:val="24"/>
          <w:szCs w:val="24"/>
        </w:rPr>
        <w:t xml:space="preserve">ly </w:t>
      </w:r>
      <w:r w:rsidR="009F349E" w:rsidRPr="00774EDB">
        <w:rPr>
          <w:rFonts w:ascii="Times New Roman" w:hAnsi="Times New Roman" w:cs="Times New Roman"/>
          <w:sz w:val="24"/>
          <w:szCs w:val="24"/>
        </w:rPr>
        <w:t xml:space="preserve">based on </w:t>
      </w:r>
      <w:r w:rsidR="0028435F" w:rsidRPr="00774EDB">
        <w:rPr>
          <w:rFonts w:ascii="Times New Roman" w:hAnsi="Times New Roman" w:cs="Times New Roman"/>
          <w:sz w:val="24"/>
          <w:szCs w:val="24"/>
        </w:rPr>
        <w:t>predefined markets and potential remedies to be imposed on dominant (SMP) players. Along the same lines</w:t>
      </w:r>
      <w:r w:rsidRPr="00774EDB">
        <w:rPr>
          <w:rFonts w:ascii="Times New Roman" w:hAnsi="Times New Roman" w:cs="Times New Roman"/>
          <w:sz w:val="24"/>
          <w:szCs w:val="24"/>
        </w:rPr>
        <w:t xml:space="preserve">, conventional tests to measure the elasticity of demand and supply in the relevant settings </w:t>
      </w:r>
      <w:r w:rsidR="009F349E" w:rsidRPr="00774EDB">
        <w:rPr>
          <w:rFonts w:ascii="Times New Roman" w:hAnsi="Times New Roman" w:cs="Times New Roman"/>
          <w:sz w:val="24"/>
          <w:szCs w:val="24"/>
        </w:rPr>
        <w:t>potentially</w:t>
      </w:r>
      <w:r w:rsidRPr="00774EDB">
        <w:rPr>
          <w:rFonts w:ascii="Times New Roman" w:hAnsi="Times New Roman" w:cs="Times New Roman"/>
          <w:sz w:val="24"/>
          <w:szCs w:val="24"/>
        </w:rPr>
        <w:t xml:space="preserve"> lose their </w:t>
      </w:r>
      <w:r w:rsidR="009F349E" w:rsidRPr="00774EDB">
        <w:rPr>
          <w:rFonts w:ascii="Times New Roman" w:hAnsi="Times New Roman" w:cs="Times New Roman"/>
          <w:sz w:val="24"/>
          <w:szCs w:val="24"/>
        </w:rPr>
        <w:t>ground</w:t>
      </w:r>
      <w:r w:rsidRPr="00774EDB">
        <w:rPr>
          <w:rFonts w:ascii="Times New Roman" w:hAnsi="Times New Roman" w:cs="Times New Roman"/>
          <w:sz w:val="24"/>
          <w:szCs w:val="24"/>
        </w:rPr>
        <w:t xml:space="preserve"> in defining the competitive relationships between the ICT players</w:t>
      </w:r>
      <w:r w:rsidR="009F349E" w:rsidRPr="00774EDB">
        <w:rPr>
          <w:rFonts w:ascii="Times New Roman" w:hAnsi="Times New Roman" w:cs="Times New Roman"/>
          <w:sz w:val="24"/>
          <w:szCs w:val="24"/>
        </w:rPr>
        <w:t xml:space="preserve"> against the overarching interdependencies</w:t>
      </w:r>
      <w:r w:rsidRPr="00774EDB">
        <w:rPr>
          <w:rFonts w:ascii="Times New Roman" w:hAnsi="Times New Roman" w:cs="Times New Roman"/>
          <w:sz w:val="24"/>
          <w:szCs w:val="24"/>
        </w:rPr>
        <w:t>.</w:t>
      </w:r>
      <w:r w:rsidR="001167DF" w:rsidRPr="00774EDB">
        <w:rPr>
          <w:rFonts w:ascii="Times New Roman" w:hAnsi="Times New Roman" w:cs="Times New Roman"/>
          <w:sz w:val="24"/>
          <w:szCs w:val="24"/>
        </w:rPr>
        <w:t xml:space="preserve"> </w:t>
      </w:r>
    </w:p>
    <w:p w14:paraId="38A151B3" w14:textId="1F3FFC0B" w:rsidR="00966089" w:rsidRPr="00774EDB" w:rsidRDefault="009F349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Crucially, interoperability stands out as one of the threads for the</w:t>
      </w:r>
      <w:r w:rsidR="00021426" w:rsidRPr="00774EDB">
        <w:rPr>
          <w:rFonts w:ascii="Times New Roman" w:hAnsi="Times New Roman" w:cs="Times New Roman"/>
          <w:sz w:val="24"/>
          <w:szCs w:val="24"/>
        </w:rPr>
        <w:t xml:space="preserve"> coopetitive</w:t>
      </w:r>
      <w:r w:rsidRPr="00774EDB">
        <w:rPr>
          <w:rFonts w:ascii="Times New Roman" w:hAnsi="Times New Roman" w:cs="Times New Roman"/>
          <w:sz w:val="24"/>
          <w:szCs w:val="24"/>
        </w:rPr>
        <w:t xml:space="preserve"> relationships in the ecosystem context. Closely related to the interdependencies, interoperability would come about as part of the overall strategies of ecosystem players, including cloud providers. While one could comprehend intra or inter-cloud interoperability on the basis of standards, consortia, etc., these relationships changing into complex interdependencies in the ecosystem makes </w:t>
      </w:r>
      <w:r w:rsidR="006E75A6" w:rsidRPr="00774EDB">
        <w:rPr>
          <w:rFonts w:ascii="Times New Roman" w:hAnsi="Times New Roman" w:cs="Times New Roman"/>
          <w:sz w:val="24"/>
          <w:szCs w:val="24"/>
        </w:rPr>
        <w:t xml:space="preserve">any regulatory </w:t>
      </w:r>
      <w:r w:rsidRPr="00774EDB">
        <w:rPr>
          <w:rFonts w:ascii="Times New Roman" w:hAnsi="Times New Roman" w:cs="Times New Roman"/>
          <w:sz w:val="24"/>
          <w:szCs w:val="24"/>
        </w:rPr>
        <w:t>process much harder. In an era when the defined markets become outdated and blurred, lack of interoperability and accompanying problems i.e. vendor lock-in or other</w:t>
      </w:r>
      <w:r w:rsidR="00183A4F" w:rsidRPr="00774EDB">
        <w:rPr>
          <w:rFonts w:ascii="Times New Roman" w:hAnsi="Times New Roman" w:cs="Times New Roman"/>
          <w:sz w:val="24"/>
          <w:szCs w:val="24"/>
        </w:rPr>
        <w:t xml:space="preserve"> related</w:t>
      </w:r>
      <w:r w:rsidRPr="00774EDB">
        <w:rPr>
          <w:rFonts w:ascii="Times New Roman" w:hAnsi="Times New Roman" w:cs="Times New Roman"/>
          <w:sz w:val="24"/>
          <w:szCs w:val="24"/>
        </w:rPr>
        <w:t xml:space="preserve"> issues i.e. efficiencies, would not be easily attached to certain market(s) and/or harm theories. In this light, a possible solution for the lack of interoperability from the conventional legal perspectives might be patchy and narrow-minded. Given this fact, an ecosystem-based approach seems persuasive for interoperability and its accompanying problems, across the interdependent layers and players. </w:t>
      </w:r>
      <w:r w:rsidR="00655F55" w:rsidRPr="00774EDB">
        <w:rPr>
          <w:rFonts w:ascii="Times New Roman" w:hAnsi="Times New Roman" w:cs="Times New Roman"/>
          <w:sz w:val="24"/>
          <w:szCs w:val="24"/>
        </w:rPr>
        <w:t xml:space="preserve">  </w:t>
      </w:r>
    </w:p>
    <w:p w14:paraId="1FC81719" w14:textId="77777777" w:rsidR="005C03C5" w:rsidRPr="00774EDB" w:rsidRDefault="0043005E" w:rsidP="00A70042">
      <w:pPr>
        <w:pStyle w:val="Heading3"/>
        <w:numPr>
          <w:ilvl w:val="2"/>
          <w:numId w:val="33"/>
        </w:numPr>
        <w:spacing w:before="360"/>
        <w:ind w:left="0" w:firstLine="0"/>
        <w:jc w:val="both"/>
        <w:rPr>
          <w:rFonts w:ascii="Times New Roman" w:hAnsi="Times New Roman" w:cs="Times New Roman"/>
          <w:b/>
          <w:color w:val="auto"/>
        </w:rPr>
      </w:pPr>
      <w:bookmarkStart w:id="599" w:name="_Toc17611480"/>
      <w:bookmarkStart w:id="600" w:name="_Toc53576106"/>
      <w:r w:rsidRPr="00774EDB">
        <w:rPr>
          <w:rFonts w:ascii="Times New Roman" w:hAnsi="Times New Roman" w:cs="Times New Roman"/>
          <w:b/>
          <w:color w:val="auto"/>
        </w:rPr>
        <w:lastRenderedPageBreak/>
        <w:t>Analysis of cloud settings</w:t>
      </w:r>
      <w:r w:rsidR="005C03C5" w:rsidRPr="00774EDB">
        <w:rPr>
          <w:rFonts w:ascii="Times New Roman" w:hAnsi="Times New Roman" w:cs="Times New Roman"/>
          <w:b/>
          <w:color w:val="auto"/>
        </w:rPr>
        <w:t xml:space="preserve"> </w:t>
      </w:r>
      <w:r w:rsidRPr="00774EDB">
        <w:rPr>
          <w:rFonts w:ascii="Times New Roman" w:hAnsi="Times New Roman" w:cs="Times New Roman"/>
          <w:b/>
          <w:color w:val="auto"/>
        </w:rPr>
        <w:t xml:space="preserve">under </w:t>
      </w:r>
      <w:r w:rsidR="00E76162" w:rsidRPr="00774EDB">
        <w:rPr>
          <w:rFonts w:ascii="Times New Roman" w:hAnsi="Times New Roman" w:cs="Times New Roman"/>
          <w:b/>
          <w:color w:val="auto"/>
        </w:rPr>
        <w:t xml:space="preserve">the </w:t>
      </w:r>
      <w:r w:rsidRPr="00774EDB">
        <w:rPr>
          <w:rFonts w:ascii="Times New Roman" w:hAnsi="Times New Roman" w:cs="Times New Roman"/>
          <w:b/>
          <w:color w:val="auto"/>
        </w:rPr>
        <w:t>EU legal framework</w:t>
      </w:r>
      <w:bookmarkEnd w:id="599"/>
      <w:bookmarkEnd w:id="600"/>
      <w:r w:rsidR="005C03C5" w:rsidRPr="00774EDB">
        <w:rPr>
          <w:rFonts w:ascii="Times New Roman" w:hAnsi="Times New Roman" w:cs="Times New Roman"/>
          <w:b/>
          <w:color w:val="auto"/>
        </w:rPr>
        <w:t xml:space="preserve"> </w:t>
      </w:r>
    </w:p>
    <w:p w14:paraId="1A9A9E4A" w14:textId="2E16F311" w:rsidR="00CB6087" w:rsidRPr="00774EDB" w:rsidRDefault="00E7616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Against the background information above, it is apparent that interoperability could not be singled out as a self-standing problem, but rather needs to be analysed along with other dynamics of the cloud settings. Having said that, based on the narrow and broad settings analysed above of the cloud environment and cloud ecosystem, the evaluation of several parameters i.e. interdependencies, complementarity and substitution, competition, cloud management, interoperability and standardisation is reflected in the table below.</w:t>
      </w:r>
    </w:p>
    <w:p w14:paraId="38B743FE" w14:textId="41779E41" w:rsidR="00CB6087" w:rsidRPr="00A70042" w:rsidRDefault="003260EA" w:rsidP="00A70042">
      <w:pPr>
        <w:spacing w:before="360"/>
        <w:jc w:val="both"/>
        <w:outlineLvl w:val="8"/>
        <w:rPr>
          <w:rFonts w:ascii="Times New Roman" w:hAnsi="Times New Roman" w:cs="Times New Roman"/>
          <w:sz w:val="24"/>
          <w:szCs w:val="24"/>
        </w:rPr>
      </w:pPr>
      <w:bookmarkStart w:id="601" w:name="_Toc17613622"/>
      <w:r w:rsidRPr="00A70042">
        <w:rPr>
          <w:rFonts w:ascii="Times New Roman" w:hAnsi="Times New Roman" w:cs="Times New Roman"/>
          <w:b/>
          <w:bCs/>
          <w:sz w:val="24"/>
          <w:szCs w:val="24"/>
        </w:rPr>
        <w:t>Table</w:t>
      </w:r>
      <w:r w:rsidR="003A5A9E" w:rsidRPr="00A70042">
        <w:rPr>
          <w:rFonts w:ascii="Times New Roman" w:hAnsi="Times New Roman" w:cs="Times New Roman"/>
          <w:b/>
          <w:bCs/>
          <w:sz w:val="24"/>
          <w:szCs w:val="24"/>
        </w:rPr>
        <w:t xml:space="preserve"> </w:t>
      </w:r>
      <w:r w:rsidRPr="00A70042">
        <w:rPr>
          <w:rFonts w:ascii="Times New Roman" w:hAnsi="Times New Roman" w:cs="Times New Roman"/>
          <w:b/>
          <w:bCs/>
          <w:sz w:val="24"/>
          <w:szCs w:val="24"/>
        </w:rPr>
        <w:t>1:</w:t>
      </w:r>
      <w:r w:rsidRPr="00A70042">
        <w:rPr>
          <w:rFonts w:ascii="Times New Roman" w:hAnsi="Times New Roman" w:cs="Times New Roman"/>
          <w:sz w:val="24"/>
          <w:szCs w:val="24"/>
        </w:rPr>
        <w:t xml:space="preserve"> Evaluation of parameters for cloud settings</w:t>
      </w:r>
      <w:bookmarkEnd w:id="601"/>
    </w:p>
    <w:tbl>
      <w:tblPr>
        <w:tblStyle w:val="TableGrid"/>
        <w:tblpPr w:leftFromText="180" w:rightFromText="180" w:vertAnchor="text" w:tblpXSpec="center" w:tblpY="1"/>
        <w:tblOverlap w:val="never"/>
        <w:tblW w:w="5000" w:type="pct"/>
        <w:tblLook w:val="04A0" w:firstRow="1" w:lastRow="0" w:firstColumn="1" w:lastColumn="0" w:noHBand="0" w:noVBand="1"/>
      </w:tblPr>
      <w:tblGrid>
        <w:gridCol w:w="1980"/>
        <w:gridCol w:w="2836"/>
        <w:gridCol w:w="3394"/>
      </w:tblGrid>
      <w:tr w:rsidR="002018D2" w:rsidRPr="00774EDB" w14:paraId="4474387C" w14:textId="77777777" w:rsidTr="00A70042">
        <w:tc>
          <w:tcPr>
            <w:tcW w:w="1206" w:type="pct"/>
          </w:tcPr>
          <w:p w14:paraId="69B82935" w14:textId="77777777" w:rsidR="002018D2" w:rsidRPr="00774EDB" w:rsidRDefault="008F41A9" w:rsidP="00A70042">
            <w:pPr>
              <w:spacing w:before="120"/>
              <w:jc w:val="both"/>
              <w:rPr>
                <w:rFonts w:ascii="Times New Roman" w:hAnsi="Times New Roman" w:cs="Times New Roman"/>
                <w:b/>
                <w:sz w:val="24"/>
                <w:szCs w:val="24"/>
              </w:rPr>
            </w:pPr>
            <w:r w:rsidRPr="00774EDB">
              <w:rPr>
                <w:rFonts w:ascii="Times New Roman" w:hAnsi="Times New Roman" w:cs="Times New Roman"/>
                <w:b/>
                <w:sz w:val="24"/>
                <w:szCs w:val="24"/>
              </w:rPr>
              <w:t>Parameters</w:t>
            </w:r>
          </w:p>
        </w:tc>
        <w:tc>
          <w:tcPr>
            <w:tcW w:w="1727" w:type="pct"/>
            <w:vAlign w:val="center"/>
          </w:tcPr>
          <w:p w14:paraId="5911D076" w14:textId="77777777" w:rsidR="002018D2" w:rsidRPr="00774EDB" w:rsidRDefault="002018D2" w:rsidP="00A70042">
            <w:pPr>
              <w:spacing w:before="120"/>
              <w:rPr>
                <w:rFonts w:ascii="Times New Roman" w:hAnsi="Times New Roman" w:cs="Times New Roman"/>
                <w:b/>
                <w:sz w:val="24"/>
                <w:szCs w:val="24"/>
              </w:rPr>
            </w:pPr>
            <w:r w:rsidRPr="00774EDB">
              <w:rPr>
                <w:rFonts w:ascii="Times New Roman" w:hAnsi="Times New Roman" w:cs="Times New Roman"/>
                <w:b/>
                <w:sz w:val="24"/>
                <w:szCs w:val="24"/>
              </w:rPr>
              <w:t xml:space="preserve">Cloud </w:t>
            </w:r>
            <w:r w:rsidR="00B67753" w:rsidRPr="00774EDB">
              <w:rPr>
                <w:rFonts w:ascii="Times New Roman" w:hAnsi="Times New Roman" w:cs="Times New Roman"/>
                <w:b/>
                <w:sz w:val="24"/>
                <w:szCs w:val="24"/>
              </w:rPr>
              <w:t>environment</w:t>
            </w:r>
            <w:r w:rsidRPr="00774EDB">
              <w:rPr>
                <w:rFonts w:ascii="Times New Roman" w:hAnsi="Times New Roman" w:cs="Times New Roman"/>
                <w:b/>
                <w:sz w:val="24"/>
                <w:szCs w:val="24"/>
              </w:rPr>
              <w:t xml:space="preserve"> (internal elements)</w:t>
            </w:r>
          </w:p>
        </w:tc>
        <w:tc>
          <w:tcPr>
            <w:tcW w:w="2068" w:type="pct"/>
          </w:tcPr>
          <w:p w14:paraId="1B772286" w14:textId="77777777" w:rsidR="002018D2" w:rsidRPr="00774EDB" w:rsidRDefault="002018D2" w:rsidP="00A70042">
            <w:pPr>
              <w:spacing w:before="120"/>
              <w:jc w:val="both"/>
              <w:rPr>
                <w:rFonts w:ascii="Times New Roman" w:hAnsi="Times New Roman" w:cs="Times New Roman"/>
                <w:b/>
                <w:sz w:val="24"/>
                <w:szCs w:val="24"/>
              </w:rPr>
            </w:pPr>
            <w:r w:rsidRPr="00774EDB">
              <w:rPr>
                <w:rFonts w:ascii="Times New Roman" w:hAnsi="Times New Roman" w:cs="Times New Roman"/>
                <w:b/>
                <w:sz w:val="24"/>
                <w:szCs w:val="24"/>
              </w:rPr>
              <w:t>Cloud ecosystem (both internal and external elements)</w:t>
            </w:r>
          </w:p>
        </w:tc>
      </w:tr>
      <w:tr w:rsidR="002018D2" w:rsidRPr="00774EDB" w14:paraId="0D1CFD78" w14:textId="77777777" w:rsidTr="00A70042">
        <w:tc>
          <w:tcPr>
            <w:tcW w:w="1206" w:type="pct"/>
            <w:vAlign w:val="center"/>
          </w:tcPr>
          <w:p w14:paraId="39A7C3AA" w14:textId="77777777" w:rsidR="002018D2" w:rsidRPr="00774EDB" w:rsidRDefault="002F271D" w:rsidP="00A70042">
            <w:pPr>
              <w:spacing w:before="120"/>
              <w:rPr>
                <w:rFonts w:ascii="Times New Roman" w:hAnsi="Times New Roman" w:cs="Times New Roman"/>
                <w:sz w:val="24"/>
                <w:szCs w:val="24"/>
              </w:rPr>
            </w:pPr>
            <w:r w:rsidRPr="00774EDB">
              <w:rPr>
                <w:rFonts w:ascii="Times New Roman" w:hAnsi="Times New Roman" w:cs="Times New Roman"/>
                <w:sz w:val="24"/>
                <w:szCs w:val="24"/>
              </w:rPr>
              <w:t>Interdependencies</w:t>
            </w:r>
          </w:p>
        </w:tc>
        <w:tc>
          <w:tcPr>
            <w:tcW w:w="1727" w:type="pct"/>
            <w:vAlign w:val="center"/>
          </w:tcPr>
          <w:p w14:paraId="740A29B2" w14:textId="77777777" w:rsidR="002018D2" w:rsidRPr="00774EDB" w:rsidRDefault="002018D2" w:rsidP="00A70042">
            <w:pPr>
              <w:spacing w:before="120"/>
              <w:rPr>
                <w:rFonts w:ascii="Times New Roman" w:hAnsi="Times New Roman" w:cs="Times New Roman"/>
                <w:sz w:val="24"/>
                <w:szCs w:val="24"/>
              </w:rPr>
            </w:pPr>
            <w:r w:rsidRPr="00774EDB">
              <w:rPr>
                <w:rFonts w:ascii="Times New Roman" w:hAnsi="Times New Roman" w:cs="Times New Roman"/>
                <w:sz w:val="24"/>
                <w:szCs w:val="24"/>
              </w:rPr>
              <w:t xml:space="preserve">Interdependencies </w:t>
            </w:r>
            <w:r w:rsidR="000A58E4" w:rsidRPr="00774EDB">
              <w:rPr>
                <w:rFonts w:ascii="Times New Roman" w:hAnsi="Times New Roman" w:cs="Times New Roman"/>
                <w:sz w:val="24"/>
                <w:szCs w:val="24"/>
              </w:rPr>
              <w:t xml:space="preserve">are </w:t>
            </w:r>
            <w:r w:rsidRPr="00774EDB">
              <w:rPr>
                <w:rFonts w:ascii="Times New Roman" w:hAnsi="Times New Roman" w:cs="Times New Roman"/>
                <w:sz w:val="24"/>
                <w:szCs w:val="24"/>
              </w:rPr>
              <w:t>limited</w:t>
            </w:r>
            <w:r w:rsidR="00E76162" w:rsidRPr="00774EDB">
              <w:rPr>
                <w:rFonts w:ascii="Times New Roman" w:hAnsi="Times New Roman" w:cs="Times New Roman"/>
                <w:sz w:val="24"/>
                <w:szCs w:val="24"/>
              </w:rPr>
              <w:t>,</w:t>
            </w:r>
            <w:r w:rsidR="004E6034" w:rsidRPr="00774EDB">
              <w:rPr>
                <w:rFonts w:ascii="Times New Roman" w:hAnsi="Times New Roman" w:cs="Times New Roman"/>
                <w:sz w:val="24"/>
                <w:szCs w:val="24"/>
              </w:rPr>
              <w:t xml:space="preserve"> with the internal elements </w:t>
            </w:r>
            <w:r w:rsidR="000A58E4" w:rsidRPr="00774EDB">
              <w:rPr>
                <w:rFonts w:ascii="Times New Roman" w:hAnsi="Times New Roman" w:cs="Times New Roman"/>
                <w:sz w:val="24"/>
                <w:szCs w:val="24"/>
              </w:rPr>
              <w:t>being</w:t>
            </w:r>
            <w:r w:rsidR="004E6034" w:rsidRPr="00774EDB">
              <w:rPr>
                <w:rFonts w:ascii="Times New Roman" w:hAnsi="Times New Roman" w:cs="Times New Roman"/>
                <w:sz w:val="24"/>
                <w:szCs w:val="24"/>
              </w:rPr>
              <w:t xml:space="preserve"> governed by the cloud provider</w:t>
            </w:r>
          </w:p>
        </w:tc>
        <w:tc>
          <w:tcPr>
            <w:tcW w:w="2068" w:type="pct"/>
            <w:vAlign w:val="center"/>
          </w:tcPr>
          <w:p w14:paraId="44EE82CE" w14:textId="77777777" w:rsidR="002018D2" w:rsidRPr="00774EDB" w:rsidRDefault="004E6034" w:rsidP="00A70042">
            <w:pPr>
              <w:spacing w:before="120"/>
              <w:rPr>
                <w:rFonts w:ascii="Times New Roman" w:hAnsi="Times New Roman" w:cs="Times New Roman"/>
                <w:sz w:val="24"/>
                <w:szCs w:val="24"/>
              </w:rPr>
            </w:pPr>
            <w:r w:rsidRPr="00774EDB">
              <w:rPr>
                <w:rFonts w:ascii="Times New Roman" w:hAnsi="Times New Roman" w:cs="Times New Roman"/>
                <w:sz w:val="24"/>
                <w:szCs w:val="24"/>
              </w:rPr>
              <w:t xml:space="preserve">Interdependencies turn out to have a core </w:t>
            </w:r>
            <w:r w:rsidR="000A58E4" w:rsidRPr="00774EDB">
              <w:rPr>
                <w:rFonts w:ascii="Times New Roman" w:hAnsi="Times New Roman" w:cs="Times New Roman"/>
                <w:sz w:val="24"/>
                <w:szCs w:val="24"/>
              </w:rPr>
              <w:t xml:space="preserve">and determinant </w:t>
            </w:r>
            <w:r w:rsidRPr="00774EDB">
              <w:rPr>
                <w:rFonts w:ascii="Times New Roman" w:hAnsi="Times New Roman" w:cs="Times New Roman"/>
                <w:sz w:val="24"/>
                <w:szCs w:val="24"/>
              </w:rPr>
              <w:t>effect in ecosystem relationships</w:t>
            </w:r>
          </w:p>
        </w:tc>
      </w:tr>
      <w:tr w:rsidR="002018D2" w:rsidRPr="00774EDB" w14:paraId="19332E13" w14:textId="77777777" w:rsidTr="00A70042">
        <w:tc>
          <w:tcPr>
            <w:tcW w:w="1206" w:type="pct"/>
            <w:vAlign w:val="center"/>
          </w:tcPr>
          <w:p w14:paraId="2C3495E6" w14:textId="77777777" w:rsidR="002018D2" w:rsidRPr="00774EDB" w:rsidRDefault="00642480" w:rsidP="00A70042">
            <w:pPr>
              <w:spacing w:before="120"/>
              <w:rPr>
                <w:rFonts w:ascii="Times New Roman" w:hAnsi="Times New Roman" w:cs="Times New Roman"/>
                <w:sz w:val="24"/>
                <w:szCs w:val="24"/>
              </w:rPr>
            </w:pPr>
            <w:r w:rsidRPr="00774EDB">
              <w:rPr>
                <w:rFonts w:ascii="Times New Roman" w:hAnsi="Times New Roman" w:cs="Times New Roman"/>
                <w:sz w:val="24"/>
                <w:szCs w:val="24"/>
              </w:rPr>
              <w:t>Complementarity and substitutability</w:t>
            </w:r>
          </w:p>
        </w:tc>
        <w:tc>
          <w:tcPr>
            <w:tcW w:w="1727" w:type="pct"/>
            <w:vAlign w:val="center"/>
          </w:tcPr>
          <w:p w14:paraId="78675FF5" w14:textId="77777777" w:rsidR="002018D2" w:rsidRPr="00774EDB" w:rsidRDefault="000A58E4" w:rsidP="00A70042">
            <w:pPr>
              <w:spacing w:before="120"/>
              <w:rPr>
                <w:rFonts w:ascii="Times New Roman" w:hAnsi="Times New Roman" w:cs="Times New Roman"/>
                <w:sz w:val="24"/>
                <w:szCs w:val="24"/>
              </w:rPr>
            </w:pPr>
            <w:r w:rsidRPr="00774EDB">
              <w:rPr>
                <w:rFonts w:ascii="Times New Roman" w:hAnsi="Times New Roman" w:cs="Times New Roman"/>
                <w:sz w:val="24"/>
                <w:szCs w:val="24"/>
              </w:rPr>
              <w:t>C</w:t>
            </w:r>
            <w:r w:rsidR="005E5100" w:rsidRPr="00774EDB">
              <w:rPr>
                <w:rFonts w:ascii="Times New Roman" w:hAnsi="Times New Roman" w:cs="Times New Roman"/>
                <w:sz w:val="24"/>
                <w:szCs w:val="24"/>
              </w:rPr>
              <w:t>omplementarity</w:t>
            </w:r>
            <w:r w:rsidR="00642480" w:rsidRPr="00774EDB">
              <w:rPr>
                <w:rFonts w:ascii="Times New Roman" w:hAnsi="Times New Roman" w:cs="Times New Roman"/>
                <w:sz w:val="24"/>
                <w:szCs w:val="24"/>
              </w:rPr>
              <w:t xml:space="preserve"> and substitutability</w:t>
            </w:r>
            <w:r w:rsidR="005E5100" w:rsidRPr="00774EDB">
              <w:rPr>
                <w:rFonts w:ascii="Times New Roman" w:hAnsi="Times New Roman" w:cs="Times New Roman"/>
                <w:sz w:val="24"/>
                <w:szCs w:val="24"/>
              </w:rPr>
              <w:t xml:space="preserve"> would shape </w:t>
            </w:r>
            <w:r w:rsidR="0058186B" w:rsidRPr="00774EDB">
              <w:rPr>
                <w:rFonts w:ascii="Times New Roman" w:hAnsi="Times New Roman" w:cs="Times New Roman"/>
                <w:sz w:val="24"/>
                <w:szCs w:val="24"/>
              </w:rPr>
              <w:t xml:space="preserve">out </w:t>
            </w:r>
            <w:r w:rsidR="005E5100" w:rsidRPr="00774EDB">
              <w:rPr>
                <w:rFonts w:ascii="Times New Roman" w:hAnsi="Times New Roman" w:cs="Times New Roman"/>
                <w:sz w:val="24"/>
                <w:szCs w:val="24"/>
              </w:rPr>
              <w:t>the markets</w:t>
            </w:r>
          </w:p>
        </w:tc>
        <w:tc>
          <w:tcPr>
            <w:tcW w:w="2068" w:type="pct"/>
            <w:vAlign w:val="center"/>
          </w:tcPr>
          <w:p w14:paraId="30D93E2E" w14:textId="6695215D" w:rsidR="002018D2" w:rsidRPr="00774EDB" w:rsidRDefault="000A58E4" w:rsidP="00A70042">
            <w:pPr>
              <w:spacing w:before="120"/>
              <w:rPr>
                <w:rFonts w:ascii="Times New Roman" w:hAnsi="Times New Roman" w:cs="Times New Roman"/>
                <w:sz w:val="24"/>
                <w:szCs w:val="24"/>
              </w:rPr>
            </w:pPr>
            <w:r w:rsidRPr="00774EDB">
              <w:rPr>
                <w:rFonts w:ascii="Times New Roman" w:hAnsi="Times New Roman" w:cs="Times New Roman"/>
                <w:sz w:val="24"/>
                <w:szCs w:val="24"/>
              </w:rPr>
              <w:t>Lessening impact of market</w:t>
            </w:r>
            <w:r w:rsidR="003A5A9E">
              <w:rPr>
                <w:rFonts w:ascii="Times New Roman" w:hAnsi="Times New Roman" w:cs="Times New Roman"/>
                <w:sz w:val="24"/>
                <w:szCs w:val="24"/>
              </w:rPr>
              <w:t xml:space="preserve"> </w:t>
            </w:r>
            <w:r w:rsidRPr="00774EDB">
              <w:rPr>
                <w:rFonts w:ascii="Times New Roman" w:hAnsi="Times New Roman" w:cs="Times New Roman"/>
                <w:sz w:val="24"/>
                <w:szCs w:val="24"/>
              </w:rPr>
              <w:t>based relationships</w:t>
            </w:r>
          </w:p>
        </w:tc>
      </w:tr>
      <w:tr w:rsidR="00721DEA" w:rsidRPr="00774EDB" w14:paraId="1F679E1D" w14:textId="77777777" w:rsidTr="00A70042">
        <w:tc>
          <w:tcPr>
            <w:tcW w:w="1206" w:type="pct"/>
            <w:vAlign w:val="center"/>
          </w:tcPr>
          <w:p w14:paraId="5B7B4DB1" w14:textId="77777777" w:rsidR="00721DEA" w:rsidRPr="00774EDB" w:rsidRDefault="002F271D" w:rsidP="00A70042">
            <w:pPr>
              <w:spacing w:before="120"/>
              <w:rPr>
                <w:rFonts w:ascii="Times New Roman" w:hAnsi="Times New Roman" w:cs="Times New Roman"/>
                <w:sz w:val="24"/>
                <w:szCs w:val="24"/>
              </w:rPr>
            </w:pPr>
            <w:r w:rsidRPr="00774EDB">
              <w:rPr>
                <w:rFonts w:ascii="Times New Roman" w:hAnsi="Times New Roman" w:cs="Times New Roman"/>
                <w:sz w:val="24"/>
                <w:szCs w:val="24"/>
              </w:rPr>
              <w:t>Competition</w:t>
            </w:r>
          </w:p>
        </w:tc>
        <w:tc>
          <w:tcPr>
            <w:tcW w:w="1727" w:type="pct"/>
            <w:vAlign w:val="center"/>
          </w:tcPr>
          <w:p w14:paraId="24606162" w14:textId="77777777" w:rsidR="00721DEA" w:rsidRPr="00774EDB" w:rsidRDefault="00B32723" w:rsidP="00A70042">
            <w:pPr>
              <w:spacing w:before="120"/>
              <w:rPr>
                <w:rFonts w:ascii="Times New Roman" w:hAnsi="Times New Roman" w:cs="Times New Roman"/>
                <w:sz w:val="24"/>
                <w:szCs w:val="24"/>
              </w:rPr>
            </w:pPr>
            <w:r w:rsidRPr="00774EDB">
              <w:rPr>
                <w:rFonts w:ascii="Times New Roman" w:hAnsi="Times New Roman" w:cs="Times New Roman"/>
                <w:sz w:val="24"/>
                <w:szCs w:val="24"/>
              </w:rPr>
              <w:t>C</w:t>
            </w:r>
            <w:r w:rsidR="000A58E4" w:rsidRPr="00774EDB">
              <w:rPr>
                <w:rFonts w:ascii="Times New Roman" w:hAnsi="Times New Roman" w:cs="Times New Roman"/>
                <w:sz w:val="24"/>
                <w:szCs w:val="24"/>
              </w:rPr>
              <w:t xml:space="preserve">ompetition </w:t>
            </w:r>
            <w:r w:rsidRPr="00774EDB">
              <w:rPr>
                <w:rFonts w:ascii="Times New Roman" w:hAnsi="Times New Roman" w:cs="Times New Roman"/>
                <w:sz w:val="24"/>
                <w:szCs w:val="24"/>
              </w:rPr>
              <w:t>depends on the intra and inter-cloud links</w:t>
            </w:r>
            <w:r w:rsidR="000A58E4" w:rsidRPr="00774EDB">
              <w:rPr>
                <w:rFonts w:ascii="Times New Roman" w:hAnsi="Times New Roman" w:cs="Times New Roman"/>
                <w:sz w:val="24"/>
                <w:szCs w:val="24"/>
              </w:rPr>
              <w:t xml:space="preserve"> </w:t>
            </w:r>
            <w:r w:rsidRPr="00774EDB">
              <w:rPr>
                <w:rFonts w:ascii="Times New Roman" w:hAnsi="Times New Roman" w:cs="Times New Roman"/>
                <w:sz w:val="24"/>
                <w:szCs w:val="24"/>
              </w:rPr>
              <w:t>and interoperability</w:t>
            </w:r>
          </w:p>
        </w:tc>
        <w:tc>
          <w:tcPr>
            <w:tcW w:w="2068" w:type="pct"/>
            <w:vAlign w:val="center"/>
          </w:tcPr>
          <w:p w14:paraId="2084BD87" w14:textId="77777777" w:rsidR="00721DEA" w:rsidRPr="00774EDB" w:rsidRDefault="00721DEA" w:rsidP="00A70042">
            <w:pPr>
              <w:spacing w:before="120"/>
              <w:rPr>
                <w:rFonts w:ascii="Times New Roman" w:hAnsi="Times New Roman" w:cs="Times New Roman"/>
                <w:sz w:val="24"/>
                <w:szCs w:val="24"/>
              </w:rPr>
            </w:pPr>
            <w:r w:rsidRPr="00774EDB">
              <w:rPr>
                <w:rFonts w:ascii="Times New Roman" w:hAnsi="Times New Roman" w:cs="Times New Roman"/>
                <w:sz w:val="24"/>
                <w:szCs w:val="24"/>
              </w:rPr>
              <w:t>Co</w:t>
            </w:r>
            <w:r w:rsidR="00B32723" w:rsidRPr="00774EDB">
              <w:rPr>
                <w:rFonts w:ascii="Times New Roman" w:hAnsi="Times New Roman" w:cs="Times New Roman"/>
                <w:sz w:val="24"/>
                <w:szCs w:val="24"/>
              </w:rPr>
              <w:t>m</w:t>
            </w:r>
            <w:r w:rsidRPr="00774EDB">
              <w:rPr>
                <w:rFonts w:ascii="Times New Roman" w:hAnsi="Times New Roman" w:cs="Times New Roman"/>
                <w:sz w:val="24"/>
                <w:szCs w:val="24"/>
              </w:rPr>
              <w:t>petition</w:t>
            </w:r>
            <w:r w:rsidR="00B32723" w:rsidRPr="00774EDB">
              <w:rPr>
                <w:rFonts w:ascii="Times New Roman" w:hAnsi="Times New Roman" w:cs="Times New Roman"/>
                <w:sz w:val="24"/>
                <w:szCs w:val="24"/>
              </w:rPr>
              <w:t xml:space="preserve"> is accompanied by cooperation</w:t>
            </w:r>
            <w:r w:rsidRPr="00774EDB">
              <w:rPr>
                <w:rFonts w:ascii="Times New Roman" w:hAnsi="Times New Roman" w:cs="Times New Roman"/>
                <w:sz w:val="24"/>
                <w:szCs w:val="24"/>
              </w:rPr>
              <w:t xml:space="preserve"> between ecosystem players</w:t>
            </w:r>
            <w:r w:rsidR="00B32723" w:rsidRPr="00774EDB">
              <w:rPr>
                <w:rFonts w:ascii="Times New Roman" w:hAnsi="Times New Roman" w:cs="Times New Roman"/>
                <w:sz w:val="24"/>
                <w:szCs w:val="24"/>
              </w:rPr>
              <w:t xml:space="preserve"> (</w:t>
            </w:r>
            <w:r w:rsidR="00AC260F" w:rsidRPr="00774EDB">
              <w:rPr>
                <w:rFonts w:ascii="Times New Roman" w:hAnsi="Times New Roman" w:cs="Times New Roman"/>
                <w:sz w:val="24"/>
                <w:szCs w:val="24"/>
              </w:rPr>
              <w:t xml:space="preserve">resulting in </w:t>
            </w:r>
            <w:r w:rsidR="00021426" w:rsidRPr="00774EDB">
              <w:rPr>
                <w:rFonts w:ascii="Times New Roman" w:hAnsi="Times New Roman" w:cs="Times New Roman"/>
                <w:sz w:val="24"/>
                <w:szCs w:val="24"/>
              </w:rPr>
              <w:t>coopetition</w:t>
            </w:r>
            <w:r w:rsidR="00B32723" w:rsidRPr="00774EDB">
              <w:rPr>
                <w:rFonts w:ascii="Times New Roman" w:hAnsi="Times New Roman" w:cs="Times New Roman"/>
                <w:sz w:val="24"/>
                <w:szCs w:val="24"/>
              </w:rPr>
              <w:t>)</w:t>
            </w:r>
          </w:p>
        </w:tc>
      </w:tr>
      <w:tr w:rsidR="004E6034" w:rsidRPr="00774EDB" w14:paraId="64478DC0" w14:textId="77777777" w:rsidTr="00A70042">
        <w:tc>
          <w:tcPr>
            <w:tcW w:w="1206" w:type="pct"/>
            <w:vAlign w:val="center"/>
          </w:tcPr>
          <w:p w14:paraId="65298F9B" w14:textId="77777777" w:rsidR="004E6034" w:rsidRPr="00774EDB" w:rsidRDefault="002F271D" w:rsidP="00A70042">
            <w:pPr>
              <w:spacing w:before="120"/>
              <w:rPr>
                <w:rFonts w:ascii="Times New Roman" w:hAnsi="Times New Roman" w:cs="Times New Roman"/>
                <w:sz w:val="24"/>
                <w:szCs w:val="24"/>
              </w:rPr>
            </w:pPr>
            <w:r w:rsidRPr="00774EDB">
              <w:rPr>
                <w:rFonts w:ascii="Times New Roman" w:hAnsi="Times New Roman" w:cs="Times New Roman"/>
                <w:sz w:val="24"/>
                <w:szCs w:val="24"/>
              </w:rPr>
              <w:t>Cloud management</w:t>
            </w:r>
          </w:p>
        </w:tc>
        <w:tc>
          <w:tcPr>
            <w:tcW w:w="1727" w:type="pct"/>
            <w:vAlign w:val="center"/>
          </w:tcPr>
          <w:p w14:paraId="06771BAF" w14:textId="77777777" w:rsidR="004E6034" w:rsidRPr="00774EDB" w:rsidRDefault="005E5100" w:rsidP="00A70042">
            <w:pPr>
              <w:spacing w:before="120"/>
              <w:rPr>
                <w:rFonts w:ascii="Times New Roman" w:hAnsi="Times New Roman" w:cs="Times New Roman"/>
                <w:sz w:val="24"/>
                <w:szCs w:val="24"/>
              </w:rPr>
            </w:pPr>
            <w:r w:rsidRPr="00774EDB">
              <w:rPr>
                <w:rFonts w:ascii="Times New Roman" w:hAnsi="Times New Roman" w:cs="Times New Roman"/>
                <w:sz w:val="24"/>
                <w:szCs w:val="24"/>
              </w:rPr>
              <w:t>Single cloud management dominates the relationships in the cloud</w:t>
            </w:r>
          </w:p>
        </w:tc>
        <w:tc>
          <w:tcPr>
            <w:tcW w:w="2068" w:type="pct"/>
            <w:vAlign w:val="center"/>
          </w:tcPr>
          <w:p w14:paraId="226DAB0B" w14:textId="77777777" w:rsidR="004E6034" w:rsidRPr="00774EDB" w:rsidRDefault="005E5100" w:rsidP="00A70042">
            <w:pPr>
              <w:spacing w:before="120"/>
              <w:rPr>
                <w:rFonts w:ascii="Times New Roman" w:hAnsi="Times New Roman" w:cs="Times New Roman"/>
                <w:sz w:val="24"/>
                <w:szCs w:val="24"/>
              </w:rPr>
            </w:pPr>
            <w:r w:rsidRPr="00774EDB">
              <w:rPr>
                <w:rFonts w:ascii="Times New Roman" w:hAnsi="Times New Roman" w:cs="Times New Roman"/>
                <w:sz w:val="24"/>
                <w:szCs w:val="24"/>
              </w:rPr>
              <w:t>Multi-layered relationships supersede layer</w:t>
            </w:r>
            <w:r w:rsidR="00AC260F" w:rsidRPr="00774EDB">
              <w:rPr>
                <w:rFonts w:ascii="Times New Roman" w:hAnsi="Times New Roman" w:cs="Times New Roman"/>
                <w:sz w:val="24"/>
                <w:szCs w:val="24"/>
              </w:rPr>
              <w:t xml:space="preserve"> or platform </w:t>
            </w:r>
            <w:r w:rsidRPr="00774EDB">
              <w:rPr>
                <w:rFonts w:ascii="Times New Roman" w:hAnsi="Times New Roman" w:cs="Times New Roman"/>
                <w:sz w:val="24"/>
                <w:szCs w:val="24"/>
              </w:rPr>
              <w:t xml:space="preserve">based </w:t>
            </w:r>
            <w:r w:rsidR="00B32723" w:rsidRPr="00774EDB">
              <w:rPr>
                <w:rFonts w:ascii="Times New Roman" w:hAnsi="Times New Roman" w:cs="Times New Roman"/>
                <w:sz w:val="24"/>
                <w:szCs w:val="24"/>
              </w:rPr>
              <w:t>cloud management</w:t>
            </w:r>
          </w:p>
        </w:tc>
      </w:tr>
      <w:tr w:rsidR="004E6034" w:rsidRPr="00774EDB" w14:paraId="3E354547" w14:textId="77777777" w:rsidTr="00A70042">
        <w:tc>
          <w:tcPr>
            <w:tcW w:w="1206" w:type="pct"/>
            <w:vAlign w:val="center"/>
          </w:tcPr>
          <w:p w14:paraId="2815E6E7" w14:textId="77777777" w:rsidR="004E6034" w:rsidRPr="00774EDB" w:rsidRDefault="002F271D" w:rsidP="00A70042">
            <w:pPr>
              <w:spacing w:before="120"/>
              <w:rPr>
                <w:rFonts w:ascii="Times New Roman" w:hAnsi="Times New Roman" w:cs="Times New Roman"/>
                <w:sz w:val="24"/>
                <w:szCs w:val="24"/>
              </w:rPr>
            </w:pPr>
            <w:r w:rsidRPr="00774EDB">
              <w:rPr>
                <w:rFonts w:ascii="Times New Roman" w:hAnsi="Times New Roman" w:cs="Times New Roman"/>
                <w:sz w:val="24"/>
                <w:szCs w:val="24"/>
              </w:rPr>
              <w:t>Interoperability</w:t>
            </w:r>
          </w:p>
        </w:tc>
        <w:tc>
          <w:tcPr>
            <w:tcW w:w="1727" w:type="pct"/>
            <w:vAlign w:val="center"/>
          </w:tcPr>
          <w:p w14:paraId="6B47F1D3" w14:textId="77777777" w:rsidR="004E6034" w:rsidRPr="00774EDB" w:rsidRDefault="004E6034" w:rsidP="00A70042">
            <w:pPr>
              <w:spacing w:before="120"/>
              <w:rPr>
                <w:rFonts w:ascii="Times New Roman" w:hAnsi="Times New Roman" w:cs="Times New Roman"/>
                <w:sz w:val="24"/>
                <w:szCs w:val="24"/>
              </w:rPr>
            </w:pPr>
            <w:r w:rsidRPr="00774EDB">
              <w:rPr>
                <w:rFonts w:ascii="Times New Roman" w:hAnsi="Times New Roman" w:cs="Times New Roman"/>
                <w:sz w:val="24"/>
                <w:szCs w:val="24"/>
              </w:rPr>
              <w:t xml:space="preserve">Strong link </w:t>
            </w:r>
            <w:r w:rsidR="005E5100" w:rsidRPr="00774EDB">
              <w:rPr>
                <w:rFonts w:ascii="Times New Roman" w:hAnsi="Times New Roman" w:cs="Times New Roman"/>
                <w:sz w:val="24"/>
                <w:szCs w:val="24"/>
              </w:rPr>
              <w:t xml:space="preserve">exists </w:t>
            </w:r>
            <w:r w:rsidRPr="00774EDB">
              <w:rPr>
                <w:rFonts w:ascii="Times New Roman" w:hAnsi="Times New Roman" w:cs="Times New Roman"/>
                <w:sz w:val="24"/>
                <w:szCs w:val="24"/>
              </w:rPr>
              <w:t>between competition and interoperability</w:t>
            </w:r>
          </w:p>
        </w:tc>
        <w:tc>
          <w:tcPr>
            <w:tcW w:w="2068" w:type="pct"/>
            <w:vAlign w:val="center"/>
          </w:tcPr>
          <w:p w14:paraId="4215178D" w14:textId="77777777" w:rsidR="004E6034" w:rsidRPr="00774EDB" w:rsidRDefault="005E5100" w:rsidP="00A70042">
            <w:pPr>
              <w:spacing w:before="120"/>
              <w:rPr>
                <w:rFonts w:ascii="Times New Roman" w:hAnsi="Times New Roman" w:cs="Times New Roman"/>
                <w:sz w:val="24"/>
                <w:szCs w:val="24"/>
              </w:rPr>
            </w:pPr>
            <w:r w:rsidRPr="00774EDB">
              <w:rPr>
                <w:rFonts w:ascii="Times New Roman" w:hAnsi="Times New Roman" w:cs="Times New Roman"/>
                <w:sz w:val="24"/>
                <w:szCs w:val="24"/>
              </w:rPr>
              <w:t xml:space="preserve">Interoperability is </w:t>
            </w:r>
            <w:r w:rsidR="00AC260F" w:rsidRPr="00774EDB">
              <w:rPr>
                <w:rFonts w:ascii="Times New Roman" w:hAnsi="Times New Roman" w:cs="Times New Roman"/>
                <w:sz w:val="24"/>
                <w:szCs w:val="24"/>
              </w:rPr>
              <w:t>govern</w:t>
            </w:r>
            <w:r w:rsidR="008F6BCC" w:rsidRPr="00774EDB">
              <w:rPr>
                <w:rFonts w:ascii="Times New Roman" w:hAnsi="Times New Roman" w:cs="Times New Roman"/>
                <w:sz w:val="24"/>
                <w:szCs w:val="24"/>
              </w:rPr>
              <w:t xml:space="preserve">ed </w:t>
            </w:r>
            <w:r w:rsidR="00AC260F" w:rsidRPr="00774EDB">
              <w:rPr>
                <w:rFonts w:ascii="Times New Roman" w:hAnsi="Times New Roman" w:cs="Times New Roman"/>
                <w:sz w:val="24"/>
                <w:szCs w:val="24"/>
              </w:rPr>
              <w:t>by</w:t>
            </w:r>
            <w:r w:rsidR="008F6BCC" w:rsidRPr="00774EDB">
              <w:rPr>
                <w:rFonts w:ascii="Times New Roman" w:hAnsi="Times New Roman" w:cs="Times New Roman"/>
                <w:sz w:val="24"/>
                <w:szCs w:val="24"/>
              </w:rPr>
              <w:t xml:space="preserve"> the </w:t>
            </w:r>
            <w:r w:rsidR="00263869" w:rsidRPr="00774EDB">
              <w:rPr>
                <w:rFonts w:ascii="Times New Roman" w:hAnsi="Times New Roman" w:cs="Times New Roman"/>
                <w:sz w:val="24"/>
                <w:szCs w:val="24"/>
              </w:rPr>
              <w:t xml:space="preserve">cross-layer </w:t>
            </w:r>
            <w:r w:rsidR="008F6BCC" w:rsidRPr="00774EDB">
              <w:rPr>
                <w:rFonts w:ascii="Times New Roman" w:hAnsi="Times New Roman" w:cs="Times New Roman"/>
                <w:sz w:val="24"/>
                <w:szCs w:val="24"/>
              </w:rPr>
              <w:t>interdependencies</w:t>
            </w:r>
            <w:r w:rsidRPr="00774EDB">
              <w:rPr>
                <w:rFonts w:ascii="Times New Roman" w:hAnsi="Times New Roman" w:cs="Times New Roman"/>
                <w:sz w:val="24"/>
                <w:szCs w:val="24"/>
              </w:rPr>
              <w:t xml:space="preserve"> </w:t>
            </w:r>
            <w:r w:rsidR="00AC260F" w:rsidRPr="00774EDB">
              <w:rPr>
                <w:rFonts w:ascii="Times New Roman" w:hAnsi="Times New Roman" w:cs="Times New Roman"/>
                <w:sz w:val="24"/>
                <w:szCs w:val="24"/>
              </w:rPr>
              <w:t xml:space="preserve">and </w:t>
            </w:r>
            <w:r w:rsidR="00021426" w:rsidRPr="00774EDB">
              <w:rPr>
                <w:rFonts w:ascii="Times New Roman" w:hAnsi="Times New Roman" w:cs="Times New Roman"/>
                <w:sz w:val="24"/>
                <w:szCs w:val="24"/>
              </w:rPr>
              <w:t>coopetitive</w:t>
            </w:r>
            <w:r w:rsidR="00AC260F" w:rsidRPr="00774EDB">
              <w:rPr>
                <w:rFonts w:ascii="Times New Roman" w:hAnsi="Times New Roman" w:cs="Times New Roman"/>
                <w:sz w:val="24"/>
                <w:szCs w:val="24"/>
              </w:rPr>
              <w:t xml:space="preserve"> relationships</w:t>
            </w:r>
          </w:p>
        </w:tc>
      </w:tr>
      <w:tr w:rsidR="00721DEA" w:rsidRPr="00774EDB" w14:paraId="5CC38F1B" w14:textId="77777777" w:rsidTr="00A70042">
        <w:tc>
          <w:tcPr>
            <w:tcW w:w="1206" w:type="pct"/>
            <w:vAlign w:val="center"/>
          </w:tcPr>
          <w:p w14:paraId="1CAF9275" w14:textId="77777777" w:rsidR="00721DEA" w:rsidRPr="00774EDB" w:rsidRDefault="002F271D" w:rsidP="00A70042">
            <w:pPr>
              <w:spacing w:before="120"/>
              <w:rPr>
                <w:rFonts w:ascii="Times New Roman" w:hAnsi="Times New Roman" w:cs="Times New Roman"/>
                <w:sz w:val="24"/>
                <w:szCs w:val="24"/>
              </w:rPr>
            </w:pPr>
            <w:r w:rsidRPr="00774EDB">
              <w:rPr>
                <w:rFonts w:ascii="Times New Roman" w:hAnsi="Times New Roman" w:cs="Times New Roman"/>
                <w:sz w:val="24"/>
                <w:szCs w:val="24"/>
              </w:rPr>
              <w:t>Standardisation</w:t>
            </w:r>
          </w:p>
        </w:tc>
        <w:tc>
          <w:tcPr>
            <w:tcW w:w="1727" w:type="pct"/>
            <w:vAlign w:val="center"/>
          </w:tcPr>
          <w:p w14:paraId="169247EE" w14:textId="77777777" w:rsidR="00721DEA" w:rsidRPr="00774EDB" w:rsidRDefault="005E5100" w:rsidP="00A70042">
            <w:pPr>
              <w:spacing w:before="120"/>
              <w:rPr>
                <w:rFonts w:ascii="Times New Roman" w:hAnsi="Times New Roman" w:cs="Times New Roman"/>
                <w:sz w:val="24"/>
                <w:szCs w:val="24"/>
              </w:rPr>
            </w:pPr>
            <w:r w:rsidRPr="00774EDB">
              <w:rPr>
                <w:rFonts w:ascii="Times New Roman" w:hAnsi="Times New Roman" w:cs="Times New Roman"/>
                <w:sz w:val="24"/>
                <w:szCs w:val="24"/>
              </w:rPr>
              <w:t>Standardisation might have a pro-interoperability and competitive impact</w:t>
            </w:r>
          </w:p>
        </w:tc>
        <w:tc>
          <w:tcPr>
            <w:tcW w:w="2068" w:type="pct"/>
            <w:vAlign w:val="center"/>
          </w:tcPr>
          <w:p w14:paraId="04DE3C7F" w14:textId="77777777" w:rsidR="00721DEA" w:rsidRPr="00774EDB" w:rsidRDefault="005E5100" w:rsidP="00A70042">
            <w:pPr>
              <w:spacing w:before="120"/>
              <w:rPr>
                <w:rFonts w:ascii="Times New Roman" w:hAnsi="Times New Roman" w:cs="Times New Roman"/>
                <w:sz w:val="24"/>
                <w:szCs w:val="24"/>
              </w:rPr>
            </w:pPr>
            <w:r w:rsidRPr="00774EDB">
              <w:rPr>
                <w:rFonts w:ascii="Times New Roman" w:hAnsi="Times New Roman" w:cs="Times New Roman"/>
                <w:sz w:val="24"/>
                <w:szCs w:val="24"/>
              </w:rPr>
              <w:t>Standards</w:t>
            </w:r>
            <w:r w:rsidR="002F271D" w:rsidRPr="00774EDB">
              <w:rPr>
                <w:rFonts w:ascii="Times New Roman" w:hAnsi="Times New Roman" w:cs="Times New Roman"/>
                <w:sz w:val="24"/>
                <w:szCs w:val="24"/>
              </w:rPr>
              <w:t xml:space="preserve">’ role is </w:t>
            </w:r>
            <w:r w:rsidR="0073059F" w:rsidRPr="00774EDB">
              <w:rPr>
                <w:rFonts w:ascii="Times New Roman" w:hAnsi="Times New Roman" w:cs="Times New Roman"/>
                <w:sz w:val="24"/>
                <w:szCs w:val="24"/>
              </w:rPr>
              <w:t>diminish</w:t>
            </w:r>
            <w:r w:rsidR="002F271D" w:rsidRPr="00774EDB">
              <w:rPr>
                <w:rFonts w:ascii="Times New Roman" w:hAnsi="Times New Roman" w:cs="Times New Roman"/>
                <w:sz w:val="24"/>
                <w:szCs w:val="24"/>
              </w:rPr>
              <w:t xml:space="preserve">ed </w:t>
            </w:r>
            <w:r w:rsidR="005F380C" w:rsidRPr="00774EDB">
              <w:rPr>
                <w:rFonts w:ascii="Times New Roman" w:hAnsi="Times New Roman" w:cs="Times New Roman"/>
                <w:sz w:val="24"/>
                <w:szCs w:val="24"/>
              </w:rPr>
              <w:t>against</w:t>
            </w:r>
            <w:r w:rsidR="002F271D" w:rsidRPr="00774EDB">
              <w:rPr>
                <w:rFonts w:ascii="Times New Roman" w:hAnsi="Times New Roman" w:cs="Times New Roman"/>
                <w:sz w:val="24"/>
                <w:szCs w:val="24"/>
              </w:rPr>
              <w:t xml:space="preserve"> the </w:t>
            </w:r>
            <w:r w:rsidR="005F380C" w:rsidRPr="00774EDB">
              <w:rPr>
                <w:rFonts w:ascii="Times New Roman" w:hAnsi="Times New Roman" w:cs="Times New Roman"/>
                <w:sz w:val="24"/>
                <w:szCs w:val="24"/>
              </w:rPr>
              <w:t>enhanced</w:t>
            </w:r>
            <w:r w:rsidR="002F271D" w:rsidRPr="00774EDB">
              <w:rPr>
                <w:rFonts w:ascii="Times New Roman" w:hAnsi="Times New Roman" w:cs="Times New Roman"/>
                <w:sz w:val="24"/>
                <w:szCs w:val="24"/>
              </w:rPr>
              <w:t xml:space="preserve"> space for innovation</w:t>
            </w:r>
          </w:p>
        </w:tc>
      </w:tr>
    </w:tbl>
    <w:p w14:paraId="2A52976C" w14:textId="20EA1046" w:rsidR="002F6A66" w:rsidRPr="00A70042" w:rsidRDefault="002F6A66" w:rsidP="00A70042">
      <w:pPr>
        <w:jc w:val="both"/>
        <w:rPr>
          <w:rFonts w:ascii="Times New Roman" w:hAnsi="Times New Roman" w:cs="Times New Roman"/>
          <w:sz w:val="24"/>
          <w:szCs w:val="24"/>
        </w:rPr>
      </w:pPr>
      <w:r w:rsidRPr="00A70042">
        <w:rPr>
          <w:rFonts w:ascii="Times New Roman" w:hAnsi="Times New Roman" w:cs="Times New Roman"/>
          <w:sz w:val="24"/>
          <w:szCs w:val="24"/>
        </w:rPr>
        <w:t xml:space="preserve">Source: Constructed by the author </w:t>
      </w:r>
    </w:p>
    <w:p w14:paraId="5427DDF1" w14:textId="0109CAB8" w:rsidR="005B23FA" w:rsidRPr="00774EDB" w:rsidRDefault="0050509C" w:rsidP="00A70042">
      <w:pPr>
        <w:spacing w:before="360"/>
        <w:jc w:val="both"/>
        <w:rPr>
          <w:rFonts w:ascii="Times New Roman" w:hAnsi="Times New Roman" w:cs="Times New Roman"/>
          <w:sz w:val="24"/>
          <w:szCs w:val="24"/>
        </w:rPr>
      </w:pPr>
      <w:r>
        <w:rPr>
          <w:rFonts w:ascii="Times New Roman" w:hAnsi="Times New Roman" w:cs="Times New Roman"/>
          <w:sz w:val="24"/>
          <w:szCs w:val="24"/>
        </w:rPr>
        <w:lastRenderedPageBreak/>
        <w:t>I</w:t>
      </w:r>
      <w:r w:rsidR="00560F34" w:rsidRPr="00774EDB">
        <w:rPr>
          <w:rFonts w:ascii="Times New Roman" w:hAnsi="Times New Roman" w:cs="Times New Roman"/>
          <w:sz w:val="24"/>
          <w:szCs w:val="24"/>
        </w:rPr>
        <w:t xml:space="preserve">nteroperability could be mapped </w:t>
      </w:r>
      <w:r>
        <w:rPr>
          <w:rFonts w:ascii="Times New Roman" w:hAnsi="Times New Roman" w:cs="Times New Roman"/>
          <w:sz w:val="24"/>
          <w:szCs w:val="24"/>
        </w:rPr>
        <w:t xml:space="preserve">and figured out </w:t>
      </w:r>
      <w:r w:rsidR="00560F34" w:rsidRPr="00774EDB">
        <w:rPr>
          <w:rFonts w:ascii="Times New Roman" w:hAnsi="Times New Roman" w:cs="Times New Roman"/>
          <w:sz w:val="24"/>
          <w:szCs w:val="24"/>
        </w:rPr>
        <w:t xml:space="preserve">across the given settings as summarised above. Given the inputs in the table, </w:t>
      </w:r>
      <w:r w:rsidR="006D3F6D" w:rsidRPr="00774EDB">
        <w:rPr>
          <w:rFonts w:ascii="Times New Roman" w:hAnsi="Times New Roman" w:cs="Times New Roman"/>
          <w:sz w:val="24"/>
          <w:szCs w:val="24"/>
        </w:rPr>
        <w:t xml:space="preserve">ICT </w:t>
      </w:r>
      <w:r w:rsidR="00560F34" w:rsidRPr="00774EDB">
        <w:rPr>
          <w:rFonts w:ascii="Times New Roman" w:hAnsi="Times New Roman" w:cs="Times New Roman"/>
          <w:sz w:val="24"/>
          <w:szCs w:val="24"/>
        </w:rPr>
        <w:t>interdependencies have a prominent effect</w:t>
      </w:r>
      <w:r w:rsidR="00CA330F" w:rsidRPr="00774EDB">
        <w:rPr>
          <w:rFonts w:ascii="Times New Roman" w:hAnsi="Times New Roman" w:cs="Times New Roman"/>
          <w:sz w:val="24"/>
          <w:szCs w:val="24"/>
        </w:rPr>
        <w:t>,</w:t>
      </w:r>
      <w:r w:rsidR="00560F34" w:rsidRPr="00774EDB">
        <w:rPr>
          <w:rFonts w:ascii="Times New Roman" w:hAnsi="Times New Roman" w:cs="Times New Roman"/>
          <w:sz w:val="24"/>
          <w:szCs w:val="24"/>
        </w:rPr>
        <w:t xml:space="preserve"> likely to supersede the market and/or platform based relationships</w:t>
      </w:r>
      <w:r w:rsidR="006D3F6D" w:rsidRPr="00774EDB">
        <w:rPr>
          <w:rFonts w:ascii="Times New Roman" w:hAnsi="Times New Roman" w:cs="Times New Roman"/>
          <w:sz w:val="24"/>
          <w:szCs w:val="24"/>
        </w:rPr>
        <w:t>, within the ecosystem context</w:t>
      </w:r>
      <w:r w:rsidR="00560F34" w:rsidRPr="00774EDB">
        <w:rPr>
          <w:rFonts w:ascii="Times New Roman" w:hAnsi="Times New Roman" w:cs="Times New Roman"/>
          <w:sz w:val="24"/>
          <w:szCs w:val="24"/>
        </w:rPr>
        <w:t xml:space="preserve">. Accordingly, ‘substitutability’ and ‘complementarity’ which define the markets and underlying products are not destined to be very influential in contrast to the role they played </w:t>
      </w:r>
      <w:r w:rsidR="006D3F6D" w:rsidRPr="00774EDB">
        <w:rPr>
          <w:rFonts w:ascii="Times New Roman" w:hAnsi="Times New Roman" w:cs="Times New Roman"/>
          <w:sz w:val="24"/>
          <w:szCs w:val="24"/>
        </w:rPr>
        <w:t>traditionally</w:t>
      </w:r>
      <w:r w:rsidR="00560F34" w:rsidRPr="00774EDB">
        <w:rPr>
          <w:rFonts w:ascii="Times New Roman" w:hAnsi="Times New Roman" w:cs="Times New Roman"/>
          <w:sz w:val="24"/>
          <w:szCs w:val="24"/>
        </w:rPr>
        <w:t xml:space="preserve"> in competition/regulatory processes. The overarching interdependencies and underlying </w:t>
      </w:r>
      <w:r w:rsidR="00021426" w:rsidRPr="00774EDB">
        <w:rPr>
          <w:rFonts w:ascii="Times New Roman" w:hAnsi="Times New Roman" w:cs="Times New Roman"/>
          <w:sz w:val="24"/>
          <w:szCs w:val="24"/>
        </w:rPr>
        <w:t>coopetitive</w:t>
      </w:r>
      <w:r w:rsidR="00560F34" w:rsidRPr="00774EDB">
        <w:rPr>
          <w:rFonts w:ascii="Times New Roman" w:hAnsi="Times New Roman" w:cs="Times New Roman"/>
          <w:sz w:val="24"/>
          <w:szCs w:val="24"/>
        </w:rPr>
        <w:t xml:space="preserve"> relationships take over intra and inter-platform (cloud) competition when moving to the ecosystem setting. This ecosystem-based trajectory is </w:t>
      </w:r>
      <w:r w:rsidR="003B2EDA" w:rsidRPr="00774EDB">
        <w:rPr>
          <w:rFonts w:ascii="Times New Roman" w:hAnsi="Times New Roman" w:cs="Times New Roman"/>
          <w:sz w:val="24"/>
          <w:szCs w:val="24"/>
        </w:rPr>
        <w:t xml:space="preserve">clearly </w:t>
      </w:r>
      <w:r w:rsidR="00560F34" w:rsidRPr="00774EDB">
        <w:rPr>
          <w:rFonts w:ascii="Times New Roman" w:hAnsi="Times New Roman" w:cs="Times New Roman"/>
          <w:sz w:val="24"/>
          <w:szCs w:val="24"/>
        </w:rPr>
        <w:t xml:space="preserve">being shaped out by cross-layer </w:t>
      </w:r>
      <w:r w:rsidR="000305C3" w:rsidRPr="00774EDB">
        <w:rPr>
          <w:rFonts w:ascii="Times New Roman" w:hAnsi="Times New Roman" w:cs="Times New Roman"/>
          <w:sz w:val="24"/>
          <w:szCs w:val="24"/>
        </w:rPr>
        <w:t>interactions</w:t>
      </w:r>
      <w:r w:rsidR="00560F34" w:rsidRPr="00774EDB">
        <w:rPr>
          <w:rFonts w:ascii="Times New Roman" w:hAnsi="Times New Roman" w:cs="Times New Roman"/>
          <w:sz w:val="24"/>
          <w:szCs w:val="24"/>
        </w:rPr>
        <w:t xml:space="preserve"> instead of a single management discourse </w:t>
      </w:r>
      <w:r w:rsidR="003B2EDA" w:rsidRPr="00774EDB">
        <w:rPr>
          <w:rFonts w:ascii="Times New Roman" w:hAnsi="Times New Roman" w:cs="Times New Roman"/>
          <w:sz w:val="24"/>
          <w:szCs w:val="24"/>
        </w:rPr>
        <w:t xml:space="preserve">which </w:t>
      </w:r>
      <w:r w:rsidR="00560F34" w:rsidRPr="00774EDB">
        <w:rPr>
          <w:rFonts w:ascii="Times New Roman" w:hAnsi="Times New Roman" w:cs="Times New Roman"/>
          <w:sz w:val="24"/>
          <w:szCs w:val="24"/>
        </w:rPr>
        <w:t>tak</w:t>
      </w:r>
      <w:r w:rsidR="003B2EDA" w:rsidRPr="00774EDB">
        <w:rPr>
          <w:rFonts w:ascii="Times New Roman" w:hAnsi="Times New Roman" w:cs="Times New Roman"/>
          <w:sz w:val="24"/>
          <w:szCs w:val="24"/>
        </w:rPr>
        <w:t>e</w:t>
      </w:r>
      <w:r w:rsidR="00560F34" w:rsidRPr="00774EDB">
        <w:rPr>
          <w:rFonts w:ascii="Times New Roman" w:hAnsi="Times New Roman" w:cs="Times New Roman"/>
          <w:sz w:val="24"/>
          <w:szCs w:val="24"/>
        </w:rPr>
        <w:t xml:space="preserve"> place in the cloud environment.</w:t>
      </w:r>
    </w:p>
    <w:p w14:paraId="279FF000" w14:textId="77777777" w:rsidR="00F56B03" w:rsidRPr="00774EDB" w:rsidRDefault="000305C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the light of the above information, it would be an incoherent and narrow-minded approach to crystallise ‘interoperability’ as a market or platform specific problem.  Along the same lines, standardisation, although it might need to be encouraged, should not be considered as self-promising </w:t>
      </w:r>
      <w:r w:rsidR="00CA330F" w:rsidRPr="00774EDB">
        <w:rPr>
          <w:rFonts w:ascii="Times New Roman" w:hAnsi="Times New Roman" w:cs="Times New Roman"/>
          <w:sz w:val="24"/>
          <w:szCs w:val="24"/>
        </w:rPr>
        <w:t>given the fact that</w:t>
      </w:r>
      <w:r w:rsidRPr="00774EDB">
        <w:rPr>
          <w:rFonts w:ascii="Times New Roman" w:hAnsi="Times New Roman" w:cs="Times New Roman"/>
          <w:sz w:val="24"/>
          <w:szCs w:val="24"/>
        </w:rPr>
        <w:t xml:space="preserve"> standards are focused on narrower industrial settings which ostensibly match the cloud environment but not the ecosystem. It should be remembered that when moving from the cloud environment to the cloud ecosystem, standards’ role decreases given the more space opening up for innovation, along with the interdependencies.     </w:t>
      </w:r>
      <w:r w:rsidR="00173F7B" w:rsidRPr="00774EDB">
        <w:rPr>
          <w:rFonts w:ascii="Times New Roman" w:hAnsi="Times New Roman" w:cs="Times New Roman"/>
          <w:sz w:val="24"/>
          <w:szCs w:val="24"/>
        </w:rPr>
        <w:t xml:space="preserve">   </w:t>
      </w:r>
      <w:r w:rsidR="001772E1" w:rsidRPr="00774EDB">
        <w:rPr>
          <w:rFonts w:ascii="Times New Roman" w:hAnsi="Times New Roman" w:cs="Times New Roman"/>
          <w:sz w:val="24"/>
          <w:szCs w:val="24"/>
        </w:rPr>
        <w:t xml:space="preserve"> </w:t>
      </w:r>
      <w:r w:rsidR="00F56B03" w:rsidRPr="00774EDB">
        <w:rPr>
          <w:rFonts w:ascii="Times New Roman" w:hAnsi="Times New Roman" w:cs="Times New Roman"/>
          <w:sz w:val="24"/>
          <w:szCs w:val="24"/>
        </w:rPr>
        <w:t xml:space="preserve"> </w:t>
      </w:r>
    </w:p>
    <w:p w14:paraId="12734C99" w14:textId="77777777" w:rsidR="003B2EDA" w:rsidRPr="00774EDB" w:rsidRDefault="003B2ED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While cloud computing is underlined as one of the five most significant areas that need standardisation by the European authorities,</w:t>
      </w:r>
      <w:r w:rsidRPr="00774EDB">
        <w:rPr>
          <w:rStyle w:val="FootnoteReference"/>
          <w:rFonts w:ascii="Times New Roman" w:hAnsi="Times New Roman" w:cs="Times New Roman"/>
          <w:sz w:val="24"/>
          <w:szCs w:val="24"/>
        </w:rPr>
        <w:footnoteReference w:id="788"/>
      </w:r>
      <w:r w:rsidRPr="00774EDB">
        <w:rPr>
          <w:rFonts w:ascii="Times New Roman" w:hAnsi="Times New Roman" w:cs="Times New Roman"/>
          <w:sz w:val="24"/>
          <w:szCs w:val="24"/>
        </w:rPr>
        <w:t xml:space="preserve"> the possible solution(s) to be found out should ultimately have a cross-layer nature. Whereas technically a potential solution </w:t>
      </w:r>
      <w:r w:rsidRPr="00774EDB">
        <w:rPr>
          <w:rFonts w:ascii="Times New Roman" w:hAnsi="Times New Roman" w:cs="Times New Roman"/>
          <w:sz w:val="24"/>
          <w:szCs w:val="24"/>
        </w:rPr>
        <w:lastRenderedPageBreak/>
        <w:t>i.e. a common standard, would be fit for purpose from the perspective of the cloud environment, such a solution would no longer have an overarching effect from the ecosystem perspective, considering the interdependent layers including both internal and external elements. As clouds do not work alone but in tandem with other layers i.e. CDNs and broadband access networks, a cloud-specific interoperability solution would be incomplete and partial against the cross-layer interdependencies and accompanying issues, problems, etc.</w:t>
      </w:r>
    </w:p>
    <w:p w14:paraId="1277A3E1" w14:textId="35127667" w:rsidR="003B2EDA" w:rsidRPr="00774EDB" w:rsidRDefault="003B2ED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Given this fact, the </w:t>
      </w:r>
      <w:r w:rsidRPr="00774EDB">
        <w:rPr>
          <w:rFonts w:ascii="Times New Roman" w:hAnsi="Times New Roman" w:cs="Times New Roman"/>
          <w:i/>
          <w:sz w:val="24"/>
          <w:szCs w:val="24"/>
        </w:rPr>
        <w:t>status quo</w:t>
      </w:r>
      <w:r w:rsidR="0018421F" w:rsidRPr="00774EDB">
        <w:rPr>
          <w:rFonts w:ascii="Times New Roman" w:hAnsi="Times New Roman" w:cs="Times New Roman"/>
          <w:sz w:val="24"/>
          <w:szCs w:val="24"/>
        </w:rPr>
        <w:t xml:space="preserve"> under EU legal framework, </w:t>
      </w:r>
      <w:r w:rsidRPr="00774EDB">
        <w:rPr>
          <w:rFonts w:ascii="Times New Roman" w:hAnsi="Times New Roman" w:cs="Times New Roman"/>
          <w:sz w:val="24"/>
          <w:szCs w:val="24"/>
        </w:rPr>
        <w:t xml:space="preserve">particularly </w:t>
      </w:r>
      <w:r w:rsidR="00AC2237">
        <w:rPr>
          <w:rFonts w:ascii="Times New Roman" w:hAnsi="Times New Roman" w:cs="Times New Roman"/>
          <w:sz w:val="24"/>
          <w:szCs w:val="24"/>
        </w:rPr>
        <w:t xml:space="preserve">in view of the </w:t>
      </w:r>
      <w:r w:rsidRPr="00774EDB">
        <w:rPr>
          <w:rFonts w:ascii="Times New Roman" w:hAnsi="Times New Roman" w:cs="Times New Roman"/>
          <w:sz w:val="24"/>
          <w:szCs w:val="24"/>
        </w:rPr>
        <w:t xml:space="preserve">competition law and </w:t>
      </w:r>
      <w:r w:rsidR="0018421F" w:rsidRPr="00774EDB">
        <w:rPr>
          <w:rFonts w:ascii="Times New Roman" w:hAnsi="Times New Roman" w:cs="Times New Roman"/>
          <w:sz w:val="24"/>
          <w:szCs w:val="24"/>
        </w:rPr>
        <w:t>ECRF</w:t>
      </w:r>
      <w:r w:rsidRPr="00774EDB">
        <w:rPr>
          <w:rFonts w:ascii="Times New Roman" w:hAnsi="Times New Roman" w:cs="Times New Roman"/>
          <w:sz w:val="24"/>
          <w:szCs w:val="24"/>
        </w:rPr>
        <w:t xml:space="preserve"> </w:t>
      </w:r>
      <w:r w:rsidR="0018421F" w:rsidRPr="00774EDB">
        <w:rPr>
          <w:rFonts w:ascii="Times New Roman" w:hAnsi="Times New Roman" w:cs="Times New Roman"/>
          <w:sz w:val="24"/>
          <w:szCs w:val="24"/>
        </w:rPr>
        <w:t>rules</w:t>
      </w:r>
      <w:r w:rsidR="00AC2237">
        <w:rPr>
          <w:rFonts w:ascii="Times New Roman" w:hAnsi="Times New Roman" w:cs="Times New Roman"/>
          <w:sz w:val="24"/>
          <w:szCs w:val="24"/>
        </w:rPr>
        <w:t>,</w:t>
      </w:r>
      <w:r w:rsidR="0018421F" w:rsidRPr="00774EDB">
        <w:rPr>
          <w:rFonts w:ascii="Times New Roman" w:hAnsi="Times New Roman" w:cs="Times New Roman"/>
          <w:sz w:val="24"/>
          <w:szCs w:val="24"/>
        </w:rPr>
        <w:t xml:space="preserve"> do</w:t>
      </w:r>
      <w:r w:rsidRPr="00774EDB">
        <w:rPr>
          <w:rFonts w:ascii="Times New Roman" w:hAnsi="Times New Roman" w:cs="Times New Roman"/>
          <w:sz w:val="24"/>
          <w:szCs w:val="24"/>
        </w:rPr>
        <w:t xml:space="preserve"> not offer promising and sustainable solutions against the cross-layer </w:t>
      </w:r>
      <w:r w:rsidR="0018421F" w:rsidRPr="00774EDB">
        <w:rPr>
          <w:rFonts w:ascii="Times New Roman" w:hAnsi="Times New Roman" w:cs="Times New Roman"/>
          <w:sz w:val="24"/>
          <w:szCs w:val="24"/>
        </w:rPr>
        <w:t xml:space="preserve">settings and </w:t>
      </w:r>
      <w:r w:rsidRPr="00774EDB">
        <w:rPr>
          <w:rFonts w:ascii="Times New Roman" w:hAnsi="Times New Roman" w:cs="Times New Roman"/>
          <w:sz w:val="24"/>
          <w:szCs w:val="24"/>
        </w:rPr>
        <w:t xml:space="preserve">problems. To emphasize, interoperability-centric problems within this framework might undergo a kind of regulatory micromanagement. However, this might turn out to be narrow-minded since exclusionary practices e.g. a dominant player’s refusal to supply APIs might be deemed as abusive under certain ‘exceptional’ circumstances. This rests on the presumption of a central and dominant product, usually to be found via market shares, whereas centralised </w:t>
      </w:r>
      <w:r w:rsidR="00AC2237">
        <w:rPr>
          <w:rFonts w:ascii="Times New Roman" w:hAnsi="Times New Roman" w:cs="Times New Roman"/>
          <w:sz w:val="24"/>
          <w:szCs w:val="24"/>
        </w:rPr>
        <w:t xml:space="preserve">market </w:t>
      </w:r>
      <w:r w:rsidRPr="00774EDB">
        <w:rPr>
          <w:rFonts w:ascii="Times New Roman" w:hAnsi="Times New Roman" w:cs="Times New Roman"/>
          <w:sz w:val="24"/>
          <w:szCs w:val="24"/>
        </w:rPr>
        <w:t xml:space="preserve">products no longer </w:t>
      </w:r>
      <w:r w:rsidR="00803DE5" w:rsidRPr="00774EDB">
        <w:rPr>
          <w:rFonts w:ascii="Times New Roman" w:hAnsi="Times New Roman" w:cs="Times New Roman"/>
          <w:sz w:val="24"/>
          <w:szCs w:val="24"/>
        </w:rPr>
        <w:t xml:space="preserve">depict the underlying </w:t>
      </w:r>
      <w:r w:rsidR="00021426" w:rsidRPr="00774EDB">
        <w:rPr>
          <w:rFonts w:ascii="Times New Roman" w:hAnsi="Times New Roman" w:cs="Times New Roman"/>
          <w:sz w:val="24"/>
          <w:szCs w:val="24"/>
        </w:rPr>
        <w:t>coopetitive</w:t>
      </w:r>
      <w:r w:rsidRPr="00774EDB">
        <w:rPr>
          <w:rFonts w:ascii="Times New Roman" w:hAnsi="Times New Roman" w:cs="Times New Roman"/>
          <w:sz w:val="24"/>
          <w:szCs w:val="24"/>
        </w:rPr>
        <w:t xml:space="preserve"> relationships.</w:t>
      </w:r>
      <w:r w:rsidR="00BA49CD" w:rsidRPr="00774EDB">
        <w:rPr>
          <w:rFonts w:ascii="Times New Roman" w:hAnsi="Times New Roman" w:cs="Times New Roman"/>
          <w:sz w:val="24"/>
          <w:szCs w:val="24"/>
        </w:rPr>
        <w:t xml:space="preserve"> Furthermore</w:t>
      </w:r>
      <w:r w:rsidRPr="00774EDB">
        <w:rPr>
          <w:rFonts w:ascii="Times New Roman" w:hAnsi="Times New Roman" w:cs="Times New Roman"/>
          <w:sz w:val="24"/>
          <w:szCs w:val="24"/>
        </w:rPr>
        <w:t xml:space="preserve">, a cloud provider’s relationship with other ICT players in the ecosystem context are crucial </w:t>
      </w:r>
      <w:r w:rsidR="00BA49CD" w:rsidRPr="00774EDB">
        <w:rPr>
          <w:rFonts w:ascii="Times New Roman" w:hAnsi="Times New Roman" w:cs="Times New Roman"/>
          <w:sz w:val="24"/>
          <w:szCs w:val="24"/>
        </w:rPr>
        <w:t xml:space="preserve">also </w:t>
      </w:r>
      <w:r w:rsidRPr="00774EDB">
        <w:rPr>
          <w:rFonts w:ascii="Times New Roman" w:hAnsi="Times New Roman" w:cs="Times New Roman"/>
          <w:sz w:val="24"/>
          <w:szCs w:val="24"/>
        </w:rPr>
        <w:t xml:space="preserve">in the sense that efficiencies are usually spread across the interdependent layers. As these issues i.e. efficiencies, and problems i.e. the refusal to supply, need to be analysed within the broader context of interdependencies, a wider regulatory lens comprising multi-layered interoperability, would rather be followed.           </w:t>
      </w:r>
    </w:p>
    <w:p w14:paraId="5210C782" w14:textId="77777777" w:rsidR="00014BE4" w:rsidRPr="00774EDB" w:rsidRDefault="00170268" w:rsidP="00A70042">
      <w:pPr>
        <w:pStyle w:val="Heading2"/>
        <w:numPr>
          <w:ilvl w:val="1"/>
          <w:numId w:val="33"/>
        </w:numPr>
        <w:tabs>
          <w:tab w:val="left" w:pos="426"/>
        </w:tabs>
        <w:spacing w:before="360"/>
        <w:ind w:left="0" w:firstLine="0"/>
        <w:jc w:val="both"/>
        <w:rPr>
          <w:rFonts w:ascii="Times New Roman" w:hAnsi="Times New Roman" w:cs="Times New Roman"/>
          <w:b/>
          <w:color w:val="auto"/>
          <w:sz w:val="24"/>
          <w:szCs w:val="24"/>
        </w:rPr>
      </w:pPr>
      <w:bookmarkStart w:id="602" w:name="_Toc17611481"/>
      <w:bookmarkStart w:id="603" w:name="_Toc17611698"/>
      <w:bookmarkStart w:id="604" w:name="_Toc17611910"/>
      <w:bookmarkStart w:id="605" w:name="_Toc17612124"/>
      <w:bookmarkStart w:id="606" w:name="_Toc17612337"/>
      <w:bookmarkStart w:id="607" w:name="_Toc17611482"/>
      <w:bookmarkStart w:id="608" w:name="_Toc53576107"/>
      <w:bookmarkEnd w:id="602"/>
      <w:bookmarkEnd w:id="603"/>
      <w:bookmarkEnd w:id="604"/>
      <w:bookmarkEnd w:id="605"/>
      <w:bookmarkEnd w:id="606"/>
      <w:r w:rsidRPr="00774EDB">
        <w:rPr>
          <w:rFonts w:ascii="Times New Roman" w:hAnsi="Times New Roman" w:cs="Times New Roman"/>
          <w:b/>
          <w:color w:val="auto"/>
          <w:sz w:val="24"/>
          <w:szCs w:val="24"/>
        </w:rPr>
        <w:lastRenderedPageBreak/>
        <w:t xml:space="preserve">The </w:t>
      </w:r>
      <w:r w:rsidR="00D732E9" w:rsidRPr="00774EDB">
        <w:rPr>
          <w:rFonts w:ascii="Times New Roman" w:hAnsi="Times New Roman" w:cs="Times New Roman"/>
          <w:b/>
          <w:color w:val="auto"/>
          <w:sz w:val="24"/>
          <w:szCs w:val="24"/>
        </w:rPr>
        <w:t>Internet of Things</w:t>
      </w:r>
      <w:bookmarkEnd w:id="607"/>
      <w:bookmarkEnd w:id="608"/>
    </w:p>
    <w:p w14:paraId="11211435" w14:textId="77777777" w:rsidR="00E11721" w:rsidRPr="00774EDB" w:rsidRDefault="00494AF5" w:rsidP="00A70042">
      <w:pPr>
        <w:pStyle w:val="Heading3"/>
        <w:numPr>
          <w:ilvl w:val="2"/>
          <w:numId w:val="33"/>
        </w:numPr>
        <w:spacing w:before="360"/>
        <w:ind w:left="0" w:firstLine="0"/>
        <w:jc w:val="both"/>
        <w:rPr>
          <w:rFonts w:ascii="Times New Roman" w:hAnsi="Times New Roman" w:cs="Times New Roman"/>
          <w:b/>
          <w:color w:val="auto"/>
        </w:rPr>
      </w:pPr>
      <w:bookmarkStart w:id="609" w:name="_Toc17611483"/>
      <w:bookmarkStart w:id="610" w:name="_Toc17611700"/>
      <w:bookmarkStart w:id="611" w:name="_Toc17611912"/>
      <w:bookmarkStart w:id="612" w:name="_Toc17612126"/>
      <w:bookmarkStart w:id="613" w:name="_Toc17612339"/>
      <w:bookmarkStart w:id="614" w:name="_Toc17611484"/>
      <w:bookmarkStart w:id="615" w:name="_Toc53576108"/>
      <w:bookmarkEnd w:id="609"/>
      <w:bookmarkEnd w:id="610"/>
      <w:bookmarkEnd w:id="611"/>
      <w:bookmarkEnd w:id="612"/>
      <w:bookmarkEnd w:id="613"/>
      <w:r w:rsidRPr="00774EDB">
        <w:rPr>
          <w:rFonts w:ascii="Times New Roman" w:hAnsi="Times New Roman" w:cs="Times New Roman"/>
          <w:b/>
          <w:color w:val="auto"/>
        </w:rPr>
        <w:t>General Overview</w:t>
      </w:r>
      <w:bookmarkEnd w:id="614"/>
      <w:bookmarkEnd w:id="615"/>
    </w:p>
    <w:p w14:paraId="4F078539" w14:textId="77777777" w:rsidR="00F84351" w:rsidRPr="00774EDB" w:rsidRDefault="00E95DA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Internet of Things (IoT) is a natural extension of the internet.</w:t>
      </w:r>
      <w:r w:rsidRPr="00774EDB">
        <w:rPr>
          <w:rStyle w:val="FootnoteReference"/>
          <w:rFonts w:ascii="Times New Roman" w:hAnsi="Times New Roman" w:cs="Times New Roman"/>
          <w:sz w:val="24"/>
          <w:szCs w:val="24"/>
        </w:rPr>
        <w:footnoteReference w:id="789"/>
      </w:r>
      <w:r w:rsidRPr="00774EDB">
        <w:rPr>
          <w:rFonts w:ascii="Times New Roman" w:hAnsi="Times New Roman" w:cs="Times New Roman"/>
          <w:sz w:val="24"/>
          <w:szCs w:val="24"/>
        </w:rPr>
        <w:t xml:space="preserve"> The Internet of Things (IoT) is defined as “A global infrastructure for the information society, enabling advanced services by interconnecting physical and virtual things based on existing and evolving interoperable information and communications technologies”.</w:t>
      </w:r>
      <w:r w:rsidRPr="00774EDB">
        <w:rPr>
          <w:rStyle w:val="FootnoteReference"/>
          <w:rFonts w:ascii="Times New Roman" w:hAnsi="Times New Roman" w:cs="Times New Roman"/>
          <w:sz w:val="24"/>
          <w:szCs w:val="24"/>
        </w:rPr>
        <w:footnoteReference w:id="790"/>
      </w:r>
      <w:r w:rsidRPr="00774EDB">
        <w:rPr>
          <w:rFonts w:ascii="Times New Roman" w:hAnsi="Times New Roman" w:cs="Times New Roman"/>
          <w:sz w:val="24"/>
          <w:szCs w:val="24"/>
        </w:rPr>
        <w:t xml:space="preserve"> This term denotes a trend whereby myriad devices and sensors employ communication services, data exchange and processing towards certain results. At the centre of the IoT lies the connected devices or smart objects, including cars, refrigerators, health care devices and wearable things such as wrist bands and watches, which communicate and exchange data with each other on the basis of end-to-end connectivity that is ensured by certain protocols and standards.</w:t>
      </w:r>
    </w:p>
    <w:p w14:paraId="7444C89D" w14:textId="77777777" w:rsidR="00494AF5" w:rsidRPr="00774EDB" w:rsidRDefault="00E95DA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Consumer products, durable goods, cars and trucks, industrial and utility components, sensors, and other everyday objects are being combined with internet connectivity and powerful data analytic capabilities that promise to transform the way we work, live, and play.</w:t>
      </w:r>
      <w:r w:rsidRPr="00774EDB">
        <w:rPr>
          <w:rStyle w:val="FootnoteReference"/>
          <w:rFonts w:ascii="Times New Roman" w:hAnsi="Times New Roman" w:cs="Times New Roman"/>
          <w:sz w:val="24"/>
          <w:szCs w:val="24"/>
        </w:rPr>
        <w:footnoteReference w:id="791"/>
      </w:r>
      <w:r w:rsidRPr="00774EDB">
        <w:rPr>
          <w:rFonts w:ascii="Times New Roman" w:hAnsi="Times New Roman" w:cs="Times New Roman"/>
          <w:sz w:val="24"/>
          <w:szCs w:val="24"/>
        </w:rPr>
        <w:t xml:space="preserve"> The IoT can generate an incredibly powerful breadth of data which can then be translated into a product cloud or networked system, out of which users’ information is clustered, filtered and managed. Alongside cloud computing, the IoT serves as one of the leading technologies that stimulate and transform big data into innovative products and new avenues of wealth generation.</w:t>
      </w:r>
      <w:r w:rsidRPr="00774EDB">
        <w:rPr>
          <w:rStyle w:val="FootnoteReference"/>
          <w:rFonts w:ascii="Times New Roman" w:hAnsi="Times New Roman" w:cs="Times New Roman"/>
          <w:sz w:val="24"/>
          <w:szCs w:val="24"/>
        </w:rPr>
        <w:footnoteReference w:id="792"/>
      </w:r>
      <w:r w:rsidRPr="00774EDB">
        <w:rPr>
          <w:rFonts w:ascii="Times New Roman" w:hAnsi="Times New Roman" w:cs="Times New Roman"/>
          <w:sz w:val="24"/>
          <w:szCs w:val="24"/>
        </w:rPr>
        <w:t xml:space="preserve"> </w:t>
      </w:r>
      <w:r w:rsidR="00494AF5" w:rsidRPr="00774EDB">
        <w:rPr>
          <w:rFonts w:ascii="Times New Roman" w:hAnsi="Times New Roman" w:cs="Times New Roman"/>
          <w:sz w:val="24"/>
          <w:szCs w:val="24"/>
        </w:rPr>
        <w:t xml:space="preserve"> </w:t>
      </w:r>
    </w:p>
    <w:p w14:paraId="2C840F1E" w14:textId="7FFF7FEF" w:rsidR="00A60B16" w:rsidRPr="00774EDB" w:rsidRDefault="00E95DA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Projections for the impact of the IoT on the Internet and economy are impressive, with some anticipating as many as 100 billion connected IoT devices and a global economic impact of more than $11 trillion by 2025.</w:t>
      </w:r>
      <w:r w:rsidRPr="00774EDB">
        <w:rPr>
          <w:rStyle w:val="FootnoteReference"/>
          <w:rFonts w:ascii="Times New Roman" w:hAnsi="Times New Roman" w:cs="Times New Roman"/>
          <w:sz w:val="24"/>
          <w:szCs w:val="24"/>
        </w:rPr>
        <w:footnoteReference w:id="793"/>
      </w:r>
      <w:r w:rsidRPr="00774EDB">
        <w:rPr>
          <w:rFonts w:ascii="Times New Roman" w:hAnsi="Times New Roman" w:cs="Times New Roman"/>
          <w:sz w:val="24"/>
          <w:szCs w:val="24"/>
        </w:rPr>
        <w:t xml:space="preserve"> Behind this big transformational impact lies the combination of ubiquitous network access, the processing power of microchips, miniaturised devices, cloud computing and big data analytics. The IoT enables a very broad range of applications – from more efficient agriculture, manufacturing, logistics, counterfeit detection, monitoring of people, stock, vehicles, equipment and infrastructure, to improved healthcare, retailing traffic management, product development and hydrocarbon exploration.</w:t>
      </w:r>
      <w:r w:rsidRPr="00774EDB">
        <w:rPr>
          <w:rStyle w:val="FootnoteReference"/>
          <w:rFonts w:ascii="Times New Roman" w:hAnsi="Times New Roman" w:cs="Times New Roman"/>
          <w:sz w:val="24"/>
          <w:szCs w:val="24"/>
        </w:rPr>
        <w:footnoteReference w:id="794"/>
      </w:r>
      <w:r w:rsidRPr="00774EDB">
        <w:rPr>
          <w:rFonts w:ascii="Times New Roman" w:hAnsi="Times New Roman" w:cs="Times New Roman"/>
          <w:sz w:val="24"/>
          <w:szCs w:val="24"/>
        </w:rPr>
        <w:t xml:space="preserve"> All these point to a hyper-connected world of smart devices, applications and value-added services spreading across to every corner of our daily lives, as manifested below (See Figure </w:t>
      </w:r>
      <w:r w:rsidR="00E132E0">
        <w:rPr>
          <w:rFonts w:ascii="Times New Roman" w:hAnsi="Times New Roman" w:cs="Times New Roman"/>
          <w:sz w:val="24"/>
          <w:szCs w:val="24"/>
        </w:rPr>
        <w:t>10</w:t>
      </w:r>
      <w:r w:rsidRPr="00774EDB">
        <w:rPr>
          <w:rFonts w:ascii="Times New Roman" w:hAnsi="Times New Roman" w:cs="Times New Roman"/>
          <w:sz w:val="24"/>
          <w:szCs w:val="24"/>
        </w:rPr>
        <w:t>).</w:t>
      </w:r>
      <w:r w:rsidR="00A60B16" w:rsidRPr="00774EDB">
        <w:rPr>
          <w:rFonts w:ascii="Times New Roman" w:hAnsi="Times New Roman" w:cs="Times New Roman"/>
          <w:sz w:val="24"/>
          <w:szCs w:val="24"/>
        </w:rPr>
        <w:t xml:space="preserve"> </w:t>
      </w:r>
    </w:p>
    <w:p w14:paraId="7A395568" w14:textId="77777777" w:rsidR="00327E6E" w:rsidRDefault="003A5A9E" w:rsidP="00327E6E">
      <w:pPr>
        <w:spacing w:before="360"/>
        <w:jc w:val="both"/>
        <w:rPr>
          <w:rFonts w:ascii="Times New Roman" w:hAnsi="Times New Roman" w:cs="Times New Roman"/>
          <w:b/>
          <w:bCs/>
          <w:sz w:val="24"/>
          <w:szCs w:val="24"/>
        </w:rPr>
      </w:pPr>
      <w:r w:rsidRPr="00A70042">
        <w:rPr>
          <w:rFonts w:ascii="Times New Roman" w:hAnsi="Times New Roman" w:cs="Times New Roman"/>
          <w:noProof/>
          <w:sz w:val="24"/>
          <w:szCs w:val="24"/>
          <w:lang w:eastAsia="en-GB"/>
        </w:rPr>
        <w:lastRenderedPageBreak/>
        <w:drawing>
          <wp:inline distT="0" distB="0" distL="0" distR="0" wp14:anchorId="785CBF46" wp14:editId="7DA782E1">
            <wp:extent cx="5215737" cy="3832308"/>
            <wp:effectExtent l="0" t="0" r="4445" b="0"/>
            <wp:docPr id="35" name="Picture 35" descr="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Diagram"/>
                    <pic:cNvPicPr>
                      <a:picLocks noChangeAspect="1" noChangeArrowheads="1"/>
                    </pic:cNvPicPr>
                  </pic:nvPicPr>
                  <pic:blipFill rotWithShape="1">
                    <a:blip r:embed="rId21">
                      <a:extLst>
                        <a:ext uri="{28A0092B-C50C-407E-A947-70E740481C1C}">
                          <a14:useLocalDpi xmlns:a14="http://schemas.microsoft.com/office/drawing/2010/main" val="0"/>
                        </a:ext>
                      </a:extLst>
                    </a:blip>
                    <a:srcRect l="3191" t="3824" r="2479" b="1775"/>
                    <a:stretch/>
                  </pic:blipFill>
                  <pic:spPr bwMode="auto">
                    <a:xfrm>
                      <a:off x="0" y="0"/>
                      <a:ext cx="5225919" cy="3839789"/>
                    </a:xfrm>
                    <a:prstGeom prst="rect">
                      <a:avLst/>
                    </a:prstGeom>
                    <a:noFill/>
                    <a:ln>
                      <a:noFill/>
                    </a:ln>
                    <a:extLst>
                      <a:ext uri="{53640926-AAD7-44D8-BBD7-CCE9431645EC}">
                        <a14:shadowObscured xmlns:a14="http://schemas.microsoft.com/office/drawing/2010/main"/>
                      </a:ext>
                    </a:extLst>
                  </pic:spPr>
                </pic:pic>
              </a:graphicData>
            </a:graphic>
          </wp:inline>
        </w:drawing>
      </w:r>
    </w:p>
    <w:p w14:paraId="6144B1E3" w14:textId="500BD8F5" w:rsidR="00A60B16" w:rsidRPr="00774EDB" w:rsidRDefault="003260EA" w:rsidP="00A70042">
      <w:pPr>
        <w:jc w:val="both"/>
        <w:outlineLvl w:val="7"/>
        <w:rPr>
          <w:rFonts w:ascii="Times New Roman" w:hAnsi="Times New Roman" w:cs="Times New Roman"/>
          <w:b/>
          <w:sz w:val="24"/>
          <w:szCs w:val="24"/>
        </w:rPr>
      </w:pPr>
      <w:bookmarkStart w:id="616" w:name="_Toc17612473"/>
      <w:r w:rsidRPr="00A70042">
        <w:rPr>
          <w:rFonts w:ascii="Times New Roman" w:hAnsi="Times New Roman" w:cs="Times New Roman"/>
          <w:b/>
          <w:bCs/>
          <w:sz w:val="24"/>
          <w:szCs w:val="24"/>
        </w:rPr>
        <w:t>Figure</w:t>
      </w:r>
      <w:r w:rsidR="003A5A9E" w:rsidRPr="00A70042">
        <w:rPr>
          <w:rFonts w:ascii="Times New Roman" w:hAnsi="Times New Roman" w:cs="Times New Roman"/>
          <w:b/>
          <w:bCs/>
          <w:sz w:val="24"/>
          <w:szCs w:val="24"/>
        </w:rPr>
        <w:t xml:space="preserve"> </w:t>
      </w:r>
      <w:r w:rsidR="00327E6E">
        <w:rPr>
          <w:rFonts w:ascii="Times New Roman" w:hAnsi="Times New Roman" w:cs="Times New Roman"/>
          <w:b/>
          <w:bCs/>
          <w:sz w:val="24"/>
          <w:szCs w:val="24"/>
        </w:rPr>
        <w:t>10</w:t>
      </w:r>
      <w:r w:rsidRPr="00A70042">
        <w:rPr>
          <w:rFonts w:ascii="Times New Roman" w:hAnsi="Times New Roman" w:cs="Times New Roman"/>
          <w:b/>
          <w:bCs/>
          <w:sz w:val="24"/>
          <w:szCs w:val="24"/>
        </w:rPr>
        <w:t>:</w:t>
      </w:r>
      <w:r w:rsidRPr="00A70042">
        <w:rPr>
          <w:rFonts w:ascii="Times New Roman" w:hAnsi="Times New Roman" w:cs="Times New Roman"/>
          <w:sz w:val="24"/>
          <w:szCs w:val="24"/>
        </w:rPr>
        <w:t xml:space="preserve"> Proliferation of </w:t>
      </w:r>
      <w:r w:rsidR="00E95DAB" w:rsidRPr="00A70042">
        <w:rPr>
          <w:rFonts w:ascii="Times New Roman" w:hAnsi="Times New Roman" w:cs="Times New Roman"/>
          <w:sz w:val="24"/>
          <w:szCs w:val="24"/>
        </w:rPr>
        <w:t xml:space="preserve">the </w:t>
      </w:r>
      <w:r w:rsidRPr="00A70042">
        <w:rPr>
          <w:rFonts w:ascii="Times New Roman" w:hAnsi="Times New Roman" w:cs="Times New Roman"/>
          <w:sz w:val="24"/>
          <w:szCs w:val="24"/>
        </w:rPr>
        <w:t>IoT services, devices and applications</w:t>
      </w:r>
      <w:bookmarkEnd w:id="616"/>
    </w:p>
    <w:p w14:paraId="156158FE" w14:textId="7A99C5A2" w:rsidR="00B14726" w:rsidRPr="00A70042" w:rsidRDefault="00E95DAB" w:rsidP="00A70042">
      <w:pPr>
        <w:spacing w:before="120" w:line="240" w:lineRule="auto"/>
        <w:jc w:val="both"/>
        <w:rPr>
          <w:rFonts w:ascii="Times New Roman" w:hAnsi="Times New Roman" w:cs="Times New Roman"/>
          <w:sz w:val="20"/>
          <w:szCs w:val="20"/>
        </w:rPr>
      </w:pPr>
      <w:r w:rsidRPr="00A70042">
        <w:rPr>
          <w:rFonts w:ascii="Times New Roman" w:hAnsi="Times New Roman" w:cs="Times New Roman"/>
          <w:sz w:val="20"/>
          <w:szCs w:val="20"/>
        </w:rPr>
        <w:t xml:space="preserve">Source: Paula Fraga-Lamas, Tiago M. Fernández-Caramés, Manuel Suárez-Albela, Luis Castedo and Miguel González-López, ‘A Review of the Internet of Things for Defense and Public Safety’ </w:t>
      </w:r>
      <w:r w:rsidR="00210EF4" w:rsidRPr="00A70042">
        <w:rPr>
          <w:rFonts w:ascii="Times New Roman" w:hAnsi="Times New Roman" w:cs="Times New Roman"/>
          <w:sz w:val="20"/>
          <w:szCs w:val="20"/>
        </w:rPr>
        <w:t>(</w:t>
      </w:r>
      <w:r w:rsidRPr="00A70042">
        <w:rPr>
          <w:rFonts w:ascii="Times New Roman" w:hAnsi="Times New Roman" w:cs="Times New Roman"/>
          <w:sz w:val="20"/>
          <w:szCs w:val="20"/>
        </w:rPr>
        <w:t>2016</w:t>
      </w:r>
      <w:r w:rsidR="00210EF4" w:rsidRPr="00A70042">
        <w:rPr>
          <w:rFonts w:ascii="Times New Roman" w:hAnsi="Times New Roman" w:cs="Times New Roman"/>
          <w:sz w:val="20"/>
          <w:szCs w:val="20"/>
        </w:rPr>
        <w:t>)</w:t>
      </w:r>
      <w:r w:rsidRPr="00A70042">
        <w:rPr>
          <w:rFonts w:ascii="Times New Roman" w:hAnsi="Times New Roman" w:cs="Times New Roman"/>
          <w:sz w:val="20"/>
          <w:szCs w:val="20"/>
        </w:rPr>
        <w:t xml:space="preserve"> 16 Sensors </w:t>
      </w:r>
      <w:r w:rsidR="00C87CAC" w:rsidRPr="00A70042">
        <w:rPr>
          <w:rFonts w:ascii="Times New Roman" w:hAnsi="Times New Roman" w:cs="Times New Roman"/>
          <w:sz w:val="20"/>
          <w:szCs w:val="20"/>
        </w:rPr>
        <w:t>&lt;https://www.mdpi.com/1424-8220/16/10/1644&gt;</w:t>
      </w:r>
      <w:r w:rsidR="00C36E55">
        <w:rPr>
          <w:rFonts w:ascii="Times New Roman" w:hAnsi="Times New Roman" w:cs="Times New Roman"/>
          <w:sz w:val="20"/>
          <w:szCs w:val="20"/>
        </w:rPr>
        <w:t xml:space="preserve"> accessed </w:t>
      </w:r>
      <w:r w:rsidR="00F817B5">
        <w:rPr>
          <w:rFonts w:ascii="Times New Roman" w:hAnsi="Times New Roman" w:cs="Times New Roman"/>
          <w:sz w:val="20"/>
          <w:szCs w:val="20"/>
        </w:rPr>
        <w:t>9 October 2020</w:t>
      </w:r>
    </w:p>
    <w:p w14:paraId="56D570B2" w14:textId="0C65236C" w:rsidR="00494AF5" w:rsidRPr="00774EDB" w:rsidRDefault="00E95DA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Although distinguishable from each other on industrial grounds, each manifestation of the IoT has similar building blocks. For a viable IoT model, the stakeholders, from manufacturers to application developers, should cooperate in order to match and optimise their resources, both technically and commercially. In this regard, in all the IoT settings i.e. home appliances, smart cars, wearable devices, smart energy and telemedicine, the stakeholders’ software and hardware solutions should speak to each other, which echoes IoT interoperability. Below, first the technical and economic underpinnings and then the interoperability aspects of the IoT are examined, respectively.</w:t>
      </w:r>
    </w:p>
    <w:p w14:paraId="274E886B" w14:textId="77777777" w:rsidR="00494AF5" w:rsidRPr="00774EDB" w:rsidRDefault="00A30EE1" w:rsidP="00A70042">
      <w:pPr>
        <w:pStyle w:val="Heading3"/>
        <w:numPr>
          <w:ilvl w:val="2"/>
          <w:numId w:val="33"/>
        </w:numPr>
        <w:spacing w:before="360"/>
        <w:ind w:left="0" w:firstLine="0"/>
        <w:jc w:val="both"/>
        <w:rPr>
          <w:rFonts w:ascii="Times New Roman" w:hAnsi="Times New Roman" w:cs="Times New Roman"/>
          <w:b/>
          <w:color w:val="auto"/>
        </w:rPr>
      </w:pPr>
      <w:bookmarkStart w:id="617" w:name="_Toc17611485"/>
      <w:bookmarkStart w:id="618" w:name="_Toc53576109"/>
      <w:r w:rsidRPr="00774EDB">
        <w:rPr>
          <w:rFonts w:ascii="Times New Roman" w:hAnsi="Times New Roman" w:cs="Times New Roman"/>
          <w:b/>
          <w:color w:val="auto"/>
        </w:rPr>
        <w:lastRenderedPageBreak/>
        <w:t>T</w:t>
      </w:r>
      <w:r w:rsidR="00A07BB7" w:rsidRPr="00774EDB">
        <w:rPr>
          <w:rFonts w:ascii="Times New Roman" w:hAnsi="Times New Roman" w:cs="Times New Roman"/>
          <w:b/>
          <w:color w:val="auto"/>
        </w:rPr>
        <w:t xml:space="preserve">echnical </w:t>
      </w:r>
      <w:r w:rsidRPr="00774EDB">
        <w:rPr>
          <w:rFonts w:ascii="Times New Roman" w:hAnsi="Times New Roman" w:cs="Times New Roman"/>
          <w:b/>
          <w:color w:val="auto"/>
        </w:rPr>
        <w:t xml:space="preserve">and economic </w:t>
      </w:r>
      <w:r w:rsidR="00F84351" w:rsidRPr="00774EDB">
        <w:rPr>
          <w:rFonts w:ascii="Times New Roman" w:hAnsi="Times New Roman" w:cs="Times New Roman"/>
          <w:b/>
          <w:color w:val="auto"/>
        </w:rPr>
        <w:t>underpinnings</w:t>
      </w:r>
      <w:bookmarkEnd w:id="617"/>
      <w:bookmarkEnd w:id="618"/>
    </w:p>
    <w:p w14:paraId="565677F1" w14:textId="77777777" w:rsidR="00CD7E63" w:rsidRPr="00774EDB" w:rsidRDefault="00E95DA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IoT brings out an important degree of efficiencies and innovation based on the M2M communications and internet connectivity, ending up with reformation of the industries and sectors. Following the invention of ‘computers’ and the ‘internet’, the IoT represents the next biggest wave of transformation, along with large-scale economic implications. It has driven the creation of new business models as well as modernisation of existing businesses, by utilising new software and microprocessors, etc, lessening the need for human resources and reducing operational costs.</w:t>
      </w:r>
      <w:r w:rsidRPr="00774EDB">
        <w:rPr>
          <w:rStyle w:val="FootnoteReference"/>
          <w:rFonts w:ascii="Times New Roman" w:hAnsi="Times New Roman" w:cs="Times New Roman"/>
          <w:sz w:val="24"/>
          <w:szCs w:val="24"/>
        </w:rPr>
        <w:footnoteReference w:id="795"/>
      </w:r>
      <w:r w:rsidR="00CD7E63" w:rsidRPr="00774EDB">
        <w:rPr>
          <w:rFonts w:ascii="Times New Roman" w:hAnsi="Times New Roman" w:cs="Times New Roman"/>
          <w:sz w:val="24"/>
          <w:szCs w:val="24"/>
        </w:rPr>
        <w:t xml:space="preserve">  </w:t>
      </w:r>
    </w:p>
    <w:p w14:paraId="2DA0A636" w14:textId="5C204604" w:rsidR="00C277C0" w:rsidRPr="00774EDB" w:rsidRDefault="00E95DA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Web 2.0 has changed usage of the WWW by providing more intuitive interfaces for user interaction, social networking and the publication of under-generated content, without requiring fundamental changes to the design and existing standards of the internet.</w:t>
      </w:r>
      <w:r w:rsidRPr="00774EDB">
        <w:rPr>
          <w:rStyle w:val="FootnoteReference"/>
          <w:rFonts w:ascii="Times New Roman" w:hAnsi="Times New Roman" w:cs="Times New Roman"/>
          <w:sz w:val="24"/>
          <w:szCs w:val="24"/>
        </w:rPr>
        <w:footnoteReference w:id="796"/>
      </w:r>
      <w:r w:rsidRPr="00774EDB">
        <w:rPr>
          <w:rFonts w:ascii="Times New Roman" w:hAnsi="Times New Roman" w:cs="Times New Roman"/>
          <w:sz w:val="24"/>
          <w:szCs w:val="24"/>
        </w:rPr>
        <w:t xml:space="preserve"> Conversely, the IoT, along with other emerging technologies i.e. cloud computing, machine learning and </w:t>
      </w:r>
      <w:r w:rsidR="003A67F0">
        <w:rPr>
          <w:rFonts w:ascii="Times New Roman" w:hAnsi="Times New Roman" w:cs="Times New Roman"/>
          <w:sz w:val="24"/>
          <w:szCs w:val="24"/>
        </w:rPr>
        <w:t>AI</w:t>
      </w:r>
      <w:r w:rsidRPr="00774EDB">
        <w:rPr>
          <w:rFonts w:ascii="Times New Roman" w:hAnsi="Times New Roman" w:cs="Times New Roman"/>
          <w:sz w:val="24"/>
          <w:szCs w:val="24"/>
        </w:rPr>
        <w:t>, is destined to bring a new industrial revolution (Web 4.0) together with socio-economic repercussions. At the heart of such paradigmatic change lies the IoT connectivity, which takes three forms as follows:</w:t>
      </w:r>
      <w:r w:rsidR="00C277C0" w:rsidRPr="00774EDB">
        <w:rPr>
          <w:rFonts w:ascii="Times New Roman" w:hAnsi="Times New Roman" w:cs="Times New Roman"/>
          <w:sz w:val="24"/>
          <w:szCs w:val="24"/>
        </w:rPr>
        <w:t xml:space="preserve">  </w:t>
      </w:r>
    </w:p>
    <w:p w14:paraId="0715314C" w14:textId="77777777" w:rsidR="00C277C0" w:rsidRPr="00774EDB" w:rsidRDefault="00C277C0" w:rsidP="00A70042">
      <w:pPr>
        <w:pStyle w:val="ListParagraph"/>
        <w:numPr>
          <w:ilvl w:val="0"/>
          <w:numId w:val="22"/>
        </w:numPr>
        <w:spacing w:before="360"/>
        <w:ind w:left="454" w:hanging="284"/>
        <w:contextualSpacing w:val="0"/>
        <w:jc w:val="both"/>
        <w:rPr>
          <w:rFonts w:ascii="Times New Roman" w:hAnsi="Times New Roman" w:cs="Times New Roman"/>
          <w:sz w:val="24"/>
          <w:szCs w:val="24"/>
        </w:rPr>
      </w:pPr>
      <w:r w:rsidRPr="00774EDB">
        <w:rPr>
          <w:rFonts w:ascii="Times New Roman" w:hAnsi="Times New Roman" w:cs="Times New Roman"/>
          <w:sz w:val="24"/>
          <w:szCs w:val="24"/>
        </w:rPr>
        <w:t>One-to-one: An individual product connects to the user, the manufacturer, or another product through a port or other interface -</w:t>
      </w:r>
      <w:r w:rsidR="0080337B" w:rsidRPr="00774EDB">
        <w:rPr>
          <w:rFonts w:ascii="Times New Roman" w:hAnsi="Times New Roman" w:cs="Times New Roman"/>
          <w:sz w:val="24"/>
          <w:szCs w:val="24"/>
        </w:rPr>
        <w:t xml:space="preserve"> </w:t>
      </w:r>
      <w:r w:rsidRPr="00774EDB">
        <w:rPr>
          <w:rFonts w:ascii="Times New Roman" w:hAnsi="Times New Roman" w:cs="Times New Roman"/>
          <w:sz w:val="24"/>
          <w:szCs w:val="24"/>
        </w:rPr>
        <w:t>for example, when a car is hooked up to diagnostic machine.</w:t>
      </w:r>
    </w:p>
    <w:p w14:paraId="5310F59E" w14:textId="77777777" w:rsidR="00C277C0" w:rsidRPr="00774EDB" w:rsidRDefault="00C277C0" w:rsidP="00A70042">
      <w:pPr>
        <w:pStyle w:val="ListParagraph"/>
        <w:numPr>
          <w:ilvl w:val="0"/>
          <w:numId w:val="22"/>
        </w:numPr>
        <w:spacing w:before="120"/>
        <w:ind w:left="454" w:hanging="284"/>
        <w:contextualSpacing w:val="0"/>
        <w:jc w:val="both"/>
        <w:rPr>
          <w:rFonts w:ascii="Times New Roman" w:hAnsi="Times New Roman" w:cs="Times New Roman"/>
          <w:sz w:val="24"/>
          <w:szCs w:val="24"/>
        </w:rPr>
      </w:pPr>
      <w:r w:rsidRPr="00774EDB">
        <w:rPr>
          <w:rFonts w:ascii="Times New Roman" w:hAnsi="Times New Roman" w:cs="Times New Roman"/>
          <w:sz w:val="24"/>
          <w:szCs w:val="24"/>
        </w:rPr>
        <w:t xml:space="preserve">One-to-many: A central system is continuously or intermittently connected to many products simultaneously. For example, many Tesla automobiles are </w:t>
      </w:r>
      <w:r w:rsidRPr="00774EDB">
        <w:rPr>
          <w:rFonts w:ascii="Times New Roman" w:hAnsi="Times New Roman" w:cs="Times New Roman"/>
          <w:sz w:val="24"/>
          <w:szCs w:val="24"/>
        </w:rPr>
        <w:lastRenderedPageBreak/>
        <w:t>connected to a single manufacturer system that monitors performance and accomplishes remote service and upgrades.</w:t>
      </w:r>
    </w:p>
    <w:p w14:paraId="4CAB9367" w14:textId="77777777" w:rsidR="00C277C0" w:rsidRPr="00774EDB" w:rsidRDefault="00C277C0" w:rsidP="00A70042">
      <w:pPr>
        <w:pStyle w:val="ListParagraph"/>
        <w:numPr>
          <w:ilvl w:val="0"/>
          <w:numId w:val="22"/>
        </w:numPr>
        <w:spacing w:before="120"/>
        <w:ind w:left="454" w:hanging="284"/>
        <w:contextualSpacing w:val="0"/>
        <w:jc w:val="both"/>
        <w:rPr>
          <w:rFonts w:ascii="Times New Roman" w:hAnsi="Times New Roman" w:cs="Times New Roman"/>
          <w:sz w:val="24"/>
          <w:szCs w:val="24"/>
        </w:rPr>
      </w:pPr>
      <w:r w:rsidRPr="00774EDB">
        <w:rPr>
          <w:rFonts w:ascii="Times New Roman" w:hAnsi="Times New Roman" w:cs="Times New Roman"/>
          <w:sz w:val="24"/>
          <w:szCs w:val="24"/>
        </w:rPr>
        <w:t>Many-to-many: Multiple products connect to many other types of products and often also to external data sources. An array of types of farm equipment are connected to one another, and to geolocation data, to coordinate and optimise the farm system. For example, automated tillers inject nitrogen fertiliser at precise depths and intervals, and seeders follow, placing corn seeds directly in the fertilised soil.</w:t>
      </w:r>
      <w:r w:rsidR="006910AE" w:rsidRPr="00774EDB">
        <w:rPr>
          <w:rStyle w:val="FootnoteReference"/>
          <w:rFonts w:ascii="Times New Roman" w:hAnsi="Times New Roman" w:cs="Times New Roman"/>
          <w:sz w:val="24"/>
          <w:szCs w:val="24"/>
        </w:rPr>
        <w:footnoteReference w:id="797"/>
      </w:r>
    </w:p>
    <w:p w14:paraId="69A83B27" w14:textId="5D2AFA77" w:rsidR="0080337B" w:rsidRPr="00774EDB" w:rsidRDefault="0080337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IoT hubs and connections explained above create new product chains, which manifest new ecosystems in effect.</w:t>
      </w:r>
      <w:r w:rsidRPr="00774EDB">
        <w:rPr>
          <w:rStyle w:val="FootnoteReference"/>
          <w:rFonts w:ascii="Times New Roman" w:hAnsi="Times New Roman" w:cs="Times New Roman"/>
          <w:sz w:val="24"/>
          <w:szCs w:val="24"/>
        </w:rPr>
        <w:footnoteReference w:id="798"/>
      </w:r>
      <w:r w:rsidRPr="00774EDB">
        <w:rPr>
          <w:rFonts w:ascii="Times New Roman" w:hAnsi="Times New Roman" w:cs="Times New Roman"/>
          <w:sz w:val="24"/>
          <w:szCs w:val="24"/>
        </w:rPr>
        <w:t xml:space="preserve"> At present, the IoT ecosystems are formed around technological innovations focusing on a specific application domain, such as RFID solutions in retail, mobile M2M communications in remote automated meter reading (AMR), or ZigBee communications in smart home.</w:t>
      </w:r>
      <w:r w:rsidRPr="00774EDB">
        <w:rPr>
          <w:rStyle w:val="FootnoteReference"/>
          <w:rFonts w:ascii="Times New Roman" w:hAnsi="Times New Roman" w:cs="Times New Roman"/>
          <w:sz w:val="24"/>
          <w:szCs w:val="24"/>
        </w:rPr>
        <w:footnoteReference w:id="799"/>
      </w:r>
      <w:r w:rsidRPr="00774EDB">
        <w:rPr>
          <w:rFonts w:ascii="Times New Roman" w:hAnsi="Times New Roman" w:cs="Times New Roman"/>
          <w:sz w:val="24"/>
          <w:szCs w:val="24"/>
        </w:rPr>
        <w:t xml:space="preserve"> Albeit with nuances from business perspectives, these nascent ecosystems reveal similarities in terms of architectural aspects, which are detailed below.</w:t>
      </w:r>
    </w:p>
    <w:p w14:paraId="75F22D38" w14:textId="77777777" w:rsidR="009B67A0" w:rsidRPr="00774EDB" w:rsidRDefault="00E038BA" w:rsidP="00A70042">
      <w:pPr>
        <w:pStyle w:val="Heading3"/>
        <w:numPr>
          <w:ilvl w:val="2"/>
          <w:numId w:val="33"/>
        </w:numPr>
        <w:spacing w:before="360"/>
        <w:ind w:left="0" w:firstLine="0"/>
        <w:jc w:val="both"/>
        <w:rPr>
          <w:rFonts w:ascii="Times New Roman" w:hAnsi="Times New Roman" w:cs="Times New Roman"/>
          <w:b/>
          <w:color w:val="auto"/>
        </w:rPr>
      </w:pPr>
      <w:bookmarkStart w:id="619" w:name="_Toc17611486"/>
      <w:bookmarkStart w:id="620" w:name="_Toc53576110"/>
      <w:r w:rsidRPr="00774EDB">
        <w:rPr>
          <w:rFonts w:ascii="Times New Roman" w:hAnsi="Times New Roman" w:cs="Times New Roman"/>
          <w:b/>
          <w:color w:val="auto"/>
        </w:rPr>
        <w:t>Architectural</w:t>
      </w:r>
      <w:r w:rsidR="00FB598E" w:rsidRPr="00774EDB">
        <w:rPr>
          <w:rFonts w:ascii="Times New Roman" w:hAnsi="Times New Roman" w:cs="Times New Roman"/>
          <w:b/>
          <w:color w:val="auto"/>
        </w:rPr>
        <w:t xml:space="preserve"> elements and layers in IoT</w:t>
      </w:r>
      <w:bookmarkEnd w:id="619"/>
      <w:bookmarkEnd w:id="620"/>
      <w:r w:rsidR="00FB598E" w:rsidRPr="00774EDB">
        <w:rPr>
          <w:rFonts w:ascii="Times New Roman" w:hAnsi="Times New Roman" w:cs="Times New Roman"/>
          <w:b/>
          <w:color w:val="auto"/>
        </w:rPr>
        <w:t xml:space="preserve">  </w:t>
      </w:r>
      <w:r w:rsidR="009B67A0" w:rsidRPr="00774EDB">
        <w:rPr>
          <w:rFonts w:ascii="Times New Roman" w:hAnsi="Times New Roman" w:cs="Times New Roman"/>
          <w:b/>
          <w:color w:val="auto"/>
        </w:rPr>
        <w:t xml:space="preserve"> </w:t>
      </w:r>
    </w:p>
    <w:p w14:paraId="14A25DB3" w14:textId="77777777" w:rsidR="007F093A" w:rsidRPr="00774EDB" w:rsidRDefault="007F093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Albeit with the differences pertaining to the industries and sectors, all the IoT settings depend on end-to-end connectivity and interoperability enabled by interfaces and protocols. That is, in all cases, IoT devices which are embedded to the objects:</w:t>
      </w:r>
    </w:p>
    <w:p w14:paraId="33F16190" w14:textId="77777777" w:rsidR="007F093A" w:rsidRPr="00774EDB" w:rsidRDefault="007F093A" w:rsidP="00A70042">
      <w:pPr>
        <w:pStyle w:val="ListParagraph"/>
        <w:numPr>
          <w:ilvl w:val="0"/>
          <w:numId w:val="22"/>
        </w:numPr>
        <w:spacing w:before="360"/>
        <w:ind w:left="709" w:hanging="425"/>
        <w:contextualSpacing w:val="0"/>
        <w:jc w:val="both"/>
        <w:rPr>
          <w:rFonts w:ascii="Times New Roman" w:hAnsi="Times New Roman" w:cs="Times New Roman"/>
          <w:sz w:val="24"/>
          <w:szCs w:val="24"/>
        </w:rPr>
      </w:pPr>
      <w:r w:rsidRPr="00774EDB">
        <w:rPr>
          <w:rFonts w:ascii="Times New Roman" w:hAnsi="Times New Roman" w:cs="Times New Roman"/>
          <w:sz w:val="24"/>
          <w:szCs w:val="24"/>
        </w:rPr>
        <w:lastRenderedPageBreak/>
        <w:t>should speak to other connected devices;</w:t>
      </w:r>
    </w:p>
    <w:p w14:paraId="4E389A5E" w14:textId="77777777" w:rsidR="007F093A" w:rsidRPr="00774EDB" w:rsidRDefault="007F093A" w:rsidP="00A70042">
      <w:pPr>
        <w:pStyle w:val="ListParagraph"/>
        <w:numPr>
          <w:ilvl w:val="0"/>
          <w:numId w:val="22"/>
        </w:numPr>
        <w:spacing w:before="120"/>
        <w:ind w:left="709" w:hanging="425"/>
        <w:contextualSpacing w:val="0"/>
        <w:jc w:val="both"/>
        <w:rPr>
          <w:rFonts w:ascii="Times New Roman" w:hAnsi="Times New Roman" w:cs="Times New Roman"/>
          <w:sz w:val="24"/>
          <w:szCs w:val="24"/>
        </w:rPr>
      </w:pPr>
      <w:r w:rsidRPr="00774EDB">
        <w:rPr>
          <w:rFonts w:ascii="Times New Roman" w:hAnsi="Times New Roman" w:cs="Times New Roman"/>
          <w:sz w:val="24"/>
          <w:szCs w:val="24"/>
        </w:rPr>
        <w:t>should exchange data streams (instructions) with each other and/or convey necessary messages to the service provider, usually via an IP cloud enabling data pooling, reporting, analytics; and</w:t>
      </w:r>
    </w:p>
    <w:p w14:paraId="6C86E5CE" w14:textId="77777777" w:rsidR="00F56FAB" w:rsidRPr="00774EDB" w:rsidRDefault="007F093A" w:rsidP="00A70042">
      <w:pPr>
        <w:pStyle w:val="ListParagraph"/>
        <w:numPr>
          <w:ilvl w:val="0"/>
          <w:numId w:val="22"/>
        </w:numPr>
        <w:spacing w:before="120"/>
        <w:ind w:left="709" w:hanging="425"/>
        <w:contextualSpacing w:val="0"/>
        <w:jc w:val="both"/>
        <w:rPr>
          <w:rFonts w:ascii="Times New Roman" w:hAnsi="Times New Roman" w:cs="Times New Roman"/>
          <w:sz w:val="24"/>
          <w:szCs w:val="24"/>
        </w:rPr>
      </w:pPr>
      <w:r w:rsidRPr="00774EDB">
        <w:rPr>
          <w:rFonts w:ascii="Times New Roman" w:hAnsi="Times New Roman" w:cs="Times New Roman"/>
          <w:sz w:val="24"/>
          <w:szCs w:val="24"/>
        </w:rPr>
        <w:t>communicate with the users who aim to control the so-called devices through various applications i.e. via tablets, mobile phones or other personalised devices.</w:t>
      </w:r>
    </w:p>
    <w:p w14:paraId="0E2B11FD" w14:textId="77777777" w:rsidR="009C2BEE" w:rsidRPr="00774EDB" w:rsidRDefault="009C2BE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For instance, a smart thermostat should have a set of functionalities, according to which, it should;</w:t>
      </w:r>
    </w:p>
    <w:p w14:paraId="255DDE05" w14:textId="77777777" w:rsidR="009C2BEE" w:rsidRPr="00774EDB" w:rsidRDefault="009C2BEE" w:rsidP="00A70042">
      <w:pPr>
        <w:pStyle w:val="ListParagraph"/>
        <w:numPr>
          <w:ilvl w:val="0"/>
          <w:numId w:val="25"/>
        </w:numPr>
        <w:spacing w:before="360"/>
        <w:contextualSpacing w:val="0"/>
        <w:jc w:val="both"/>
        <w:rPr>
          <w:rFonts w:ascii="Times New Roman" w:hAnsi="Times New Roman" w:cs="Times New Roman"/>
          <w:sz w:val="24"/>
          <w:szCs w:val="24"/>
        </w:rPr>
      </w:pPr>
      <w:r w:rsidRPr="00774EDB">
        <w:rPr>
          <w:rFonts w:ascii="Times New Roman" w:hAnsi="Times New Roman" w:cs="Times New Roman"/>
          <w:sz w:val="24"/>
          <w:szCs w:val="24"/>
        </w:rPr>
        <w:t>control temperature and humidity, and inform its consumer about the temperature changes,</w:t>
      </w:r>
    </w:p>
    <w:p w14:paraId="1D1B27C1" w14:textId="77777777" w:rsidR="009C2BEE" w:rsidRPr="00774EDB" w:rsidRDefault="009C2BEE" w:rsidP="00A70042">
      <w:pPr>
        <w:pStyle w:val="ListParagraph"/>
        <w:numPr>
          <w:ilvl w:val="0"/>
          <w:numId w:val="25"/>
        </w:numPr>
        <w:spacing w:before="120"/>
        <w:ind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aim to keep a stable temperature in a room,</w:t>
      </w:r>
    </w:p>
    <w:p w14:paraId="35D0EAF6" w14:textId="77777777" w:rsidR="009C2BEE" w:rsidRPr="00774EDB" w:rsidRDefault="009C2BEE" w:rsidP="00A70042">
      <w:pPr>
        <w:pStyle w:val="ListParagraph"/>
        <w:numPr>
          <w:ilvl w:val="0"/>
          <w:numId w:val="25"/>
        </w:numPr>
        <w:spacing w:before="120"/>
        <w:ind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learn the consumer’s usage pattern and adjust the temperature accordingly,</w:t>
      </w:r>
    </w:p>
    <w:p w14:paraId="2AD29CA9" w14:textId="77777777" w:rsidR="009C2BEE" w:rsidRPr="00774EDB" w:rsidRDefault="009C2BEE" w:rsidP="00A70042">
      <w:pPr>
        <w:pStyle w:val="ListParagraph"/>
        <w:numPr>
          <w:ilvl w:val="0"/>
          <w:numId w:val="25"/>
        </w:numPr>
        <w:spacing w:before="120"/>
        <w:ind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notice if there are people present in a room,</w:t>
      </w:r>
    </w:p>
    <w:p w14:paraId="6CD0C932" w14:textId="77777777" w:rsidR="009C2BEE" w:rsidRPr="00774EDB" w:rsidRDefault="009C2BEE" w:rsidP="00A70042">
      <w:pPr>
        <w:pStyle w:val="ListParagraph"/>
        <w:numPr>
          <w:ilvl w:val="0"/>
          <w:numId w:val="25"/>
        </w:numPr>
        <w:spacing w:before="120"/>
        <w:ind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 xml:space="preserve">communicate with the nearby devices and notice if devices that may affect the temperature are turned off/on, </w:t>
      </w:r>
    </w:p>
    <w:p w14:paraId="20C38026" w14:textId="77777777" w:rsidR="009C2BEE" w:rsidRPr="00774EDB" w:rsidRDefault="009C2BEE" w:rsidP="00A70042">
      <w:pPr>
        <w:pStyle w:val="ListParagraph"/>
        <w:numPr>
          <w:ilvl w:val="0"/>
          <w:numId w:val="25"/>
        </w:numPr>
        <w:spacing w:before="120"/>
        <w:ind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be able to be controlled through dedicated remote or wall-mounted controllers, as well as through smartphones, tablets or laptops,</w:t>
      </w:r>
    </w:p>
    <w:p w14:paraId="0717E463" w14:textId="77777777" w:rsidR="009C2BEE" w:rsidRPr="00774EDB" w:rsidRDefault="009C2BEE" w:rsidP="00A70042">
      <w:pPr>
        <w:pStyle w:val="ListParagraph"/>
        <w:numPr>
          <w:ilvl w:val="0"/>
          <w:numId w:val="25"/>
        </w:numPr>
        <w:spacing w:before="120"/>
        <w:ind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show how long a desired temperature is reached, and enable the consumer to set the temperature away from home, and</w:t>
      </w:r>
    </w:p>
    <w:p w14:paraId="3AA14E61" w14:textId="77777777" w:rsidR="00F45D85" w:rsidRPr="00774EDB" w:rsidRDefault="009C2BEE" w:rsidP="00A70042">
      <w:pPr>
        <w:pStyle w:val="ListParagraph"/>
        <w:numPr>
          <w:ilvl w:val="0"/>
          <w:numId w:val="25"/>
        </w:numPr>
        <w:spacing w:before="120"/>
        <w:ind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aim to save power and guide the consumer on how to save energy.</w:t>
      </w:r>
      <w:r w:rsidRPr="00774EDB">
        <w:rPr>
          <w:rStyle w:val="FootnoteReference"/>
          <w:rFonts w:ascii="Times New Roman" w:hAnsi="Times New Roman" w:cs="Times New Roman"/>
          <w:sz w:val="24"/>
          <w:szCs w:val="24"/>
        </w:rPr>
        <w:footnoteReference w:id="800"/>
      </w:r>
    </w:p>
    <w:p w14:paraId="57893392" w14:textId="77777777" w:rsidR="00012572" w:rsidRPr="00774EDB" w:rsidRDefault="00027AE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While some of the above functionalities relate to ‘user interfaces’ that enable consumers to instruct and get feedback from the thermostat, some others are managed from the central cloud system on the part of the IoT service provider - which however could partially be distributed and embedded into the devices and applications at the edge, to some extent. Also, an IoT device’s interaction, in the given case, a thermostat’s, with other IoT devices e.g. moisture sensors and windows, denotes another functionality, without which the ultimate benefits could not be fully reaped from these technological innovations.</w:t>
      </w:r>
    </w:p>
    <w:p w14:paraId="3500F5C9" w14:textId="77777777" w:rsidR="00E038BA" w:rsidRPr="00774EDB" w:rsidRDefault="0056477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While the devices and applications are visible to the users, the underlying architecture of the IoT systems depends on a widely acknowledged three layers. These interdependent layers are classified as (i) perception layer, (ii) network (access) layer and (iii) application layer</w:t>
      </w:r>
      <w:r w:rsidRPr="00774EDB">
        <w:rPr>
          <w:rStyle w:val="FootnoteReference"/>
          <w:rFonts w:ascii="Times New Roman" w:hAnsi="Times New Roman" w:cs="Times New Roman"/>
          <w:sz w:val="24"/>
          <w:szCs w:val="24"/>
        </w:rPr>
        <w:footnoteReference w:id="801"/>
      </w:r>
      <w:r w:rsidRPr="00774EDB">
        <w:rPr>
          <w:rFonts w:ascii="Times New Roman" w:hAnsi="Times New Roman" w:cs="Times New Roman"/>
          <w:sz w:val="24"/>
          <w:szCs w:val="24"/>
        </w:rPr>
        <w:t xml:space="preserve"> as illustrated below.</w:t>
      </w:r>
      <w:r w:rsidR="00E038BA" w:rsidRPr="00774EDB">
        <w:rPr>
          <w:rFonts w:ascii="Times New Roman" w:hAnsi="Times New Roman" w:cs="Times New Roman"/>
          <w:sz w:val="24"/>
          <w:szCs w:val="24"/>
        </w:rPr>
        <w:t xml:space="preserve">         </w:t>
      </w:r>
    </w:p>
    <w:p w14:paraId="673715CE" w14:textId="77777777" w:rsidR="003A5A9E" w:rsidRDefault="003A5A9E" w:rsidP="00A70042">
      <w:pPr>
        <w:spacing w:before="360"/>
        <w:jc w:val="center"/>
        <w:rPr>
          <w:rFonts w:ascii="Times New Roman" w:hAnsi="Times New Roman" w:cs="Times New Roman"/>
          <w:sz w:val="24"/>
          <w:szCs w:val="24"/>
        </w:rPr>
      </w:pPr>
      <w:r w:rsidRPr="00B853B4">
        <w:rPr>
          <w:rFonts w:ascii="Times New Roman" w:hAnsi="Times New Roman" w:cs="Times New Roman"/>
          <w:noProof/>
          <w:sz w:val="24"/>
          <w:szCs w:val="24"/>
          <w:lang w:eastAsia="en-GB"/>
        </w:rPr>
        <w:lastRenderedPageBreak/>
        <w:drawing>
          <wp:inline distT="0" distB="0" distL="0" distR="0" wp14:anchorId="4B5AD42C" wp14:editId="3DEEE3FC">
            <wp:extent cx="5286161" cy="5510150"/>
            <wp:effectExtent l="0" t="0" r="0" b="0"/>
            <wp:docPr id="39" name="Picture 57346" descr="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57346" descr="Diagram"/>
                    <pic:cNvPicPr>
                      <a:picLocks noChangeAspect="1" noChangeArrowheads="1"/>
                    </pic:cNvPicPr>
                  </pic:nvPicPr>
                  <pic:blipFill rotWithShape="1">
                    <a:blip r:embed="rId22">
                      <a:extLst>
                        <a:ext uri="{28A0092B-C50C-407E-A947-70E740481C1C}">
                          <a14:useLocalDpi xmlns:a14="http://schemas.microsoft.com/office/drawing/2010/main" val="0"/>
                        </a:ext>
                      </a:extLst>
                    </a:blip>
                    <a:srcRect l="2257" t="1867" r="2553" b="2437"/>
                    <a:stretch/>
                  </pic:blipFill>
                  <pic:spPr bwMode="auto">
                    <a:xfrm>
                      <a:off x="0" y="0"/>
                      <a:ext cx="5309434" cy="5534409"/>
                    </a:xfrm>
                    <a:prstGeom prst="rect">
                      <a:avLst/>
                    </a:prstGeom>
                    <a:noFill/>
                    <a:ln>
                      <a:noFill/>
                    </a:ln>
                    <a:extLst>
                      <a:ext uri="{53640926-AAD7-44D8-BBD7-CCE9431645EC}">
                        <a14:shadowObscured xmlns:a14="http://schemas.microsoft.com/office/drawing/2010/main"/>
                      </a:ext>
                    </a:extLst>
                  </pic:spPr>
                </pic:pic>
              </a:graphicData>
            </a:graphic>
          </wp:inline>
        </w:drawing>
      </w:r>
    </w:p>
    <w:p w14:paraId="75EB193B" w14:textId="39653B57" w:rsidR="00C03A19" w:rsidRPr="00774EDB" w:rsidRDefault="00C03A19" w:rsidP="00A70042">
      <w:pPr>
        <w:jc w:val="both"/>
        <w:outlineLvl w:val="7"/>
        <w:rPr>
          <w:rFonts w:ascii="Times New Roman" w:hAnsi="Times New Roman" w:cs="Times New Roman"/>
          <w:sz w:val="24"/>
          <w:szCs w:val="24"/>
        </w:rPr>
      </w:pPr>
      <w:bookmarkStart w:id="621" w:name="_Toc17612474"/>
      <w:r w:rsidRPr="00A70042">
        <w:rPr>
          <w:rFonts w:ascii="Times New Roman" w:hAnsi="Times New Roman" w:cs="Times New Roman"/>
          <w:b/>
          <w:bCs/>
          <w:sz w:val="24"/>
          <w:szCs w:val="24"/>
        </w:rPr>
        <w:t>Figure</w:t>
      </w:r>
      <w:r w:rsidR="003A5A9E" w:rsidRPr="00A70042">
        <w:rPr>
          <w:rFonts w:ascii="Times New Roman" w:hAnsi="Times New Roman" w:cs="Times New Roman"/>
          <w:b/>
          <w:bCs/>
          <w:sz w:val="24"/>
          <w:szCs w:val="24"/>
        </w:rPr>
        <w:t xml:space="preserve"> </w:t>
      </w:r>
      <w:r w:rsidR="00327E6E">
        <w:rPr>
          <w:rFonts w:ascii="Times New Roman" w:hAnsi="Times New Roman" w:cs="Times New Roman"/>
          <w:b/>
          <w:bCs/>
          <w:sz w:val="24"/>
          <w:szCs w:val="24"/>
        </w:rPr>
        <w:t>11</w:t>
      </w:r>
      <w:r w:rsidRPr="00A70042">
        <w:rPr>
          <w:rFonts w:ascii="Times New Roman" w:hAnsi="Times New Roman" w:cs="Times New Roman"/>
          <w:b/>
          <w:bCs/>
          <w:sz w:val="24"/>
          <w:szCs w:val="24"/>
        </w:rPr>
        <w:t>:</w:t>
      </w:r>
      <w:r w:rsidRPr="00A70042">
        <w:rPr>
          <w:rFonts w:ascii="Times New Roman" w:hAnsi="Times New Roman" w:cs="Times New Roman"/>
          <w:sz w:val="24"/>
          <w:szCs w:val="24"/>
        </w:rPr>
        <w:t xml:space="preserve"> IoT architecture and layers</w:t>
      </w:r>
      <w:bookmarkEnd w:id="621"/>
    </w:p>
    <w:p w14:paraId="7EB67EBD" w14:textId="42A6F5F9" w:rsidR="00E038BA" w:rsidRPr="00A70042" w:rsidRDefault="00C03A19" w:rsidP="00A70042">
      <w:pPr>
        <w:jc w:val="both"/>
        <w:rPr>
          <w:rFonts w:ascii="Times New Roman" w:hAnsi="Times New Roman" w:cs="Times New Roman"/>
          <w:sz w:val="24"/>
          <w:szCs w:val="24"/>
        </w:rPr>
      </w:pPr>
      <w:r w:rsidRPr="00A70042">
        <w:rPr>
          <w:rFonts w:ascii="Times New Roman" w:hAnsi="Times New Roman" w:cs="Times New Roman"/>
          <w:b/>
          <w:bCs/>
          <w:sz w:val="20"/>
          <w:szCs w:val="20"/>
        </w:rPr>
        <w:t>Source:</w:t>
      </w:r>
      <w:r w:rsidRPr="00A70042">
        <w:rPr>
          <w:rFonts w:ascii="Times New Roman" w:hAnsi="Times New Roman" w:cs="Times New Roman"/>
          <w:sz w:val="20"/>
          <w:szCs w:val="20"/>
        </w:rPr>
        <w:t xml:space="preserve"> De la Guía, Lozano and Penichet (n </w:t>
      </w:r>
      <w:r w:rsidR="00492E44">
        <w:rPr>
          <w:rFonts w:ascii="Times New Roman" w:hAnsi="Times New Roman" w:cs="Times New Roman"/>
          <w:sz w:val="20"/>
          <w:szCs w:val="20"/>
        </w:rPr>
        <w:t>801</w:t>
      </w:r>
      <w:r w:rsidRPr="00A70042">
        <w:rPr>
          <w:rFonts w:ascii="Times New Roman" w:hAnsi="Times New Roman" w:cs="Times New Roman"/>
          <w:sz w:val="20"/>
          <w:szCs w:val="20"/>
        </w:rPr>
        <w:t>) 330</w:t>
      </w:r>
    </w:p>
    <w:p w14:paraId="53EE1C00" w14:textId="77777777" w:rsidR="000B491D" w:rsidRPr="00774EDB" w:rsidRDefault="00E10728"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perception layer consists of embedded devices that have sensors aiming to recognise, perceive and aggregate the data from the things surrounding them.</w:t>
      </w:r>
      <w:r w:rsidRPr="00774EDB">
        <w:rPr>
          <w:rStyle w:val="FootnoteReference"/>
          <w:rFonts w:ascii="Times New Roman" w:hAnsi="Times New Roman" w:cs="Times New Roman"/>
          <w:sz w:val="24"/>
          <w:szCs w:val="24"/>
        </w:rPr>
        <w:footnoteReference w:id="802"/>
      </w:r>
      <w:r w:rsidRPr="00774EDB">
        <w:rPr>
          <w:rFonts w:ascii="Times New Roman" w:hAnsi="Times New Roman" w:cs="Times New Roman"/>
          <w:sz w:val="24"/>
          <w:szCs w:val="24"/>
        </w:rPr>
        <w:t xml:space="preserve"> They </w:t>
      </w:r>
      <w:r w:rsidRPr="00774EDB">
        <w:rPr>
          <w:rFonts w:ascii="Times New Roman" w:hAnsi="Times New Roman" w:cs="Times New Roman"/>
          <w:sz w:val="24"/>
          <w:szCs w:val="24"/>
        </w:rPr>
        <w:lastRenderedPageBreak/>
        <w:t>might interact with peer devices, usually via standardised protocols like Radio Frequency Identification (RFID), Near Field Communication (NFC) and Bluetooth, to capture related data and comprehend them. This bottom layer takes the sensed data and perceives intelligent information, using possible means of energy efficiency i.e. low power, low cost.</w:t>
      </w:r>
      <w:r w:rsidRPr="00774EDB">
        <w:rPr>
          <w:rStyle w:val="FootnoteReference"/>
          <w:rFonts w:ascii="Times New Roman" w:hAnsi="Times New Roman" w:cs="Times New Roman"/>
          <w:sz w:val="24"/>
          <w:szCs w:val="24"/>
        </w:rPr>
        <w:footnoteReference w:id="803"/>
      </w:r>
      <w:r w:rsidRPr="00774EDB">
        <w:rPr>
          <w:rFonts w:ascii="Times New Roman" w:hAnsi="Times New Roman" w:cs="Times New Roman"/>
          <w:sz w:val="24"/>
          <w:szCs w:val="24"/>
        </w:rPr>
        <w:t xml:space="preserve"> The perceived information is carried through the network (access) layer, which transfers the relevant data to the end-users, namely their hand-sets, PCs or tablets</w:t>
      </w:r>
      <w:r w:rsidR="000B491D" w:rsidRPr="00774EDB">
        <w:rPr>
          <w:rFonts w:ascii="Times New Roman" w:hAnsi="Times New Roman" w:cs="Times New Roman"/>
          <w:sz w:val="24"/>
          <w:szCs w:val="24"/>
        </w:rPr>
        <w:t>.</w:t>
      </w:r>
    </w:p>
    <w:p w14:paraId="6F59D07C" w14:textId="77777777" w:rsidR="008F75D5" w:rsidRPr="00774EDB" w:rsidRDefault="00E10728"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network (access) layer consists of the internet, public or private networks, wired or wireless communication and integrated networks for transferring perceived data to the application layer, using various communication protocols like LTE, 3G, Wi-Fi, Wi-Max, Zigbee etc.</w:t>
      </w:r>
      <w:r w:rsidRPr="00774EDB">
        <w:rPr>
          <w:rStyle w:val="FootnoteReference"/>
          <w:rFonts w:ascii="Times New Roman" w:hAnsi="Times New Roman" w:cs="Times New Roman"/>
          <w:sz w:val="24"/>
          <w:szCs w:val="24"/>
        </w:rPr>
        <w:footnoteReference w:id="804"/>
      </w:r>
      <w:r w:rsidRPr="00774EDB">
        <w:rPr>
          <w:rFonts w:ascii="Times New Roman" w:hAnsi="Times New Roman" w:cs="Times New Roman"/>
          <w:sz w:val="24"/>
          <w:szCs w:val="24"/>
        </w:rPr>
        <w:t xml:space="preserve"> Along with data transfer, this layer may also perform the tasks of data processing, knowledge discovery and data storage with the help of the cloud computing environment.</w:t>
      </w:r>
      <w:r w:rsidRPr="00774EDB">
        <w:rPr>
          <w:rStyle w:val="FootnoteReference"/>
          <w:rFonts w:ascii="Times New Roman" w:hAnsi="Times New Roman" w:cs="Times New Roman"/>
          <w:sz w:val="24"/>
          <w:szCs w:val="24"/>
        </w:rPr>
        <w:footnoteReference w:id="805"/>
      </w:r>
      <w:r w:rsidRPr="00774EDB">
        <w:rPr>
          <w:rFonts w:ascii="Times New Roman" w:hAnsi="Times New Roman" w:cs="Times New Roman"/>
          <w:sz w:val="24"/>
          <w:szCs w:val="24"/>
        </w:rPr>
        <w:t xml:space="preserve"> The data aggregated by the perception layer and processed by the network layer is conveyed to the application layer, which is visible to the end-user. Similar to the internet stack, the application layer resides at the top of the IoT architecture. Likewise, it uses the layers below itself as the underlying services. In the end, the end-users are communicated to with the apps, usually uploaded in PCs, smartphones and tablets, and are given the ‘predictive analysis’ including the feedback, suggestions and choices across the real-time scenarios. The figure below illustrates the layers that constitute the IoT architecture.</w:t>
      </w:r>
      <w:r w:rsidR="009E0876" w:rsidRPr="00774EDB">
        <w:rPr>
          <w:rFonts w:ascii="Times New Roman" w:hAnsi="Times New Roman" w:cs="Times New Roman"/>
          <w:sz w:val="24"/>
          <w:szCs w:val="24"/>
        </w:rPr>
        <w:t xml:space="preserve">  </w:t>
      </w:r>
    </w:p>
    <w:p w14:paraId="70E28A7B" w14:textId="77777777" w:rsidR="006F500B" w:rsidRDefault="006F500B">
      <w:pPr>
        <w:spacing w:before="120"/>
        <w:jc w:val="both"/>
        <w:outlineLvl w:val="7"/>
        <w:rPr>
          <w:rFonts w:ascii="Times New Roman" w:hAnsi="Times New Roman" w:cs="Times New Roman"/>
          <w:b/>
          <w:bCs/>
          <w:sz w:val="24"/>
          <w:szCs w:val="24"/>
        </w:rPr>
      </w:pPr>
      <w:bookmarkStart w:id="622" w:name="_Toc17612475"/>
    </w:p>
    <w:p w14:paraId="76D0D03E" w14:textId="6E525E57" w:rsidR="006F500B" w:rsidRDefault="006F500B" w:rsidP="00A70042">
      <w:pPr>
        <w:spacing w:before="120" w:line="240" w:lineRule="auto"/>
        <w:jc w:val="both"/>
        <w:outlineLvl w:val="7"/>
        <w:rPr>
          <w:rFonts w:ascii="Times New Roman" w:hAnsi="Times New Roman" w:cs="Times New Roman"/>
          <w:b/>
          <w:bCs/>
          <w:sz w:val="24"/>
          <w:szCs w:val="24"/>
        </w:rPr>
      </w:pPr>
      <w:r>
        <w:rPr>
          <w:noProof/>
        </w:rPr>
        <w:lastRenderedPageBreak/>
        <w:drawing>
          <wp:inline distT="0" distB="0" distL="0" distR="0" wp14:anchorId="68FA1535" wp14:editId="362768D8">
            <wp:extent cx="5210270" cy="4736093"/>
            <wp:effectExtent l="0" t="0" r="0" b="7620"/>
            <wp:docPr id="43" name="Resim 43" descr="Pyramid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Resim 43" descr="Pyramid diagram"/>
                    <pic:cNvPicPr/>
                  </pic:nvPicPr>
                  <pic:blipFill rotWithShape="1">
                    <a:blip r:embed="rId23"/>
                    <a:srcRect l="34603" t="22614" r="33045" b="7683"/>
                    <a:stretch/>
                  </pic:blipFill>
                  <pic:spPr bwMode="auto">
                    <a:xfrm>
                      <a:off x="0" y="0"/>
                      <a:ext cx="5223396" cy="4748025"/>
                    </a:xfrm>
                    <a:prstGeom prst="rect">
                      <a:avLst/>
                    </a:prstGeom>
                    <a:ln>
                      <a:noFill/>
                    </a:ln>
                    <a:extLst>
                      <a:ext uri="{53640926-AAD7-44D8-BBD7-CCE9431645EC}">
                        <a14:shadowObscured xmlns:a14="http://schemas.microsoft.com/office/drawing/2010/main"/>
                      </a:ext>
                    </a:extLst>
                  </pic:spPr>
                </pic:pic>
              </a:graphicData>
            </a:graphic>
          </wp:inline>
        </w:drawing>
      </w:r>
    </w:p>
    <w:p w14:paraId="10F8A30E" w14:textId="002F9A0F" w:rsidR="00F05151" w:rsidRPr="00A70042" w:rsidRDefault="00C03A19" w:rsidP="00A70042">
      <w:pPr>
        <w:spacing w:before="120"/>
        <w:jc w:val="both"/>
        <w:outlineLvl w:val="7"/>
        <w:rPr>
          <w:rFonts w:ascii="Times New Roman" w:hAnsi="Times New Roman" w:cs="Times New Roman"/>
          <w:sz w:val="24"/>
          <w:szCs w:val="24"/>
        </w:rPr>
      </w:pPr>
      <w:r w:rsidRPr="00A70042">
        <w:rPr>
          <w:rFonts w:ascii="Times New Roman" w:hAnsi="Times New Roman" w:cs="Times New Roman"/>
          <w:b/>
          <w:bCs/>
          <w:sz w:val="24"/>
          <w:szCs w:val="24"/>
        </w:rPr>
        <w:t>Figure</w:t>
      </w:r>
      <w:r w:rsidR="003A5A9E" w:rsidRPr="00A70042">
        <w:rPr>
          <w:rFonts w:ascii="Times New Roman" w:hAnsi="Times New Roman" w:cs="Times New Roman"/>
          <w:b/>
          <w:bCs/>
          <w:sz w:val="24"/>
          <w:szCs w:val="24"/>
        </w:rPr>
        <w:t xml:space="preserve"> </w:t>
      </w:r>
      <w:r w:rsidRPr="00A70042">
        <w:rPr>
          <w:rFonts w:ascii="Times New Roman" w:hAnsi="Times New Roman" w:cs="Times New Roman"/>
          <w:b/>
          <w:bCs/>
          <w:sz w:val="24"/>
          <w:szCs w:val="24"/>
        </w:rPr>
        <w:t>1</w:t>
      </w:r>
      <w:r w:rsidR="00327E6E">
        <w:rPr>
          <w:rFonts w:ascii="Times New Roman" w:hAnsi="Times New Roman" w:cs="Times New Roman"/>
          <w:b/>
          <w:bCs/>
          <w:sz w:val="24"/>
          <w:szCs w:val="24"/>
        </w:rPr>
        <w:t>2</w:t>
      </w:r>
      <w:r w:rsidRPr="00A70042">
        <w:rPr>
          <w:rFonts w:ascii="Times New Roman" w:hAnsi="Times New Roman" w:cs="Times New Roman"/>
          <w:b/>
          <w:bCs/>
          <w:sz w:val="24"/>
          <w:szCs w:val="24"/>
        </w:rPr>
        <w:t>:</w:t>
      </w:r>
      <w:r w:rsidRPr="00A70042">
        <w:rPr>
          <w:rFonts w:ascii="Times New Roman" w:hAnsi="Times New Roman" w:cs="Times New Roman"/>
          <w:sz w:val="24"/>
          <w:szCs w:val="24"/>
        </w:rPr>
        <w:t xml:space="preserve"> IoT </w:t>
      </w:r>
      <w:r w:rsidR="00E10728" w:rsidRPr="00A70042">
        <w:rPr>
          <w:rFonts w:ascii="Times New Roman" w:hAnsi="Times New Roman" w:cs="Times New Roman"/>
          <w:sz w:val="24"/>
          <w:szCs w:val="24"/>
        </w:rPr>
        <w:t>l</w:t>
      </w:r>
      <w:r w:rsidRPr="00A70042">
        <w:rPr>
          <w:rFonts w:ascii="Times New Roman" w:hAnsi="Times New Roman" w:cs="Times New Roman"/>
          <w:sz w:val="24"/>
          <w:szCs w:val="24"/>
        </w:rPr>
        <w:t>ayers (with cloud layer)</w:t>
      </w:r>
      <w:bookmarkEnd w:id="622"/>
    </w:p>
    <w:p w14:paraId="2090718D" w14:textId="77777777" w:rsidR="00F238CA" w:rsidRPr="00A70042" w:rsidRDefault="00C03A19" w:rsidP="00A70042">
      <w:pPr>
        <w:jc w:val="both"/>
        <w:rPr>
          <w:rFonts w:ascii="Times New Roman" w:hAnsi="Times New Roman" w:cs="Times New Roman"/>
          <w:sz w:val="20"/>
          <w:szCs w:val="20"/>
        </w:rPr>
      </w:pPr>
      <w:r w:rsidRPr="00A70042">
        <w:rPr>
          <w:rFonts w:ascii="Times New Roman" w:hAnsi="Times New Roman" w:cs="Times New Roman"/>
          <w:b/>
          <w:bCs/>
          <w:sz w:val="20"/>
          <w:szCs w:val="20"/>
        </w:rPr>
        <w:t>Source:</w:t>
      </w:r>
      <w:r w:rsidRPr="00A70042">
        <w:rPr>
          <w:rFonts w:ascii="Times New Roman" w:hAnsi="Times New Roman" w:cs="Times New Roman"/>
          <w:sz w:val="20"/>
          <w:szCs w:val="20"/>
        </w:rPr>
        <w:t xml:space="preserve"> Constructed by the author</w:t>
      </w:r>
    </w:p>
    <w:p w14:paraId="0023FD2D" w14:textId="77777777" w:rsidR="009051AD" w:rsidRPr="00774EDB" w:rsidRDefault="00E10728"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the context of the IoT, clouds have a fundamental role to play. This particularly stems from the need for pooling, processing and analysing the big data on the part of the entrepreneurs who aim to invest in the IoT systems. The variety of granular data aggregated from smart objects is transmitted, usually through gateways and pooled into the clouds which serve as the additional layer and sometimes called the ‘common services layer’, to store, process and analyse the data as well as enabling the personalised data to be accessed by the end-users. In the case of the thermostat, the device transmits data to a cloud database where the data can be used to analyse home </w:t>
      </w:r>
      <w:r w:rsidRPr="00774EDB">
        <w:rPr>
          <w:rFonts w:ascii="Times New Roman" w:hAnsi="Times New Roman" w:cs="Times New Roman"/>
          <w:sz w:val="24"/>
          <w:szCs w:val="24"/>
        </w:rPr>
        <w:lastRenderedPageBreak/>
        <w:t>energy consumption.</w:t>
      </w:r>
      <w:r w:rsidRPr="00774EDB">
        <w:rPr>
          <w:rStyle w:val="FootnoteReference"/>
          <w:rFonts w:ascii="Times New Roman" w:hAnsi="Times New Roman" w:cs="Times New Roman"/>
          <w:sz w:val="24"/>
          <w:szCs w:val="24"/>
        </w:rPr>
        <w:footnoteReference w:id="806"/>
      </w:r>
      <w:r w:rsidRPr="00774EDB">
        <w:rPr>
          <w:rFonts w:ascii="Times New Roman" w:hAnsi="Times New Roman" w:cs="Times New Roman"/>
          <w:sz w:val="24"/>
          <w:szCs w:val="24"/>
        </w:rPr>
        <w:t xml:space="preserve"> Further, this cloud connection enables the user to obtain remote access to their thermostat via a smartphone or Web interface, and it also supports software updates to the thermostat.</w:t>
      </w:r>
      <w:r w:rsidRPr="00774EDB">
        <w:rPr>
          <w:rStyle w:val="FootnoteReference"/>
          <w:rFonts w:ascii="Times New Roman" w:hAnsi="Times New Roman" w:cs="Times New Roman"/>
          <w:sz w:val="24"/>
          <w:szCs w:val="24"/>
        </w:rPr>
        <w:footnoteReference w:id="807"/>
      </w:r>
      <w:r w:rsidRPr="00774EDB">
        <w:rPr>
          <w:rFonts w:ascii="Times New Roman" w:hAnsi="Times New Roman" w:cs="Times New Roman"/>
          <w:sz w:val="24"/>
          <w:szCs w:val="24"/>
        </w:rPr>
        <w:t xml:space="preserve"> Data management, comprising filtering bulk data, translating it into logical clusters and predicting long-term and massively applicable results, is essential in the context of the IoT. As this could not be performed by any other layer, devices usually offload processing and automation capability to cloud-based software.</w:t>
      </w:r>
      <w:r w:rsidRPr="00774EDB">
        <w:rPr>
          <w:rStyle w:val="FootnoteReference"/>
          <w:rFonts w:ascii="Times New Roman" w:hAnsi="Times New Roman" w:cs="Times New Roman"/>
          <w:sz w:val="24"/>
          <w:szCs w:val="24"/>
        </w:rPr>
        <w:footnoteReference w:id="808"/>
      </w:r>
      <w:r w:rsidRPr="00774EDB">
        <w:rPr>
          <w:rFonts w:ascii="Times New Roman" w:hAnsi="Times New Roman" w:cs="Times New Roman"/>
          <w:sz w:val="24"/>
          <w:szCs w:val="24"/>
        </w:rPr>
        <w:t xml:space="preserve"> Last, but not the least, diverse management tools and software in the cloud could enable data transmitted from a variety of sources (IoT devices) be filtered and processed through protocol translation. This functionality is sometimes being extended to the edge layers, namely devices and/or the gateway that serve as the intermediary between the devices and the cloud. For example, the SmartThings hub is a stand-alone gateway device that has Z-Wave and Zigbee transceivers installed to communicate with both families of devices, namely bridging the interoperability gap between the devices before transmission to the cloud.</w:t>
      </w:r>
      <w:r w:rsidRPr="00774EDB">
        <w:rPr>
          <w:rStyle w:val="FootnoteReference"/>
          <w:rFonts w:ascii="Times New Roman" w:hAnsi="Times New Roman" w:cs="Times New Roman"/>
          <w:sz w:val="24"/>
          <w:szCs w:val="24"/>
        </w:rPr>
        <w:footnoteReference w:id="809"/>
      </w:r>
    </w:p>
    <w:p w14:paraId="465D7332" w14:textId="77777777" w:rsidR="009051AD" w:rsidRPr="00774EDB" w:rsidRDefault="006D04C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From this viewpoint, edge layering is sometimes compared to cloud layering as both would have comparative advantages and disadvantages. Particularly because of network latency resulting from location e.g. remote cloud sources, that might affect real-time IoT data transmission, more computing power located nearby the end-user devices is highlighted, echoed by the term, ‘fog networking’. Not only enabling real-time data transmission, but also reducing data to a more manageable form, enhancing </w:t>
      </w:r>
      <w:r w:rsidRPr="00774EDB">
        <w:rPr>
          <w:rFonts w:ascii="Times New Roman" w:hAnsi="Times New Roman" w:cs="Times New Roman"/>
          <w:sz w:val="24"/>
          <w:szCs w:val="24"/>
        </w:rPr>
        <w:lastRenderedPageBreak/>
        <w:t>reliability and lowering privacy and data security risks from the transmission of granular data over the network, are linked to fog networking.</w:t>
      </w:r>
      <w:r w:rsidRPr="00774EDB">
        <w:rPr>
          <w:rStyle w:val="FootnoteReference"/>
          <w:rFonts w:ascii="Times New Roman" w:hAnsi="Times New Roman" w:cs="Times New Roman"/>
          <w:sz w:val="24"/>
          <w:szCs w:val="24"/>
        </w:rPr>
        <w:footnoteReference w:id="810"/>
      </w:r>
      <w:r w:rsidR="009051AD" w:rsidRPr="00774EDB">
        <w:rPr>
          <w:rFonts w:ascii="Times New Roman" w:hAnsi="Times New Roman" w:cs="Times New Roman"/>
          <w:sz w:val="24"/>
          <w:szCs w:val="24"/>
        </w:rPr>
        <w:t xml:space="preserve"> </w:t>
      </w:r>
    </w:p>
    <w:p w14:paraId="29959D08" w14:textId="52733CFE" w:rsidR="00176C0A" w:rsidRPr="00774EDB" w:rsidRDefault="006D04C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While every business model, for several reasons i.e. security, reliability and latency depends on various protocols and/or standards, whether with cloud or edge layering, the decisions made by the stakeholders ultimately need to take into account the interoperability to be achieved along the layers, from the bottom to the top. Discourse about such decisions leads to another crossroads with regards to having an ‘open’ or ‘proprietary’ system. All these parameters make interoperability more puzzling than it seems at the outset.</w:t>
      </w:r>
      <w:r w:rsidR="000342FA" w:rsidRPr="00774EDB">
        <w:rPr>
          <w:rFonts w:ascii="Times New Roman" w:hAnsi="Times New Roman" w:cs="Times New Roman"/>
          <w:sz w:val="24"/>
          <w:szCs w:val="24"/>
        </w:rPr>
        <w:t xml:space="preserve">     </w:t>
      </w:r>
      <w:r w:rsidR="009051AD" w:rsidRPr="00774EDB">
        <w:rPr>
          <w:rFonts w:ascii="Times New Roman" w:hAnsi="Times New Roman" w:cs="Times New Roman"/>
          <w:sz w:val="24"/>
          <w:szCs w:val="24"/>
        </w:rPr>
        <w:t xml:space="preserve"> </w:t>
      </w:r>
    </w:p>
    <w:p w14:paraId="6BB6099B" w14:textId="77777777" w:rsidR="0014540A" w:rsidRPr="00774EDB" w:rsidRDefault="0014540A" w:rsidP="00A70042">
      <w:pPr>
        <w:pStyle w:val="Heading3"/>
        <w:numPr>
          <w:ilvl w:val="2"/>
          <w:numId w:val="33"/>
        </w:numPr>
        <w:spacing w:before="360"/>
        <w:ind w:left="0" w:firstLine="0"/>
        <w:jc w:val="both"/>
        <w:rPr>
          <w:rFonts w:ascii="Times New Roman" w:hAnsi="Times New Roman" w:cs="Times New Roman"/>
          <w:b/>
          <w:color w:val="auto"/>
        </w:rPr>
      </w:pPr>
      <w:bookmarkStart w:id="623" w:name="_Toc17611487"/>
      <w:bookmarkStart w:id="624" w:name="_Toc53576111"/>
      <w:r w:rsidRPr="00774EDB">
        <w:rPr>
          <w:rFonts w:ascii="Times New Roman" w:hAnsi="Times New Roman" w:cs="Times New Roman"/>
          <w:b/>
          <w:color w:val="auto"/>
        </w:rPr>
        <w:t>Interoperability</w:t>
      </w:r>
      <w:r w:rsidR="00FB598E" w:rsidRPr="00774EDB">
        <w:rPr>
          <w:rFonts w:ascii="Times New Roman" w:hAnsi="Times New Roman" w:cs="Times New Roman"/>
          <w:b/>
          <w:color w:val="auto"/>
        </w:rPr>
        <w:t xml:space="preserve"> debate</w:t>
      </w:r>
      <w:r w:rsidRPr="00774EDB">
        <w:rPr>
          <w:rFonts w:ascii="Times New Roman" w:hAnsi="Times New Roman" w:cs="Times New Roman"/>
          <w:b/>
          <w:color w:val="auto"/>
        </w:rPr>
        <w:t xml:space="preserve"> in the IoT context</w:t>
      </w:r>
      <w:bookmarkEnd w:id="623"/>
      <w:bookmarkEnd w:id="624"/>
      <w:r w:rsidRPr="00774EDB">
        <w:rPr>
          <w:rFonts w:ascii="Times New Roman" w:hAnsi="Times New Roman" w:cs="Times New Roman"/>
          <w:b/>
          <w:color w:val="auto"/>
        </w:rPr>
        <w:t xml:space="preserve"> </w:t>
      </w:r>
    </w:p>
    <w:p w14:paraId="01CBA08E" w14:textId="77777777" w:rsidR="009549F9" w:rsidRPr="00774EDB" w:rsidRDefault="00676F55" w:rsidP="00A70042">
      <w:pPr>
        <w:pStyle w:val="Heading4"/>
        <w:numPr>
          <w:ilvl w:val="3"/>
          <w:numId w:val="33"/>
        </w:numPr>
        <w:tabs>
          <w:tab w:val="left" w:pos="993"/>
        </w:tabs>
        <w:spacing w:before="360"/>
        <w:ind w:left="0" w:firstLine="0"/>
        <w:jc w:val="both"/>
        <w:rPr>
          <w:rFonts w:ascii="Times New Roman" w:hAnsi="Times New Roman" w:cs="Times New Roman"/>
          <w:b/>
          <w:i w:val="0"/>
          <w:color w:val="auto"/>
          <w:sz w:val="24"/>
          <w:szCs w:val="24"/>
        </w:rPr>
      </w:pPr>
      <w:bookmarkStart w:id="625" w:name="_Toc17611488"/>
      <w:bookmarkStart w:id="626" w:name="_Toc17611705"/>
      <w:bookmarkStart w:id="627" w:name="_Toc17611917"/>
      <w:bookmarkStart w:id="628" w:name="_Toc17612131"/>
      <w:bookmarkStart w:id="629" w:name="_Toc17612344"/>
      <w:bookmarkStart w:id="630" w:name="_Toc17611489"/>
      <w:bookmarkStart w:id="631" w:name="_Toc53576112"/>
      <w:bookmarkEnd w:id="625"/>
      <w:bookmarkEnd w:id="626"/>
      <w:bookmarkEnd w:id="627"/>
      <w:bookmarkEnd w:id="628"/>
      <w:bookmarkEnd w:id="629"/>
      <w:r w:rsidRPr="00774EDB">
        <w:rPr>
          <w:rFonts w:ascii="Times New Roman" w:hAnsi="Times New Roman" w:cs="Times New Roman"/>
          <w:b/>
          <w:i w:val="0"/>
          <w:color w:val="auto"/>
          <w:sz w:val="24"/>
          <w:szCs w:val="24"/>
        </w:rPr>
        <w:t>IoT interoperability</w:t>
      </w:r>
      <w:r w:rsidR="00772807" w:rsidRPr="00774EDB">
        <w:rPr>
          <w:rFonts w:ascii="Times New Roman" w:hAnsi="Times New Roman" w:cs="Times New Roman"/>
          <w:b/>
          <w:i w:val="0"/>
          <w:color w:val="auto"/>
          <w:sz w:val="24"/>
          <w:szCs w:val="24"/>
        </w:rPr>
        <w:t xml:space="preserve"> in general</w:t>
      </w:r>
      <w:r w:rsidR="003637F0" w:rsidRPr="00774EDB">
        <w:rPr>
          <w:rFonts w:ascii="Times New Roman" w:hAnsi="Times New Roman" w:cs="Times New Roman"/>
          <w:b/>
          <w:i w:val="0"/>
          <w:color w:val="auto"/>
          <w:sz w:val="24"/>
          <w:szCs w:val="24"/>
        </w:rPr>
        <w:t xml:space="preserve">: </w:t>
      </w:r>
      <w:r w:rsidR="00DC3E67" w:rsidRPr="00774EDB">
        <w:rPr>
          <w:rFonts w:ascii="Times New Roman" w:hAnsi="Times New Roman" w:cs="Times New Roman"/>
          <w:b/>
          <w:i w:val="0"/>
          <w:color w:val="auto"/>
          <w:sz w:val="24"/>
          <w:szCs w:val="24"/>
        </w:rPr>
        <w:t>Overview</w:t>
      </w:r>
      <w:r w:rsidR="003637F0" w:rsidRPr="00774EDB">
        <w:rPr>
          <w:rFonts w:ascii="Times New Roman" w:hAnsi="Times New Roman" w:cs="Times New Roman"/>
          <w:b/>
          <w:i w:val="0"/>
          <w:color w:val="auto"/>
          <w:sz w:val="24"/>
          <w:szCs w:val="24"/>
        </w:rPr>
        <w:t xml:space="preserve"> of different </w:t>
      </w:r>
      <w:r w:rsidR="007D7280" w:rsidRPr="00774EDB">
        <w:rPr>
          <w:rFonts w:ascii="Times New Roman" w:hAnsi="Times New Roman" w:cs="Times New Roman"/>
          <w:b/>
          <w:i w:val="0"/>
          <w:color w:val="auto"/>
          <w:sz w:val="24"/>
          <w:szCs w:val="24"/>
        </w:rPr>
        <w:t>setting</w:t>
      </w:r>
      <w:r w:rsidR="003637F0" w:rsidRPr="00774EDB">
        <w:rPr>
          <w:rFonts w:ascii="Times New Roman" w:hAnsi="Times New Roman" w:cs="Times New Roman"/>
          <w:b/>
          <w:i w:val="0"/>
          <w:color w:val="auto"/>
          <w:sz w:val="24"/>
          <w:szCs w:val="24"/>
        </w:rPr>
        <w:t>s</w:t>
      </w:r>
      <w:bookmarkEnd w:id="630"/>
      <w:bookmarkEnd w:id="631"/>
    </w:p>
    <w:p w14:paraId="20539EDC" w14:textId="77777777" w:rsidR="005F3369" w:rsidRPr="00774EDB" w:rsidRDefault="00A52CE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Interoperability is crucial for the IoT and even more importantly than for other ICT systems. This stems from the nature of the distributed network and devices, which serve similar to nerves connected to and fed back by the brain, that should allow a seamless and uninterrupted flow of data and information from the sensors to the platforms, applications and people and vice versa. While this </w:t>
      </w:r>
      <w:r w:rsidR="00A92685" w:rsidRPr="00774EDB">
        <w:rPr>
          <w:rFonts w:ascii="Times New Roman" w:hAnsi="Times New Roman" w:cs="Times New Roman"/>
          <w:sz w:val="24"/>
          <w:szCs w:val="24"/>
        </w:rPr>
        <w:t>in the first instance</w:t>
      </w:r>
      <w:r w:rsidRPr="00774EDB">
        <w:rPr>
          <w:rFonts w:ascii="Times New Roman" w:hAnsi="Times New Roman" w:cs="Times New Roman"/>
          <w:sz w:val="24"/>
          <w:szCs w:val="24"/>
        </w:rPr>
        <w:t xml:space="preserve"> encompasses the intra-platform </w:t>
      </w:r>
      <w:r w:rsidR="00A92685" w:rsidRPr="00774EDB">
        <w:rPr>
          <w:rFonts w:ascii="Times New Roman" w:hAnsi="Times New Roman" w:cs="Times New Roman"/>
          <w:sz w:val="24"/>
          <w:szCs w:val="24"/>
        </w:rPr>
        <w:t xml:space="preserve">data flow and exchanges </w:t>
      </w:r>
      <w:r w:rsidRPr="00774EDB">
        <w:rPr>
          <w:rFonts w:ascii="Times New Roman" w:hAnsi="Times New Roman" w:cs="Times New Roman"/>
          <w:sz w:val="24"/>
          <w:szCs w:val="24"/>
        </w:rPr>
        <w:t>and could be compared to intra-operability, IoT interoperability should be understood broadly and considering distinct, proprietary IoT systems and their interoperation.</w:t>
      </w:r>
    </w:p>
    <w:p w14:paraId="42D2372C" w14:textId="77777777" w:rsidR="00DB182A" w:rsidRPr="00774EDB" w:rsidRDefault="00A9268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this light, IoT interoperability could be considered both from a narrow and broader perspective. Comprising both perspectives, the European Research Cluster on the </w:t>
      </w:r>
      <w:r w:rsidRPr="00774EDB">
        <w:rPr>
          <w:rFonts w:ascii="Times New Roman" w:hAnsi="Times New Roman" w:cs="Times New Roman"/>
          <w:sz w:val="24"/>
          <w:szCs w:val="24"/>
        </w:rPr>
        <w:lastRenderedPageBreak/>
        <w:t xml:space="preserve">Internet of Things defines ‘interoperability’ as “[t]he ability of two or more </w:t>
      </w:r>
      <w:r w:rsidRPr="00774EDB">
        <w:rPr>
          <w:rFonts w:ascii="Times New Roman" w:hAnsi="Times New Roman" w:cs="Times New Roman"/>
          <w:i/>
          <w:sz w:val="24"/>
          <w:szCs w:val="24"/>
        </w:rPr>
        <w:t>systems or components</w:t>
      </w:r>
      <w:r w:rsidRPr="00774EDB">
        <w:rPr>
          <w:rFonts w:ascii="Times New Roman" w:hAnsi="Times New Roman" w:cs="Times New Roman"/>
          <w:sz w:val="24"/>
          <w:szCs w:val="24"/>
        </w:rPr>
        <w:t xml:space="preserve"> to </w:t>
      </w:r>
      <w:bookmarkStart w:id="632" w:name="_Hlk530948194"/>
      <w:r w:rsidRPr="00774EDB">
        <w:rPr>
          <w:rFonts w:ascii="Times New Roman" w:hAnsi="Times New Roman" w:cs="Times New Roman"/>
          <w:sz w:val="24"/>
          <w:szCs w:val="24"/>
        </w:rPr>
        <w:t>exchange data and use information</w:t>
      </w:r>
      <w:bookmarkEnd w:id="632"/>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811"/>
      </w:r>
      <w:r w:rsidRPr="00774EDB">
        <w:rPr>
          <w:rFonts w:ascii="Times New Roman" w:hAnsi="Times New Roman" w:cs="Times New Roman"/>
          <w:sz w:val="24"/>
          <w:szCs w:val="24"/>
        </w:rPr>
        <w:t xml:space="preserve"> From the narrow perspective, the typical three or four layers of the IoT architecture are considered for interoperability. Accordingly, the perception, network and application layers, along with the cloud layer, should be able to ‘exchange data and use information’ to bring out the intended benefits to the users. From a broader perspective, IoT interoperability means a comprehensive outlook comprising both inter-system as well as intra-system approaches. That is, not only the components within an IoT ecosystem but also the IoT ecosystems themselves need to communicate and exchange data with each other.</w:t>
      </w:r>
      <w:r w:rsidR="00B232EB" w:rsidRPr="00774EDB">
        <w:rPr>
          <w:rFonts w:ascii="Times New Roman" w:hAnsi="Times New Roman" w:cs="Times New Roman"/>
          <w:sz w:val="24"/>
          <w:szCs w:val="24"/>
        </w:rPr>
        <w:t xml:space="preserve"> </w:t>
      </w:r>
      <w:r w:rsidR="00DB182A" w:rsidRPr="00774EDB">
        <w:rPr>
          <w:rFonts w:ascii="Times New Roman" w:hAnsi="Times New Roman" w:cs="Times New Roman"/>
          <w:sz w:val="24"/>
          <w:szCs w:val="24"/>
        </w:rPr>
        <w:t xml:space="preserve"> </w:t>
      </w:r>
    </w:p>
    <w:p w14:paraId="6A303C33" w14:textId="1A372DFF" w:rsidR="005B477E" w:rsidRPr="00A70042" w:rsidRDefault="00AC2237" w:rsidP="00A70042">
      <w:pPr>
        <w:spacing w:before="360"/>
        <w:jc w:val="both"/>
        <w:rPr>
          <w:rFonts w:ascii="Times New Roman" w:hAnsi="Times New Roman" w:cs="Times New Roman"/>
          <w:sz w:val="24"/>
          <w:szCs w:val="24"/>
        </w:rPr>
      </w:pPr>
      <w:r>
        <w:rPr>
          <w:rFonts w:ascii="Times New Roman" w:hAnsi="Times New Roman" w:cs="Times New Roman"/>
          <w:sz w:val="24"/>
          <w:szCs w:val="24"/>
        </w:rPr>
        <w:t>Hence</w:t>
      </w:r>
      <w:r w:rsidR="00A92685" w:rsidRPr="00774EDB">
        <w:rPr>
          <w:rFonts w:ascii="Times New Roman" w:hAnsi="Times New Roman" w:cs="Times New Roman"/>
          <w:sz w:val="24"/>
          <w:szCs w:val="24"/>
        </w:rPr>
        <w:t>, IoT interoperability entails compatibility of the products and services offered by the IoT stakeholders i.e. manufacturers, software developers and sensor/chipset suppliers, among each other. This means cross-layer interoperability for and within the IoT ecosystems. Thus, should one manufacturer’s devices e.g. lightbulbs, glucose meters and thermostats not work and be incompatible with one of the third parties’ software e.g. switch and control systems, this means an interoperability gap for the IoT ecosystem in question. For instance, interoperability in the market of smart ‘home appliances’ means lightbulbs, windows, thermostats and other smart appliances speaking to each other, even though they are produced by different manufacturers. This could be extended to the broader industrial settings like the ‘connected (smart) home’ market which includes not only connected appliances but also automated lighting, HVAC (heating, ventilation and air conditioning), entertainment and security.</w:t>
      </w:r>
      <w:r w:rsidR="00A92685" w:rsidRPr="00774EDB">
        <w:rPr>
          <w:rStyle w:val="FootnoteReference"/>
          <w:rFonts w:ascii="Times New Roman" w:hAnsi="Times New Roman" w:cs="Times New Roman"/>
          <w:sz w:val="24"/>
          <w:szCs w:val="24"/>
        </w:rPr>
        <w:footnoteReference w:id="812"/>
      </w:r>
      <w:r w:rsidR="00A92685" w:rsidRPr="00774EDB">
        <w:rPr>
          <w:rFonts w:ascii="Times New Roman" w:hAnsi="Times New Roman" w:cs="Times New Roman"/>
          <w:sz w:val="24"/>
          <w:szCs w:val="24"/>
        </w:rPr>
        <w:t xml:space="preserve"> In the broadest setting, which could be described as a hyper-connected </w:t>
      </w:r>
      <w:r w:rsidR="00A92685" w:rsidRPr="00774EDB">
        <w:rPr>
          <w:rFonts w:ascii="Times New Roman" w:hAnsi="Times New Roman" w:cs="Times New Roman"/>
          <w:sz w:val="24"/>
          <w:szCs w:val="24"/>
        </w:rPr>
        <w:lastRenderedPageBreak/>
        <w:t>marketplace, smart homes and the integrated devices, appliances, etc. are supposed to be interoperable with the smart cars, smart city components etc. Given this fact, IoT interoperability could be compared to the progressive industrial circles such as enlarging and overlapping loops manifested below.</w:t>
      </w:r>
    </w:p>
    <w:p w14:paraId="4187AEFA" w14:textId="503A35AC" w:rsidR="00051632" w:rsidRPr="00774EDB" w:rsidRDefault="004A087B" w:rsidP="00A70042">
      <w:pPr>
        <w:spacing w:before="360"/>
        <w:jc w:val="both"/>
        <w:rPr>
          <w:rFonts w:ascii="Times New Roman" w:hAnsi="Times New Roman" w:cs="Times New Roman"/>
          <w:sz w:val="24"/>
          <w:szCs w:val="24"/>
        </w:rPr>
      </w:pPr>
      <w:r w:rsidRPr="00A70042">
        <w:rPr>
          <w:rFonts w:ascii="Times New Roman" w:hAnsi="Times New Roman" w:cs="Times New Roman"/>
          <w:noProof/>
          <w:sz w:val="24"/>
          <w:szCs w:val="24"/>
          <w:lang w:eastAsia="en-GB"/>
        </w:rPr>
        <mc:AlternateContent>
          <mc:Choice Requires="wps">
            <w:drawing>
              <wp:anchor distT="0" distB="0" distL="114300" distR="114300" simplePos="0" relativeHeight="251705344" behindDoc="0" locked="0" layoutInCell="1" allowOverlap="1" wp14:anchorId="31432588" wp14:editId="6E4FBDB9">
                <wp:simplePos x="0" y="0"/>
                <wp:positionH relativeFrom="column">
                  <wp:posOffset>1482421</wp:posOffset>
                </wp:positionH>
                <wp:positionV relativeFrom="paragraph">
                  <wp:posOffset>1156307</wp:posOffset>
                </wp:positionV>
                <wp:extent cx="715618" cy="262393"/>
                <wp:effectExtent l="0" t="0" r="27940" b="23495"/>
                <wp:wrapNone/>
                <wp:docPr id="57371" name="Straight Connector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5618" cy="262393"/>
                        </a:xfrm>
                        <a:prstGeom prst="line">
                          <a:avLst/>
                        </a:prstGeom>
                        <a:noFill/>
                        <a:ln w="6350" cap="flat" cmpd="sng" algn="ctr">
                          <a:solidFill>
                            <a:srgbClr val="5B9BD5">
                              <a:lumMod val="60000"/>
                              <a:lumOff val="40000"/>
                            </a:srgbClr>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4029C89" id="Straight Connector 20" o:spid="_x0000_s1026" alt="&quot;&quot;"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6.75pt,91.05pt" to="173.1pt,1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" strokecolor="#9dc3e6" strokeweight=".5pt">
                <v:stroke joinstyle="miter"/>
                <o:lock v:ext="edit" shapetype="f"/>
              </v:line>
            </w:pict>
          </mc:Fallback>
        </mc:AlternateContent>
      </w:r>
      <w:r w:rsidRPr="00A70042">
        <w:rPr>
          <w:rFonts w:ascii="Times New Roman" w:hAnsi="Times New Roman" w:cs="Times New Roman"/>
          <w:noProof/>
          <w:sz w:val="24"/>
          <w:szCs w:val="24"/>
          <w:lang w:eastAsia="en-GB"/>
        </w:rPr>
        <mc:AlternateContent>
          <mc:Choice Requires="wps">
            <w:drawing>
              <wp:anchor distT="0" distB="0" distL="114300" distR="114300" simplePos="0" relativeHeight="251703296" behindDoc="0" locked="0" layoutInCell="1" allowOverlap="1" wp14:anchorId="1DD67360" wp14:editId="042E5454">
                <wp:simplePos x="0" y="0"/>
                <wp:positionH relativeFrom="column">
                  <wp:posOffset>2865948</wp:posOffset>
                </wp:positionH>
                <wp:positionV relativeFrom="paragraph">
                  <wp:posOffset>321419</wp:posOffset>
                </wp:positionV>
                <wp:extent cx="588038" cy="429371"/>
                <wp:effectExtent l="0" t="0" r="21590" b="27940"/>
                <wp:wrapNone/>
                <wp:docPr id="57370" name="Straight Connector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588038" cy="429371"/>
                        </a:xfrm>
                        <a:prstGeom prst="line">
                          <a:avLst/>
                        </a:prstGeom>
                        <a:ln>
                          <a:solidFill>
                            <a:schemeClr val="accent1">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A1EFD8" id="Straight Connector 20" o:spid="_x0000_s1026" alt="&quot;&quot;" style="position:absolute;flip: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65pt,25.3pt" to="271.95pt,5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" strokecolor="#9cc2e5 [1940]" strokeweight=".5pt">
                <v:stroke joinstyle="miter"/>
                <o:lock v:ext="edit" shapetype="f"/>
              </v:line>
            </w:pict>
          </mc:Fallback>
        </mc:AlternateContent>
      </w:r>
      <w:r w:rsidRPr="00A70042">
        <w:rPr>
          <w:rFonts w:ascii="Times New Roman" w:hAnsi="Times New Roman" w:cs="Times New Roman"/>
          <w:noProof/>
          <w:sz w:val="24"/>
          <w:szCs w:val="24"/>
          <w:lang w:eastAsia="en-GB"/>
        </w:rPr>
        <mc:AlternateContent>
          <mc:Choice Requires="wps">
            <w:drawing>
              <wp:anchor distT="0" distB="0" distL="114300" distR="114300" simplePos="0" relativeHeight="251707392" behindDoc="0" locked="0" layoutInCell="1" allowOverlap="1" wp14:anchorId="3E55D12F" wp14:editId="0065C035">
                <wp:simplePos x="0" y="0"/>
                <wp:positionH relativeFrom="column">
                  <wp:posOffset>3104487</wp:posOffset>
                </wp:positionH>
                <wp:positionV relativeFrom="paragraph">
                  <wp:posOffset>2213831</wp:posOffset>
                </wp:positionV>
                <wp:extent cx="683813" cy="127221"/>
                <wp:effectExtent l="0" t="0" r="21590" b="25400"/>
                <wp:wrapNone/>
                <wp:docPr id="57372" name="Straight Connector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83813" cy="127221"/>
                        </a:xfrm>
                        <a:prstGeom prst="line">
                          <a:avLst/>
                        </a:prstGeom>
                        <a:noFill/>
                        <a:ln w="6350" cap="flat" cmpd="sng" algn="ctr">
                          <a:solidFill>
                            <a:srgbClr val="5B9BD5">
                              <a:lumMod val="60000"/>
                              <a:lumOff val="40000"/>
                            </a:srgbClr>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FF5410A" id="Straight Connector 20" o:spid="_x0000_s1026" alt="&quot;&quot;" style="position:absolute;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4.45pt,174.3pt" to="298.3pt,18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" strokecolor="#9dc3e6" strokeweight=".5pt">
                <v:stroke joinstyle="miter"/>
                <o:lock v:ext="edit" shapetype="f"/>
              </v:line>
            </w:pict>
          </mc:Fallback>
        </mc:AlternateContent>
      </w:r>
      <w:r w:rsidR="003A5A9E" w:rsidRPr="00A70042">
        <w:rPr>
          <w:rFonts w:ascii="Times New Roman" w:hAnsi="Times New Roman" w:cs="Times New Roman"/>
          <w:noProof/>
          <w:sz w:val="24"/>
          <w:szCs w:val="24"/>
          <w:lang w:eastAsia="en-GB"/>
        </w:rPr>
        <mc:AlternateContent>
          <mc:Choice Requires="wps">
            <w:drawing>
              <wp:anchor distT="0" distB="0" distL="114300" distR="114300" simplePos="0" relativeHeight="251701248" behindDoc="0" locked="0" layoutInCell="1" allowOverlap="1" wp14:anchorId="0A2B6CF4" wp14:editId="4DDF3F11">
                <wp:simplePos x="0" y="0"/>
                <wp:positionH relativeFrom="margin">
                  <wp:posOffset>3605226</wp:posOffset>
                </wp:positionH>
                <wp:positionV relativeFrom="paragraph">
                  <wp:posOffset>1997710</wp:posOffset>
                </wp:positionV>
                <wp:extent cx="3234475" cy="923330"/>
                <wp:effectExtent l="0" t="0" r="0" b="0"/>
                <wp:wrapNone/>
                <wp:docPr id="57369" name="TextBox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3234475" cy="923330"/>
                        </a:xfrm>
                        <a:prstGeom prst="rect">
                          <a:avLst/>
                        </a:prstGeom>
                        <a:noFill/>
                      </wps:spPr>
                      <wps:txbx>
                        <w:txbxContent>
                          <w:p w14:paraId="43B86308" w14:textId="77777777" w:rsidR="005C0DC6" w:rsidRPr="003750BA" w:rsidRDefault="005C0DC6" w:rsidP="002231E6">
                            <w:pPr>
                              <w:pStyle w:val="NormalWeb"/>
                              <w:numPr>
                                <w:ilvl w:val="0"/>
                                <w:numId w:val="31"/>
                              </w:numPr>
                              <w:spacing w:before="0" w:beforeAutospacing="0" w:after="0" w:afterAutospacing="0"/>
                              <w:rPr>
                                <w:sz w:val="18"/>
                                <w:szCs w:val="18"/>
                              </w:rPr>
                            </w:pPr>
                            <w:r>
                              <w:rPr>
                                <w:rFonts w:asciiTheme="minorHAnsi" w:hAnsi="Calibri" w:cstheme="minorBidi"/>
                                <w:color w:val="000000" w:themeColor="text1"/>
                                <w:kern w:val="24"/>
                                <w:sz w:val="18"/>
                                <w:szCs w:val="18"/>
                                <w:lang w:val="en-US"/>
                              </w:rPr>
                              <w:t>Individu</w:t>
                            </w:r>
                            <w:r w:rsidRPr="003750BA">
                              <w:rPr>
                                <w:rFonts w:asciiTheme="minorHAnsi" w:hAnsi="Calibri" w:cstheme="minorBidi"/>
                                <w:color w:val="000000" w:themeColor="text1"/>
                                <w:kern w:val="24"/>
                                <w:sz w:val="18"/>
                                <w:szCs w:val="18"/>
                                <w:lang w:val="en-US"/>
                              </w:rPr>
                              <w:t>al</w:t>
                            </w:r>
                          </w:p>
                          <w:p w14:paraId="13BC0C71" w14:textId="77777777" w:rsidR="005C0DC6" w:rsidRPr="00F066FA" w:rsidRDefault="005C0DC6" w:rsidP="00F066FA">
                            <w:pPr>
                              <w:pStyle w:val="NormalWeb"/>
                              <w:numPr>
                                <w:ilvl w:val="0"/>
                                <w:numId w:val="31"/>
                              </w:numPr>
                              <w:spacing w:before="0" w:beforeAutospacing="0" w:after="0" w:afterAutospacing="0"/>
                              <w:rPr>
                                <w:rFonts w:asciiTheme="minorHAnsi" w:hAnsi="Calibri" w:cstheme="minorBidi"/>
                                <w:color w:val="000000" w:themeColor="text1"/>
                                <w:kern w:val="24"/>
                                <w:sz w:val="18"/>
                                <w:szCs w:val="18"/>
                                <w:lang w:val="en-US"/>
                              </w:rPr>
                            </w:pPr>
                            <w:r>
                              <w:rPr>
                                <w:rFonts w:asciiTheme="minorHAnsi" w:hAnsi="Calibri" w:cstheme="minorBidi"/>
                                <w:color w:val="000000" w:themeColor="text1"/>
                                <w:kern w:val="24"/>
                                <w:sz w:val="18"/>
                                <w:szCs w:val="18"/>
                                <w:lang w:val="en-US"/>
                              </w:rPr>
                              <w:t>Limited</w:t>
                            </w:r>
                            <w:r w:rsidRPr="003750BA">
                              <w:rPr>
                                <w:rFonts w:asciiTheme="minorHAnsi" w:hAnsi="Calibri" w:cstheme="minorBidi"/>
                                <w:color w:val="000000" w:themeColor="text1"/>
                                <w:kern w:val="24"/>
                                <w:sz w:val="18"/>
                                <w:szCs w:val="18"/>
                                <w:lang w:val="en-US"/>
                              </w:rPr>
                              <w:t xml:space="preserve"> interoperability</w:t>
                            </w:r>
                          </w:p>
                        </w:txbxContent>
                      </wps:txbx>
                      <wps:bodyPr wrap="none" rtlCol="0">
                        <a:spAutoFit/>
                      </wps:bodyPr>
                    </wps:wsp>
                  </a:graphicData>
                </a:graphic>
              </wp:anchor>
            </w:drawing>
          </mc:Choice>
          <mc:Fallback>
            <w:pict>
              <v:shape w14:anchorId="0A2B6CF4" id="TextBox 18" o:spid="_x0000_s1095" type="#_x0000_t202" alt="&quot;&quot;" style="position:absolute;left:0;text-align:left;margin-left:283.9pt;margin-top:157.3pt;width:254.7pt;height:72.7pt;z-index:251701248;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" filled="f" stroked="f">
                <v:textbox style="mso-fit-shape-to-text:t">
                  <w:txbxContent>
                    <w:p w14:paraId="43B86308" w14:textId="77777777" w:rsidR="005C0DC6" w:rsidRPr="003750BA" w:rsidRDefault="005C0DC6" w:rsidP="002231E6">
                      <w:pPr>
                        <w:pStyle w:val="NormalWeb"/>
                        <w:numPr>
                          <w:ilvl w:val="0"/>
                          <w:numId w:val="31"/>
                        </w:numPr>
                        <w:spacing w:before="0" w:beforeAutospacing="0" w:after="0" w:afterAutospacing="0"/>
                        <w:rPr>
                          <w:sz w:val="18"/>
                          <w:szCs w:val="18"/>
                        </w:rPr>
                      </w:pPr>
                      <w:r>
                        <w:rPr>
                          <w:rFonts w:asciiTheme="minorHAnsi" w:hAnsi="Calibri" w:cstheme="minorBidi"/>
                          <w:color w:val="000000" w:themeColor="text1"/>
                          <w:kern w:val="24"/>
                          <w:sz w:val="18"/>
                          <w:szCs w:val="18"/>
                          <w:lang w:val="en-US"/>
                        </w:rPr>
                        <w:t>Individu</w:t>
                      </w:r>
                      <w:r w:rsidRPr="003750BA">
                        <w:rPr>
                          <w:rFonts w:asciiTheme="minorHAnsi" w:hAnsi="Calibri" w:cstheme="minorBidi"/>
                          <w:color w:val="000000" w:themeColor="text1"/>
                          <w:kern w:val="24"/>
                          <w:sz w:val="18"/>
                          <w:szCs w:val="18"/>
                          <w:lang w:val="en-US"/>
                        </w:rPr>
                        <w:t>al</w:t>
                      </w:r>
                    </w:p>
                    <w:p w14:paraId="13BC0C71" w14:textId="77777777" w:rsidR="005C0DC6" w:rsidRPr="00F066FA" w:rsidRDefault="005C0DC6" w:rsidP="00F066FA">
                      <w:pPr>
                        <w:pStyle w:val="NormalWeb"/>
                        <w:numPr>
                          <w:ilvl w:val="0"/>
                          <w:numId w:val="31"/>
                        </w:numPr>
                        <w:spacing w:before="0" w:beforeAutospacing="0" w:after="0" w:afterAutospacing="0"/>
                        <w:rPr>
                          <w:rFonts w:asciiTheme="minorHAnsi" w:hAnsi="Calibri" w:cstheme="minorBidi"/>
                          <w:color w:val="000000" w:themeColor="text1"/>
                          <w:kern w:val="24"/>
                          <w:sz w:val="18"/>
                          <w:szCs w:val="18"/>
                          <w:lang w:val="en-US"/>
                        </w:rPr>
                      </w:pPr>
                      <w:r>
                        <w:rPr>
                          <w:rFonts w:asciiTheme="minorHAnsi" w:hAnsi="Calibri" w:cstheme="minorBidi"/>
                          <w:color w:val="000000" w:themeColor="text1"/>
                          <w:kern w:val="24"/>
                          <w:sz w:val="18"/>
                          <w:szCs w:val="18"/>
                          <w:lang w:val="en-US"/>
                        </w:rPr>
                        <w:t>Limited</w:t>
                      </w:r>
                      <w:r w:rsidRPr="003750BA">
                        <w:rPr>
                          <w:rFonts w:asciiTheme="minorHAnsi" w:hAnsi="Calibri" w:cstheme="minorBidi"/>
                          <w:color w:val="000000" w:themeColor="text1"/>
                          <w:kern w:val="24"/>
                          <w:sz w:val="18"/>
                          <w:szCs w:val="18"/>
                          <w:lang w:val="en-US"/>
                        </w:rPr>
                        <w:t xml:space="preserve"> interoperability</w:t>
                      </w:r>
                    </w:p>
                  </w:txbxContent>
                </v:textbox>
                <w10:wrap anchorx="margin"/>
              </v:shape>
            </w:pict>
          </mc:Fallback>
        </mc:AlternateContent>
      </w:r>
      <w:r w:rsidR="003A5A9E" w:rsidRPr="00A70042">
        <w:rPr>
          <w:rFonts w:ascii="Times New Roman" w:hAnsi="Times New Roman" w:cs="Times New Roman"/>
          <w:noProof/>
          <w:sz w:val="24"/>
          <w:szCs w:val="24"/>
          <w:lang w:eastAsia="en-GB"/>
        </w:rPr>
        <mc:AlternateContent>
          <mc:Choice Requires="wps">
            <w:drawing>
              <wp:anchor distT="0" distB="0" distL="114300" distR="114300" simplePos="0" relativeHeight="251697152" behindDoc="0" locked="0" layoutInCell="1" allowOverlap="1" wp14:anchorId="6978A0DD" wp14:editId="08835468">
                <wp:simplePos x="0" y="0"/>
                <wp:positionH relativeFrom="margin">
                  <wp:align>right</wp:align>
                </wp:positionH>
                <wp:positionV relativeFrom="paragraph">
                  <wp:posOffset>112837</wp:posOffset>
                </wp:positionV>
                <wp:extent cx="3234475" cy="923330"/>
                <wp:effectExtent l="0" t="0" r="0" b="0"/>
                <wp:wrapNone/>
                <wp:docPr id="57367" name="TextBox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3234475" cy="923330"/>
                        </a:xfrm>
                        <a:prstGeom prst="rect">
                          <a:avLst/>
                        </a:prstGeom>
                        <a:noFill/>
                      </wps:spPr>
                      <wps:txbx>
                        <w:txbxContent>
                          <w:p w14:paraId="21A07C28" w14:textId="77777777" w:rsidR="005C0DC6" w:rsidRPr="003750BA" w:rsidRDefault="005C0DC6" w:rsidP="002231E6">
                            <w:pPr>
                              <w:pStyle w:val="NormalWeb"/>
                              <w:numPr>
                                <w:ilvl w:val="0"/>
                                <w:numId w:val="30"/>
                              </w:numPr>
                              <w:spacing w:before="0" w:beforeAutospacing="0" w:after="0" w:afterAutospacing="0"/>
                              <w:rPr>
                                <w:sz w:val="20"/>
                                <w:szCs w:val="20"/>
                              </w:rPr>
                            </w:pPr>
                            <w:r w:rsidRPr="003750BA">
                              <w:rPr>
                                <w:rFonts w:asciiTheme="minorHAnsi" w:hAnsi="Calibri" w:cstheme="minorBidi"/>
                                <w:color w:val="000000" w:themeColor="text1"/>
                                <w:kern w:val="24"/>
                                <w:sz w:val="20"/>
                                <w:szCs w:val="20"/>
                                <w:lang w:val="en-US"/>
                              </w:rPr>
                              <w:t>Societal</w:t>
                            </w:r>
                          </w:p>
                          <w:p w14:paraId="24C7DDDA" w14:textId="77777777" w:rsidR="005C0DC6" w:rsidRPr="00A86801" w:rsidRDefault="005C0DC6" w:rsidP="002231E6">
                            <w:pPr>
                              <w:pStyle w:val="NormalWeb"/>
                              <w:numPr>
                                <w:ilvl w:val="0"/>
                                <w:numId w:val="30"/>
                              </w:numPr>
                              <w:spacing w:before="0" w:beforeAutospacing="0" w:after="0" w:afterAutospacing="0"/>
                              <w:rPr>
                                <w:rFonts w:asciiTheme="minorHAnsi" w:hAnsi="Calibri" w:cstheme="minorBidi"/>
                                <w:color w:val="000000" w:themeColor="text1"/>
                                <w:kern w:val="24"/>
                                <w:sz w:val="20"/>
                                <w:szCs w:val="20"/>
                                <w:lang w:val="en-US"/>
                              </w:rPr>
                            </w:pPr>
                            <w:r w:rsidRPr="003750BA">
                              <w:rPr>
                                <w:rFonts w:asciiTheme="minorHAnsi" w:hAnsi="Calibri" w:cstheme="minorBidi"/>
                                <w:color w:val="000000" w:themeColor="text1"/>
                                <w:kern w:val="24"/>
                                <w:sz w:val="20"/>
                                <w:szCs w:val="20"/>
                                <w:lang w:val="en-US"/>
                              </w:rPr>
                              <w:t>Hyper-connectedness</w:t>
                            </w:r>
                          </w:p>
                          <w:p w14:paraId="2296CD70" w14:textId="77777777" w:rsidR="005C0DC6" w:rsidRPr="00A86801" w:rsidRDefault="005C0DC6" w:rsidP="002231E6">
                            <w:pPr>
                              <w:pStyle w:val="NormalWeb"/>
                              <w:numPr>
                                <w:ilvl w:val="0"/>
                                <w:numId w:val="30"/>
                              </w:numPr>
                              <w:spacing w:before="0" w:beforeAutospacing="0" w:after="0" w:afterAutospacing="0"/>
                              <w:rPr>
                                <w:rFonts w:asciiTheme="minorHAnsi" w:hAnsi="Calibri" w:cstheme="minorBidi"/>
                                <w:color w:val="000000" w:themeColor="text1"/>
                                <w:kern w:val="24"/>
                                <w:sz w:val="20"/>
                                <w:szCs w:val="20"/>
                                <w:lang w:val="en-US"/>
                              </w:rPr>
                            </w:pPr>
                            <w:r>
                              <w:rPr>
                                <w:rFonts w:asciiTheme="minorHAnsi" w:hAnsi="Calibri" w:cstheme="minorBidi"/>
                                <w:color w:val="000000" w:themeColor="text1"/>
                                <w:kern w:val="24"/>
                                <w:sz w:val="20"/>
                                <w:szCs w:val="20"/>
                                <w:lang w:val="en-US"/>
                              </w:rPr>
                              <w:t>Widened in</w:t>
                            </w:r>
                            <w:r w:rsidRPr="003750BA">
                              <w:rPr>
                                <w:rFonts w:asciiTheme="minorHAnsi" w:hAnsi="Calibri" w:cstheme="minorBidi"/>
                                <w:color w:val="000000" w:themeColor="text1"/>
                                <w:kern w:val="24"/>
                                <w:sz w:val="20"/>
                                <w:szCs w:val="20"/>
                                <w:lang w:val="en-US"/>
                              </w:rPr>
                              <w:t>teroperability</w:t>
                            </w:r>
                          </w:p>
                        </w:txbxContent>
                      </wps:txbx>
                      <wps:bodyPr wrap="none" rtlCol="0">
                        <a:spAutoFit/>
                      </wps:bodyPr>
                    </wps:wsp>
                  </a:graphicData>
                </a:graphic>
              </wp:anchor>
            </w:drawing>
          </mc:Choice>
          <mc:Fallback>
            <w:pict>
              <v:shape w14:anchorId="6978A0DD" id="_x0000_s1096" type="#_x0000_t202" alt="&quot;&quot;" style="position:absolute;left:0;text-align:left;margin-left:203.5pt;margin-top:8.9pt;width:254.7pt;height:72.7pt;z-index:251697152;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" filled="f" stroked="f">
                <v:textbox style="mso-fit-shape-to-text:t">
                  <w:txbxContent>
                    <w:p w14:paraId="21A07C28" w14:textId="77777777" w:rsidR="005C0DC6" w:rsidRPr="003750BA" w:rsidRDefault="005C0DC6" w:rsidP="002231E6">
                      <w:pPr>
                        <w:pStyle w:val="NormalWeb"/>
                        <w:numPr>
                          <w:ilvl w:val="0"/>
                          <w:numId w:val="30"/>
                        </w:numPr>
                        <w:spacing w:before="0" w:beforeAutospacing="0" w:after="0" w:afterAutospacing="0"/>
                        <w:rPr>
                          <w:sz w:val="20"/>
                          <w:szCs w:val="20"/>
                        </w:rPr>
                      </w:pPr>
                      <w:r w:rsidRPr="003750BA">
                        <w:rPr>
                          <w:rFonts w:asciiTheme="minorHAnsi" w:hAnsi="Calibri" w:cstheme="minorBidi"/>
                          <w:color w:val="000000" w:themeColor="text1"/>
                          <w:kern w:val="24"/>
                          <w:sz w:val="20"/>
                          <w:szCs w:val="20"/>
                          <w:lang w:val="en-US"/>
                        </w:rPr>
                        <w:t>Societal</w:t>
                      </w:r>
                    </w:p>
                    <w:p w14:paraId="24C7DDDA" w14:textId="77777777" w:rsidR="005C0DC6" w:rsidRPr="00A86801" w:rsidRDefault="005C0DC6" w:rsidP="002231E6">
                      <w:pPr>
                        <w:pStyle w:val="NormalWeb"/>
                        <w:numPr>
                          <w:ilvl w:val="0"/>
                          <w:numId w:val="30"/>
                        </w:numPr>
                        <w:spacing w:before="0" w:beforeAutospacing="0" w:after="0" w:afterAutospacing="0"/>
                        <w:rPr>
                          <w:rFonts w:asciiTheme="minorHAnsi" w:hAnsi="Calibri" w:cstheme="minorBidi"/>
                          <w:color w:val="000000" w:themeColor="text1"/>
                          <w:kern w:val="24"/>
                          <w:sz w:val="20"/>
                          <w:szCs w:val="20"/>
                          <w:lang w:val="en-US"/>
                        </w:rPr>
                      </w:pPr>
                      <w:r w:rsidRPr="003750BA">
                        <w:rPr>
                          <w:rFonts w:asciiTheme="minorHAnsi" w:hAnsi="Calibri" w:cstheme="minorBidi"/>
                          <w:color w:val="000000" w:themeColor="text1"/>
                          <w:kern w:val="24"/>
                          <w:sz w:val="20"/>
                          <w:szCs w:val="20"/>
                          <w:lang w:val="en-US"/>
                        </w:rPr>
                        <w:t>Hyper-connectedness</w:t>
                      </w:r>
                    </w:p>
                    <w:p w14:paraId="2296CD70" w14:textId="77777777" w:rsidR="005C0DC6" w:rsidRPr="00A86801" w:rsidRDefault="005C0DC6" w:rsidP="002231E6">
                      <w:pPr>
                        <w:pStyle w:val="NormalWeb"/>
                        <w:numPr>
                          <w:ilvl w:val="0"/>
                          <w:numId w:val="30"/>
                        </w:numPr>
                        <w:spacing w:before="0" w:beforeAutospacing="0" w:after="0" w:afterAutospacing="0"/>
                        <w:rPr>
                          <w:rFonts w:asciiTheme="minorHAnsi" w:hAnsi="Calibri" w:cstheme="minorBidi"/>
                          <w:color w:val="000000" w:themeColor="text1"/>
                          <w:kern w:val="24"/>
                          <w:sz w:val="20"/>
                          <w:szCs w:val="20"/>
                          <w:lang w:val="en-US"/>
                        </w:rPr>
                      </w:pPr>
                      <w:r>
                        <w:rPr>
                          <w:rFonts w:asciiTheme="minorHAnsi" w:hAnsi="Calibri" w:cstheme="minorBidi"/>
                          <w:color w:val="000000" w:themeColor="text1"/>
                          <w:kern w:val="24"/>
                          <w:sz w:val="20"/>
                          <w:szCs w:val="20"/>
                          <w:lang w:val="en-US"/>
                        </w:rPr>
                        <w:t>Widened in</w:t>
                      </w:r>
                      <w:r w:rsidRPr="003750BA">
                        <w:rPr>
                          <w:rFonts w:asciiTheme="minorHAnsi" w:hAnsi="Calibri" w:cstheme="minorBidi"/>
                          <w:color w:val="000000" w:themeColor="text1"/>
                          <w:kern w:val="24"/>
                          <w:sz w:val="20"/>
                          <w:szCs w:val="20"/>
                          <w:lang w:val="en-US"/>
                        </w:rPr>
                        <w:t>teroperability</w:t>
                      </w:r>
                    </w:p>
                  </w:txbxContent>
                </v:textbox>
                <w10:wrap anchorx="margin"/>
              </v:shape>
            </w:pict>
          </mc:Fallback>
        </mc:AlternateContent>
      </w:r>
      <w:r w:rsidR="00B9030C" w:rsidRPr="00A70042">
        <w:rPr>
          <w:rFonts w:ascii="Times New Roman" w:hAnsi="Times New Roman" w:cs="Times New Roman"/>
          <w:noProof/>
          <w:sz w:val="24"/>
          <w:szCs w:val="24"/>
          <w:lang w:eastAsia="en-GB"/>
        </w:rPr>
        <mc:AlternateContent>
          <mc:Choice Requires="wps">
            <w:drawing>
              <wp:anchor distT="0" distB="0" distL="114300" distR="114300" simplePos="0" relativeHeight="251699200" behindDoc="0" locked="0" layoutInCell="1" allowOverlap="1" wp14:anchorId="51581B7C" wp14:editId="3149DC78">
                <wp:simplePos x="0" y="0"/>
                <wp:positionH relativeFrom="column">
                  <wp:posOffset>-485030</wp:posOffset>
                </wp:positionH>
                <wp:positionV relativeFrom="paragraph">
                  <wp:posOffset>937039</wp:posOffset>
                </wp:positionV>
                <wp:extent cx="2329236" cy="923330"/>
                <wp:effectExtent l="0" t="0" r="0" b="0"/>
                <wp:wrapNone/>
                <wp:docPr id="57368" name="TextBox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2329236" cy="923330"/>
                        </a:xfrm>
                        <a:prstGeom prst="rect">
                          <a:avLst/>
                        </a:prstGeom>
                        <a:noFill/>
                      </wps:spPr>
                      <wps:txbx>
                        <w:txbxContent>
                          <w:p w14:paraId="5853D7EF" w14:textId="77777777" w:rsidR="005C0DC6" w:rsidRPr="003750BA" w:rsidRDefault="005C0DC6" w:rsidP="002231E6">
                            <w:pPr>
                              <w:pStyle w:val="NormalWeb"/>
                              <w:numPr>
                                <w:ilvl w:val="0"/>
                                <w:numId w:val="32"/>
                              </w:numPr>
                              <w:spacing w:before="0" w:beforeAutospacing="0" w:after="0" w:afterAutospacing="0"/>
                              <w:rPr>
                                <w:sz w:val="18"/>
                                <w:szCs w:val="18"/>
                              </w:rPr>
                            </w:pPr>
                            <w:r>
                              <w:rPr>
                                <w:rFonts w:asciiTheme="minorHAnsi" w:hAnsi="Calibri" w:cstheme="minorBidi"/>
                                <w:color w:val="000000" w:themeColor="text1"/>
                                <w:kern w:val="24"/>
                                <w:sz w:val="18"/>
                                <w:szCs w:val="18"/>
                                <w:lang w:val="en-US"/>
                              </w:rPr>
                              <w:t>Both individual and s</w:t>
                            </w:r>
                            <w:r w:rsidRPr="003750BA">
                              <w:rPr>
                                <w:rFonts w:asciiTheme="minorHAnsi" w:hAnsi="Calibri" w:cstheme="minorBidi"/>
                                <w:color w:val="000000" w:themeColor="text1"/>
                                <w:kern w:val="24"/>
                                <w:sz w:val="18"/>
                                <w:szCs w:val="18"/>
                                <w:lang w:val="en-US"/>
                              </w:rPr>
                              <w:t>ocietal</w:t>
                            </w:r>
                          </w:p>
                          <w:p w14:paraId="238FD912" w14:textId="77777777" w:rsidR="005C0DC6" w:rsidRPr="003750BA" w:rsidRDefault="005C0DC6" w:rsidP="002231E6">
                            <w:pPr>
                              <w:pStyle w:val="NormalWeb"/>
                              <w:numPr>
                                <w:ilvl w:val="0"/>
                                <w:numId w:val="32"/>
                              </w:numPr>
                              <w:spacing w:before="0" w:beforeAutospacing="0" w:after="0" w:afterAutospacing="0"/>
                              <w:rPr>
                                <w:sz w:val="18"/>
                                <w:szCs w:val="18"/>
                              </w:rPr>
                            </w:pPr>
                            <w:r>
                              <w:rPr>
                                <w:rFonts w:asciiTheme="minorHAnsi" w:hAnsi="Calibri" w:cstheme="minorBidi"/>
                                <w:color w:val="000000" w:themeColor="text1"/>
                                <w:kern w:val="24"/>
                                <w:sz w:val="18"/>
                                <w:szCs w:val="18"/>
                                <w:lang w:val="en-US"/>
                              </w:rPr>
                              <w:t>Augmented</w:t>
                            </w:r>
                            <w:r w:rsidRPr="003750BA">
                              <w:rPr>
                                <w:rFonts w:asciiTheme="minorHAnsi" w:hAnsi="Calibri" w:cstheme="minorBidi"/>
                                <w:color w:val="000000" w:themeColor="text1"/>
                                <w:kern w:val="24"/>
                                <w:sz w:val="18"/>
                                <w:szCs w:val="18"/>
                                <w:lang w:val="en-US"/>
                              </w:rPr>
                              <w:t xml:space="preserve"> interoperability</w:t>
                            </w:r>
                          </w:p>
                        </w:txbxContent>
                      </wps:txbx>
                      <wps:bodyPr wrap="square" rtlCol="0">
                        <a:spAutoFit/>
                      </wps:bodyPr>
                    </wps:wsp>
                  </a:graphicData>
                </a:graphic>
                <wp14:sizeRelH relativeFrom="margin">
                  <wp14:pctWidth>0</wp14:pctWidth>
                </wp14:sizeRelH>
              </wp:anchor>
            </w:drawing>
          </mc:Choice>
          <mc:Fallback>
            <w:pict>
              <v:shape w14:anchorId="51581B7C" id="_x0000_s1097" type="#_x0000_t202" alt="&quot;&quot;" style="position:absolute;left:0;text-align:left;margin-left:-38.2pt;margin-top:73.8pt;width:183.4pt;height:72.7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" filled="f" stroked="f">
                <v:textbox style="mso-fit-shape-to-text:t">
                  <w:txbxContent>
                    <w:p w14:paraId="5853D7EF" w14:textId="77777777" w:rsidR="005C0DC6" w:rsidRPr="003750BA" w:rsidRDefault="005C0DC6" w:rsidP="002231E6">
                      <w:pPr>
                        <w:pStyle w:val="NormalWeb"/>
                        <w:numPr>
                          <w:ilvl w:val="0"/>
                          <w:numId w:val="32"/>
                        </w:numPr>
                        <w:spacing w:before="0" w:beforeAutospacing="0" w:after="0" w:afterAutospacing="0"/>
                        <w:rPr>
                          <w:sz w:val="18"/>
                          <w:szCs w:val="18"/>
                        </w:rPr>
                      </w:pPr>
                      <w:r>
                        <w:rPr>
                          <w:rFonts w:asciiTheme="minorHAnsi" w:hAnsi="Calibri" w:cstheme="minorBidi"/>
                          <w:color w:val="000000" w:themeColor="text1"/>
                          <w:kern w:val="24"/>
                          <w:sz w:val="18"/>
                          <w:szCs w:val="18"/>
                          <w:lang w:val="en-US"/>
                        </w:rPr>
                        <w:t>Both individual and s</w:t>
                      </w:r>
                      <w:r w:rsidRPr="003750BA">
                        <w:rPr>
                          <w:rFonts w:asciiTheme="minorHAnsi" w:hAnsi="Calibri" w:cstheme="minorBidi"/>
                          <w:color w:val="000000" w:themeColor="text1"/>
                          <w:kern w:val="24"/>
                          <w:sz w:val="18"/>
                          <w:szCs w:val="18"/>
                          <w:lang w:val="en-US"/>
                        </w:rPr>
                        <w:t>ocietal</w:t>
                      </w:r>
                    </w:p>
                    <w:p w14:paraId="238FD912" w14:textId="77777777" w:rsidR="005C0DC6" w:rsidRPr="003750BA" w:rsidRDefault="005C0DC6" w:rsidP="002231E6">
                      <w:pPr>
                        <w:pStyle w:val="NormalWeb"/>
                        <w:numPr>
                          <w:ilvl w:val="0"/>
                          <w:numId w:val="32"/>
                        </w:numPr>
                        <w:spacing w:before="0" w:beforeAutospacing="0" w:after="0" w:afterAutospacing="0"/>
                        <w:rPr>
                          <w:sz w:val="18"/>
                          <w:szCs w:val="18"/>
                        </w:rPr>
                      </w:pPr>
                      <w:r>
                        <w:rPr>
                          <w:rFonts w:asciiTheme="minorHAnsi" w:hAnsi="Calibri" w:cstheme="minorBidi"/>
                          <w:color w:val="000000" w:themeColor="text1"/>
                          <w:kern w:val="24"/>
                          <w:sz w:val="18"/>
                          <w:szCs w:val="18"/>
                          <w:lang w:val="en-US"/>
                        </w:rPr>
                        <w:t>Augmented</w:t>
                      </w:r>
                      <w:r w:rsidRPr="003750BA">
                        <w:rPr>
                          <w:rFonts w:asciiTheme="minorHAnsi" w:hAnsi="Calibri" w:cstheme="minorBidi"/>
                          <w:color w:val="000000" w:themeColor="text1"/>
                          <w:kern w:val="24"/>
                          <w:sz w:val="18"/>
                          <w:szCs w:val="18"/>
                          <w:lang w:val="en-US"/>
                        </w:rPr>
                        <w:t xml:space="preserve"> interoperability</w:t>
                      </w:r>
                    </w:p>
                  </w:txbxContent>
                </v:textbox>
              </v:shape>
            </w:pict>
          </mc:Fallback>
        </mc:AlternateContent>
      </w:r>
      <w:r w:rsidR="003750BA" w:rsidRPr="00774EDB">
        <w:rPr>
          <w:rFonts w:ascii="Times New Roman" w:hAnsi="Times New Roman" w:cs="Times New Roman"/>
          <w:sz w:val="24"/>
          <w:szCs w:val="24"/>
        </w:rPr>
        <w:t xml:space="preserve"> </w:t>
      </w:r>
      <w:r w:rsidR="004357AE" w:rsidRPr="00820EF9">
        <w:rPr>
          <w:rFonts w:ascii="Times New Roman" w:hAnsi="Times New Roman" w:cs="Times New Roman"/>
          <w:noProof/>
          <w:sz w:val="24"/>
          <w:szCs w:val="24"/>
          <w:lang w:eastAsia="en-GB"/>
        </w:rPr>
        <w:drawing>
          <wp:inline distT="0" distB="0" distL="0" distR="0" wp14:anchorId="0E6CB2A4" wp14:editId="4BFE3C4E">
            <wp:extent cx="5231958" cy="2371725"/>
            <wp:effectExtent l="0" t="0" r="0" b="9525"/>
            <wp:docPr id="57365" name="Diagram 57365" descr="Diagram">
              <a:extLst xmlns:a="http://schemas.openxmlformats.org/drawingml/2006/main">
                <a:ext uri="{FF2B5EF4-FFF2-40B4-BE49-F238E27FC236}">
                  <a16:creationId xmlns:a16="http://schemas.microsoft.com/office/drawing/2014/main" id="{6B661F78-C1E3-400F-936F-7DFFBF42ACA8}"/>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6E498FF0" w14:textId="3A5C1CD6" w:rsidR="003A5A9E" w:rsidRPr="00E27D4F" w:rsidRDefault="003A5A9E" w:rsidP="00A70042">
      <w:pPr>
        <w:jc w:val="both"/>
        <w:outlineLvl w:val="7"/>
        <w:rPr>
          <w:rFonts w:ascii="Times New Roman" w:hAnsi="Times New Roman" w:cs="Times New Roman"/>
          <w:sz w:val="24"/>
          <w:szCs w:val="24"/>
        </w:rPr>
      </w:pPr>
      <w:bookmarkStart w:id="633" w:name="_Toc17612476"/>
      <w:r w:rsidRPr="00A70042">
        <w:rPr>
          <w:rFonts w:ascii="Times New Roman" w:hAnsi="Times New Roman" w:cs="Times New Roman"/>
          <w:b/>
          <w:bCs/>
          <w:sz w:val="24"/>
          <w:szCs w:val="24"/>
        </w:rPr>
        <w:t>Figure 1</w:t>
      </w:r>
      <w:r w:rsidR="00327E6E">
        <w:rPr>
          <w:rFonts w:ascii="Times New Roman" w:hAnsi="Times New Roman" w:cs="Times New Roman"/>
          <w:b/>
          <w:bCs/>
          <w:sz w:val="24"/>
          <w:szCs w:val="24"/>
        </w:rPr>
        <w:t>3</w:t>
      </w:r>
      <w:r w:rsidRPr="00A70042">
        <w:rPr>
          <w:rFonts w:ascii="Times New Roman" w:hAnsi="Times New Roman" w:cs="Times New Roman"/>
          <w:b/>
          <w:bCs/>
          <w:sz w:val="24"/>
          <w:szCs w:val="24"/>
        </w:rPr>
        <w:t>:</w:t>
      </w:r>
      <w:r w:rsidRPr="00E27D4F">
        <w:rPr>
          <w:rFonts w:ascii="Times New Roman" w:hAnsi="Times New Roman" w:cs="Times New Roman"/>
          <w:sz w:val="24"/>
          <w:szCs w:val="24"/>
        </w:rPr>
        <w:t xml:space="preserve"> IoT loops showing different industrial settings</w:t>
      </w:r>
      <w:bookmarkEnd w:id="633"/>
    </w:p>
    <w:p w14:paraId="65EEABB1" w14:textId="77777777" w:rsidR="006201C1" w:rsidRPr="00A70042" w:rsidRDefault="005B477E" w:rsidP="00A70042">
      <w:pPr>
        <w:jc w:val="both"/>
        <w:rPr>
          <w:rFonts w:ascii="Times New Roman" w:hAnsi="Times New Roman" w:cs="Times New Roman"/>
          <w:sz w:val="20"/>
          <w:szCs w:val="20"/>
        </w:rPr>
      </w:pPr>
      <w:r w:rsidRPr="00A70042">
        <w:rPr>
          <w:rFonts w:ascii="Times New Roman" w:hAnsi="Times New Roman" w:cs="Times New Roman"/>
          <w:b/>
          <w:bCs/>
          <w:sz w:val="20"/>
          <w:szCs w:val="20"/>
        </w:rPr>
        <w:t>Source:</w:t>
      </w:r>
      <w:r w:rsidRPr="00A70042">
        <w:rPr>
          <w:rFonts w:ascii="Times New Roman" w:hAnsi="Times New Roman" w:cs="Times New Roman"/>
          <w:sz w:val="20"/>
          <w:szCs w:val="20"/>
        </w:rPr>
        <w:t xml:space="preserve"> Constructed by the author </w:t>
      </w:r>
    </w:p>
    <w:p w14:paraId="273CC076" w14:textId="77777777" w:rsidR="00A867E4" w:rsidRPr="00774EDB" w:rsidRDefault="00FE6A74" w:rsidP="00A70042">
      <w:pPr>
        <w:spacing w:before="360"/>
        <w:jc w:val="both"/>
        <w:rPr>
          <w:rFonts w:ascii="Times New Roman" w:hAnsi="Times New Roman" w:cs="Times New Roman"/>
          <w:sz w:val="24"/>
          <w:szCs w:val="24"/>
        </w:rPr>
      </w:pPr>
      <w:r w:rsidRPr="00A70042">
        <w:rPr>
          <w:rFonts w:ascii="Times New Roman" w:hAnsi="Times New Roman" w:cs="Times New Roman"/>
          <w:noProof/>
          <w:sz w:val="24"/>
          <w:szCs w:val="24"/>
          <w:lang w:eastAsia="en-GB"/>
        </w:rPr>
        <mc:AlternateContent>
          <mc:Choice Requires="wps">
            <w:drawing>
              <wp:anchor distT="0" distB="0" distL="114300" distR="114300" simplePos="0" relativeHeight="251695104" behindDoc="0" locked="0" layoutInCell="1" allowOverlap="1" wp14:anchorId="620AAA91" wp14:editId="5A8B72BD">
                <wp:simplePos x="0" y="0"/>
                <wp:positionH relativeFrom="page">
                  <wp:posOffset>3350029</wp:posOffset>
                </wp:positionH>
                <wp:positionV relativeFrom="paragraph">
                  <wp:posOffset>78625</wp:posOffset>
                </wp:positionV>
                <wp:extent cx="2327391" cy="1325245"/>
                <wp:effectExtent l="0" t="0" r="0" b="0"/>
                <wp:wrapNone/>
                <wp:docPr id="57366" name="Titl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2327391" cy="1325245"/>
                        </a:xfrm>
                        <a:prstGeom prst="rect">
                          <a:avLst/>
                        </a:prstGeom>
                      </wps:spPr>
                      <wps:bodyPr vert="horz" lIns="91440" tIns="45720" rIns="91440" bIns="45720" rtlCol="0" anchor="ctr">
                        <a:normAutofit/>
                      </wps:bodyPr>
                    </wps:wsp>
                  </a:graphicData>
                </a:graphic>
                <wp14:sizeRelH relativeFrom="margin">
                  <wp14:pctWidth>0</wp14:pctWidth>
                </wp14:sizeRelH>
              </wp:anchor>
            </w:drawing>
          </mc:Choice>
          <mc:Fallback>
            <w:pict>
              <v:rect w14:anchorId="55F0231B" id="Title 1" o:spid="_x0000_s1026" alt="&quot;&quot;" style="position:absolute;margin-left:263.8pt;margin-top:6.2pt;width:183.25pt;height:104.35pt;z-index:251695104;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" filled="f" stroked="f">
                <o:lock v:ext="edit" grouping="t"/>
                <w10:wrap anchorx="page"/>
              </v:rect>
            </w:pict>
          </mc:Fallback>
        </mc:AlternateContent>
      </w:r>
      <w:r w:rsidR="00F46E38" w:rsidRPr="00774EDB">
        <w:rPr>
          <w:rFonts w:ascii="Times New Roman" w:hAnsi="Times New Roman" w:cs="Times New Roman"/>
          <w:sz w:val="24"/>
          <w:szCs w:val="24"/>
        </w:rPr>
        <w:t>While it is possible for smart applications e.g. RFID to be built on close-loop processes, namely monolithic business information systems, the conception of the IoT is principally and increasingly based on the idea of end-to-end connectivity in an ‘anytime, anywhere’ fashion, calling for open, scalable, secure, and standardised infrastructure.</w:t>
      </w:r>
      <w:r w:rsidR="00F46E38" w:rsidRPr="00774EDB">
        <w:rPr>
          <w:rStyle w:val="FootnoteReference"/>
          <w:rFonts w:ascii="Times New Roman" w:hAnsi="Times New Roman" w:cs="Times New Roman"/>
          <w:sz w:val="24"/>
          <w:szCs w:val="24"/>
        </w:rPr>
        <w:footnoteReference w:id="813"/>
      </w:r>
      <w:r w:rsidR="00F46E38" w:rsidRPr="00774EDB">
        <w:rPr>
          <w:rFonts w:ascii="Times New Roman" w:hAnsi="Times New Roman" w:cs="Times New Roman"/>
          <w:sz w:val="24"/>
          <w:szCs w:val="24"/>
        </w:rPr>
        <w:t xml:space="preserve"> Hence, the call for interoperability starts with the close-loop processes </w:t>
      </w:r>
      <w:r w:rsidR="00C10FCF" w:rsidRPr="00774EDB">
        <w:rPr>
          <w:rFonts w:ascii="Times New Roman" w:hAnsi="Times New Roman" w:cs="Times New Roman"/>
          <w:sz w:val="24"/>
          <w:szCs w:val="24"/>
        </w:rPr>
        <w:t>e.g.</w:t>
      </w:r>
      <w:r w:rsidR="00F46E38" w:rsidRPr="00774EDB">
        <w:rPr>
          <w:rFonts w:ascii="Times New Roman" w:hAnsi="Times New Roman" w:cs="Times New Roman"/>
          <w:sz w:val="24"/>
          <w:szCs w:val="24"/>
        </w:rPr>
        <w:t xml:space="preserve"> in  the ‘home appliances’ setting and is </w:t>
      </w:r>
      <w:r w:rsidR="00397BC4" w:rsidRPr="00774EDB">
        <w:rPr>
          <w:rFonts w:ascii="Times New Roman" w:hAnsi="Times New Roman" w:cs="Times New Roman"/>
          <w:sz w:val="24"/>
          <w:szCs w:val="24"/>
        </w:rPr>
        <w:t>augmented with</w:t>
      </w:r>
      <w:r w:rsidR="00C10FCF" w:rsidRPr="00774EDB">
        <w:rPr>
          <w:rFonts w:ascii="Times New Roman" w:hAnsi="Times New Roman" w:cs="Times New Roman"/>
          <w:sz w:val="24"/>
          <w:szCs w:val="24"/>
        </w:rPr>
        <w:t xml:space="preserve"> </w:t>
      </w:r>
      <w:r w:rsidR="00397BC4" w:rsidRPr="00774EDB">
        <w:rPr>
          <w:rFonts w:ascii="Times New Roman" w:hAnsi="Times New Roman" w:cs="Times New Roman"/>
          <w:sz w:val="24"/>
          <w:szCs w:val="24"/>
        </w:rPr>
        <w:t>the con</w:t>
      </w:r>
      <w:r w:rsidR="00C10FCF" w:rsidRPr="00774EDB">
        <w:rPr>
          <w:rFonts w:ascii="Times New Roman" w:hAnsi="Times New Roman" w:cs="Times New Roman"/>
          <w:sz w:val="24"/>
          <w:szCs w:val="24"/>
        </w:rPr>
        <w:t>ception</w:t>
      </w:r>
      <w:r w:rsidR="00397BC4" w:rsidRPr="00774EDB">
        <w:rPr>
          <w:rFonts w:ascii="Times New Roman" w:hAnsi="Times New Roman" w:cs="Times New Roman"/>
          <w:sz w:val="24"/>
          <w:szCs w:val="24"/>
        </w:rPr>
        <w:t xml:space="preserve"> of </w:t>
      </w:r>
      <w:r w:rsidR="00F46E38" w:rsidRPr="00774EDB">
        <w:rPr>
          <w:rFonts w:ascii="Times New Roman" w:hAnsi="Times New Roman" w:cs="Times New Roman"/>
          <w:sz w:val="24"/>
          <w:szCs w:val="24"/>
        </w:rPr>
        <w:t xml:space="preserve">‘smart home’ and </w:t>
      </w:r>
      <w:r w:rsidR="00397BC4" w:rsidRPr="00774EDB">
        <w:rPr>
          <w:rFonts w:ascii="Times New Roman" w:hAnsi="Times New Roman" w:cs="Times New Roman"/>
          <w:sz w:val="24"/>
          <w:szCs w:val="24"/>
        </w:rPr>
        <w:t xml:space="preserve">widened towards </w:t>
      </w:r>
      <w:r w:rsidR="00F46E38" w:rsidRPr="00774EDB">
        <w:rPr>
          <w:rFonts w:ascii="Times New Roman" w:hAnsi="Times New Roman" w:cs="Times New Roman"/>
          <w:sz w:val="24"/>
          <w:szCs w:val="24"/>
        </w:rPr>
        <w:t xml:space="preserve">‘smart city’. For these concepts to come true, there should be a fulfilling response to the need for multi-layered interoperability. Notably, along the transition from the smallest circle to the bigger ones, </w:t>
      </w:r>
      <w:r w:rsidR="00F46E38" w:rsidRPr="00774EDB">
        <w:rPr>
          <w:rFonts w:ascii="Times New Roman" w:hAnsi="Times New Roman" w:cs="Times New Roman"/>
          <w:sz w:val="24"/>
          <w:szCs w:val="24"/>
        </w:rPr>
        <w:lastRenderedPageBreak/>
        <w:t xml:space="preserve">‘interoperability’ becomes more compelling across the uses’ needs, which are destined to push the boundaries of societal life as opposed to having a direct impact just over individuals. </w:t>
      </w:r>
      <w:r w:rsidR="00B9030C" w:rsidRPr="00774EDB">
        <w:rPr>
          <w:rFonts w:ascii="Times New Roman" w:hAnsi="Times New Roman" w:cs="Times New Roman"/>
          <w:sz w:val="24"/>
          <w:szCs w:val="24"/>
        </w:rPr>
        <w:t xml:space="preserve">     </w:t>
      </w:r>
    </w:p>
    <w:p w14:paraId="626FA121" w14:textId="77777777" w:rsidR="000B1849" w:rsidRPr="00774EDB" w:rsidRDefault="0033474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implied above, these expansive IoT spheres come about with a complexity along with a pressing need for interoperability. As with the two previous IT waves of computers and the internet, the difficulties, skills, time, and costs involved in building the entire technology stack for smart, connected products is formidable and leads to specialisation at each layer.</w:t>
      </w:r>
      <w:r w:rsidRPr="00774EDB">
        <w:rPr>
          <w:rStyle w:val="FootnoteReference"/>
          <w:rFonts w:ascii="Times New Roman" w:hAnsi="Times New Roman" w:cs="Times New Roman"/>
          <w:sz w:val="24"/>
          <w:szCs w:val="24"/>
        </w:rPr>
        <w:footnoteReference w:id="814"/>
      </w:r>
      <w:r w:rsidRPr="00774EDB">
        <w:rPr>
          <w:rFonts w:ascii="Times New Roman" w:hAnsi="Times New Roman" w:cs="Times New Roman"/>
          <w:sz w:val="24"/>
          <w:szCs w:val="24"/>
        </w:rPr>
        <w:t xml:space="preserve"> Just like Medtronic glucose meters, Philips lightbulbs and Tesla smart cars being specialised in their own fields of manufacturing, Intel has specialisation in the production of microprocessors, Oracle in databases and Cisco in underlying hardware.</w:t>
      </w:r>
    </w:p>
    <w:p w14:paraId="73BE3742" w14:textId="71B78B9B" w:rsidR="00203621" w:rsidRPr="00774EDB" w:rsidRDefault="0056399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Thus</w:t>
      </w:r>
      <w:r w:rsidR="00123D5A" w:rsidRPr="00774EDB">
        <w:rPr>
          <w:rFonts w:ascii="Times New Roman" w:hAnsi="Times New Roman" w:cs="Times New Roman"/>
          <w:sz w:val="24"/>
          <w:szCs w:val="24"/>
        </w:rPr>
        <w:t xml:space="preserve">, it is apparent that every stakeholder in the IoT settings and ecosystems have more unique and distributed roles to play, with the view to maximise the profits to be reaped from their attempted actions. While striving for a more competitive advantage and </w:t>
      </w:r>
      <w:r w:rsidR="001A425B">
        <w:rPr>
          <w:rFonts w:ascii="Times New Roman" w:hAnsi="Times New Roman" w:cs="Times New Roman"/>
          <w:sz w:val="24"/>
          <w:szCs w:val="24"/>
        </w:rPr>
        <w:t xml:space="preserve">further </w:t>
      </w:r>
      <w:r w:rsidR="00121764" w:rsidRPr="00774EDB">
        <w:rPr>
          <w:rFonts w:ascii="Times New Roman" w:hAnsi="Times New Roman" w:cs="Times New Roman"/>
          <w:sz w:val="24"/>
          <w:szCs w:val="24"/>
        </w:rPr>
        <w:t>commercial frontiers</w:t>
      </w:r>
      <w:r w:rsidR="00123D5A" w:rsidRPr="00774EDB">
        <w:rPr>
          <w:rFonts w:ascii="Times New Roman" w:hAnsi="Times New Roman" w:cs="Times New Roman"/>
          <w:sz w:val="24"/>
          <w:szCs w:val="24"/>
        </w:rPr>
        <w:t>, coo</w:t>
      </w:r>
      <w:r w:rsidR="001A425B">
        <w:rPr>
          <w:rFonts w:ascii="Times New Roman" w:hAnsi="Times New Roman" w:cs="Times New Roman"/>
          <w:sz w:val="24"/>
          <w:szCs w:val="24"/>
        </w:rPr>
        <w:t>per</w:t>
      </w:r>
      <w:r w:rsidR="00123D5A" w:rsidRPr="00774EDB">
        <w:rPr>
          <w:rFonts w:ascii="Times New Roman" w:hAnsi="Times New Roman" w:cs="Times New Roman"/>
          <w:sz w:val="24"/>
          <w:szCs w:val="24"/>
        </w:rPr>
        <w:t xml:space="preserve">ation as well as competition among the stakeholders becomes of more importance, particularly from the ecosystem perspective. Along the same lines, the need for interoperability points to a crucial </w:t>
      </w:r>
      <w:r w:rsidR="001A425B">
        <w:rPr>
          <w:rFonts w:ascii="Times New Roman" w:hAnsi="Times New Roman" w:cs="Times New Roman"/>
          <w:sz w:val="24"/>
          <w:szCs w:val="24"/>
        </w:rPr>
        <w:t xml:space="preserve">and multi-faceted </w:t>
      </w:r>
      <w:r w:rsidR="00123D5A" w:rsidRPr="00774EDB">
        <w:rPr>
          <w:rFonts w:ascii="Times New Roman" w:hAnsi="Times New Roman" w:cs="Times New Roman"/>
          <w:sz w:val="24"/>
          <w:szCs w:val="24"/>
        </w:rPr>
        <w:t>aspect of all the IoT settings.</w:t>
      </w:r>
      <w:r w:rsidR="0022730C" w:rsidRPr="00774EDB">
        <w:rPr>
          <w:rFonts w:ascii="Times New Roman" w:hAnsi="Times New Roman" w:cs="Times New Roman"/>
          <w:sz w:val="24"/>
          <w:szCs w:val="24"/>
        </w:rPr>
        <w:t xml:space="preserve"> </w:t>
      </w:r>
    </w:p>
    <w:p w14:paraId="635AD42A" w14:textId="77777777" w:rsidR="00B232EB" w:rsidRPr="00774EDB" w:rsidRDefault="00E70E57" w:rsidP="00A70042">
      <w:pPr>
        <w:pStyle w:val="Heading4"/>
        <w:numPr>
          <w:ilvl w:val="3"/>
          <w:numId w:val="33"/>
        </w:numPr>
        <w:tabs>
          <w:tab w:val="left" w:pos="851"/>
        </w:tabs>
        <w:spacing w:before="360"/>
        <w:ind w:left="0" w:firstLine="0"/>
        <w:jc w:val="both"/>
        <w:rPr>
          <w:rFonts w:ascii="Times New Roman" w:hAnsi="Times New Roman" w:cs="Times New Roman"/>
          <w:b/>
          <w:i w:val="0"/>
          <w:color w:val="auto"/>
          <w:sz w:val="24"/>
          <w:szCs w:val="24"/>
        </w:rPr>
      </w:pPr>
      <w:bookmarkStart w:id="634" w:name="_Toc17611490"/>
      <w:bookmarkStart w:id="635" w:name="_Toc53576113"/>
      <w:r w:rsidRPr="00774EDB">
        <w:rPr>
          <w:rFonts w:ascii="Times New Roman" w:hAnsi="Times New Roman" w:cs="Times New Roman"/>
          <w:b/>
          <w:i w:val="0"/>
          <w:color w:val="auto"/>
          <w:sz w:val="24"/>
          <w:szCs w:val="24"/>
        </w:rPr>
        <w:t>I</w:t>
      </w:r>
      <w:r w:rsidR="007D6EA7" w:rsidRPr="00774EDB">
        <w:rPr>
          <w:rFonts w:ascii="Times New Roman" w:hAnsi="Times New Roman" w:cs="Times New Roman"/>
          <w:b/>
          <w:i w:val="0"/>
          <w:color w:val="auto"/>
          <w:sz w:val="24"/>
          <w:szCs w:val="24"/>
        </w:rPr>
        <w:t xml:space="preserve">nteroperability </w:t>
      </w:r>
      <w:r w:rsidR="004142CA" w:rsidRPr="00774EDB">
        <w:rPr>
          <w:rFonts w:ascii="Times New Roman" w:hAnsi="Times New Roman" w:cs="Times New Roman"/>
          <w:b/>
          <w:i w:val="0"/>
          <w:color w:val="auto"/>
          <w:sz w:val="24"/>
          <w:szCs w:val="24"/>
        </w:rPr>
        <w:t>in the</w:t>
      </w:r>
      <w:r w:rsidRPr="00774EDB">
        <w:rPr>
          <w:rFonts w:ascii="Times New Roman" w:hAnsi="Times New Roman" w:cs="Times New Roman"/>
          <w:b/>
          <w:i w:val="0"/>
          <w:color w:val="auto"/>
          <w:sz w:val="24"/>
          <w:szCs w:val="24"/>
        </w:rPr>
        <w:t xml:space="preserve"> IoT ecosystem</w:t>
      </w:r>
      <w:r w:rsidR="00A2698E" w:rsidRPr="00774EDB">
        <w:rPr>
          <w:rFonts w:ascii="Times New Roman" w:hAnsi="Times New Roman" w:cs="Times New Roman"/>
          <w:b/>
          <w:i w:val="0"/>
          <w:color w:val="auto"/>
          <w:sz w:val="24"/>
          <w:szCs w:val="24"/>
        </w:rPr>
        <w:t>s</w:t>
      </w:r>
      <w:bookmarkEnd w:id="634"/>
      <w:bookmarkEnd w:id="635"/>
      <w:r w:rsidRPr="00774EDB">
        <w:rPr>
          <w:rFonts w:ascii="Times New Roman" w:hAnsi="Times New Roman" w:cs="Times New Roman"/>
          <w:b/>
          <w:i w:val="0"/>
          <w:color w:val="auto"/>
          <w:sz w:val="24"/>
          <w:szCs w:val="24"/>
        </w:rPr>
        <w:t xml:space="preserve"> </w:t>
      </w:r>
      <w:r w:rsidR="007D6EA7" w:rsidRPr="00774EDB">
        <w:rPr>
          <w:rFonts w:ascii="Times New Roman" w:hAnsi="Times New Roman" w:cs="Times New Roman"/>
          <w:b/>
          <w:i w:val="0"/>
          <w:color w:val="auto"/>
          <w:sz w:val="24"/>
          <w:szCs w:val="24"/>
        </w:rPr>
        <w:t xml:space="preserve"> </w:t>
      </w:r>
    </w:p>
    <w:p w14:paraId="05D5F011" w14:textId="77777777" w:rsidR="002331BC" w:rsidRPr="00774EDB" w:rsidRDefault="002331B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Architectural elements and layers of the IoT systems constitute the gateways for the IoT players, specifically from the interoperability perspective. For a successful and </w:t>
      </w:r>
      <w:r w:rsidRPr="00774EDB">
        <w:rPr>
          <w:rFonts w:ascii="Times New Roman" w:hAnsi="Times New Roman" w:cs="Times New Roman"/>
          <w:sz w:val="24"/>
          <w:szCs w:val="24"/>
        </w:rPr>
        <w:lastRenderedPageBreak/>
        <w:t>thriving IoT ecosystem, all the constituent layers and elements should interoperate with each other. Otherwise, competitors would face entry barriers because of the lack of interoperability and the technologically erected walls. In an effort to generate network efficiencies, some IoT products are designed to be interoperable with other devices used in a particular location e.g. home, office, and with factory control panels that interact with multiple products used for distinct applications, and use standard data formats to facilitate aggregation into databases for analysis.</w:t>
      </w:r>
      <w:r w:rsidRPr="00774EDB">
        <w:rPr>
          <w:rStyle w:val="FootnoteReference"/>
          <w:rFonts w:ascii="Times New Roman" w:hAnsi="Times New Roman" w:cs="Times New Roman"/>
          <w:sz w:val="24"/>
          <w:szCs w:val="24"/>
        </w:rPr>
        <w:footnoteReference w:id="815"/>
      </w:r>
    </w:p>
    <w:p w14:paraId="4BB45A02" w14:textId="649AA220" w:rsidR="001A19B9" w:rsidRPr="00774EDB" w:rsidRDefault="002331B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On the other hand, dominant IoT service providers and manufacturers tend to build up a proprietary ecosystem by closing off the so-called gateways to third parties, so as to maximise the profits to be reaped from an installed consumer base</w:t>
      </w:r>
      <w:r w:rsidR="001A425B">
        <w:rPr>
          <w:rFonts w:ascii="Times New Roman" w:hAnsi="Times New Roman" w:cs="Times New Roman"/>
          <w:sz w:val="24"/>
          <w:szCs w:val="24"/>
        </w:rPr>
        <w:t xml:space="preserve"> and their aggregated data</w:t>
      </w:r>
      <w:r w:rsidRPr="00774EDB">
        <w:rPr>
          <w:rFonts w:ascii="Times New Roman" w:hAnsi="Times New Roman" w:cs="Times New Roman"/>
          <w:sz w:val="24"/>
          <w:szCs w:val="24"/>
        </w:rPr>
        <w:t>.</w:t>
      </w:r>
      <w:r w:rsidR="001A19B9" w:rsidRPr="00774EDB">
        <w:rPr>
          <w:rFonts w:ascii="Times New Roman" w:hAnsi="Times New Roman" w:cs="Times New Roman"/>
          <w:sz w:val="24"/>
          <w:szCs w:val="24"/>
        </w:rPr>
        <w:t xml:space="preserve"> As recently identified by the European project Unify-IoT, there are more than 300 IoT platforms in the marketplace, among which Amazon (AWS), Cisco (Jasper), IBM (Watson), Apple (HomeKit), Google (Brillo), Microsoft (Azure), and Qualcomm (AllJoyn) represent the forerunners.</w:t>
      </w:r>
      <w:r w:rsidR="001A19B9" w:rsidRPr="00774EDB">
        <w:rPr>
          <w:rStyle w:val="FootnoteReference"/>
          <w:rFonts w:ascii="Times New Roman" w:hAnsi="Times New Roman" w:cs="Times New Roman"/>
          <w:sz w:val="24"/>
          <w:szCs w:val="24"/>
        </w:rPr>
        <w:footnoteReference w:id="816"/>
      </w:r>
      <w:r w:rsidR="001A19B9" w:rsidRPr="00774EDB">
        <w:rPr>
          <w:rFonts w:ascii="Times New Roman" w:hAnsi="Times New Roman" w:cs="Times New Roman"/>
          <w:sz w:val="24"/>
          <w:szCs w:val="24"/>
        </w:rPr>
        <w:t xml:space="preserve"> Each of these </w:t>
      </w:r>
      <w:r w:rsidR="00A16B1F" w:rsidRPr="00774EDB">
        <w:rPr>
          <w:rFonts w:ascii="Times New Roman" w:hAnsi="Times New Roman" w:cs="Times New Roman"/>
          <w:sz w:val="24"/>
          <w:szCs w:val="24"/>
        </w:rPr>
        <w:t>service</w:t>
      </w:r>
      <w:r w:rsidR="001A19B9" w:rsidRPr="00774EDB">
        <w:rPr>
          <w:rFonts w:ascii="Times New Roman" w:hAnsi="Times New Roman" w:cs="Times New Roman"/>
          <w:sz w:val="24"/>
          <w:szCs w:val="24"/>
        </w:rPr>
        <w:t xml:space="preserve"> or platform</w:t>
      </w:r>
      <w:r w:rsidR="00A16B1F" w:rsidRPr="00774EDB">
        <w:rPr>
          <w:rFonts w:ascii="Times New Roman" w:hAnsi="Times New Roman" w:cs="Times New Roman"/>
          <w:sz w:val="24"/>
          <w:szCs w:val="24"/>
        </w:rPr>
        <w:t xml:space="preserve"> providers</w:t>
      </w:r>
      <w:r w:rsidR="001A19B9" w:rsidRPr="00774EDB">
        <w:rPr>
          <w:rFonts w:ascii="Times New Roman" w:hAnsi="Times New Roman" w:cs="Times New Roman"/>
          <w:sz w:val="24"/>
          <w:szCs w:val="24"/>
        </w:rPr>
        <w:t xml:space="preserve"> promotes its own IoT infrastructure, proprietary protocols and interfaces, incompatible standards, formats, and semantics which creates closed ecosystems or truly s</w:t>
      </w:r>
      <w:r w:rsidR="00A16B1F" w:rsidRPr="00774EDB">
        <w:rPr>
          <w:rFonts w:ascii="Times New Roman" w:hAnsi="Times New Roman" w:cs="Times New Roman"/>
          <w:sz w:val="24"/>
          <w:szCs w:val="24"/>
        </w:rPr>
        <w:t>peak</w:t>
      </w:r>
      <w:r w:rsidR="001A19B9" w:rsidRPr="00774EDB">
        <w:rPr>
          <w:rFonts w:ascii="Times New Roman" w:hAnsi="Times New Roman" w:cs="Times New Roman"/>
          <w:sz w:val="24"/>
          <w:szCs w:val="24"/>
        </w:rPr>
        <w:t>ing ‘walled gardens’, sometimes called ‘stove pipes’ or ‘silos’.</w:t>
      </w:r>
      <w:r w:rsidR="001A19B9" w:rsidRPr="00774EDB">
        <w:rPr>
          <w:rStyle w:val="FootnoteReference"/>
          <w:rFonts w:ascii="Times New Roman" w:hAnsi="Times New Roman" w:cs="Times New Roman"/>
          <w:sz w:val="24"/>
          <w:szCs w:val="24"/>
        </w:rPr>
        <w:footnoteReference w:id="817"/>
      </w:r>
      <w:r w:rsidR="00A16B1F" w:rsidRPr="00774EDB">
        <w:rPr>
          <w:rFonts w:ascii="Times New Roman" w:hAnsi="Times New Roman" w:cs="Times New Roman"/>
          <w:sz w:val="24"/>
          <w:szCs w:val="24"/>
        </w:rPr>
        <w:t xml:space="preserve"> </w:t>
      </w:r>
    </w:p>
    <w:p w14:paraId="2303DD09" w14:textId="77777777" w:rsidR="002331BC" w:rsidRPr="00774EDB" w:rsidRDefault="002331B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Commercial strategies to increase the consumer loyalty, along with featured brands based on network effects, would effectively drive the leading companies to pursue a closed approach, although a trade-off is always at stake because of the potential data </w:t>
      </w:r>
      <w:r w:rsidRPr="00774EDB">
        <w:rPr>
          <w:rFonts w:ascii="Times New Roman" w:hAnsi="Times New Roman" w:cs="Times New Roman"/>
          <w:sz w:val="24"/>
          <w:szCs w:val="24"/>
        </w:rPr>
        <w:lastRenderedPageBreak/>
        <w:t>to be included into the IoT value proposition.</w:t>
      </w:r>
      <w:r w:rsidRPr="00774EDB">
        <w:rPr>
          <w:rStyle w:val="FootnoteReference"/>
          <w:rFonts w:ascii="Times New Roman" w:hAnsi="Times New Roman" w:cs="Times New Roman"/>
          <w:sz w:val="24"/>
          <w:szCs w:val="24"/>
        </w:rPr>
        <w:footnoteReference w:id="818"/>
      </w:r>
      <w:r w:rsidRPr="00774EDB">
        <w:rPr>
          <w:rFonts w:ascii="Times New Roman" w:hAnsi="Times New Roman" w:cs="Times New Roman"/>
          <w:sz w:val="24"/>
          <w:szCs w:val="24"/>
        </w:rPr>
        <w:t xml:space="preserve"> Restrictions over the disclosure of APIs would as well result from the security and privacy concerns across the expansive chains of data aggregation.</w:t>
      </w:r>
      <w:r w:rsidRPr="00774EDB">
        <w:rPr>
          <w:rStyle w:val="FootnoteReference"/>
          <w:rFonts w:ascii="Times New Roman" w:hAnsi="Times New Roman" w:cs="Times New Roman"/>
          <w:sz w:val="24"/>
          <w:szCs w:val="24"/>
        </w:rPr>
        <w:footnoteReference w:id="819"/>
      </w:r>
      <w:r w:rsidR="001A19B9" w:rsidRPr="00774EDB">
        <w:rPr>
          <w:rFonts w:ascii="Times New Roman" w:hAnsi="Times New Roman" w:cs="Times New Roman"/>
          <w:sz w:val="24"/>
          <w:szCs w:val="24"/>
        </w:rPr>
        <w:t xml:space="preserve"> </w:t>
      </w:r>
      <w:r w:rsidR="005A3961" w:rsidRPr="00774EDB">
        <w:rPr>
          <w:rFonts w:ascii="Times New Roman" w:hAnsi="Times New Roman" w:cs="Times New Roman"/>
          <w:sz w:val="24"/>
          <w:szCs w:val="24"/>
        </w:rPr>
        <w:t xml:space="preserve">The data streams and user specificity afforded by IoT devices can unlock incredible and unique value to IoT users, but concerns about </w:t>
      </w:r>
      <w:r w:rsidR="007F5684" w:rsidRPr="00774EDB">
        <w:rPr>
          <w:rFonts w:ascii="Times New Roman" w:hAnsi="Times New Roman" w:cs="Times New Roman"/>
          <w:sz w:val="24"/>
          <w:szCs w:val="24"/>
        </w:rPr>
        <w:t xml:space="preserve">security and </w:t>
      </w:r>
      <w:r w:rsidR="005A3961" w:rsidRPr="00774EDB">
        <w:rPr>
          <w:rFonts w:ascii="Times New Roman" w:hAnsi="Times New Roman" w:cs="Times New Roman"/>
          <w:sz w:val="24"/>
          <w:szCs w:val="24"/>
        </w:rPr>
        <w:t>privacy might hold back</w:t>
      </w:r>
      <w:r w:rsidR="007F5684" w:rsidRPr="00774EDB">
        <w:rPr>
          <w:rFonts w:ascii="Times New Roman" w:hAnsi="Times New Roman" w:cs="Times New Roman"/>
          <w:sz w:val="24"/>
          <w:szCs w:val="24"/>
        </w:rPr>
        <w:t xml:space="preserve"> the IoT service providers from adopting an interoperable and/or open approach.</w:t>
      </w:r>
      <w:r w:rsidR="007F5684" w:rsidRPr="00774EDB">
        <w:rPr>
          <w:rStyle w:val="FootnoteReference"/>
          <w:rFonts w:ascii="Times New Roman" w:hAnsi="Times New Roman" w:cs="Times New Roman"/>
          <w:sz w:val="24"/>
          <w:szCs w:val="24"/>
        </w:rPr>
        <w:footnoteReference w:id="820"/>
      </w:r>
    </w:p>
    <w:p w14:paraId="4225FC13" w14:textId="6BCB083A" w:rsidR="00A2698E" w:rsidRPr="00774EDB" w:rsidRDefault="002331B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From this point of view, the degree of interoperability has significant implications for the third parties e.g. software and application developers, in terms of having a restricted or open playing field. This playing field would get narrower or broader with the integration of additional layers i.e. intermediary layers into the IoT ecosystems. Sometimes, the addition of one layer would facilitate conversion of the non-native protocols into native ones that are applicable to the relevant IoT system. Yet it could end up as another wall by which third parties are excluded from the ecosystem. For instance, while full integration of a cloud platform into an IoT ecosystem would usually help bridge the interoperability gap as well as gathering data, this might have adverse effects when the IoT ecosystem creates network effects along with a walled garden structure. Last but not least, building up an IoT ecosystem also involves other </w:t>
      </w:r>
      <w:r w:rsidRPr="00774EDB">
        <w:rPr>
          <w:rFonts w:ascii="Times New Roman" w:hAnsi="Times New Roman" w:cs="Times New Roman"/>
          <w:sz w:val="24"/>
          <w:szCs w:val="24"/>
        </w:rPr>
        <w:lastRenderedPageBreak/>
        <w:t>concerns i.e. privacy, security, velocity and efficiency</w:t>
      </w:r>
      <w:r w:rsidR="00083DD2">
        <w:rPr>
          <w:rFonts w:ascii="Times New Roman" w:hAnsi="Times New Roman" w:cs="Times New Roman"/>
          <w:sz w:val="24"/>
          <w:szCs w:val="24"/>
        </w:rPr>
        <w:t xml:space="preserve"> </w:t>
      </w:r>
      <w:r w:rsidR="00AA3895">
        <w:rPr>
          <w:rFonts w:ascii="Times New Roman" w:hAnsi="Times New Roman" w:cs="Times New Roman"/>
          <w:sz w:val="24"/>
          <w:szCs w:val="24"/>
        </w:rPr>
        <w:t>creating</w:t>
      </w:r>
      <w:r w:rsidR="00083DD2">
        <w:rPr>
          <w:rFonts w:ascii="Times New Roman" w:hAnsi="Times New Roman" w:cs="Times New Roman"/>
          <w:sz w:val="24"/>
          <w:szCs w:val="24"/>
        </w:rPr>
        <w:t xml:space="preserve"> multidimensional consequences,</w:t>
      </w:r>
      <w:r w:rsidRPr="00774EDB">
        <w:rPr>
          <w:rFonts w:ascii="Times New Roman" w:hAnsi="Times New Roman" w:cs="Times New Roman"/>
          <w:sz w:val="24"/>
          <w:szCs w:val="24"/>
        </w:rPr>
        <w:t xml:space="preserve"> which would compromise interoperability. Hence, these concerns are potentially augmented when moving from an intra-system setting to an inter-system </w:t>
      </w:r>
      <w:r w:rsidR="00083DD2">
        <w:rPr>
          <w:rFonts w:ascii="Times New Roman" w:hAnsi="Times New Roman" w:cs="Times New Roman"/>
          <w:sz w:val="24"/>
          <w:szCs w:val="24"/>
        </w:rPr>
        <w:t>one</w:t>
      </w:r>
      <w:r w:rsidRPr="00774EDB">
        <w:rPr>
          <w:rFonts w:ascii="Times New Roman" w:hAnsi="Times New Roman" w:cs="Times New Roman"/>
          <w:sz w:val="24"/>
          <w:szCs w:val="24"/>
        </w:rPr>
        <w:t>, along with more complicated trade-offs, as detailed below.</w:t>
      </w:r>
    </w:p>
    <w:p w14:paraId="419562CD" w14:textId="77777777" w:rsidR="00695723" w:rsidRPr="00774EDB" w:rsidRDefault="00A867E4" w:rsidP="00A70042">
      <w:pPr>
        <w:pStyle w:val="Heading4"/>
        <w:numPr>
          <w:ilvl w:val="3"/>
          <w:numId w:val="33"/>
        </w:numPr>
        <w:spacing w:before="360"/>
        <w:ind w:left="851" w:hanging="851"/>
        <w:jc w:val="both"/>
        <w:rPr>
          <w:rFonts w:ascii="Times New Roman" w:hAnsi="Times New Roman" w:cs="Times New Roman"/>
          <w:b/>
          <w:i w:val="0"/>
          <w:color w:val="auto"/>
          <w:sz w:val="24"/>
          <w:szCs w:val="24"/>
        </w:rPr>
      </w:pPr>
      <w:bookmarkStart w:id="637" w:name="_Toc17611491"/>
      <w:bookmarkStart w:id="638" w:name="_Toc17611708"/>
      <w:bookmarkStart w:id="639" w:name="_Toc17611920"/>
      <w:bookmarkStart w:id="640" w:name="_Toc17612134"/>
      <w:bookmarkStart w:id="641" w:name="_Toc17612347"/>
      <w:bookmarkStart w:id="642" w:name="_Toc17611492"/>
      <w:bookmarkStart w:id="643" w:name="_Toc53576114"/>
      <w:bookmarkEnd w:id="637"/>
      <w:bookmarkEnd w:id="638"/>
      <w:bookmarkEnd w:id="639"/>
      <w:bookmarkEnd w:id="640"/>
      <w:bookmarkEnd w:id="641"/>
      <w:r w:rsidRPr="00774EDB">
        <w:rPr>
          <w:rFonts w:ascii="Times New Roman" w:hAnsi="Times New Roman" w:cs="Times New Roman"/>
          <w:b/>
          <w:i w:val="0"/>
          <w:color w:val="auto"/>
          <w:sz w:val="24"/>
          <w:szCs w:val="24"/>
        </w:rPr>
        <w:t xml:space="preserve">Analysis of interoperability </w:t>
      </w:r>
      <w:r w:rsidR="003D71A4" w:rsidRPr="00774EDB">
        <w:rPr>
          <w:rFonts w:ascii="Times New Roman" w:hAnsi="Times New Roman" w:cs="Times New Roman"/>
          <w:b/>
          <w:i w:val="0"/>
          <w:color w:val="auto"/>
          <w:sz w:val="24"/>
          <w:szCs w:val="24"/>
        </w:rPr>
        <w:t>related</w:t>
      </w:r>
      <w:r w:rsidRPr="00774EDB">
        <w:rPr>
          <w:rFonts w:ascii="Times New Roman" w:hAnsi="Times New Roman" w:cs="Times New Roman"/>
          <w:b/>
          <w:i w:val="0"/>
          <w:color w:val="auto"/>
          <w:sz w:val="24"/>
          <w:szCs w:val="24"/>
        </w:rPr>
        <w:t xml:space="preserve"> problems from </w:t>
      </w:r>
      <w:r w:rsidR="004A1CDA" w:rsidRPr="00774EDB">
        <w:rPr>
          <w:rFonts w:ascii="Times New Roman" w:hAnsi="Times New Roman" w:cs="Times New Roman"/>
          <w:b/>
          <w:i w:val="0"/>
          <w:color w:val="auto"/>
          <w:sz w:val="24"/>
          <w:szCs w:val="24"/>
        </w:rPr>
        <w:t>the</w:t>
      </w:r>
      <w:r w:rsidRPr="00774EDB">
        <w:rPr>
          <w:rFonts w:ascii="Times New Roman" w:hAnsi="Times New Roman" w:cs="Times New Roman"/>
          <w:b/>
          <w:i w:val="0"/>
          <w:color w:val="auto"/>
          <w:sz w:val="24"/>
          <w:szCs w:val="24"/>
        </w:rPr>
        <w:t xml:space="preserve"> ecosystem perspective</w:t>
      </w:r>
      <w:bookmarkEnd w:id="642"/>
      <w:bookmarkEnd w:id="643"/>
      <w:r w:rsidR="00695723" w:rsidRPr="00774EDB">
        <w:rPr>
          <w:rFonts w:ascii="Times New Roman" w:hAnsi="Times New Roman" w:cs="Times New Roman"/>
          <w:b/>
          <w:i w:val="0"/>
          <w:color w:val="auto"/>
          <w:sz w:val="24"/>
          <w:szCs w:val="24"/>
        </w:rPr>
        <w:t xml:space="preserve"> </w:t>
      </w:r>
    </w:p>
    <w:p w14:paraId="576508EC" w14:textId="19176019" w:rsidR="00B108FF" w:rsidRPr="00774EDB" w:rsidRDefault="00B108F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While the analysis above suggests that interoperability reflects one of the main threads of the emergent IoT ecosystems, an in-depth look into the ecosystem relationships would be useful to clearly understand the IoT interoperability from a broader perspective. As a starting point, it should be remembered that while an ecosystem builds on adaptive and dynamic relationships between the players, interoperability requires more technical and crystallised solutions, like standards. As the need and user expectations for ubiquity, latency, velocity, scalability, etc. change across the industry settings, a diversification process prevails as to the standards applied to different IoT settings.</w:t>
      </w:r>
      <w:r w:rsidR="00BE4364" w:rsidRPr="00774EDB">
        <w:rPr>
          <w:rFonts w:ascii="Times New Roman" w:hAnsi="Times New Roman" w:cs="Times New Roman"/>
          <w:sz w:val="24"/>
          <w:szCs w:val="24"/>
        </w:rPr>
        <w:t xml:space="preserve"> For example, while the environmental sensors use ZigBee based on IEEE 802.15.4 standard, IoT devices such as Smart TV, printers, air conditioners support traditional ubiquitous Wi-Fi technologies and 3G/4G cellular communications.</w:t>
      </w:r>
      <w:r w:rsidR="00BE4364" w:rsidRPr="00774EDB">
        <w:rPr>
          <w:rStyle w:val="FootnoteReference"/>
          <w:rFonts w:ascii="Times New Roman" w:hAnsi="Times New Roman" w:cs="Times New Roman"/>
          <w:sz w:val="24"/>
          <w:szCs w:val="24"/>
        </w:rPr>
        <w:footnoteReference w:id="821"/>
      </w:r>
      <w:r w:rsidR="00BE4364" w:rsidRPr="00774EDB">
        <w:rPr>
          <w:rFonts w:ascii="Times New Roman" w:hAnsi="Times New Roman" w:cs="Times New Roman"/>
          <w:sz w:val="24"/>
          <w:szCs w:val="24"/>
        </w:rPr>
        <w:t xml:space="preserve"> On the other hand, most recent IoT medical devices are based on ANT+ standard, while other wearable devices mostly support Bluetooth SMART and NFC.</w:t>
      </w:r>
      <w:r w:rsidR="00BE4364" w:rsidRPr="00774EDB">
        <w:rPr>
          <w:rStyle w:val="FootnoteReference"/>
          <w:rFonts w:ascii="Times New Roman" w:hAnsi="Times New Roman" w:cs="Times New Roman"/>
          <w:sz w:val="24"/>
          <w:szCs w:val="24"/>
        </w:rPr>
        <w:footnoteReference w:id="822"/>
      </w:r>
      <w:r w:rsidR="00BE4364"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This diversified nature of the IoT solutions </w:t>
      </w:r>
      <w:r w:rsidR="000B491D" w:rsidRPr="00774EDB">
        <w:rPr>
          <w:rFonts w:ascii="Times New Roman" w:hAnsi="Times New Roman" w:cs="Times New Roman"/>
          <w:sz w:val="24"/>
          <w:szCs w:val="24"/>
        </w:rPr>
        <w:t>and standards</w:t>
      </w:r>
      <w:r w:rsidR="004B7E59" w:rsidRPr="00774EDB">
        <w:rPr>
          <w:rStyle w:val="FootnoteReference"/>
          <w:rFonts w:ascii="Times New Roman" w:hAnsi="Times New Roman" w:cs="Times New Roman"/>
          <w:sz w:val="24"/>
          <w:szCs w:val="24"/>
        </w:rPr>
        <w:footnoteReference w:id="823"/>
      </w:r>
      <w:r w:rsidR="004B7E59" w:rsidRPr="00774EDB">
        <w:rPr>
          <w:rFonts w:ascii="Times New Roman" w:hAnsi="Times New Roman" w:cs="Times New Roman"/>
          <w:sz w:val="24"/>
          <w:szCs w:val="24"/>
        </w:rPr>
        <w:t xml:space="preserve"> </w:t>
      </w:r>
      <w:r w:rsidRPr="00774EDB">
        <w:rPr>
          <w:rFonts w:ascii="Times New Roman" w:hAnsi="Times New Roman" w:cs="Times New Roman"/>
          <w:sz w:val="24"/>
          <w:szCs w:val="24"/>
        </w:rPr>
        <w:t>causes a fragmented structure in terms of interoperability.</w:t>
      </w:r>
      <w:r w:rsidR="00A16B1F" w:rsidRPr="00774EDB">
        <w:rPr>
          <w:rFonts w:ascii="Times New Roman" w:hAnsi="Times New Roman" w:cs="Times New Roman"/>
          <w:sz w:val="24"/>
          <w:szCs w:val="24"/>
        </w:rPr>
        <w:t xml:space="preserve"> </w:t>
      </w:r>
    </w:p>
    <w:p w14:paraId="53D4FC00" w14:textId="77777777" w:rsidR="00B108FF" w:rsidRPr="00774EDB" w:rsidRDefault="00B108F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In conjunction with this fact, walled garden or proprietary systems are often preferred by the service providers, which limits the interoperability to only those devices and components within the brand product life.</w:t>
      </w:r>
      <w:r w:rsidRPr="00774EDB">
        <w:rPr>
          <w:rStyle w:val="FootnoteReference"/>
          <w:rFonts w:ascii="Times New Roman" w:hAnsi="Times New Roman" w:cs="Times New Roman"/>
          <w:sz w:val="24"/>
          <w:szCs w:val="24"/>
        </w:rPr>
        <w:footnoteReference w:id="824"/>
      </w:r>
      <w:r w:rsidRPr="00774EDB">
        <w:rPr>
          <w:rFonts w:ascii="Times New Roman" w:hAnsi="Times New Roman" w:cs="Times New Roman"/>
          <w:sz w:val="24"/>
          <w:szCs w:val="24"/>
        </w:rPr>
        <w:t xml:space="preserve"> In the end, interoperability is usually compromised along with lock-in problems, although IoT stakeholders might tend to boast much more data across an enlarged set of devices and applications. This dilemma brings out a hard-to-solve trade-off problem between interoperability and innovation across the distinct IoT solutions. In the short term, it is therefore hard to imagine a hyperconnected marketplace against the trade-offs that </w:t>
      </w:r>
      <w:r w:rsidR="003D71A4" w:rsidRPr="00774EDB">
        <w:rPr>
          <w:rFonts w:ascii="Times New Roman" w:hAnsi="Times New Roman" w:cs="Times New Roman"/>
          <w:sz w:val="24"/>
          <w:szCs w:val="24"/>
        </w:rPr>
        <w:t>entails</w:t>
      </w:r>
      <w:r w:rsidRPr="00774EDB">
        <w:rPr>
          <w:rFonts w:ascii="Times New Roman" w:hAnsi="Times New Roman" w:cs="Times New Roman"/>
          <w:sz w:val="24"/>
          <w:szCs w:val="24"/>
        </w:rPr>
        <w:t xml:space="preserve"> potentially harm</w:t>
      </w:r>
      <w:r w:rsidR="003D71A4" w:rsidRPr="00774EDB">
        <w:rPr>
          <w:rFonts w:ascii="Times New Roman" w:hAnsi="Times New Roman" w:cs="Times New Roman"/>
          <w:sz w:val="24"/>
          <w:szCs w:val="24"/>
        </w:rPr>
        <w:t>ed</w:t>
      </w:r>
      <w:r w:rsidRPr="00774EDB">
        <w:rPr>
          <w:rFonts w:ascii="Times New Roman" w:hAnsi="Times New Roman" w:cs="Times New Roman"/>
          <w:sz w:val="24"/>
          <w:szCs w:val="24"/>
        </w:rPr>
        <w:t xml:space="preserve"> interoperability. Against this background, demystifying the potential problems, particularly vendor lock-in, across the layers would be useful to understand the holistic picture.</w:t>
      </w:r>
    </w:p>
    <w:p w14:paraId="6D5363C1" w14:textId="3660F2BE" w:rsidR="00B108FF" w:rsidRPr="00774EDB" w:rsidRDefault="00B108F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Starting from the bottom, the perception layer consists of numerous sensors attached to the IoT devices and running on the basis of numerous standard</w:t>
      </w:r>
      <w:r w:rsidR="009D2BE9" w:rsidRPr="00774EDB">
        <w:rPr>
          <w:rFonts w:ascii="Times New Roman" w:hAnsi="Times New Roman" w:cs="Times New Roman"/>
          <w:sz w:val="24"/>
          <w:szCs w:val="24"/>
        </w:rPr>
        <w:t xml:space="preserve"> protocols, e.g. ZigBee, Z-Wave, ZigBee, WirelessHart or non-standard proprietary ones e.g. LoRa, S</w:t>
      </w:r>
      <w:r w:rsidR="00BB1C81" w:rsidRPr="00774EDB">
        <w:rPr>
          <w:rFonts w:ascii="Times New Roman" w:hAnsi="Times New Roman" w:cs="Times New Roman"/>
          <w:sz w:val="24"/>
          <w:szCs w:val="24"/>
        </w:rPr>
        <w:t>igfox</w:t>
      </w:r>
      <w:r w:rsidR="009D2BE9" w:rsidRPr="00774EDB">
        <w:rPr>
          <w:rFonts w:ascii="Times New Roman" w:hAnsi="Times New Roman" w:cs="Times New Roman"/>
          <w:sz w:val="24"/>
          <w:szCs w:val="24"/>
        </w:rPr>
        <w:t xml:space="preserve">. </w:t>
      </w:r>
      <w:r w:rsidRPr="00774EDB">
        <w:rPr>
          <w:rFonts w:ascii="Times New Roman" w:hAnsi="Times New Roman" w:cs="Times New Roman"/>
          <w:sz w:val="24"/>
          <w:szCs w:val="24"/>
        </w:rPr>
        <w:t>As the standards adopted by the IoT providers are so diverse</w:t>
      </w:r>
      <w:r w:rsidR="009D2BE9" w:rsidRPr="00774EDB">
        <w:rPr>
          <w:rFonts w:ascii="Times New Roman" w:hAnsi="Times New Roman" w:cs="Times New Roman"/>
          <w:sz w:val="24"/>
          <w:szCs w:val="24"/>
        </w:rPr>
        <w:t xml:space="preserve"> and have not ended up with a de facto one</w:t>
      </w:r>
      <w:r w:rsidRPr="00774EDB">
        <w:rPr>
          <w:rFonts w:ascii="Times New Roman" w:hAnsi="Times New Roman" w:cs="Times New Roman"/>
          <w:sz w:val="24"/>
          <w:szCs w:val="24"/>
        </w:rPr>
        <w:t>, interoperability solutions at this layer are fragmented. To illustrate, a lightbulb would not transmit data streams to the devices surrounding it e.g. windows, thermostat, etc., if they are based and run on different wireless standards. A</w:t>
      </w:r>
      <w:r w:rsidR="003D71A4" w:rsidRPr="00774EDB">
        <w:rPr>
          <w:rFonts w:ascii="Times New Roman" w:hAnsi="Times New Roman" w:cs="Times New Roman"/>
          <w:sz w:val="24"/>
          <w:szCs w:val="24"/>
        </w:rPr>
        <w:t>s the industrial developments</w:t>
      </w:r>
      <w:r w:rsidR="00621236" w:rsidRPr="00774EDB">
        <w:rPr>
          <w:rFonts w:ascii="Times New Roman" w:hAnsi="Times New Roman" w:cs="Times New Roman"/>
          <w:sz w:val="24"/>
          <w:szCs w:val="24"/>
        </w:rPr>
        <w:t xml:space="preserve"> </w:t>
      </w:r>
      <w:r w:rsidR="003D71A4" w:rsidRPr="00774EDB">
        <w:rPr>
          <w:rFonts w:ascii="Times New Roman" w:hAnsi="Times New Roman" w:cs="Times New Roman"/>
          <w:sz w:val="24"/>
          <w:szCs w:val="24"/>
        </w:rPr>
        <w:t>manifest</w:t>
      </w:r>
      <w:r w:rsidRPr="00774EDB">
        <w:rPr>
          <w:rFonts w:ascii="Times New Roman" w:hAnsi="Times New Roman" w:cs="Times New Roman"/>
          <w:sz w:val="24"/>
          <w:szCs w:val="24"/>
        </w:rPr>
        <w:t>, a dominant supplier would opt to create a walled garden comprising a brand of family products which exchange data via the same protocol. The result then would be an outcome of vendor lock-in with the potential finding for abuse of dominance i.e. under ‘exceptional circumstances’.</w:t>
      </w:r>
      <w:r w:rsidR="00AA3895">
        <w:rPr>
          <w:rStyle w:val="FootnoteReference"/>
          <w:rFonts w:ascii="Times New Roman" w:hAnsi="Times New Roman" w:cs="Times New Roman"/>
          <w:sz w:val="24"/>
          <w:szCs w:val="24"/>
        </w:rPr>
        <w:footnoteReference w:id="825"/>
      </w:r>
      <w:r w:rsidRPr="00774EDB">
        <w:rPr>
          <w:rFonts w:ascii="Times New Roman" w:hAnsi="Times New Roman" w:cs="Times New Roman"/>
          <w:sz w:val="24"/>
          <w:szCs w:val="24"/>
        </w:rPr>
        <w:t xml:space="preserve"> </w:t>
      </w:r>
      <w:r w:rsidRPr="00774EDB">
        <w:rPr>
          <w:rFonts w:ascii="Times New Roman" w:hAnsi="Times New Roman" w:cs="Times New Roman"/>
          <w:sz w:val="24"/>
          <w:szCs w:val="24"/>
        </w:rPr>
        <w:lastRenderedPageBreak/>
        <w:t>This is particularly relevant at the perception layer, as low-power transmission protocols are so diverse and even non-standardised</w:t>
      </w:r>
      <w:r w:rsidR="00A16B1F" w:rsidRPr="00774EDB">
        <w:rPr>
          <w:rFonts w:ascii="Times New Roman" w:hAnsi="Times New Roman" w:cs="Times New Roman"/>
          <w:sz w:val="24"/>
          <w:szCs w:val="24"/>
        </w:rPr>
        <w:t xml:space="preserve"> on a truly common basis</w:t>
      </w:r>
      <w:r w:rsidRPr="00774EDB">
        <w:rPr>
          <w:rFonts w:ascii="Times New Roman" w:hAnsi="Times New Roman" w:cs="Times New Roman"/>
          <w:sz w:val="24"/>
          <w:szCs w:val="24"/>
        </w:rPr>
        <w:t xml:space="preserve">. </w:t>
      </w:r>
    </w:p>
    <w:p w14:paraId="7527F4F7" w14:textId="77777777" w:rsidR="00B108FF" w:rsidRPr="00774EDB" w:rsidRDefault="00B108F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At the access (network) layer, broadband access networks most often serve as the mere conduit for data transmission, which reduces the risk of vendor lock-in. The IoT systems and applications are run on fixed and wireless networks which serve end-to-end connectivity. Cellular networks and standards e.g. GSM, UMTS and LTE, have an increasing share in the IoT ecosystems, considering the potential of mobile handsets and packages for the consumers. As 5G networks are much more promising for the IoT than its predecessors i.e. GSM, 3G and  4G, the deployment of 5G networks is expected to bring out significant benefits for wireless communications, such as high bandwidth, increased efficiency and less latency and have a positive impact on IoT applications.</w:t>
      </w:r>
      <w:r w:rsidRPr="00774EDB">
        <w:rPr>
          <w:rStyle w:val="FootnoteReference"/>
          <w:rFonts w:ascii="Times New Roman" w:hAnsi="Times New Roman" w:cs="Times New Roman"/>
          <w:sz w:val="24"/>
          <w:szCs w:val="24"/>
        </w:rPr>
        <w:footnoteReference w:id="826"/>
      </w:r>
      <w:r w:rsidRPr="00774EDB">
        <w:rPr>
          <w:rFonts w:ascii="Times New Roman" w:hAnsi="Times New Roman" w:cs="Times New Roman"/>
          <w:sz w:val="24"/>
          <w:szCs w:val="24"/>
        </w:rPr>
        <w:t xml:space="preserve"> At this layer, common standards dissipate issues of interoperability, while other switching-related problems i.e. based on the remote configurability of SIMs, would prevail, risking the users being locked into their mobile carriers. </w:t>
      </w:r>
    </w:p>
    <w:p w14:paraId="6D4B106F" w14:textId="35349D79" w:rsidR="00B108FF" w:rsidRPr="00774EDB" w:rsidRDefault="00B108F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a matter of fact, problems surrounding the configurability of SIMs is an issue that not only creates the risk of vendor lock-in but also threatens the viability of the IoT on the 5G platforms. If the IoT</w:t>
      </w:r>
      <w:r w:rsidR="00B40F90" w:rsidRPr="00774EDB">
        <w:rPr>
          <w:rFonts w:ascii="Times New Roman" w:hAnsi="Times New Roman" w:cs="Times New Roman"/>
          <w:sz w:val="24"/>
          <w:szCs w:val="24"/>
        </w:rPr>
        <w:t>/</w:t>
      </w:r>
      <w:r w:rsidRPr="00774EDB">
        <w:rPr>
          <w:rFonts w:ascii="Times New Roman" w:hAnsi="Times New Roman" w:cs="Times New Roman"/>
          <w:sz w:val="24"/>
          <w:szCs w:val="24"/>
        </w:rPr>
        <w:t xml:space="preserve">M2M companies </w:t>
      </w:r>
      <w:r w:rsidR="00B40F90" w:rsidRPr="00774EDB">
        <w:rPr>
          <w:rFonts w:ascii="Times New Roman" w:hAnsi="Times New Roman" w:cs="Times New Roman"/>
          <w:sz w:val="24"/>
          <w:szCs w:val="24"/>
        </w:rPr>
        <w:t xml:space="preserve">and users </w:t>
      </w:r>
      <w:r w:rsidRPr="00774EDB">
        <w:rPr>
          <w:rFonts w:ascii="Times New Roman" w:hAnsi="Times New Roman" w:cs="Times New Roman"/>
          <w:sz w:val="24"/>
          <w:szCs w:val="24"/>
        </w:rPr>
        <w:t>running on 4G</w:t>
      </w:r>
      <w:r w:rsidR="00B40F90" w:rsidRPr="00774EDB">
        <w:rPr>
          <w:rFonts w:ascii="Times New Roman" w:hAnsi="Times New Roman" w:cs="Times New Roman"/>
          <w:sz w:val="24"/>
          <w:szCs w:val="24"/>
        </w:rPr>
        <w:t>/</w:t>
      </w:r>
      <w:r w:rsidRPr="00774EDB">
        <w:rPr>
          <w:rFonts w:ascii="Times New Roman" w:hAnsi="Times New Roman" w:cs="Times New Roman"/>
          <w:sz w:val="24"/>
          <w:szCs w:val="24"/>
        </w:rPr>
        <w:t xml:space="preserve">5G networks are not able to transfer the SIMs, installed in their manufactured devices, from one mobile network to another, they would get locked to one mobile operator. A solution based on assignment of MNCs – as envisaged under the EECC – would give </w:t>
      </w:r>
      <w:r w:rsidRPr="00774EDB">
        <w:rPr>
          <w:rFonts w:ascii="Times New Roman" w:hAnsi="Times New Roman" w:cs="Times New Roman"/>
          <w:sz w:val="24"/>
          <w:szCs w:val="24"/>
        </w:rPr>
        <w:lastRenderedPageBreak/>
        <w:t>meaningful results; yet this needs to be checked</w:t>
      </w:r>
      <w:r w:rsidR="000504FC" w:rsidRPr="00774EDB">
        <w:rPr>
          <w:rFonts w:ascii="Times New Roman" w:hAnsi="Times New Roman" w:cs="Times New Roman"/>
          <w:sz w:val="24"/>
          <w:szCs w:val="24"/>
        </w:rPr>
        <w:t xml:space="preserve"> </w:t>
      </w:r>
      <w:r w:rsidRPr="00774EDB">
        <w:rPr>
          <w:rFonts w:ascii="Times New Roman" w:hAnsi="Times New Roman" w:cs="Times New Roman"/>
          <w:sz w:val="24"/>
          <w:szCs w:val="24"/>
        </w:rPr>
        <w:t>for the presumably unforeseen implications.</w:t>
      </w:r>
      <w:r w:rsidR="00D162EB" w:rsidRPr="00774EDB">
        <w:rPr>
          <w:rStyle w:val="FootnoteReference"/>
          <w:rFonts w:ascii="Times New Roman" w:hAnsi="Times New Roman" w:cs="Times New Roman"/>
          <w:sz w:val="24"/>
          <w:szCs w:val="24"/>
        </w:rPr>
        <w:footnoteReference w:id="827"/>
      </w:r>
      <w:r w:rsidRPr="00774EDB">
        <w:rPr>
          <w:rFonts w:ascii="Times New Roman" w:hAnsi="Times New Roman" w:cs="Times New Roman"/>
          <w:sz w:val="24"/>
          <w:szCs w:val="24"/>
        </w:rPr>
        <w:t xml:space="preserve"> </w:t>
      </w:r>
      <w:r w:rsidR="00D162EB" w:rsidRPr="00774EDB">
        <w:rPr>
          <w:rFonts w:ascii="Times New Roman" w:hAnsi="Times New Roman" w:cs="Times New Roman"/>
          <w:sz w:val="24"/>
          <w:szCs w:val="24"/>
        </w:rPr>
        <w:t>While there are other industrial solutions i.e. OTA provisioning of numbering resources, to deal with this switching problem,</w:t>
      </w:r>
      <w:r w:rsidR="00D162EB" w:rsidRPr="00774EDB">
        <w:rPr>
          <w:rStyle w:val="FootnoteReference"/>
          <w:rFonts w:ascii="Times New Roman" w:hAnsi="Times New Roman" w:cs="Times New Roman"/>
          <w:sz w:val="24"/>
          <w:szCs w:val="24"/>
        </w:rPr>
        <w:footnoteReference w:id="828"/>
      </w:r>
      <w:r w:rsidR="00D162EB" w:rsidRPr="00774EDB">
        <w:rPr>
          <w:rFonts w:ascii="Times New Roman" w:hAnsi="Times New Roman" w:cs="Times New Roman"/>
          <w:sz w:val="24"/>
          <w:szCs w:val="24"/>
        </w:rPr>
        <w:t xml:space="preserve"> such solutions require industry-wide memorandum of understanding.</w:t>
      </w:r>
      <w:r w:rsidR="00D162EB" w:rsidRPr="00774EDB">
        <w:rPr>
          <w:rStyle w:val="FootnoteReference"/>
          <w:rFonts w:ascii="Times New Roman" w:hAnsi="Times New Roman" w:cs="Times New Roman"/>
          <w:sz w:val="24"/>
          <w:szCs w:val="24"/>
        </w:rPr>
        <w:footnoteReference w:id="829"/>
      </w:r>
    </w:p>
    <w:p w14:paraId="015DC8A9" w14:textId="77777777" w:rsidR="0067033A" w:rsidRPr="00774EDB" w:rsidRDefault="00B108F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When going up, namely from the access layer to the cloud and application layers, new players come on to the scene alongside the IoT manufacturers, service providers and network operators. Usually, the IoT manufacturers and service providers purchase service from the cloud firms and software developers, which respectively operate in the cloud and application layers. Vendor lock-in risk is high at these layers</w:t>
      </w:r>
      <w:r w:rsidR="004B291F"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because of the highly dependent </w:t>
      </w:r>
      <w:r w:rsidR="0080718F" w:rsidRPr="00774EDB">
        <w:rPr>
          <w:rFonts w:ascii="Times New Roman" w:hAnsi="Times New Roman" w:cs="Times New Roman"/>
          <w:sz w:val="24"/>
          <w:szCs w:val="24"/>
        </w:rPr>
        <w:t>nature</w:t>
      </w:r>
      <w:r w:rsidRPr="00774EDB">
        <w:rPr>
          <w:rFonts w:ascii="Times New Roman" w:hAnsi="Times New Roman" w:cs="Times New Roman"/>
          <w:sz w:val="24"/>
          <w:szCs w:val="24"/>
        </w:rPr>
        <w:t xml:space="preserve"> of the IoT systems on the clouds and applications.</w:t>
      </w:r>
    </w:p>
    <w:p w14:paraId="228305D4" w14:textId="77777777" w:rsidR="007E7AC2" w:rsidRPr="00774EDB" w:rsidRDefault="0067033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w:t>
      </w:r>
      <w:r w:rsidR="004B291F" w:rsidRPr="00774EDB">
        <w:rPr>
          <w:rFonts w:ascii="Times New Roman" w:hAnsi="Times New Roman" w:cs="Times New Roman"/>
          <w:sz w:val="24"/>
          <w:szCs w:val="24"/>
        </w:rPr>
        <w:t xml:space="preserve">n the case </w:t>
      </w:r>
      <w:r w:rsidR="00F16A83" w:rsidRPr="00774EDB">
        <w:rPr>
          <w:rFonts w:ascii="Times New Roman" w:hAnsi="Times New Roman" w:cs="Times New Roman"/>
          <w:sz w:val="24"/>
          <w:szCs w:val="24"/>
        </w:rPr>
        <w:t xml:space="preserve">IoT </w:t>
      </w:r>
      <w:r w:rsidR="004B291F" w:rsidRPr="00774EDB">
        <w:rPr>
          <w:rFonts w:ascii="Times New Roman" w:hAnsi="Times New Roman" w:cs="Times New Roman"/>
          <w:sz w:val="24"/>
          <w:szCs w:val="24"/>
        </w:rPr>
        <w:t>applications are developed and run by a</w:t>
      </w:r>
      <w:r w:rsidR="00BB73EA" w:rsidRPr="00774EDB">
        <w:rPr>
          <w:rFonts w:ascii="Times New Roman" w:hAnsi="Times New Roman" w:cs="Times New Roman"/>
          <w:sz w:val="24"/>
          <w:szCs w:val="24"/>
        </w:rPr>
        <w:t xml:space="preserve"> company as to interoperate with </w:t>
      </w:r>
      <w:r w:rsidR="00C704D5" w:rsidRPr="00774EDB">
        <w:rPr>
          <w:rFonts w:ascii="Times New Roman" w:hAnsi="Times New Roman" w:cs="Times New Roman"/>
          <w:sz w:val="24"/>
          <w:szCs w:val="24"/>
        </w:rPr>
        <w:t>the underlying platform, cloud or device</w:t>
      </w:r>
      <w:r w:rsidR="00BB73EA" w:rsidRPr="00774EDB">
        <w:rPr>
          <w:rFonts w:ascii="Times New Roman" w:hAnsi="Times New Roman" w:cs="Times New Roman"/>
          <w:sz w:val="24"/>
          <w:szCs w:val="24"/>
        </w:rPr>
        <w:t xml:space="preserve">, </w:t>
      </w:r>
      <w:r w:rsidR="004B291F" w:rsidRPr="00774EDB">
        <w:rPr>
          <w:rFonts w:ascii="Times New Roman" w:hAnsi="Times New Roman" w:cs="Times New Roman"/>
          <w:sz w:val="24"/>
          <w:szCs w:val="24"/>
        </w:rPr>
        <w:t>IoT users would get locked into th</w:t>
      </w:r>
      <w:r w:rsidR="00C704D5" w:rsidRPr="00774EDB">
        <w:rPr>
          <w:rFonts w:ascii="Times New Roman" w:hAnsi="Times New Roman" w:cs="Times New Roman"/>
          <w:sz w:val="24"/>
          <w:szCs w:val="24"/>
        </w:rPr>
        <w:t>e featured</w:t>
      </w:r>
      <w:r w:rsidR="002F6934" w:rsidRPr="00774EDB">
        <w:rPr>
          <w:rFonts w:ascii="Times New Roman" w:hAnsi="Times New Roman" w:cs="Times New Roman"/>
          <w:sz w:val="24"/>
          <w:szCs w:val="24"/>
        </w:rPr>
        <w:t>/supported</w:t>
      </w:r>
      <w:r w:rsidR="00C80FD0" w:rsidRPr="00774EDB">
        <w:rPr>
          <w:rFonts w:ascii="Times New Roman" w:hAnsi="Times New Roman" w:cs="Times New Roman"/>
          <w:sz w:val="24"/>
          <w:szCs w:val="24"/>
        </w:rPr>
        <w:t xml:space="preserve"> </w:t>
      </w:r>
      <w:r w:rsidR="004B291F" w:rsidRPr="00774EDB">
        <w:rPr>
          <w:rFonts w:ascii="Times New Roman" w:hAnsi="Times New Roman" w:cs="Times New Roman"/>
          <w:sz w:val="24"/>
          <w:szCs w:val="24"/>
        </w:rPr>
        <w:t>apps</w:t>
      </w:r>
      <w:r w:rsidR="007A4284" w:rsidRPr="00774EDB">
        <w:rPr>
          <w:rFonts w:ascii="Times New Roman" w:hAnsi="Times New Roman" w:cs="Times New Roman"/>
          <w:sz w:val="24"/>
          <w:szCs w:val="24"/>
        </w:rPr>
        <w:t xml:space="preserve"> or</w:t>
      </w:r>
      <w:r w:rsidR="004B291F" w:rsidRPr="00774EDB">
        <w:rPr>
          <w:rFonts w:ascii="Times New Roman" w:hAnsi="Times New Roman" w:cs="Times New Roman"/>
          <w:sz w:val="24"/>
          <w:szCs w:val="24"/>
        </w:rPr>
        <w:t xml:space="preserve"> software</w:t>
      </w:r>
      <w:r w:rsidR="00BB73EA" w:rsidRPr="00774EDB">
        <w:rPr>
          <w:rFonts w:ascii="Times New Roman" w:hAnsi="Times New Roman" w:cs="Times New Roman"/>
          <w:sz w:val="24"/>
          <w:szCs w:val="24"/>
        </w:rPr>
        <w:t xml:space="preserve">. </w:t>
      </w:r>
      <w:r w:rsidR="009268A6" w:rsidRPr="00774EDB">
        <w:rPr>
          <w:rFonts w:ascii="Times New Roman" w:hAnsi="Times New Roman" w:cs="Times New Roman"/>
          <w:sz w:val="24"/>
          <w:szCs w:val="24"/>
        </w:rPr>
        <w:t>For instance, an I</w:t>
      </w:r>
      <w:r w:rsidR="002F6934" w:rsidRPr="00774EDB">
        <w:rPr>
          <w:rFonts w:ascii="Times New Roman" w:hAnsi="Times New Roman" w:cs="Times New Roman"/>
          <w:sz w:val="24"/>
          <w:szCs w:val="24"/>
        </w:rPr>
        <w:t xml:space="preserve">oT health </w:t>
      </w:r>
      <w:r w:rsidR="009268A6" w:rsidRPr="00774EDB">
        <w:rPr>
          <w:rFonts w:ascii="Times New Roman" w:hAnsi="Times New Roman" w:cs="Times New Roman"/>
          <w:sz w:val="24"/>
          <w:szCs w:val="24"/>
        </w:rPr>
        <w:t xml:space="preserve">application connected to an only one or two platforms would not be capable of monitoring and conveying health related data e.g. glucose level, heart rate across other platforms, which will otherwise serve locating the person and sending an ambulance to him or her. </w:t>
      </w:r>
      <w:r w:rsidR="00B108FF" w:rsidRPr="00774EDB">
        <w:rPr>
          <w:rFonts w:ascii="Times New Roman" w:hAnsi="Times New Roman" w:cs="Times New Roman"/>
          <w:sz w:val="24"/>
          <w:szCs w:val="24"/>
        </w:rPr>
        <w:t xml:space="preserve">In such </w:t>
      </w:r>
      <w:r w:rsidR="00B108FF" w:rsidRPr="00774EDB">
        <w:rPr>
          <w:rFonts w:ascii="Times New Roman" w:hAnsi="Times New Roman" w:cs="Times New Roman"/>
          <w:sz w:val="24"/>
          <w:szCs w:val="24"/>
        </w:rPr>
        <w:lastRenderedPageBreak/>
        <w:t xml:space="preserve">cases, unless </w:t>
      </w:r>
      <w:r w:rsidR="004B291F" w:rsidRPr="00774EDB">
        <w:rPr>
          <w:rFonts w:ascii="Times New Roman" w:hAnsi="Times New Roman" w:cs="Times New Roman"/>
          <w:sz w:val="24"/>
          <w:szCs w:val="24"/>
        </w:rPr>
        <w:t>users</w:t>
      </w:r>
      <w:r w:rsidR="00B108FF" w:rsidRPr="00774EDB">
        <w:rPr>
          <w:rFonts w:ascii="Times New Roman" w:hAnsi="Times New Roman" w:cs="Times New Roman"/>
          <w:sz w:val="24"/>
          <w:szCs w:val="24"/>
        </w:rPr>
        <w:t xml:space="preserve"> purchase and</w:t>
      </w:r>
      <w:r w:rsidR="004B291F" w:rsidRPr="00774EDB">
        <w:rPr>
          <w:rFonts w:ascii="Times New Roman" w:hAnsi="Times New Roman" w:cs="Times New Roman"/>
          <w:sz w:val="24"/>
          <w:szCs w:val="24"/>
        </w:rPr>
        <w:t xml:space="preserve"> </w:t>
      </w:r>
      <w:r w:rsidR="00B108FF" w:rsidRPr="00774EDB">
        <w:rPr>
          <w:rFonts w:ascii="Times New Roman" w:hAnsi="Times New Roman" w:cs="Times New Roman"/>
          <w:sz w:val="24"/>
          <w:szCs w:val="24"/>
        </w:rPr>
        <w:t xml:space="preserve">pay for </w:t>
      </w:r>
      <w:r w:rsidR="00EF4D12" w:rsidRPr="00774EDB">
        <w:rPr>
          <w:rFonts w:ascii="Times New Roman" w:hAnsi="Times New Roman" w:cs="Times New Roman"/>
          <w:sz w:val="24"/>
          <w:szCs w:val="24"/>
        </w:rPr>
        <w:t>a</w:t>
      </w:r>
      <w:r w:rsidR="001D1B89" w:rsidRPr="00774EDB">
        <w:rPr>
          <w:rFonts w:ascii="Times New Roman" w:hAnsi="Times New Roman" w:cs="Times New Roman"/>
          <w:sz w:val="24"/>
          <w:szCs w:val="24"/>
        </w:rPr>
        <w:t xml:space="preserve"> </w:t>
      </w:r>
      <w:r w:rsidR="00B108FF" w:rsidRPr="00774EDB">
        <w:rPr>
          <w:rFonts w:ascii="Times New Roman" w:hAnsi="Times New Roman" w:cs="Times New Roman"/>
          <w:sz w:val="24"/>
          <w:szCs w:val="24"/>
        </w:rPr>
        <w:t xml:space="preserve">new IoT </w:t>
      </w:r>
      <w:r w:rsidR="002F6934" w:rsidRPr="00774EDB">
        <w:rPr>
          <w:rFonts w:ascii="Times New Roman" w:hAnsi="Times New Roman" w:cs="Times New Roman"/>
          <w:sz w:val="24"/>
          <w:szCs w:val="24"/>
        </w:rPr>
        <w:t>product/</w:t>
      </w:r>
      <w:r w:rsidR="00B108FF" w:rsidRPr="00774EDB">
        <w:rPr>
          <w:rFonts w:ascii="Times New Roman" w:hAnsi="Times New Roman" w:cs="Times New Roman"/>
          <w:sz w:val="24"/>
          <w:szCs w:val="24"/>
        </w:rPr>
        <w:t>device</w:t>
      </w:r>
      <w:r w:rsidR="009268A6" w:rsidRPr="00774EDB">
        <w:rPr>
          <w:rFonts w:ascii="Times New Roman" w:hAnsi="Times New Roman" w:cs="Times New Roman"/>
          <w:sz w:val="24"/>
          <w:szCs w:val="24"/>
        </w:rPr>
        <w:t>, e.g. glucose meter,</w:t>
      </w:r>
      <w:r w:rsidR="007E7AC2" w:rsidRPr="00774EDB">
        <w:rPr>
          <w:rFonts w:ascii="Times New Roman" w:hAnsi="Times New Roman" w:cs="Times New Roman"/>
          <w:sz w:val="24"/>
          <w:szCs w:val="24"/>
        </w:rPr>
        <w:t xml:space="preserve"> which is interoperable wit</w:t>
      </w:r>
      <w:r w:rsidR="001D1B89" w:rsidRPr="00774EDB">
        <w:rPr>
          <w:rFonts w:ascii="Times New Roman" w:hAnsi="Times New Roman" w:cs="Times New Roman"/>
          <w:sz w:val="24"/>
          <w:szCs w:val="24"/>
        </w:rPr>
        <w:t>h the particularly chosen apps</w:t>
      </w:r>
      <w:r w:rsidR="00B108FF" w:rsidRPr="00774EDB">
        <w:rPr>
          <w:rFonts w:ascii="Times New Roman" w:hAnsi="Times New Roman" w:cs="Times New Roman"/>
          <w:sz w:val="24"/>
          <w:szCs w:val="24"/>
        </w:rPr>
        <w:t xml:space="preserve">, they could not switch easily from one IoT </w:t>
      </w:r>
      <w:r w:rsidR="006C5D8D" w:rsidRPr="00774EDB">
        <w:rPr>
          <w:rFonts w:ascii="Times New Roman" w:hAnsi="Times New Roman" w:cs="Times New Roman"/>
          <w:sz w:val="24"/>
          <w:szCs w:val="24"/>
        </w:rPr>
        <w:t>platform/</w:t>
      </w:r>
      <w:r w:rsidR="007E7AC2" w:rsidRPr="00774EDB">
        <w:rPr>
          <w:rFonts w:ascii="Times New Roman" w:hAnsi="Times New Roman" w:cs="Times New Roman"/>
          <w:sz w:val="24"/>
          <w:szCs w:val="24"/>
        </w:rPr>
        <w:t>service provider</w:t>
      </w:r>
      <w:r w:rsidR="00B108FF" w:rsidRPr="00774EDB">
        <w:rPr>
          <w:rFonts w:ascii="Times New Roman" w:hAnsi="Times New Roman" w:cs="Times New Roman"/>
          <w:sz w:val="24"/>
          <w:szCs w:val="24"/>
        </w:rPr>
        <w:t xml:space="preserve"> to another because of such technical constraints.</w:t>
      </w:r>
      <w:r w:rsidR="007E7AC2" w:rsidRPr="00774EDB">
        <w:rPr>
          <w:rFonts w:ascii="Times New Roman" w:hAnsi="Times New Roman" w:cs="Times New Roman"/>
          <w:sz w:val="24"/>
          <w:szCs w:val="24"/>
        </w:rPr>
        <w:t xml:space="preserve"> Lack of interoperability based on application </w:t>
      </w:r>
      <w:r w:rsidR="006C5D8D" w:rsidRPr="00774EDB">
        <w:rPr>
          <w:rFonts w:ascii="Times New Roman" w:hAnsi="Times New Roman" w:cs="Times New Roman"/>
          <w:sz w:val="24"/>
          <w:szCs w:val="24"/>
        </w:rPr>
        <w:t xml:space="preserve">layer </w:t>
      </w:r>
      <w:r w:rsidR="007E7AC2" w:rsidRPr="00774EDB">
        <w:rPr>
          <w:rFonts w:ascii="Times New Roman" w:hAnsi="Times New Roman" w:cs="Times New Roman"/>
          <w:sz w:val="24"/>
          <w:szCs w:val="24"/>
        </w:rPr>
        <w:t xml:space="preserve">would result in technical restrictions that potentially lead up to walled gardens in contrast to self-regulatory ecosystems. </w:t>
      </w:r>
    </w:p>
    <w:p w14:paraId="23B98E17" w14:textId="4187D1E6" w:rsidR="003A2009" w:rsidRPr="00774EDB" w:rsidRDefault="0011465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Lack of interoperability could also be seen at the cloud (platform) layer, originat</w:t>
      </w:r>
      <w:r w:rsidR="00C80FD0" w:rsidRPr="00774EDB">
        <w:rPr>
          <w:rFonts w:ascii="Times New Roman" w:hAnsi="Times New Roman" w:cs="Times New Roman"/>
          <w:sz w:val="24"/>
          <w:szCs w:val="24"/>
        </w:rPr>
        <w:t>ing</w:t>
      </w:r>
      <w:r w:rsidRPr="00774EDB">
        <w:rPr>
          <w:rFonts w:ascii="Times New Roman" w:hAnsi="Times New Roman" w:cs="Times New Roman"/>
          <w:sz w:val="24"/>
          <w:szCs w:val="24"/>
        </w:rPr>
        <w:t xml:space="preserve"> from implementation</w:t>
      </w:r>
      <w:r w:rsidR="006C5D8D" w:rsidRPr="00774EDB">
        <w:rPr>
          <w:rFonts w:ascii="Times New Roman" w:hAnsi="Times New Roman" w:cs="Times New Roman"/>
          <w:sz w:val="24"/>
          <w:szCs w:val="24"/>
        </w:rPr>
        <w:t xml:space="preserve"> of diverse </w:t>
      </w:r>
      <w:r w:rsidRPr="00774EDB">
        <w:rPr>
          <w:rFonts w:ascii="Times New Roman" w:hAnsi="Times New Roman" w:cs="Times New Roman"/>
          <w:sz w:val="24"/>
          <w:szCs w:val="24"/>
        </w:rPr>
        <w:t>OSs</w:t>
      </w:r>
      <w:r w:rsidR="006C5D8D"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software architectures, data structures, programming languages, etc. </w:t>
      </w:r>
      <w:r w:rsidR="006C5D8D" w:rsidRPr="00774EDB">
        <w:rPr>
          <w:rFonts w:ascii="Times New Roman" w:hAnsi="Times New Roman" w:cs="Times New Roman"/>
          <w:sz w:val="24"/>
          <w:szCs w:val="24"/>
        </w:rPr>
        <w:t>There are currently many different OSs</w:t>
      </w:r>
      <w:r w:rsidRPr="00774EDB">
        <w:rPr>
          <w:rFonts w:ascii="Times New Roman" w:hAnsi="Times New Roman" w:cs="Times New Roman"/>
          <w:sz w:val="24"/>
          <w:szCs w:val="24"/>
        </w:rPr>
        <w:t xml:space="preserve"> </w:t>
      </w:r>
      <w:r w:rsidR="006C5D8D" w:rsidRPr="00774EDB">
        <w:rPr>
          <w:rFonts w:ascii="Times New Roman" w:hAnsi="Times New Roman" w:cs="Times New Roman"/>
          <w:sz w:val="24"/>
          <w:szCs w:val="24"/>
        </w:rPr>
        <w:t>developed specifically for IoT devices such as Contiki,</w:t>
      </w:r>
      <w:r w:rsidRPr="00774EDB">
        <w:rPr>
          <w:rFonts w:ascii="Times New Roman" w:hAnsi="Times New Roman" w:cs="Times New Roman"/>
          <w:sz w:val="24"/>
          <w:szCs w:val="24"/>
        </w:rPr>
        <w:t xml:space="preserve"> </w:t>
      </w:r>
      <w:r w:rsidR="006C5D8D" w:rsidRPr="00774EDB">
        <w:rPr>
          <w:rFonts w:ascii="Times New Roman" w:hAnsi="Times New Roman" w:cs="Times New Roman"/>
          <w:sz w:val="24"/>
          <w:szCs w:val="24"/>
        </w:rPr>
        <w:t>RIOT9, TinyOS and OpenWSN, each with several</w:t>
      </w:r>
      <w:r w:rsidRPr="00774EDB">
        <w:rPr>
          <w:rFonts w:ascii="Times New Roman" w:hAnsi="Times New Roman" w:cs="Times New Roman"/>
          <w:sz w:val="24"/>
          <w:szCs w:val="24"/>
        </w:rPr>
        <w:t xml:space="preserve"> </w:t>
      </w:r>
      <w:r w:rsidR="006C5D8D" w:rsidRPr="00774EDB">
        <w:rPr>
          <w:rFonts w:ascii="Times New Roman" w:hAnsi="Times New Roman" w:cs="Times New Roman"/>
          <w:sz w:val="24"/>
          <w:szCs w:val="24"/>
        </w:rPr>
        <w:t>versions, to deliver services to users.</w:t>
      </w:r>
      <w:r w:rsidRPr="00774EDB">
        <w:rPr>
          <w:rStyle w:val="FootnoteReference"/>
          <w:rFonts w:ascii="Times New Roman" w:hAnsi="Times New Roman" w:cs="Times New Roman"/>
          <w:sz w:val="24"/>
          <w:szCs w:val="24"/>
        </w:rPr>
        <w:footnoteReference w:id="830"/>
      </w:r>
      <w:r w:rsidR="006C5D8D" w:rsidRPr="00774EDB">
        <w:rPr>
          <w:rFonts w:ascii="Times New Roman" w:hAnsi="Times New Roman" w:cs="Times New Roman"/>
          <w:sz w:val="24"/>
          <w:szCs w:val="24"/>
        </w:rPr>
        <w:t xml:space="preserve"> For example, Apple</w:t>
      </w:r>
      <w:r w:rsidRPr="00774EDB">
        <w:rPr>
          <w:rFonts w:ascii="Times New Roman" w:hAnsi="Times New Roman" w:cs="Times New Roman"/>
          <w:sz w:val="24"/>
          <w:szCs w:val="24"/>
        </w:rPr>
        <w:t xml:space="preserve"> </w:t>
      </w:r>
      <w:r w:rsidR="006C5D8D" w:rsidRPr="00774EDB">
        <w:rPr>
          <w:rFonts w:ascii="Times New Roman" w:hAnsi="Times New Roman" w:cs="Times New Roman"/>
          <w:sz w:val="24"/>
          <w:szCs w:val="24"/>
        </w:rPr>
        <w:t>HomeKit supports its own open source language Swift,</w:t>
      </w:r>
      <w:r w:rsidRPr="00774EDB">
        <w:rPr>
          <w:rFonts w:ascii="Times New Roman" w:hAnsi="Times New Roman" w:cs="Times New Roman"/>
          <w:sz w:val="24"/>
          <w:szCs w:val="24"/>
        </w:rPr>
        <w:t xml:space="preserve"> </w:t>
      </w:r>
      <w:r w:rsidR="006C5D8D" w:rsidRPr="00774EDB">
        <w:rPr>
          <w:rFonts w:ascii="Times New Roman" w:hAnsi="Times New Roman" w:cs="Times New Roman"/>
          <w:sz w:val="24"/>
          <w:szCs w:val="24"/>
        </w:rPr>
        <w:t>Google Brillo uses Weave, and Amazon AWS IoT offers</w:t>
      </w:r>
      <w:r w:rsidRPr="00774EDB">
        <w:rPr>
          <w:rFonts w:ascii="Times New Roman" w:hAnsi="Times New Roman" w:cs="Times New Roman"/>
          <w:sz w:val="24"/>
          <w:szCs w:val="24"/>
        </w:rPr>
        <w:t xml:space="preserve"> </w:t>
      </w:r>
      <w:r w:rsidR="00E82694" w:rsidRPr="00774EDB">
        <w:rPr>
          <w:rFonts w:ascii="Times New Roman" w:hAnsi="Times New Roman" w:cs="Times New Roman"/>
          <w:sz w:val="24"/>
          <w:szCs w:val="24"/>
        </w:rPr>
        <w:t>SDKs</w:t>
      </w:r>
      <w:r w:rsidR="00E171AF" w:rsidRPr="00774EDB">
        <w:rPr>
          <w:rFonts w:ascii="Times New Roman" w:hAnsi="Times New Roman" w:cs="Times New Roman"/>
          <w:sz w:val="24"/>
          <w:szCs w:val="24"/>
        </w:rPr>
        <w:t xml:space="preserve"> </w:t>
      </w:r>
      <w:r w:rsidR="006C5D8D" w:rsidRPr="00774EDB">
        <w:rPr>
          <w:rFonts w:ascii="Times New Roman" w:hAnsi="Times New Roman" w:cs="Times New Roman"/>
          <w:sz w:val="24"/>
          <w:szCs w:val="24"/>
        </w:rPr>
        <w:t>for embedded C and NodeJS.</w:t>
      </w:r>
      <w:r w:rsidR="003A2009" w:rsidRPr="00774EDB">
        <w:rPr>
          <w:rStyle w:val="FootnoteReference"/>
          <w:rFonts w:ascii="Times New Roman" w:hAnsi="Times New Roman" w:cs="Times New Roman"/>
          <w:sz w:val="24"/>
          <w:szCs w:val="24"/>
        </w:rPr>
        <w:footnoteReference w:id="831"/>
      </w:r>
      <w:r w:rsidR="00BB73EA" w:rsidRPr="00774EDB">
        <w:rPr>
          <w:rFonts w:ascii="Times New Roman" w:hAnsi="Times New Roman" w:cs="Times New Roman"/>
          <w:sz w:val="24"/>
          <w:szCs w:val="24"/>
        </w:rPr>
        <w:t xml:space="preserve"> </w:t>
      </w:r>
      <w:r w:rsidR="006C5D8D" w:rsidRPr="00774EDB">
        <w:rPr>
          <w:rFonts w:ascii="Times New Roman" w:hAnsi="Times New Roman" w:cs="Times New Roman"/>
          <w:sz w:val="24"/>
          <w:szCs w:val="24"/>
        </w:rPr>
        <w:t>This</w:t>
      </w:r>
      <w:r w:rsidR="003A2009" w:rsidRPr="00774EDB">
        <w:rPr>
          <w:rFonts w:ascii="Times New Roman" w:hAnsi="Times New Roman" w:cs="Times New Roman"/>
          <w:sz w:val="24"/>
          <w:szCs w:val="24"/>
        </w:rPr>
        <w:t xml:space="preserve"> fragmentation </w:t>
      </w:r>
      <w:r w:rsidR="0054279D" w:rsidRPr="00774EDB">
        <w:rPr>
          <w:rFonts w:ascii="Times New Roman" w:hAnsi="Times New Roman" w:cs="Times New Roman"/>
          <w:sz w:val="24"/>
          <w:szCs w:val="24"/>
        </w:rPr>
        <w:t xml:space="preserve">often </w:t>
      </w:r>
      <w:r w:rsidR="003A2009" w:rsidRPr="00774EDB">
        <w:rPr>
          <w:rFonts w:ascii="Times New Roman" w:hAnsi="Times New Roman" w:cs="Times New Roman"/>
          <w:sz w:val="24"/>
          <w:szCs w:val="24"/>
        </w:rPr>
        <w:t xml:space="preserve">results in a barrier that needs to be surmounted for the application/software providers in order to develop cross-platform IoT apps. </w:t>
      </w:r>
      <w:r w:rsidR="0054279D" w:rsidRPr="00774EDB">
        <w:rPr>
          <w:rFonts w:ascii="Times New Roman" w:hAnsi="Times New Roman" w:cs="Times New Roman"/>
          <w:sz w:val="24"/>
          <w:szCs w:val="24"/>
        </w:rPr>
        <w:t>A scenario would be in the case a smart city application</w:t>
      </w:r>
      <w:r w:rsidR="00983335" w:rsidRPr="00774EDB">
        <w:rPr>
          <w:rFonts w:ascii="Times New Roman" w:hAnsi="Times New Roman" w:cs="Times New Roman"/>
          <w:sz w:val="24"/>
          <w:szCs w:val="24"/>
        </w:rPr>
        <w:t>,</w:t>
      </w:r>
      <w:r w:rsidR="0054279D" w:rsidRPr="00774EDB">
        <w:rPr>
          <w:rFonts w:ascii="Times New Roman" w:hAnsi="Times New Roman" w:cs="Times New Roman"/>
          <w:sz w:val="24"/>
          <w:szCs w:val="24"/>
        </w:rPr>
        <w:t xml:space="preserve"> e.g. </w:t>
      </w:r>
      <w:r w:rsidR="00983335" w:rsidRPr="00774EDB">
        <w:rPr>
          <w:rFonts w:ascii="Times New Roman" w:hAnsi="Times New Roman" w:cs="Times New Roman"/>
          <w:sz w:val="24"/>
          <w:szCs w:val="24"/>
        </w:rPr>
        <w:t>serv</w:t>
      </w:r>
      <w:r w:rsidR="0054279D" w:rsidRPr="00774EDB">
        <w:rPr>
          <w:rFonts w:ascii="Times New Roman" w:hAnsi="Times New Roman" w:cs="Times New Roman"/>
          <w:sz w:val="24"/>
          <w:szCs w:val="24"/>
        </w:rPr>
        <w:t xml:space="preserve">ing to find the </w:t>
      </w:r>
      <w:r w:rsidR="00983335" w:rsidRPr="00774EDB">
        <w:rPr>
          <w:rFonts w:ascii="Times New Roman" w:hAnsi="Times New Roman" w:cs="Times New Roman"/>
          <w:sz w:val="24"/>
          <w:szCs w:val="24"/>
        </w:rPr>
        <w:t>closes</w:t>
      </w:r>
      <w:r w:rsidR="0054279D" w:rsidRPr="00774EDB">
        <w:rPr>
          <w:rFonts w:ascii="Times New Roman" w:hAnsi="Times New Roman" w:cs="Times New Roman"/>
          <w:sz w:val="24"/>
          <w:szCs w:val="24"/>
        </w:rPr>
        <w:t>t grocer</w:t>
      </w:r>
      <w:r w:rsidR="00983335" w:rsidRPr="00774EDB">
        <w:rPr>
          <w:rFonts w:ascii="Times New Roman" w:hAnsi="Times New Roman" w:cs="Times New Roman"/>
          <w:sz w:val="24"/>
          <w:szCs w:val="24"/>
        </w:rPr>
        <w:t>y</w:t>
      </w:r>
      <w:r w:rsidR="0054279D" w:rsidRPr="00774EDB">
        <w:rPr>
          <w:rFonts w:ascii="Times New Roman" w:hAnsi="Times New Roman" w:cs="Times New Roman"/>
          <w:sz w:val="24"/>
          <w:szCs w:val="24"/>
        </w:rPr>
        <w:t>,</w:t>
      </w:r>
      <w:r w:rsidR="00983335" w:rsidRPr="00774EDB">
        <w:rPr>
          <w:rFonts w:ascii="Times New Roman" w:hAnsi="Times New Roman" w:cs="Times New Roman"/>
          <w:sz w:val="24"/>
          <w:szCs w:val="24"/>
        </w:rPr>
        <w:t xml:space="preserve"> </w:t>
      </w:r>
      <w:r w:rsidR="00594BA1" w:rsidRPr="00774EDB">
        <w:rPr>
          <w:rFonts w:ascii="Times New Roman" w:hAnsi="Times New Roman" w:cs="Times New Roman"/>
          <w:sz w:val="24"/>
          <w:szCs w:val="24"/>
        </w:rPr>
        <w:t>recen</w:t>
      </w:r>
      <w:r w:rsidR="00983335" w:rsidRPr="00774EDB">
        <w:rPr>
          <w:rFonts w:ascii="Times New Roman" w:hAnsi="Times New Roman" w:cs="Times New Roman"/>
          <w:sz w:val="24"/>
          <w:szCs w:val="24"/>
        </w:rPr>
        <w:t>t movie</w:t>
      </w:r>
      <w:r w:rsidR="00594BA1" w:rsidRPr="00774EDB">
        <w:rPr>
          <w:rFonts w:ascii="Times New Roman" w:hAnsi="Times New Roman" w:cs="Times New Roman"/>
          <w:sz w:val="24"/>
          <w:szCs w:val="24"/>
        </w:rPr>
        <w:t>s</w:t>
      </w:r>
      <w:r w:rsidR="00983335" w:rsidRPr="00774EDB">
        <w:rPr>
          <w:rFonts w:ascii="Times New Roman" w:hAnsi="Times New Roman" w:cs="Times New Roman"/>
          <w:sz w:val="24"/>
          <w:szCs w:val="24"/>
        </w:rPr>
        <w:t>,</w:t>
      </w:r>
      <w:r w:rsidR="0054279D" w:rsidRPr="00774EDB">
        <w:rPr>
          <w:rFonts w:ascii="Times New Roman" w:hAnsi="Times New Roman" w:cs="Times New Roman"/>
          <w:sz w:val="24"/>
          <w:szCs w:val="24"/>
        </w:rPr>
        <w:t xml:space="preserve"> </w:t>
      </w:r>
      <w:r w:rsidR="00983335" w:rsidRPr="00774EDB">
        <w:rPr>
          <w:rFonts w:ascii="Times New Roman" w:hAnsi="Times New Roman" w:cs="Times New Roman"/>
          <w:sz w:val="24"/>
          <w:szCs w:val="24"/>
        </w:rPr>
        <w:t>etc.</w:t>
      </w:r>
      <w:r w:rsidR="00594BA1" w:rsidRPr="00774EDB">
        <w:rPr>
          <w:rFonts w:ascii="Times New Roman" w:hAnsi="Times New Roman" w:cs="Times New Roman"/>
          <w:sz w:val="24"/>
          <w:szCs w:val="24"/>
        </w:rPr>
        <w:t>,</w:t>
      </w:r>
      <w:r w:rsidR="00983335" w:rsidRPr="00774EDB">
        <w:rPr>
          <w:rFonts w:ascii="Times New Roman" w:hAnsi="Times New Roman" w:cs="Times New Roman"/>
          <w:sz w:val="24"/>
          <w:szCs w:val="24"/>
        </w:rPr>
        <w:t xml:space="preserve"> </w:t>
      </w:r>
      <w:r w:rsidR="0054279D" w:rsidRPr="00774EDB">
        <w:rPr>
          <w:rFonts w:ascii="Times New Roman" w:hAnsi="Times New Roman" w:cs="Times New Roman"/>
          <w:sz w:val="24"/>
          <w:szCs w:val="24"/>
        </w:rPr>
        <w:t xml:space="preserve">would not exchange </w:t>
      </w:r>
      <w:r w:rsidR="00983335" w:rsidRPr="00774EDB">
        <w:rPr>
          <w:rFonts w:ascii="Times New Roman" w:hAnsi="Times New Roman" w:cs="Times New Roman"/>
          <w:sz w:val="24"/>
          <w:szCs w:val="24"/>
        </w:rPr>
        <w:t xml:space="preserve">their </w:t>
      </w:r>
      <w:r w:rsidR="002F6934" w:rsidRPr="00774EDB">
        <w:rPr>
          <w:rFonts w:ascii="Times New Roman" w:hAnsi="Times New Roman" w:cs="Times New Roman"/>
          <w:sz w:val="24"/>
          <w:szCs w:val="24"/>
        </w:rPr>
        <w:t xml:space="preserve">users’ </w:t>
      </w:r>
      <w:r w:rsidR="00983335" w:rsidRPr="00774EDB">
        <w:rPr>
          <w:rFonts w:ascii="Times New Roman" w:hAnsi="Times New Roman" w:cs="Times New Roman"/>
          <w:sz w:val="24"/>
          <w:szCs w:val="24"/>
        </w:rPr>
        <w:t xml:space="preserve">saved </w:t>
      </w:r>
      <w:r w:rsidR="0054279D" w:rsidRPr="00774EDB">
        <w:rPr>
          <w:rFonts w:ascii="Times New Roman" w:hAnsi="Times New Roman" w:cs="Times New Roman"/>
          <w:sz w:val="24"/>
          <w:szCs w:val="24"/>
        </w:rPr>
        <w:t>d</w:t>
      </w:r>
      <w:r w:rsidR="00C80FD0" w:rsidRPr="00774EDB">
        <w:rPr>
          <w:rFonts w:ascii="Times New Roman" w:hAnsi="Times New Roman" w:cs="Times New Roman"/>
          <w:sz w:val="24"/>
          <w:szCs w:val="24"/>
        </w:rPr>
        <w:t>ata</w:t>
      </w:r>
      <w:r w:rsidR="0054279D" w:rsidRPr="00774EDB">
        <w:rPr>
          <w:rFonts w:ascii="Times New Roman" w:hAnsi="Times New Roman" w:cs="Times New Roman"/>
          <w:sz w:val="24"/>
          <w:szCs w:val="24"/>
        </w:rPr>
        <w:t xml:space="preserve"> </w:t>
      </w:r>
      <w:r w:rsidR="00594BA1" w:rsidRPr="00774EDB">
        <w:rPr>
          <w:rFonts w:ascii="Times New Roman" w:hAnsi="Times New Roman" w:cs="Times New Roman"/>
          <w:sz w:val="24"/>
          <w:szCs w:val="24"/>
        </w:rPr>
        <w:t>and/</w:t>
      </w:r>
      <w:r w:rsidR="0054279D" w:rsidRPr="00774EDB">
        <w:rPr>
          <w:rFonts w:ascii="Times New Roman" w:hAnsi="Times New Roman" w:cs="Times New Roman"/>
          <w:sz w:val="24"/>
          <w:szCs w:val="24"/>
        </w:rPr>
        <w:t xml:space="preserve">or communicate </w:t>
      </w:r>
      <w:r w:rsidR="00750F47" w:rsidRPr="00774EDB">
        <w:rPr>
          <w:rFonts w:ascii="Times New Roman" w:hAnsi="Times New Roman" w:cs="Times New Roman"/>
          <w:sz w:val="24"/>
          <w:szCs w:val="24"/>
        </w:rPr>
        <w:t>with</w:t>
      </w:r>
      <w:r w:rsidR="0054279D" w:rsidRPr="00774EDB">
        <w:rPr>
          <w:rFonts w:ascii="Times New Roman" w:hAnsi="Times New Roman" w:cs="Times New Roman"/>
          <w:sz w:val="24"/>
          <w:szCs w:val="24"/>
        </w:rPr>
        <w:t xml:space="preserve"> </w:t>
      </w:r>
      <w:r w:rsidR="00594BA1" w:rsidRPr="00774EDB">
        <w:rPr>
          <w:rFonts w:ascii="Times New Roman" w:hAnsi="Times New Roman" w:cs="Times New Roman"/>
          <w:sz w:val="24"/>
          <w:szCs w:val="24"/>
        </w:rPr>
        <w:t>other</w:t>
      </w:r>
      <w:r w:rsidR="00983335" w:rsidRPr="00774EDB">
        <w:rPr>
          <w:rFonts w:ascii="Times New Roman" w:hAnsi="Times New Roman" w:cs="Times New Roman"/>
          <w:sz w:val="24"/>
          <w:szCs w:val="24"/>
        </w:rPr>
        <w:t xml:space="preserve"> app</w:t>
      </w:r>
      <w:r w:rsidR="00594BA1" w:rsidRPr="00774EDB">
        <w:rPr>
          <w:rFonts w:ascii="Times New Roman" w:hAnsi="Times New Roman" w:cs="Times New Roman"/>
          <w:sz w:val="24"/>
          <w:szCs w:val="24"/>
        </w:rPr>
        <w:t>s</w:t>
      </w:r>
      <w:r w:rsidR="0030524B" w:rsidRPr="00774EDB">
        <w:rPr>
          <w:rFonts w:ascii="Times New Roman" w:hAnsi="Times New Roman" w:cs="Times New Roman"/>
          <w:sz w:val="24"/>
          <w:szCs w:val="24"/>
        </w:rPr>
        <w:t>,</w:t>
      </w:r>
      <w:r w:rsidR="00983335" w:rsidRPr="00774EDB">
        <w:rPr>
          <w:rFonts w:ascii="Times New Roman" w:hAnsi="Times New Roman" w:cs="Times New Roman"/>
          <w:sz w:val="24"/>
          <w:szCs w:val="24"/>
        </w:rPr>
        <w:t xml:space="preserve"> </w:t>
      </w:r>
      <w:r w:rsidR="00DF0E71" w:rsidRPr="00774EDB">
        <w:rPr>
          <w:rFonts w:ascii="Times New Roman" w:hAnsi="Times New Roman" w:cs="Times New Roman"/>
          <w:sz w:val="24"/>
          <w:szCs w:val="24"/>
        </w:rPr>
        <w:t>e.g. to make an order</w:t>
      </w:r>
      <w:r w:rsidR="00983335" w:rsidRPr="00774EDB">
        <w:rPr>
          <w:rFonts w:ascii="Times New Roman" w:hAnsi="Times New Roman" w:cs="Times New Roman"/>
          <w:sz w:val="24"/>
          <w:szCs w:val="24"/>
        </w:rPr>
        <w:t xml:space="preserve"> </w:t>
      </w:r>
      <w:r w:rsidR="00594BA1" w:rsidRPr="00774EDB">
        <w:rPr>
          <w:rFonts w:ascii="Times New Roman" w:hAnsi="Times New Roman" w:cs="Times New Roman"/>
          <w:sz w:val="24"/>
          <w:szCs w:val="24"/>
        </w:rPr>
        <w:t>or booking</w:t>
      </w:r>
      <w:r w:rsidR="0030524B" w:rsidRPr="00774EDB">
        <w:rPr>
          <w:rFonts w:ascii="Times New Roman" w:hAnsi="Times New Roman" w:cs="Times New Roman"/>
          <w:sz w:val="24"/>
          <w:szCs w:val="24"/>
        </w:rPr>
        <w:t xml:space="preserve"> with already chosen places</w:t>
      </w:r>
      <w:r w:rsidR="00594BA1" w:rsidRPr="00774EDB">
        <w:rPr>
          <w:rFonts w:ascii="Times New Roman" w:hAnsi="Times New Roman" w:cs="Times New Roman"/>
          <w:sz w:val="24"/>
          <w:szCs w:val="24"/>
        </w:rPr>
        <w:t xml:space="preserve">, </w:t>
      </w:r>
      <w:r w:rsidR="00983335" w:rsidRPr="00774EDB">
        <w:rPr>
          <w:rFonts w:ascii="Times New Roman" w:hAnsi="Times New Roman" w:cs="Times New Roman"/>
          <w:sz w:val="24"/>
          <w:szCs w:val="24"/>
        </w:rPr>
        <w:t>after</w:t>
      </w:r>
      <w:r w:rsidR="0054279D" w:rsidRPr="00774EDB">
        <w:rPr>
          <w:rFonts w:ascii="Times New Roman" w:hAnsi="Times New Roman" w:cs="Times New Roman"/>
          <w:sz w:val="24"/>
          <w:szCs w:val="24"/>
        </w:rPr>
        <w:t xml:space="preserve"> </w:t>
      </w:r>
      <w:r w:rsidR="00983335" w:rsidRPr="00774EDB">
        <w:rPr>
          <w:rFonts w:ascii="Times New Roman" w:hAnsi="Times New Roman" w:cs="Times New Roman"/>
          <w:sz w:val="24"/>
          <w:szCs w:val="24"/>
        </w:rPr>
        <w:t xml:space="preserve">one </w:t>
      </w:r>
      <w:r w:rsidR="00750F47" w:rsidRPr="00774EDB">
        <w:rPr>
          <w:rFonts w:ascii="Times New Roman" w:hAnsi="Times New Roman" w:cs="Times New Roman"/>
          <w:sz w:val="24"/>
          <w:szCs w:val="24"/>
        </w:rPr>
        <w:t xml:space="preserve">particular </w:t>
      </w:r>
      <w:r w:rsidR="0030524B" w:rsidRPr="00774EDB">
        <w:rPr>
          <w:rFonts w:ascii="Times New Roman" w:hAnsi="Times New Roman" w:cs="Times New Roman"/>
          <w:sz w:val="24"/>
          <w:szCs w:val="24"/>
        </w:rPr>
        <w:t xml:space="preserve">IoT </w:t>
      </w:r>
      <w:r w:rsidR="00983335" w:rsidRPr="00774EDB">
        <w:rPr>
          <w:rFonts w:ascii="Times New Roman" w:hAnsi="Times New Roman" w:cs="Times New Roman"/>
          <w:sz w:val="24"/>
          <w:szCs w:val="24"/>
        </w:rPr>
        <w:t xml:space="preserve">platform </w:t>
      </w:r>
      <w:r w:rsidR="0030524B" w:rsidRPr="00774EDB">
        <w:rPr>
          <w:rFonts w:ascii="Times New Roman" w:hAnsi="Times New Roman" w:cs="Times New Roman"/>
          <w:sz w:val="24"/>
          <w:szCs w:val="24"/>
        </w:rPr>
        <w:t>has been opted for</w:t>
      </w:r>
      <w:r w:rsidR="00983335" w:rsidRPr="00774EDB">
        <w:rPr>
          <w:rFonts w:ascii="Times New Roman" w:hAnsi="Times New Roman" w:cs="Times New Roman"/>
          <w:sz w:val="24"/>
          <w:szCs w:val="24"/>
        </w:rPr>
        <w:t>.</w:t>
      </w:r>
      <w:r w:rsidR="00594BA1" w:rsidRPr="00774EDB">
        <w:rPr>
          <w:rFonts w:ascii="Times New Roman" w:hAnsi="Times New Roman" w:cs="Times New Roman"/>
          <w:sz w:val="24"/>
          <w:szCs w:val="24"/>
        </w:rPr>
        <w:t xml:space="preserve"> This</w:t>
      </w:r>
      <w:r w:rsidR="00BB73EA" w:rsidRPr="00774EDB">
        <w:rPr>
          <w:rFonts w:ascii="Times New Roman" w:hAnsi="Times New Roman" w:cs="Times New Roman"/>
          <w:sz w:val="24"/>
          <w:szCs w:val="24"/>
        </w:rPr>
        <w:t xml:space="preserve"> situation featured </w:t>
      </w:r>
      <w:r w:rsidR="00750F47" w:rsidRPr="00774EDB">
        <w:rPr>
          <w:rFonts w:ascii="Times New Roman" w:hAnsi="Times New Roman" w:cs="Times New Roman"/>
          <w:sz w:val="24"/>
          <w:szCs w:val="24"/>
        </w:rPr>
        <w:t>at</w:t>
      </w:r>
      <w:r w:rsidR="00BB73EA" w:rsidRPr="00774EDB">
        <w:rPr>
          <w:rFonts w:ascii="Times New Roman" w:hAnsi="Times New Roman" w:cs="Times New Roman"/>
          <w:sz w:val="24"/>
          <w:szCs w:val="24"/>
        </w:rPr>
        <w:t xml:space="preserve"> the platform layer</w:t>
      </w:r>
      <w:r w:rsidR="00C80FD0" w:rsidRPr="00774EDB">
        <w:rPr>
          <w:rFonts w:ascii="Times New Roman" w:hAnsi="Times New Roman" w:cs="Times New Roman"/>
          <w:sz w:val="24"/>
          <w:szCs w:val="24"/>
        </w:rPr>
        <w:t xml:space="preserve">, </w:t>
      </w:r>
      <w:r w:rsidR="00410EAB" w:rsidRPr="00774EDB">
        <w:rPr>
          <w:rFonts w:ascii="Times New Roman" w:hAnsi="Times New Roman" w:cs="Times New Roman"/>
          <w:sz w:val="24"/>
          <w:szCs w:val="24"/>
        </w:rPr>
        <w:t>whether result</w:t>
      </w:r>
      <w:r w:rsidR="00C80FD0" w:rsidRPr="00774EDB">
        <w:rPr>
          <w:rFonts w:ascii="Times New Roman" w:hAnsi="Times New Roman" w:cs="Times New Roman"/>
          <w:sz w:val="24"/>
          <w:szCs w:val="24"/>
        </w:rPr>
        <w:t xml:space="preserve">ing from </w:t>
      </w:r>
      <w:r w:rsidR="00410EAB" w:rsidRPr="00774EDB">
        <w:rPr>
          <w:rFonts w:ascii="Times New Roman" w:hAnsi="Times New Roman" w:cs="Times New Roman"/>
          <w:sz w:val="24"/>
          <w:szCs w:val="24"/>
        </w:rPr>
        <w:t xml:space="preserve">a </w:t>
      </w:r>
      <w:r w:rsidR="00C80FD0" w:rsidRPr="00774EDB">
        <w:rPr>
          <w:rFonts w:ascii="Times New Roman" w:hAnsi="Times New Roman" w:cs="Times New Roman"/>
          <w:sz w:val="24"/>
          <w:szCs w:val="24"/>
        </w:rPr>
        <w:t>platform native language or data structure/formats</w:t>
      </w:r>
      <w:r w:rsidR="00410EAB" w:rsidRPr="00774EDB">
        <w:rPr>
          <w:rFonts w:ascii="Times New Roman" w:hAnsi="Times New Roman" w:cs="Times New Roman"/>
          <w:sz w:val="24"/>
          <w:szCs w:val="24"/>
        </w:rPr>
        <w:t>,</w:t>
      </w:r>
      <w:r w:rsidR="00594BA1" w:rsidRPr="00774EDB">
        <w:rPr>
          <w:rFonts w:ascii="Times New Roman" w:hAnsi="Times New Roman" w:cs="Times New Roman"/>
          <w:sz w:val="24"/>
          <w:szCs w:val="24"/>
        </w:rPr>
        <w:t xml:space="preserve"> would cause</w:t>
      </w:r>
      <w:r w:rsidR="00586845" w:rsidRPr="00774EDB">
        <w:rPr>
          <w:rFonts w:ascii="Times New Roman" w:hAnsi="Times New Roman" w:cs="Times New Roman"/>
          <w:sz w:val="24"/>
          <w:szCs w:val="24"/>
        </w:rPr>
        <w:t xml:space="preserve"> or facilitate silo type IoT supply structures </w:t>
      </w:r>
      <w:r w:rsidR="00BB73EA" w:rsidRPr="00774EDB">
        <w:rPr>
          <w:rFonts w:ascii="Times New Roman" w:hAnsi="Times New Roman" w:cs="Times New Roman"/>
          <w:sz w:val="24"/>
          <w:szCs w:val="24"/>
        </w:rPr>
        <w:t>along with</w:t>
      </w:r>
      <w:r w:rsidR="00586845" w:rsidRPr="00774EDB">
        <w:rPr>
          <w:rFonts w:ascii="Times New Roman" w:hAnsi="Times New Roman" w:cs="Times New Roman"/>
          <w:sz w:val="24"/>
          <w:szCs w:val="24"/>
        </w:rPr>
        <w:t xml:space="preserve"> legal, economic and social costs for the society. </w:t>
      </w:r>
    </w:p>
    <w:p w14:paraId="73CCFBCD" w14:textId="08F059E7" w:rsidR="005F6FF8" w:rsidRPr="00774EDB" w:rsidRDefault="004B291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Walled gardens</w:t>
      </w:r>
      <w:r w:rsidR="007E7AC2" w:rsidRPr="00774EDB">
        <w:rPr>
          <w:rFonts w:ascii="Times New Roman" w:hAnsi="Times New Roman" w:cs="Times New Roman"/>
          <w:sz w:val="24"/>
          <w:szCs w:val="24"/>
        </w:rPr>
        <w:t xml:space="preserve"> would</w:t>
      </w:r>
      <w:r w:rsidR="00D22862" w:rsidRPr="00774EDB">
        <w:rPr>
          <w:rFonts w:ascii="Times New Roman" w:hAnsi="Times New Roman" w:cs="Times New Roman"/>
          <w:sz w:val="24"/>
          <w:szCs w:val="24"/>
        </w:rPr>
        <w:t xml:space="preserve"> be </w:t>
      </w:r>
      <w:r w:rsidR="00775A19" w:rsidRPr="00774EDB">
        <w:rPr>
          <w:rFonts w:ascii="Times New Roman" w:hAnsi="Times New Roman" w:cs="Times New Roman"/>
          <w:sz w:val="24"/>
          <w:szCs w:val="24"/>
        </w:rPr>
        <w:t>induced</w:t>
      </w:r>
      <w:r w:rsidR="00D22862" w:rsidRPr="00774EDB">
        <w:rPr>
          <w:rFonts w:ascii="Times New Roman" w:hAnsi="Times New Roman" w:cs="Times New Roman"/>
          <w:sz w:val="24"/>
          <w:szCs w:val="24"/>
        </w:rPr>
        <w:t xml:space="preserve"> by motivations </w:t>
      </w:r>
      <w:r w:rsidR="00775A19" w:rsidRPr="00774EDB">
        <w:rPr>
          <w:rFonts w:ascii="Times New Roman" w:hAnsi="Times New Roman" w:cs="Times New Roman"/>
          <w:sz w:val="24"/>
          <w:szCs w:val="24"/>
        </w:rPr>
        <w:t xml:space="preserve">of profit maximisation e.g. out of network effects or purely </w:t>
      </w:r>
      <w:r w:rsidR="00D22862" w:rsidRPr="00774EDB">
        <w:rPr>
          <w:rFonts w:ascii="Times New Roman" w:hAnsi="Times New Roman" w:cs="Times New Roman"/>
          <w:sz w:val="24"/>
          <w:szCs w:val="24"/>
        </w:rPr>
        <w:t>quality and</w:t>
      </w:r>
      <w:r w:rsidR="00775A19" w:rsidRPr="00774EDB">
        <w:rPr>
          <w:rFonts w:ascii="Times New Roman" w:hAnsi="Times New Roman" w:cs="Times New Roman"/>
          <w:sz w:val="24"/>
          <w:szCs w:val="24"/>
        </w:rPr>
        <w:t>/or</w:t>
      </w:r>
      <w:r w:rsidR="00D22862" w:rsidRPr="00774EDB">
        <w:rPr>
          <w:rFonts w:ascii="Times New Roman" w:hAnsi="Times New Roman" w:cs="Times New Roman"/>
          <w:sz w:val="24"/>
          <w:szCs w:val="24"/>
        </w:rPr>
        <w:t xml:space="preserve"> security concerns</w:t>
      </w:r>
      <w:r w:rsidR="00041E9B" w:rsidRPr="00774EDB">
        <w:rPr>
          <w:rFonts w:ascii="Times New Roman" w:hAnsi="Times New Roman" w:cs="Times New Roman"/>
          <w:sz w:val="24"/>
          <w:szCs w:val="24"/>
        </w:rPr>
        <w:t xml:space="preserve"> tracing back to the trade-offs mentioned above. </w:t>
      </w:r>
      <w:r w:rsidR="00D22862" w:rsidRPr="00774EDB">
        <w:rPr>
          <w:rFonts w:ascii="Times New Roman" w:hAnsi="Times New Roman" w:cs="Times New Roman"/>
          <w:sz w:val="24"/>
          <w:szCs w:val="24"/>
        </w:rPr>
        <w:t xml:space="preserve">While every case needs to be analysed based on their </w:t>
      </w:r>
      <w:r w:rsidR="00746893" w:rsidRPr="00774EDB">
        <w:rPr>
          <w:rFonts w:ascii="Times New Roman" w:hAnsi="Times New Roman" w:cs="Times New Roman"/>
          <w:sz w:val="24"/>
          <w:szCs w:val="24"/>
        </w:rPr>
        <w:t>characteristic</w:t>
      </w:r>
      <w:r w:rsidR="00D22862" w:rsidRPr="00774EDB">
        <w:rPr>
          <w:rFonts w:ascii="Times New Roman" w:hAnsi="Times New Roman" w:cs="Times New Roman"/>
          <w:sz w:val="24"/>
          <w:szCs w:val="24"/>
        </w:rPr>
        <w:t xml:space="preserve"> features</w:t>
      </w:r>
      <w:r w:rsidR="002D4E81" w:rsidRPr="00774EDB">
        <w:rPr>
          <w:rFonts w:ascii="Times New Roman" w:hAnsi="Times New Roman" w:cs="Times New Roman"/>
          <w:sz w:val="24"/>
          <w:szCs w:val="24"/>
        </w:rPr>
        <w:t>, fragility of each layer</w:t>
      </w:r>
      <w:r w:rsidR="004221BA">
        <w:rPr>
          <w:rFonts w:ascii="Times New Roman" w:hAnsi="Times New Roman" w:cs="Times New Roman"/>
          <w:sz w:val="24"/>
          <w:szCs w:val="24"/>
        </w:rPr>
        <w:t xml:space="preserve"> and accompanying </w:t>
      </w:r>
      <w:r w:rsidR="004221BA" w:rsidRPr="00774EDB">
        <w:rPr>
          <w:rFonts w:ascii="Times New Roman" w:hAnsi="Times New Roman" w:cs="Times New Roman"/>
          <w:sz w:val="24"/>
          <w:szCs w:val="24"/>
        </w:rPr>
        <w:t>interoperability gaps</w:t>
      </w:r>
      <w:r w:rsidR="002D4E81" w:rsidRPr="00774EDB">
        <w:rPr>
          <w:rFonts w:ascii="Times New Roman" w:hAnsi="Times New Roman" w:cs="Times New Roman"/>
          <w:sz w:val="24"/>
          <w:szCs w:val="24"/>
        </w:rPr>
        <w:t xml:space="preserve"> across the IoT settings would turn into </w:t>
      </w:r>
      <w:r w:rsidR="004221BA">
        <w:rPr>
          <w:rFonts w:ascii="Times New Roman" w:hAnsi="Times New Roman" w:cs="Times New Roman"/>
          <w:sz w:val="24"/>
          <w:szCs w:val="24"/>
        </w:rPr>
        <w:t>unsolvable legal problems</w:t>
      </w:r>
      <w:r w:rsidR="004221BA" w:rsidRPr="00774EDB">
        <w:rPr>
          <w:rFonts w:ascii="Times New Roman" w:hAnsi="Times New Roman" w:cs="Times New Roman"/>
          <w:sz w:val="24"/>
          <w:szCs w:val="24"/>
        </w:rPr>
        <w:t xml:space="preserve"> </w:t>
      </w:r>
      <w:r w:rsidR="00746893" w:rsidRPr="00774EDB">
        <w:rPr>
          <w:rFonts w:ascii="Times New Roman" w:hAnsi="Times New Roman" w:cs="Times New Roman"/>
          <w:sz w:val="24"/>
          <w:szCs w:val="24"/>
        </w:rPr>
        <w:t xml:space="preserve">and irreparable </w:t>
      </w:r>
      <w:r w:rsidR="004221BA">
        <w:rPr>
          <w:rFonts w:ascii="Times New Roman" w:hAnsi="Times New Roman" w:cs="Times New Roman"/>
          <w:sz w:val="24"/>
          <w:szCs w:val="24"/>
        </w:rPr>
        <w:t xml:space="preserve">harms </w:t>
      </w:r>
      <w:r w:rsidR="00746893" w:rsidRPr="00774EDB">
        <w:rPr>
          <w:rFonts w:ascii="Times New Roman" w:hAnsi="Times New Roman" w:cs="Times New Roman"/>
          <w:sz w:val="24"/>
          <w:szCs w:val="24"/>
        </w:rPr>
        <w:t>in the absence of intensive and vivid coopetition which usually echo</w:t>
      </w:r>
      <w:r w:rsidR="000B491D" w:rsidRPr="00774EDB">
        <w:rPr>
          <w:rFonts w:ascii="Times New Roman" w:hAnsi="Times New Roman" w:cs="Times New Roman"/>
          <w:sz w:val="24"/>
          <w:szCs w:val="24"/>
        </w:rPr>
        <w:t>es</w:t>
      </w:r>
      <w:r w:rsidR="00746893" w:rsidRPr="00774EDB">
        <w:rPr>
          <w:rFonts w:ascii="Times New Roman" w:hAnsi="Times New Roman" w:cs="Times New Roman"/>
          <w:sz w:val="24"/>
          <w:szCs w:val="24"/>
        </w:rPr>
        <w:t xml:space="preserve"> with self-regulatory ecosystems</w:t>
      </w:r>
      <w:r w:rsidR="005F6FF8" w:rsidRPr="00774EDB">
        <w:rPr>
          <w:rFonts w:ascii="Times New Roman" w:hAnsi="Times New Roman" w:cs="Times New Roman"/>
          <w:sz w:val="24"/>
          <w:szCs w:val="24"/>
        </w:rPr>
        <w:t>.</w:t>
      </w:r>
    </w:p>
    <w:p w14:paraId="19E4EFB2" w14:textId="77777777" w:rsidR="004B6DE7" w:rsidRPr="00774EDB" w:rsidRDefault="00874C92" w:rsidP="00A70042">
      <w:pPr>
        <w:pStyle w:val="Heading3"/>
        <w:numPr>
          <w:ilvl w:val="2"/>
          <w:numId w:val="33"/>
        </w:numPr>
        <w:spacing w:before="360"/>
        <w:ind w:left="0" w:firstLine="0"/>
        <w:jc w:val="both"/>
        <w:rPr>
          <w:rFonts w:ascii="Times New Roman" w:hAnsi="Times New Roman" w:cs="Times New Roman"/>
          <w:b/>
          <w:color w:val="auto"/>
        </w:rPr>
      </w:pPr>
      <w:bookmarkStart w:id="644" w:name="_Toc17611493"/>
      <w:bookmarkStart w:id="645" w:name="_Toc53576115"/>
      <w:r w:rsidRPr="00774EDB">
        <w:rPr>
          <w:rFonts w:ascii="Times New Roman" w:hAnsi="Times New Roman" w:cs="Times New Roman"/>
          <w:b/>
          <w:color w:val="auto"/>
        </w:rPr>
        <w:t>A</w:t>
      </w:r>
      <w:r w:rsidR="004B6DE7" w:rsidRPr="00774EDB">
        <w:rPr>
          <w:rFonts w:ascii="Times New Roman" w:hAnsi="Times New Roman" w:cs="Times New Roman"/>
          <w:b/>
          <w:color w:val="auto"/>
        </w:rPr>
        <w:t>nalysis</w:t>
      </w:r>
      <w:r w:rsidRPr="00774EDB">
        <w:rPr>
          <w:rFonts w:ascii="Times New Roman" w:hAnsi="Times New Roman" w:cs="Times New Roman"/>
          <w:b/>
          <w:color w:val="auto"/>
        </w:rPr>
        <w:t xml:space="preserve"> of </w:t>
      </w:r>
      <w:r w:rsidR="000A0E9D" w:rsidRPr="00774EDB">
        <w:rPr>
          <w:rFonts w:ascii="Times New Roman" w:hAnsi="Times New Roman" w:cs="Times New Roman"/>
          <w:b/>
          <w:color w:val="auto"/>
        </w:rPr>
        <w:t xml:space="preserve">the </w:t>
      </w:r>
      <w:r w:rsidRPr="00774EDB">
        <w:rPr>
          <w:rFonts w:ascii="Times New Roman" w:hAnsi="Times New Roman" w:cs="Times New Roman"/>
          <w:b/>
          <w:color w:val="auto"/>
        </w:rPr>
        <w:t xml:space="preserve">IoT settings under </w:t>
      </w:r>
      <w:r w:rsidR="000A0E9D" w:rsidRPr="00774EDB">
        <w:rPr>
          <w:rFonts w:ascii="Times New Roman" w:hAnsi="Times New Roman" w:cs="Times New Roman"/>
          <w:b/>
          <w:color w:val="auto"/>
        </w:rPr>
        <w:t xml:space="preserve">the </w:t>
      </w:r>
      <w:r w:rsidRPr="00774EDB">
        <w:rPr>
          <w:rFonts w:ascii="Times New Roman" w:hAnsi="Times New Roman" w:cs="Times New Roman"/>
          <w:b/>
          <w:color w:val="auto"/>
        </w:rPr>
        <w:t>EU legal framework</w:t>
      </w:r>
      <w:bookmarkEnd w:id="644"/>
      <w:bookmarkEnd w:id="645"/>
    </w:p>
    <w:p w14:paraId="7C202EBF" w14:textId="77777777" w:rsidR="00004489" w:rsidRPr="00774EDB" w:rsidRDefault="0000448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IoT interoperability, as the analysis above suggests, denotes a</w:t>
      </w:r>
      <w:r w:rsidR="000A0E9D" w:rsidRPr="00774EDB">
        <w:rPr>
          <w:rFonts w:ascii="Times New Roman" w:hAnsi="Times New Roman" w:cs="Times New Roman"/>
          <w:sz w:val="24"/>
          <w:szCs w:val="24"/>
        </w:rPr>
        <w:t>n</w:t>
      </w:r>
      <w:r w:rsidRPr="00774EDB">
        <w:rPr>
          <w:rFonts w:ascii="Times New Roman" w:hAnsi="Times New Roman" w:cs="Times New Roman"/>
          <w:sz w:val="24"/>
          <w:szCs w:val="24"/>
        </w:rPr>
        <w:t xml:space="preserve"> </w:t>
      </w:r>
      <w:r w:rsidR="000A0E9D" w:rsidRPr="00774EDB">
        <w:rPr>
          <w:rFonts w:ascii="Times New Roman" w:hAnsi="Times New Roman" w:cs="Times New Roman"/>
          <w:sz w:val="24"/>
          <w:szCs w:val="24"/>
        </w:rPr>
        <w:t>issue</w:t>
      </w:r>
      <w:r w:rsidRPr="00774EDB">
        <w:rPr>
          <w:rFonts w:ascii="Times New Roman" w:hAnsi="Times New Roman" w:cs="Times New Roman"/>
          <w:sz w:val="24"/>
          <w:szCs w:val="24"/>
        </w:rPr>
        <w:t xml:space="preserve"> that could not be isolated from neighbouring </w:t>
      </w:r>
      <w:r w:rsidR="000A0E9D" w:rsidRPr="00774EDB">
        <w:rPr>
          <w:rFonts w:ascii="Times New Roman" w:hAnsi="Times New Roman" w:cs="Times New Roman"/>
          <w:sz w:val="24"/>
          <w:szCs w:val="24"/>
        </w:rPr>
        <w:t xml:space="preserve">issues and </w:t>
      </w:r>
      <w:r w:rsidRPr="00774EDB">
        <w:rPr>
          <w:rFonts w:ascii="Times New Roman" w:hAnsi="Times New Roman" w:cs="Times New Roman"/>
          <w:sz w:val="24"/>
          <w:szCs w:val="24"/>
        </w:rPr>
        <w:t xml:space="preserve">problems, whether relating to IPRs, competition law or sector-specific rules. On the </w:t>
      </w:r>
      <w:r w:rsidR="000A0E9D" w:rsidRPr="00774EDB">
        <w:rPr>
          <w:rFonts w:ascii="Times New Roman" w:hAnsi="Times New Roman" w:cs="Times New Roman"/>
          <w:sz w:val="24"/>
          <w:szCs w:val="24"/>
        </w:rPr>
        <w:t>one hand</w:t>
      </w:r>
      <w:r w:rsidRPr="00774EDB">
        <w:rPr>
          <w:rFonts w:ascii="Times New Roman" w:hAnsi="Times New Roman" w:cs="Times New Roman"/>
          <w:sz w:val="24"/>
          <w:szCs w:val="24"/>
        </w:rPr>
        <w:t xml:space="preserve">, a great many channels of collaboration and competition among the IoT players would result from the </w:t>
      </w:r>
      <w:r w:rsidR="000A0E9D" w:rsidRPr="00774EDB">
        <w:rPr>
          <w:rFonts w:ascii="Times New Roman" w:hAnsi="Times New Roman" w:cs="Times New Roman"/>
          <w:sz w:val="24"/>
          <w:szCs w:val="24"/>
        </w:rPr>
        <w:t>emergent</w:t>
      </w:r>
      <w:r w:rsidRPr="00774EDB">
        <w:rPr>
          <w:rFonts w:ascii="Times New Roman" w:hAnsi="Times New Roman" w:cs="Times New Roman"/>
          <w:sz w:val="24"/>
          <w:szCs w:val="24"/>
        </w:rPr>
        <w:t xml:space="preserve"> complexity</w:t>
      </w:r>
      <w:r w:rsidR="000A0E9D" w:rsidRPr="00774EDB">
        <w:rPr>
          <w:rFonts w:ascii="Times New Roman" w:hAnsi="Times New Roman" w:cs="Times New Roman"/>
          <w:sz w:val="24"/>
          <w:szCs w:val="24"/>
        </w:rPr>
        <w:t xml:space="preserve"> out of IoT ecosystems</w:t>
      </w:r>
      <w:r w:rsidRPr="00774EDB">
        <w:rPr>
          <w:rFonts w:ascii="Times New Roman" w:hAnsi="Times New Roman" w:cs="Times New Roman"/>
          <w:sz w:val="24"/>
          <w:szCs w:val="24"/>
        </w:rPr>
        <w:t xml:space="preserve">. </w:t>
      </w:r>
      <w:r w:rsidR="000A0E9D" w:rsidRPr="00774EDB">
        <w:rPr>
          <w:rFonts w:ascii="Times New Roman" w:hAnsi="Times New Roman" w:cs="Times New Roman"/>
          <w:sz w:val="24"/>
          <w:szCs w:val="24"/>
        </w:rPr>
        <w:t>On the other hand</w:t>
      </w:r>
      <w:r w:rsidRPr="00774EDB">
        <w:rPr>
          <w:rFonts w:ascii="Times New Roman" w:hAnsi="Times New Roman" w:cs="Times New Roman"/>
          <w:sz w:val="24"/>
          <w:szCs w:val="24"/>
        </w:rPr>
        <w:t xml:space="preserve">, industry stakeholders that invest in cutting-edge technologies e.g. AI, machine learning and 3D printing, also deploy some of their resources into the IoT, aiming at advanced big data management including data gathering, processing and analysing, as well as modernising their operations.      </w:t>
      </w:r>
    </w:p>
    <w:p w14:paraId="2D6472A4" w14:textId="77777777" w:rsidR="00004489" w:rsidRPr="00774EDB" w:rsidRDefault="0000448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the IoT products gain favour, an important focus of market analysis will be whether a product generates direct or indirect network effects, and if so whether these effects promote and thereby explain consolidation that may occur in markets for these products.</w:t>
      </w:r>
      <w:r w:rsidRPr="00774EDB">
        <w:rPr>
          <w:rStyle w:val="FootnoteReference"/>
          <w:rFonts w:ascii="Times New Roman" w:hAnsi="Times New Roman" w:cs="Times New Roman"/>
          <w:sz w:val="24"/>
          <w:szCs w:val="24"/>
        </w:rPr>
        <w:footnoteReference w:id="832"/>
      </w:r>
      <w:r w:rsidRPr="00774EDB">
        <w:rPr>
          <w:rFonts w:ascii="Times New Roman" w:hAnsi="Times New Roman" w:cs="Times New Roman"/>
          <w:sz w:val="24"/>
          <w:szCs w:val="24"/>
        </w:rPr>
        <w:t xml:space="preserve"> Either network effects, or the potential efficiency increases may not be attributed to the IoT itself but to the overall ecosystem that it works in. Crucially, the interdependencies between the layers </w:t>
      </w:r>
      <w:r w:rsidR="00783BAB" w:rsidRPr="00774EDB">
        <w:rPr>
          <w:rFonts w:ascii="Times New Roman" w:hAnsi="Times New Roman" w:cs="Times New Roman"/>
          <w:sz w:val="24"/>
          <w:szCs w:val="24"/>
        </w:rPr>
        <w:t xml:space="preserve">which underlie the IoT ecosystems </w:t>
      </w:r>
      <w:r w:rsidRPr="00774EDB">
        <w:rPr>
          <w:rFonts w:ascii="Times New Roman" w:hAnsi="Times New Roman" w:cs="Times New Roman"/>
          <w:sz w:val="24"/>
          <w:szCs w:val="24"/>
        </w:rPr>
        <w:t xml:space="preserve">have a key </w:t>
      </w:r>
      <w:r w:rsidRPr="00774EDB">
        <w:rPr>
          <w:rFonts w:ascii="Times New Roman" w:hAnsi="Times New Roman" w:cs="Times New Roman"/>
          <w:sz w:val="24"/>
          <w:szCs w:val="24"/>
        </w:rPr>
        <w:lastRenderedPageBreak/>
        <w:t xml:space="preserve">role </w:t>
      </w:r>
      <w:r w:rsidR="00670E41" w:rsidRPr="00774EDB">
        <w:rPr>
          <w:rFonts w:ascii="Times New Roman" w:hAnsi="Times New Roman" w:cs="Times New Roman"/>
          <w:sz w:val="24"/>
          <w:szCs w:val="24"/>
        </w:rPr>
        <w:t xml:space="preserve">in defining the competitive relationships across the layers and their players. </w:t>
      </w:r>
      <w:r w:rsidR="00911115" w:rsidRPr="00774EDB">
        <w:rPr>
          <w:rFonts w:ascii="Times New Roman" w:hAnsi="Times New Roman" w:cs="Times New Roman"/>
          <w:sz w:val="24"/>
          <w:szCs w:val="24"/>
        </w:rPr>
        <w:t>The more determinant such interdependencies are, the less significant and reliable the market definition and accompanying remedies would be.</w:t>
      </w:r>
      <w:r w:rsidRPr="00774EDB">
        <w:rPr>
          <w:rStyle w:val="FootnoteReference"/>
          <w:rFonts w:ascii="Times New Roman" w:hAnsi="Times New Roman" w:cs="Times New Roman"/>
          <w:sz w:val="24"/>
          <w:szCs w:val="24"/>
        </w:rPr>
        <w:footnoteReference w:id="833"/>
      </w:r>
      <w:r w:rsidRPr="00774EDB">
        <w:rPr>
          <w:rFonts w:ascii="Times New Roman" w:hAnsi="Times New Roman" w:cs="Times New Roman"/>
          <w:sz w:val="24"/>
          <w:szCs w:val="24"/>
        </w:rPr>
        <w:t xml:space="preserve"> Not only the complexity of the ICT interdependencies but also the efficiencies cutting across the layers - sometimes creating ecosystems – make the market definition an enormously difficult and painstaking exercise.</w:t>
      </w:r>
      <w:r w:rsidR="006E6024" w:rsidRPr="00774EDB">
        <w:rPr>
          <w:rStyle w:val="FootnoteReference"/>
          <w:rFonts w:ascii="Times New Roman" w:hAnsi="Times New Roman" w:cs="Times New Roman"/>
          <w:sz w:val="24"/>
          <w:szCs w:val="24"/>
        </w:rPr>
        <w:footnoteReference w:id="834"/>
      </w:r>
      <w:r w:rsidRPr="00774EDB">
        <w:rPr>
          <w:rFonts w:ascii="Times New Roman" w:hAnsi="Times New Roman" w:cs="Times New Roman"/>
          <w:sz w:val="24"/>
          <w:szCs w:val="24"/>
        </w:rPr>
        <w:t xml:space="preserve"> </w:t>
      </w:r>
      <w:r w:rsidR="00871927" w:rsidRPr="00774EDB">
        <w:rPr>
          <w:rFonts w:ascii="Times New Roman" w:hAnsi="Times New Roman" w:cs="Times New Roman"/>
          <w:sz w:val="24"/>
          <w:szCs w:val="24"/>
        </w:rPr>
        <w:t xml:space="preserve">This also means less justified regulatory interventions from the perspective of either EU competition law or ECRF rules.  </w:t>
      </w:r>
      <w:r w:rsidRPr="00774EDB">
        <w:rPr>
          <w:rFonts w:ascii="Times New Roman" w:hAnsi="Times New Roman" w:cs="Times New Roman"/>
          <w:sz w:val="24"/>
          <w:szCs w:val="24"/>
        </w:rPr>
        <w:t xml:space="preserve">           </w:t>
      </w:r>
    </w:p>
    <w:p w14:paraId="5FA5F8A5" w14:textId="77777777" w:rsidR="00004489" w:rsidRPr="00774EDB" w:rsidRDefault="0000448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On the other hand, the pre</w:t>
      </w:r>
      <w:r w:rsidR="0039424F" w:rsidRPr="00774EDB">
        <w:rPr>
          <w:rFonts w:ascii="Times New Roman" w:hAnsi="Times New Roman" w:cs="Times New Roman"/>
          <w:sz w:val="24"/>
          <w:szCs w:val="24"/>
        </w:rPr>
        <w:t>valence</w:t>
      </w:r>
      <w:r w:rsidRPr="00774EDB">
        <w:rPr>
          <w:rFonts w:ascii="Times New Roman" w:hAnsi="Times New Roman" w:cs="Times New Roman"/>
          <w:sz w:val="24"/>
          <w:szCs w:val="24"/>
        </w:rPr>
        <w:t xml:space="preserve"> of walled garden</w:t>
      </w:r>
      <w:r w:rsidR="0039424F" w:rsidRPr="00774EDB">
        <w:rPr>
          <w:rFonts w:ascii="Times New Roman" w:hAnsi="Times New Roman" w:cs="Times New Roman"/>
          <w:sz w:val="24"/>
          <w:szCs w:val="24"/>
        </w:rPr>
        <w:t xml:space="preserve"> type IoT </w:t>
      </w:r>
      <w:r w:rsidR="00DB42CF" w:rsidRPr="00774EDB">
        <w:rPr>
          <w:rFonts w:ascii="Times New Roman" w:hAnsi="Times New Roman" w:cs="Times New Roman"/>
          <w:sz w:val="24"/>
          <w:szCs w:val="24"/>
        </w:rPr>
        <w:t xml:space="preserve">supply </w:t>
      </w:r>
      <w:r w:rsidR="0039424F" w:rsidRPr="00774EDB">
        <w:rPr>
          <w:rFonts w:ascii="Times New Roman" w:hAnsi="Times New Roman" w:cs="Times New Roman"/>
          <w:sz w:val="24"/>
          <w:szCs w:val="24"/>
        </w:rPr>
        <w:t>structures</w:t>
      </w:r>
      <w:r w:rsidRPr="00774EDB">
        <w:rPr>
          <w:rFonts w:ascii="Times New Roman" w:hAnsi="Times New Roman" w:cs="Times New Roman"/>
          <w:sz w:val="24"/>
          <w:szCs w:val="24"/>
        </w:rPr>
        <w:t xml:space="preserve"> would affect the cross-layer relationships and diminish the very nature of the ecosystem that is </w:t>
      </w:r>
      <w:r w:rsidR="007279F4" w:rsidRPr="00774EDB">
        <w:rPr>
          <w:rFonts w:ascii="Times New Roman" w:hAnsi="Times New Roman" w:cs="Times New Roman"/>
          <w:sz w:val="24"/>
          <w:szCs w:val="24"/>
        </w:rPr>
        <w:t xml:space="preserve">normally </w:t>
      </w:r>
      <w:r w:rsidRPr="00774EDB">
        <w:rPr>
          <w:rFonts w:ascii="Times New Roman" w:hAnsi="Times New Roman" w:cs="Times New Roman"/>
          <w:sz w:val="24"/>
          <w:szCs w:val="24"/>
        </w:rPr>
        <w:t>built upon</w:t>
      </w:r>
      <w:r w:rsidR="007279F4" w:rsidRPr="00774EDB">
        <w:rPr>
          <w:rFonts w:ascii="Times New Roman" w:hAnsi="Times New Roman" w:cs="Times New Roman"/>
          <w:sz w:val="24"/>
          <w:szCs w:val="24"/>
        </w:rPr>
        <w:t xml:space="preserve"> coopetition </w:t>
      </w:r>
      <w:r w:rsidRPr="00774EDB">
        <w:rPr>
          <w:rFonts w:ascii="Times New Roman" w:hAnsi="Times New Roman" w:cs="Times New Roman"/>
          <w:sz w:val="24"/>
          <w:szCs w:val="24"/>
        </w:rPr>
        <w:t>between the interdependent players</w:t>
      </w:r>
      <w:r w:rsidR="007279F4" w:rsidRPr="00774EDB">
        <w:rPr>
          <w:rFonts w:ascii="Times New Roman" w:hAnsi="Times New Roman" w:cs="Times New Roman"/>
          <w:sz w:val="24"/>
          <w:szCs w:val="24"/>
        </w:rPr>
        <w:t xml:space="preserve"> across the technological layers</w:t>
      </w:r>
      <w:r w:rsidRPr="00774EDB">
        <w:rPr>
          <w:rFonts w:ascii="Times New Roman" w:hAnsi="Times New Roman" w:cs="Times New Roman"/>
          <w:sz w:val="24"/>
          <w:szCs w:val="24"/>
        </w:rPr>
        <w:t xml:space="preserve">. In </w:t>
      </w:r>
      <w:r w:rsidR="007279F4" w:rsidRPr="00774EDB">
        <w:rPr>
          <w:rFonts w:ascii="Times New Roman" w:hAnsi="Times New Roman" w:cs="Times New Roman"/>
          <w:sz w:val="24"/>
          <w:szCs w:val="24"/>
        </w:rPr>
        <w:t xml:space="preserve">the case of </w:t>
      </w:r>
      <w:r w:rsidR="002E2C4D" w:rsidRPr="00774EDB">
        <w:rPr>
          <w:rFonts w:ascii="Times New Roman" w:hAnsi="Times New Roman" w:cs="Times New Roman"/>
          <w:sz w:val="24"/>
          <w:szCs w:val="24"/>
        </w:rPr>
        <w:t xml:space="preserve">high number of vertically integrated IoT supply structures, </w:t>
      </w:r>
      <w:r w:rsidRPr="00774EDB">
        <w:rPr>
          <w:rFonts w:ascii="Times New Roman" w:hAnsi="Times New Roman" w:cs="Times New Roman"/>
          <w:sz w:val="24"/>
          <w:szCs w:val="24"/>
        </w:rPr>
        <w:t>walled gardens</w:t>
      </w:r>
      <w:r w:rsidR="002E2C4D" w:rsidRPr="00774EDB">
        <w:rPr>
          <w:rFonts w:ascii="Times New Roman" w:hAnsi="Times New Roman" w:cs="Times New Roman"/>
          <w:sz w:val="24"/>
          <w:szCs w:val="24"/>
        </w:rPr>
        <w:t xml:space="preserve"> </w:t>
      </w:r>
      <w:r w:rsidR="00B14062" w:rsidRPr="00774EDB">
        <w:rPr>
          <w:rFonts w:ascii="Times New Roman" w:hAnsi="Times New Roman" w:cs="Times New Roman"/>
          <w:sz w:val="24"/>
          <w:szCs w:val="24"/>
        </w:rPr>
        <w:t>that</w:t>
      </w:r>
      <w:r w:rsidR="002E2C4D" w:rsidRPr="00774EDB">
        <w:rPr>
          <w:rFonts w:ascii="Times New Roman" w:hAnsi="Times New Roman" w:cs="Times New Roman"/>
          <w:sz w:val="24"/>
          <w:szCs w:val="24"/>
        </w:rPr>
        <w:t xml:space="preserve"> are</w:t>
      </w:r>
      <w:r w:rsidR="007279F4" w:rsidRPr="00774EDB">
        <w:rPr>
          <w:rFonts w:ascii="Times New Roman" w:hAnsi="Times New Roman" w:cs="Times New Roman"/>
          <w:sz w:val="24"/>
          <w:szCs w:val="24"/>
        </w:rPr>
        <w:t xml:space="preserve"> reminiscent of old type silos would not be dismissed at all. </w:t>
      </w:r>
      <w:r w:rsidRPr="00774EDB">
        <w:rPr>
          <w:rFonts w:ascii="Times New Roman" w:hAnsi="Times New Roman" w:cs="Times New Roman"/>
          <w:sz w:val="24"/>
          <w:szCs w:val="24"/>
        </w:rPr>
        <w:t xml:space="preserve">This focal point </w:t>
      </w:r>
      <w:r w:rsidR="00B14062" w:rsidRPr="00774EDB">
        <w:rPr>
          <w:rFonts w:ascii="Times New Roman" w:hAnsi="Times New Roman" w:cs="Times New Roman"/>
          <w:sz w:val="24"/>
          <w:szCs w:val="24"/>
        </w:rPr>
        <w:t xml:space="preserve">which directly affects the ecosystem characteristics </w:t>
      </w:r>
      <w:r w:rsidR="007279F4" w:rsidRPr="00774EDB">
        <w:rPr>
          <w:rFonts w:ascii="Times New Roman" w:hAnsi="Times New Roman" w:cs="Times New Roman"/>
          <w:sz w:val="24"/>
          <w:szCs w:val="24"/>
        </w:rPr>
        <w:t>needs to be taken into utmost account</w:t>
      </w:r>
      <w:r w:rsidRPr="00774EDB">
        <w:rPr>
          <w:rFonts w:ascii="Times New Roman" w:hAnsi="Times New Roman" w:cs="Times New Roman"/>
          <w:sz w:val="24"/>
          <w:szCs w:val="24"/>
        </w:rPr>
        <w:t xml:space="preserve"> across </w:t>
      </w:r>
      <w:r w:rsidR="00B14062" w:rsidRPr="00774EDB">
        <w:rPr>
          <w:rFonts w:ascii="Times New Roman" w:hAnsi="Times New Roman" w:cs="Times New Roman"/>
          <w:sz w:val="24"/>
          <w:szCs w:val="24"/>
        </w:rPr>
        <w:t xml:space="preserve">all </w:t>
      </w:r>
      <w:r w:rsidRPr="00774EDB">
        <w:rPr>
          <w:rFonts w:ascii="Times New Roman" w:hAnsi="Times New Roman" w:cs="Times New Roman"/>
          <w:sz w:val="24"/>
          <w:szCs w:val="24"/>
        </w:rPr>
        <w:t>the industrial settings i.e. from the ‘home appliances’ to the ‘smart city’</w:t>
      </w:r>
      <w:r w:rsidR="00B14062" w:rsidRPr="00774EDB">
        <w:rPr>
          <w:rFonts w:ascii="Times New Roman" w:hAnsi="Times New Roman" w:cs="Times New Roman"/>
          <w:sz w:val="24"/>
          <w:szCs w:val="24"/>
        </w:rPr>
        <w:t>.</w:t>
      </w:r>
      <w:r w:rsidRPr="00774EDB">
        <w:rPr>
          <w:rFonts w:ascii="Times New Roman" w:hAnsi="Times New Roman" w:cs="Times New Roman"/>
          <w:sz w:val="24"/>
          <w:szCs w:val="24"/>
        </w:rPr>
        <w:t xml:space="preserve"> </w:t>
      </w:r>
    </w:p>
    <w:p w14:paraId="384C8F4A" w14:textId="60F668C1" w:rsidR="00004489" w:rsidRPr="00774EDB" w:rsidRDefault="0000448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From this viewpoint, many IoT settings, within their current forms, would not match an ‘ecosystem’, marking a contrast to </w:t>
      </w:r>
      <w:r w:rsidR="00B14062" w:rsidRPr="00774EDB">
        <w:rPr>
          <w:rFonts w:ascii="Times New Roman" w:hAnsi="Times New Roman" w:cs="Times New Roman"/>
          <w:sz w:val="24"/>
          <w:szCs w:val="24"/>
        </w:rPr>
        <w:t>many of the</w:t>
      </w:r>
      <w:r w:rsidRPr="00774EDB">
        <w:rPr>
          <w:rFonts w:ascii="Times New Roman" w:hAnsi="Times New Roman" w:cs="Times New Roman"/>
          <w:sz w:val="24"/>
          <w:szCs w:val="24"/>
        </w:rPr>
        <w:t xml:space="preserve"> cloud computing </w:t>
      </w:r>
      <w:r w:rsidR="00B14062" w:rsidRPr="00774EDB">
        <w:rPr>
          <w:rFonts w:ascii="Times New Roman" w:hAnsi="Times New Roman" w:cs="Times New Roman"/>
          <w:sz w:val="24"/>
          <w:szCs w:val="24"/>
        </w:rPr>
        <w:t>setting</w:t>
      </w:r>
      <w:r w:rsidRPr="00774EDB">
        <w:rPr>
          <w:rFonts w:ascii="Times New Roman" w:hAnsi="Times New Roman" w:cs="Times New Roman"/>
          <w:sz w:val="24"/>
          <w:szCs w:val="24"/>
        </w:rPr>
        <w:t xml:space="preserve">s. In fact, cloud computing often serves as the bottleneck and utility type facility for the many </w:t>
      </w:r>
      <w:r w:rsidRPr="00774EDB">
        <w:rPr>
          <w:rFonts w:ascii="Times New Roman" w:hAnsi="Times New Roman" w:cs="Times New Roman"/>
          <w:sz w:val="24"/>
          <w:szCs w:val="24"/>
        </w:rPr>
        <w:lastRenderedPageBreak/>
        <w:t>other services, including the IoT. The IoT depends on the clouds, which offer common or middleware services e.g. provision of platform, databases and OSs for the third parties, including the IoT service providers. Clouds therefore play an intermediary role between the third parties and bridge the interoperability gap between them i.e. through protocol translation. On the other hand, most IoT systems</w:t>
      </w:r>
      <w:r w:rsidR="00B550EE" w:rsidRPr="00774EDB">
        <w:rPr>
          <w:rFonts w:ascii="Times New Roman" w:hAnsi="Times New Roman" w:cs="Times New Roman"/>
          <w:sz w:val="24"/>
          <w:szCs w:val="24"/>
        </w:rPr>
        <w:t>, when considered with the underlying standards and IPR-based restrictions,</w:t>
      </w:r>
      <w:r w:rsidRPr="00774EDB">
        <w:rPr>
          <w:rFonts w:ascii="Times New Roman" w:hAnsi="Times New Roman" w:cs="Times New Roman"/>
          <w:sz w:val="24"/>
          <w:szCs w:val="24"/>
        </w:rPr>
        <w:t xml:space="preserve"> </w:t>
      </w:r>
      <w:r w:rsidR="005B6DE2" w:rsidRPr="00774EDB">
        <w:rPr>
          <w:rFonts w:ascii="Times New Roman" w:hAnsi="Times New Roman" w:cs="Times New Roman"/>
          <w:sz w:val="24"/>
          <w:szCs w:val="24"/>
        </w:rPr>
        <w:t>would</w:t>
      </w:r>
      <w:r w:rsidRPr="00774EDB">
        <w:rPr>
          <w:rFonts w:ascii="Times New Roman" w:hAnsi="Times New Roman" w:cs="Times New Roman"/>
          <w:sz w:val="24"/>
          <w:szCs w:val="24"/>
        </w:rPr>
        <w:t xml:space="preserve"> not create </w:t>
      </w:r>
      <w:r w:rsidR="005B6DE2" w:rsidRPr="00774EDB">
        <w:rPr>
          <w:rFonts w:ascii="Times New Roman" w:hAnsi="Times New Roman" w:cs="Times New Roman"/>
          <w:sz w:val="24"/>
          <w:szCs w:val="24"/>
        </w:rPr>
        <w:t xml:space="preserve">or subsist within </w:t>
      </w:r>
      <w:r w:rsidRPr="00774EDB">
        <w:rPr>
          <w:rFonts w:ascii="Times New Roman" w:hAnsi="Times New Roman" w:cs="Times New Roman"/>
          <w:sz w:val="24"/>
          <w:szCs w:val="24"/>
        </w:rPr>
        <w:t>an ecosystem, while sustaining a multi-layered basis.</w:t>
      </w:r>
      <w:r w:rsidR="00D00F97" w:rsidRPr="00774EDB">
        <w:rPr>
          <w:rFonts w:ascii="Times New Roman" w:hAnsi="Times New Roman" w:cs="Times New Roman"/>
          <w:sz w:val="24"/>
          <w:szCs w:val="24"/>
        </w:rPr>
        <w:t xml:space="preserve"> </w:t>
      </w:r>
    </w:p>
    <w:p w14:paraId="6907DA73" w14:textId="191A5D38" w:rsidR="00004489" w:rsidRPr="00774EDB" w:rsidRDefault="0000448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Notably, stakeholders’ efforts to push their standards in the IoT environments, particularly in the low-power wireless domain,</w:t>
      </w:r>
      <w:r w:rsidRPr="00774EDB">
        <w:rPr>
          <w:rStyle w:val="FootnoteReference"/>
          <w:rFonts w:ascii="Times New Roman" w:hAnsi="Times New Roman" w:cs="Times New Roman"/>
          <w:sz w:val="24"/>
          <w:szCs w:val="24"/>
        </w:rPr>
        <w:footnoteReference w:id="835"/>
      </w:r>
      <w:r w:rsidRPr="00774EDB">
        <w:rPr>
          <w:rFonts w:ascii="Times New Roman" w:hAnsi="Times New Roman" w:cs="Times New Roman"/>
          <w:sz w:val="24"/>
          <w:szCs w:val="24"/>
        </w:rPr>
        <w:t xml:space="preserve"> lead to a puzzled picture in terms of IPRs e.g. SEPs and interoperability relationships.</w:t>
      </w:r>
      <w:r w:rsidRPr="00820EF9">
        <w:rPr>
          <w:rStyle w:val="FootnoteReference"/>
          <w:rFonts w:ascii="Times New Roman" w:hAnsi="Times New Roman" w:cs="Times New Roman"/>
          <w:sz w:val="24"/>
          <w:szCs w:val="24"/>
        </w:rPr>
        <w:footnoteReference w:id="836"/>
      </w:r>
      <w:r w:rsidRPr="00774EDB">
        <w:rPr>
          <w:rFonts w:ascii="Times New Roman" w:hAnsi="Times New Roman" w:cs="Times New Roman"/>
          <w:sz w:val="24"/>
          <w:szCs w:val="24"/>
        </w:rPr>
        <w:t xml:space="preserve"> While a number of open source initiatives e.g. AllSeen Alliance, AVnu Alliance (AVB/TSN), Open Connectivity Foundation (OCF) and the Hypercat Consortium prevail and contribute to the IoT standardisation, the fragmentation is remarkable because of the lack of coordination and collaboration between them.</w:t>
      </w:r>
      <w:r w:rsidRPr="00774EDB">
        <w:rPr>
          <w:rStyle w:val="FootnoteReference"/>
          <w:rFonts w:ascii="Times New Roman" w:hAnsi="Times New Roman" w:cs="Times New Roman"/>
          <w:sz w:val="24"/>
          <w:szCs w:val="24"/>
        </w:rPr>
        <w:footnoteReference w:id="837"/>
      </w:r>
      <w:r w:rsidRPr="00774EDB">
        <w:rPr>
          <w:rFonts w:ascii="Times New Roman" w:hAnsi="Times New Roman" w:cs="Times New Roman"/>
          <w:sz w:val="24"/>
          <w:szCs w:val="24"/>
        </w:rPr>
        <w:t xml:space="preserve"> It should also be noted that such standardisation efforts lag behind the individual market forces based on the proprietary systems e.g. Google’s Home, Amazon’s Alexa and Samsung’s SmartThings, that are being commercialised and marketed very fast. IPR portfolios, along with the absent common </w:t>
      </w:r>
      <w:r w:rsidRPr="00774EDB">
        <w:rPr>
          <w:rFonts w:ascii="Times New Roman" w:hAnsi="Times New Roman" w:cs="Times New Roman"/>
          <w:sz w:val="24"/>
          <w:szCs w:val="24"/>
        </w:rPr>
        <w:lastRenderedPageBreak/>
        <w:t xml:space="preserve">standards, often affect the interoperability among the IoT systems. As </w:t>
      </w:r>
      <w:r w:rsidR="005B6DE2" w:rsidRPr="00774EDB">
        <w:rPr>
          <w:rFonts w:ascii="Times New Roman" w:hAnsi="Times New Roman" w:cs="Times New Roman"/>
          <w:sz w:val="24"/>
          <w:szCs w:val="24"/>
        </w:rPr>
        <w:t>interdependencies</w:t>
      </w:r>
      <w:r w:rsidR="005B6DE2" w:rsidRPr="00774EDB">
        <w:rPr>
          <w:rFonts w:ascii="Times New Roman" w:hAnsi="Times New Roman" w:cs="Times New Roman"/>
          <w:color w:val="FF0000"/>
          <w:sz w:val="24"/>
          <w:szCs w:val="24"/>
        </w:rPr>
        <w:t xml:space="preserve"> </w:t>
      </w:r>
      <w:r w:rsidR="005B6DE2" w:rsidRPr="00774EDB">
        <w:rPr>
          <w:rFonts w:ascii="Times New Roman" w:hAnsi="Times New Roman" w:cs="Times New Roman"/>
          <w:sz w:val="24"/>
          <w:szCs w:val="24"/>
        </w:rPr>
        <w:t xml:space="preserve">and underlying </w:t>
      </w:r>
      <w:r w:rsidRPr="00774EDB">
        <w:rPr>
          <w:rFonts w:ascii="Times New Roman" w:hAnsi="Times New Roman" w:cs="Times New Roman"/>
          <w:sz w:val="24"/>
          <w:szCs w:val="24"/>
        </w:rPr>
        <w:t>co</w:t>
      </w:r>
      <w:r w:rsidR="005B6DE2" w:rsidRPr="00774EDB">
        <w:rPr>
          <w:rFonts w:ascii="Times New Roman" w:hAnsi="Times New Roman" w:cs="Times New Roman"/>
          <w:sz w:val="24"/>
          <w:szCs w:val="24"/>
        </w:rPr>
        <w:t>o</w:t>
      </w:r>
      <w:r w:rsidRPr="00774EDB">
        <w:rPr>
          <w:rFonts w:ascii="Times New Roman" w:hAnsi="Times New Roman" w:cs="Times New Roman"/>
          <w:sz w:val="24"/>
          <w:szCs w:val="24"/>
        </w:rPr>
        <w:t>petiti</w:t>
      </w:r>
      <w:r w:rsidR="005B6DE2" w:rsidRPr="00774EDB">
        <w:rPr>
          <w:rFonts w:ascii="Times New Roman" w:hAnsi="Times New Roman" w:cs="Times New Roman"/>
          <w:sz w:val="24"/>
          <w:szCs w:val="24"/>
        </w:rPr>
        <w:t>on</w:t>
      </w:r>
      <w:r w:rsidR="00D00F97"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do not </w:t>
      </w:r>
      <w:r w:rsidR="005B6DE2" w:rsidRPr="00774EDB">
        <w:rPr>
          <w:rFonts w:ascii="Times New Roman" w:hAnsi="Times New Roman" w:cs="Times New Roman"/>
          <w:sz w:val="24"/>
          <w:szCs w:val="24"/>
        </w:rPr>
        <w:t>characterise</w:t>
      </w:r>
      <w:r w:rsidRPr="00774EDB">
        <w:rPr>
          <w:rFonts w:ascii="Times New Roman" w:hAnsi="Times New Roman" w:cs="Times New Roman"/>
          <w:sz w:val="24"/>
          <w:szCs w:val="24"/>
        </w:rPr>
        <w:t xml:space="preserve"> </w:t>
      </w:r>
      <w:r w:rsidR="005C565B">
        <w:rPr>
          <w:rFonts w:ascii="Times New Roman" w:hAnsi="Times New Roman" w:cs="Times New Roman"/>
          <w:sz w:val="24"/>
          <w:szCs w:val="24"/>
        </w:rPr>
        <w:t>such</w:t>
      </w:r>
      <w:r w:rsidR="005C565B" w:rsidRPr="00774EDB">
        <w:rPr>
          <w:rFonts w:ascii="Times New Roman" w:hAnsi="Times New Roman" w:cs="Times New Roman"/>
          <w:sz w:val="24"/>
          <w:szCs w:val="24"/>
        </w:rPr>
        <w:t xml:space="preserve"> </w:t>
      </w:r>
      <w:r w:rsidRPr="00774EDB">
        <w:rPr>
          <w:rFonts w:ascii="Times New Roman" w:hAnsi="Times New Roman" w:cs="Times New Roman"/>
          <w:sz w:val="24"/>
          <w:szCs w:val="24"/>
        </w:rPr>
        <w:t>IoT setting</w:t>
      </w:r>
      <w:r w:rsidR="005B6DE2" w:rsidRPr="00774EDB">
        <w:rPr>
          <w:rFonts w:ascii="Times New Roman" w:hAnsi="Times New Roman" w:cs="Times New Roman"/>
          <w:sz w:val="24"/>
          <w:szCs w:val="24"/>
        </w:rPr>
        <w:t>s</w:t>
      </w:r>
      <w:r w:rsidRPr="00774EDB">
        <w:rPr>
          <w:rFonts w:ascii="Times New Roman" w:hAnsi="Times New Roman" w:cs="Times New Roman"/>
          <w:sz w:val="24"/>
          <w:szCs w:val="24"/>
        </w:rPr>
        <w:t>, the lack or insufficiency of interoperability is able to threaten IoT competition and innovation in these settings.</w:t>
      </w:r>
      <w:r w:rsidR="005B6DE2" w:rsidRPr="00774EDB">
        <w:rPr>
          <w:rFonts w:ascii="Times New Roman" w:hAnsi="Times New Roman" w:cs="Times New Roman"/>
          <w:sz w:val="24"/>
          <w:szCs w:val="24"/>
        </w:rPr>
        <w:t xml:space="preserve"> In such cases, regulatory/competition law interventions would be responded to cure the accompanying problems such as vendor lock-in or switching costs.</w:t>
      </w:r>
      <w:r w:rsidR="005C565B">
        <w:rPr>
          <w:rStyle w:val="FootnoteReference"/>
          <w:rFonts w:ascii="Times New Roman" w:hAnsi="Times New Roman" w:cs="Times New Roman"/>
          <w:sz w:val="24"/>
          <w:szCs w:val="24"/>
        </w:rPr>
        <w:footnoteReference w:id="838"/>
      </w:r>
    </w:p>
    <w:p w14:paraId="4ADECFC6" w14:textId="77B3B232" w:rsidR="00284660" w:rsidRPr="00774EDB" w:rsidRDefault="0000448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However, no one can exclude the possibility that an IoT setting can turn into an ecosystem structure. From the ecosystem perspective, would-be problems are supposed to be solved within the self-regulatory structure of the ecosystem.</w:t>
      </w:r>
      <w:r w:rsidRPr="00774EDB">
        <w:rPr>
          <w:rStyle w:val="FootnoteReference"/>
          <w:rFonts w:ascii="Times New Roman" w:hAnsi="Times New Roman" w:cs="Times New Roman"/>
          <w:sz w:val="24"/>
          <w:szCs w:val="24"/>
        </w:rPr>
        <w:footnoteReference w:id="839"/>
      </w:r>
      <w:r w:rsidRPr="00774EDB">
        <w:rPr>
          <w:rFonts w:ascii="Times New Roman" w:hAnsi="Times New Roman" w:cs="Times New Roman"/>
          <w:sz w:val="24"/>
          <w:szCs w:val="24"/>
        </w:rPr>
        <w:t xml:space="preserve"> This presumption potentially leads up to the conclusion that it is more appropriate to adopt light-touch regulation and/or principles-based regulation for the ecosystems.</w:t>
      </w:r>
      <w:r w:rsidRPr="00774EDB">
        <w:rPr>
          <w:rStyle w:val="FootnoteReference"/>
          <w:rFonts w:ascii="Times New Roman" w:hAnsi="Times New Roman" w:cs="Times New Roman"/>
          <w:sz w:val="24"/>
          <w:szCs w:val="24"/>
        </w:rPr>
        <w:footnoteReference w:id="840"/>
      </w:r>
      <w:r w:rsidRPr="00774EDB">
        <w:rPr>
          <w:rFonts w:ascii="Times New Roman" w:hAnsi="Times New Roman" w:cs="Times New Roman"/>
          <w:sz w:val="24"/>
          <w:szCs w:val="24"/>
        </w:rPr>
        <w:t xml:space="preserve"> However, given the above analysis, a cautious and more robust approach would need to be followed within the fragility of the IoT settings. </w:t>
      </w:r>
      <w:r w:rsidR="00D00F97" w:rsidRPr="00774EDB">
        <w:rPr>
          <w:rFonts w:ascii="Times New Roman" w:hAnsi="Times New Roman" w:cs="Times New Roman"/>
          <w:sz w:val="24"/>
          <w:szCs w:val="24"/>
        </w:rPr>
        <w:t>Hence</w:t>
      </w:r>
      <w:r w:rsidRPr="00774EDB">
        <w:rPr>
          <w:rFonts w:ascii="Times New Roman" w:hAnsi="Times New Roman" w:cs="Times New Roman"/>
          <w:sz w:val="24"/>
          <w:szCs w:val="24"/>
        </w:rPr>
        <w:t xml:space="preserve">, a regulatory approach </w:t>
      </w:r>
      <w:r w:rsidR="00D00F97" w:rsidRPr="00774EDB">
        <w:rPr>
          <w:rFonts w:ascii="Times New Roman" w:hAnsi="Times New Roman" w:cs="Times New Roman"/>
          <w:sz w:val="24"/>
          <w:szCs w:val="24"/>
        </w:rPr>
        <w:t>ideally</w:t>
      </w:r>
      <w:r w:rsidRPr="00774EDB">
        <w:rPr>
          <w:rFonts w:ascii="Times New Roman" w:hAnsi="Times New Roman" w:cs="Times New Roman"/>
          <w:sz w:val="24"/>
          <w:szCs w:val="24"/>
        </w:rPr>
        <w:t xml:space="preserve"> comprising ecosystem and non-ecosystem settings </w:t>
      </w:r>
      <w:r w:rsidR="00D00F97" w:rsidRPr="00774EDB">
        <w:rPr>
          <w:rFonts w:ascii="Times New Roman" w:hAnsi="Times New Roman" w:cs="Times New Roman"/>
          <w:sz w:val="24"/>
          <w:szCs w:val="24"/>
        </w:rPr>
        <w:t>would rather</w:t>
      </w:r>
      <w:r w:rsidRPr="00774EDB">
        <w:rPr>
          <w:rFonts w:ascii="Times New Roman" w:hAnsi="Times New Roman" w:cs="Times New Roman"/>
          <w:sz w:val="24"/>
          <w:szCs w:val="24"/>
        </w:rPr>
        <w:t xml:space="preserve"> be adopted. While ecosystems represent the widest supply structure of all, other structures e.</w:t>
      </w:r>
      <w:r w:rsidR="005C565B">
        <w:rPr>
          <w:rFonts w:ascii="Times New Roman" w:hAnsi="Times New Roman" w:cs="Times New Roman"/>
          <w:sz w:val="24"/>
          <w:szCs w:val="24"/>
        </w:rPr>
        <w:t>g.</w:t>
      </w:r>
      <w:r w:rsidRPr="00774EDB">
        <w:rPr>
          <w:rFonts w:ascii="Times New Roman" w:hAnsi="Times New Roman" w:cs="Times New Roman"/>
          <w:sz w:val="24"/>
          <w:szCs w:val="24"/>
        </w:rPr>
        <w:t xml:space="preserve"> narrow IoT settings and cloud environments also need to be </w:t>
      </w:r>
      <w:r w:rsidR="004C2B02">
        <w:rPr>
          <w:rFonts w:ascii="Times New Roman" w:hAnsi="Times New Roman" w:cs="Times New Roman"/>
          <w:sz w:val="24"/>
          <w:szCs w:val="24"/>
        </w:rPr>
        <w:t xml:space="preserve">embodied </w:t>
      </w:r>
      <w:r w:rsidR="00D00F97" w:rsidRPr="00774EDB">
        <w:rPr>
          <w:rFonts w:ascii="Times New Roman" w:hAnsi="Times New Roman" w:cs="Times New Roman"/>
          <w:sz w:val="24"/>
          <w:szCs w:val="24"/>
        </w:rPr>
        <w:t xml:space="preserve">by </w:t>
      </w:r>
      <w:r w:rsidR="004C2B02">
        <w:rPr>
          <w:rFonts w:ascii="Times New Roman" w:hAnsi="Times New Roman" w:cs="Times New Roman"/>
          <w:sz w:val="24"/>
          <w:szCs w:val="24"/>
        </w:rPr>
        <w:t>any</w:t>
      </w:r>
      <w:r w:rsidR="00D00F97" w:rsidRPr="00774EDB">
        <w:rPr>
          <w:rFonts w:ascii="Times New Roman" w:hAnsi="Times New Roman" w:cs="Times New Roman"/>
          <w:sz w:val="24"/>
          <w:szCs w:val="24"/>
        </w:rPr>
        <w:t xml:space="preserve"> policy </w:t>
      </w:r>
      <w:r w:rsidR="004C2B02">
        <w:rPr>
          <w:rFonts w:ascii="Times New Roman" w:hAnsi="Times New Roman" w:cs="Times New Roman"/>
          <w:sz w:val="24"/>
          <w:szCs w:val="24"/>
        </w:rPr>
        <w:t>approach</w:t>
      </w:r>
      <w:r w:rsidR="00D00F97" w:rsidRPr="00774EDB">
        <w:rPr>
          <w:rFonts w:ascii="Times New Roman" w:hAnsi="Times New Roman" w:cs="Times New Roman"/>
          <w:sz w:val="24"/>
          <w:szCs w:val="24"/>
        </w:rPr>
        <w:t xml:space="preserve"> and </w:t>
      </w:r>
      <w:r w:rsidR="005B6DE2" w:rsidRPr="00774EDB">
        <w:rPr>
          <w:rFonts w:ascii="Times New Roman" w:hAnsi="Times New Roman" w:cs="Times New Roman"/>
          <w:sz w:val="24"/>
          <w:szCs w:val="24"/>
        </w:rPr>
        <w:t>would-be</w:t>
      </w:r>
      <w:r w:rsidR="009166D4" w:rsidRPr="00774EDB">
        <w:rPr>
          <w:rFonts w:ascii="Times New Roman" w:hAnsi="Times New Roman" w:cs="Times New Roman"/>
          <w:sz w:val="24"/>
          <w:szCs w:val="24"/>
        </w:rPr>
        <w:t xml:space="preserve"> </w:t>
      </w:r>
      <w:r w:rsidR="00D00F97" w:rsidRPr="00774EDB">
        <w:rPr>
          <w:rFonts w:ascii="Times New Roman" w:hAnsi="Times New Roman" w:cs="Times New Roman"/>
          <w:sz w:val="24"/>
          <w:szCs w:val="24"/>
        </w:rPr>
        <w:t>regulatory model</w:t>
      </w:r>
      <w:r w:rsidRPr="00774EDB">
        <w:rPr>
          <w:rFonts w:ascii="Times New Roman" w:hAnsi="Times New Roman" w:cs="Times New Roman"/>
          <w:sz w:val="24"/>
          <w:szCs w:val="24"/>
        </w:rPr>
        <w:t>.</w:t>
      </w:r>
    </w:p>
    <w:p w14:paraId="6187D6F9" w14:textId="77777777" w:rsidR="002B46AF" w:rsidRDefault="002B46AF">
      <w:pPr>
        <w:rPr>
          <w:rFonts w:ascii="Times New Roman" w:eastAsiaTheme="majorEastAsia" w:hAnsi="Times New Roman" w:cs="Times New Roman"/>
          <w:b/>
          <w:sz w:val="24"/>
          <w:szCs w:val="24"/>
          <w:lang w:val="en-US"/>
        </w:rPr>
      </w:pPr>
      <w:r>
        <w:rPr>
          <w:rFonts w:ascii="Times New Roman" w:hAnsi="Times New Roman" w:cs="Times New Roman"/>
          <w:b/>
          <w:sz w:val="24"/>
          <w:szCs w:val="24"/>
          <w:lang w:val="en-US"/>
        </w:rPr>
        <w:br w:type="page"/>
      </w:r>
    </w:p>
    <w:p w14:paraId="35714293" w14:textId="77777777" w:rsidR="002B46AF" w:rsidRDefault="002B46AF">
      <w:pPr>
        <w:rPr>
          <w:rFonts w:ascii="Times New Roman" w:eastAsiaTheme="majorEastAsia" w:hAnsi="Times New Roman" w:cs="Times New Roman"/>
          <w:b/>
          <w:sz w:val="24"/>
          <w:szCs w:val="24"/>
          <w:lang w:val="en-US"/>
        </w:rPr>
      </w:pPr>
      <w:r>
        <w:rPr>
          <w:rFonts w:ascii="Times New Roman" w:hAnsi="Times New Roman" w:cs="Times New Roman"/>
          <w:b/>
          <w:sz w:val="24"/>
          <w:szCs w:val="24"/>
          <w:lang w:val="en-US"/>
        </w:rPr>
        <w:lastRenderedPageBreak/>
        <w:br w:type="page"/>
      </w:r>
    </w:p>
    <w:p w14:paraId="60D5BACA" w14:textId="29C9954C" w:rsidR="00C376B9" w:rsidRPr="00774EDB" w:rsidRDefault="006F4DE2" w:rsidP="00A70042">
      <w:pPr>
        <w:pStyle w:val="Heading1"/>
        <w:numPr>
          <w:ilvl w:val="0"/>
          <w:numId w:val="33"/>
        </w:numPr>
        <w:spacing w:before="360"/>
        <w:ind w:left="284" w:hanging="284"/>
        <w:jc w:val="both"/>
        <w:rPr>
          <w:rFonts w:ascii="Times New Roman" w:hAnsi="Times New Roman" w:cs="Times New Roman"/>
          <w:b/>
          <w:sz w:val="24"/>
          <w:szCs w:val="24"/>
          <w:lang w:val="en-US"/>
        </w:rPr>
      </w:pPr>
      <w:bookmarkStart w:id="646" w:name="_Toc17611494"/>
      <w:bookmarkStart w:id="647" w:name="_Toc53576116"/>
      <w:r w:rsidRPr="00774EDB">
        <w:rPr>
          <w:rFonts w:ascii="Times New Roman" w:hAnsi="Times New Roman" w:cs="Times New Roman"/>
          <w:b/>
          <w:color w:val="auto"/>
          <w:sz w:val="24"/>
          <w:szCs w:val="24"/>
          <w:lang w:val="en-US"/>
        </w:rPr>
        <w:lastRenderedPageBreak/>
        <w:t>C</w:t>
      </w:r>
      <w:r w:rsidR="00B50DD5" w:rsidRPr="00774EDB">
        <w:rPr>
          <w:rFonts w:ascii="Times New Roman" w:hAnsi="Times New Roman" w:cs="Times New Roman"/>
          <w:b/>
          <w:color w:val="auto"/>
          <w:sz w:val="24"/>
          <w:szCs w:val="24"/>
          <w:lang w:val="en-US"/>
        </w:rPr>
        <w:t>onclusion</w:t>
      </w:r>
      <w:r w:rsidR="007C736B" w:rsidRPr="00774EDB">
        <w:rPr>
          <w:rFonts w:ascii="Times New Roman" w:hAnsi="Times New Roman" w:cs="Times New Roman"/>
          <w:b/>
          <w:color w:val="auto"/>
          <w:sz w:val="24"/>
          <w:szCs w:val="24"/>
          <w:lang w:val="en-US"/>
        </w:rPr>
        <w:t xml:space="preserve">: Building up the </w:t>
      </w:r>
      <w:r w:rsidR="00781BB7" w:rsidRPr="00774EDB">
        <w:rPr>
          <w:rFonts w:ascii="Times New Roman" w:hAnsi="Times New Roman" w:cs="Times New Roman"/>
          <w:b/>
          <w:color w:val="auto"/>
          <w:sz w:val="24"/>
          <w:szCs w:val="24"/>
          <w:lang w:val="en-US"/>
        </w:rPr>
        <w:t xml:space="preserve">appropriate </w:t>
      </w:r>
      <w:r w:rsidR="007C736B" w:rsidRPr="00774EDB">
        <w:rPr>
          <w:rFonts w:ascii="Times New Roman" w:hAnsi="Times New Roman" w:cs="Times New Roman"/>
          <w:b/>
          <w:color w:val="auto"/>
          <w:sz w:val="24"/>
          <w:szCs w:val="24"/>
          <w:lang w:val="en-US"/>
        </w:rPr>
        <w:t>policy approach and regulatory model</w:t>
      </w:r>
      <w:bookmarkEnd w:id="646"/>
      <w:bookmarkEnd w:id="647"/>
      <w:r w:rsidR="00C376B9" w:rsidRPr="00774EDB">
        <w:rPr>
          <w:rFonts w:ascii="Times New Roman" w:hAnsi="Times New Roman" w:cs="Times New Roman"/>
          <w:b/>
          <w:color w:val="auto"/>
          <w:sz w:val="24"/>
          <w:szCs w:val="24"/>
          <w:lang w:val="en-US"/>
        </w:rPr>
        <w:t xml:space="preserve"> </w:t>
      </w:r>
    </w:p>
    <w:p w14:paraId="7C743B98" w14:textId="77777777" w:rsidR="000B5DF2" w:rsidRPr="00774EDB" w:rsidRDefault="00D223E7" w:rsidP="00A70042">
      <w:pPr>
        <w:pStyle w:val="Heading2"/>
        <w:numPr>
          <w:ilvl w:val="1"/>
          <w:numId w:val="33"/>
        </w:numPr>
        <w:tabs>
          <w:tab w:val="left" w:pos="567"/>
        </w:tabs>
        <w:spacing w:before="360"/>
        <w:ind w:left="0" w:firstLine="0"/>
        <w:jc w:val="both"/>
        <w:rPr>
          <w:rFonts w:ascii="Times New Roman" w:hAnsi="Times New Roman" w:cs="Times New Roman"/>
          <w:b/>
          <w:color w:val="auto"/>
          <w:sz w:val="24"/>
          <w:szCs w:val="24"/>
        </w:rPr>
      </w:pPr>
      <w:bookmarkStart w:id="648" w:name="_Toc17611495"/>
      <w:bookmarkStart w:id="649" w:name="_Toc17611712"/>
      <w:bookmarkStart w:id="650" w:name="_Toc17611924"/>
      <w:bookmarkStart w:id="651" w:name="_Toc17612138"/>
      <w:bookmarkStart w:id="652" w:name="_Toc17612351"/>
      <w:bookmarkStart w:id="653" w:name="_Toc17611496"/>
      <w:bookmarkStart w:id="654" w:name="_Toc53576117"/>
      <w:bookmarkEnd w:id="648"/>
      <w:bookmarkEnd w:id="649"/>
      <w:bookmarkEnd w:id="650"/>
      <w:bookmarkEnd w:id="651"/>
      <w:bookmarkEnd w:id="652"/>
      <w:r w:rsidRPr="00774EDB">
        <w:rPr>
          <w:rFonts w:ascii="Times New Roman" w:hAnsi="Times New Roman" w:cs="Times New Roman"/>
          <w:b/>
          <w:color w:val="auto"/>
          <w:sz w:val="24"/>
          <w:szCs w:val="24"/>
        </w:rPr>
        <w:t xml:space="preserve">Summary of </w:t>
      </w:r>
      <w:r w:rsidR="000B5DF2" w:rsidRPr="00774EDB">
        <w:rPr>
          <w:rFonts w:ascii="Times New Roman" w:hAnsi="Times New Roman" w:cs="Times New Roman"/>
          <w:b/>
          <w:color w:val="auto"/>
          <w:sz w:val="24"/>
          <w:szCs w:val="24"/>
        </w:rPr>
        <w:t xml:space="preserve">the </w:t>
      </w:r>
      <w:r w:rsidRPr="00774EDB">
        <w:rPr>
          <w:rFonts w:ascii="Times New Roman" w:hAnsi="Times New Roman" w:cs="Times New Roman"/>
          <w:b/>
          <w:color w:val="auto"/>
          <w:sz w:val="24"/>
          <w:szCs w:val="24"/>
        </w:rPr>
        <w:t>findings</w:t>
      </w:r>
      <w:bookmarkEnd w:id="653"/>
      <w:bookmarkEnd w:id="654"/>
    </w:p>
    <w:p w14:paraId="523E387F" w14:textId="77777777" w:rsidR="00D223E7" w:rsidRPr="00774EDB" w:rsidRDefault="000B5DF2" w:rsidP="00A70042">
      <w:pPr>
        <w:pStyle w:val="Heading3"/>
        <w:numPr>
          <w:ilvl w:val="2"/>
          <w:numId w:val="33"/>
        </w:numPr>
        <w:spacing w:before="360"/>
        <w:ind w:left="0" w:firstLine="0"/>
        <w:jc w:val="both"/>
        <w:rPr>
          <w:rFonts w:ascii="Times New Roman" w:hAnsi="Times New Roman" w:cs="Times New Roman"/>
          <w:b/>
        </w:rPr>
      </w:pPr>
      <w:bookmarkStart w:id="655" w:name="_Toc17611497"/>
      <w:bookmarkStart w:id="656" w:name="_Toc17611714"/>
      <w:bookmarkStart w:id="657" w:name="_Toc17611926"/>
      <w:bookmarkStart w:id="658" w:name="_Toc17612140"/>
      <w:bookmarkStart w:id="659" w:name="_Toc17612353"/>
      <w:bookmarkStart w:id="660" w:name="_Toc17611498"/>
      <w:bookmarkStart w:id="661" w:name="_Toc53576118"/>
      <w:bookmarkEnd w:id="655"/>
      <w:bookmarkEnd w:id="656"/>
      <w:bookmarkEnd w:id="657"/>
      <w:bookmarkEnd w:id="658"/>
      <w:bookmarkEnd w:id="659"/>
      <w:r w:rsidRPr="00774EDB">
        <w:rPr>
          <w:rFonts w:ascii="Times New Roman" w:hAnsi="Times New Roman" w:cs="Times New Roman"/>
          <w:b/>
          <w:color w:val="auto"/>
        </w:rPr>
        <w:t>Assessment of the</w:t>
      </w:r>
      <w:r w:rsidR="00424818" w:rsidRPr="00774EDB">
        <w:rPr>
          <w:rFonts w:ascii="Times New Roman" w:hAnsi="Times New Roman" w:cs="Times New Roman"/>
          <w:b/>
          <w:color w:val="auto"/>
        </w:rPr>
        <w:t xml:space="preserve"> EU legal framework</w:t>
      </w:r>
      <w:bookmarkEnd w:id="660"/>
      <w:bookmarkEnd w:id="661"/>
    </w:p>
    <w:p w14:paraId="7ACC6416" w14:textId="77777777" w:rsidR="007C027F" w:rsidRPr="00774EDB" w:rsidRDefault="001556A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Interoperability is crucial for running ICT networks and services. It constitutes one of the threads for meeting the ICT-inclusive needs of society. It is remarkable that all the relevant disciplines i.e. IPR, competition and sector-specific rules in EU law have adopted interoperability-centric principles, although each body of law has distinctive goals, principles and instruments. Interoperability is attributed significant meanings and roles under these legal disciplines, albeit with different results and implications.</w:t>
      </w:r>
    </w:p>
    <w:p w14:paraId="4485B34B" w14:textId="1DD00BF6" w:rsidR="008E1612" w:rsidRPr="00774EDB" w:rsidRDefault="001556A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the IPR point of view, the debate revolves around whether and to what extent interoperability between the software systems needs to be considered as an exemption to the protected subject matter at stake. For instance, whether the interfaces of ICT services and products that are distributed in object codes should be covered by copyright protection is currently the most debated question in the copyright context. With regards to not only the copyrights, but also the patents, trade</w:t>
      </w:r>
      <w:r w:rsidR="00907287">
        <w:rPr>
          <w:rFonts w:ascii="Times New Roman" w:hAnsi="Times New Roman" w:cs="Times New Roman"/>
          <w:sz w:val="24"/>
          <w:szCs w:val="24"/>
        </w:rPr>
        <w:t xml:space="preserve"> secret</w:t>
      </w:r>
      <w:r w:rsidRPr="00774EDB">
        <w:rPr>
          <w:rFonts w:ascii="Times New Roman" w:hAnsi="Times New Roman" w:cs="Times New Roman"/>
          <w:sz w:val="24"/>
          <w:szCs w:val="24"/>
        </w:rPr>
        <w:t xml:space="preserve">s and database rights underlying the ICTs, it is not unequivocally set out </w:t>
      </w:r>
      <w:r w:rsidR="00E002FB">
        <w:rPr>
          <w:rFonts w:ascii="Times New Roman" w:hAnsi="Times New Roman" w:cs="Times New Roman"/>
          <w:sz w:val="24"/>
          <w:szCs w:val="24"/>
        </w:rPr>
        <w:t xml:space="preserve">under the EU law </w:t>
      </w:r>
      <w:r w:rsidRPr="00774EDB">
        <w:rPr>
          <w:rFonts w:ascii="Times New Roman" w:hAnsi="Times New Roman" w:cs="Times New Roman"/>
          <w:sz w:val="24"/>
          <w:szCs w:val="24"/>
        </w:rPr>
        <w:t xml:space="preserve">as to </w:t>
      </w:r>
      <w:r w:rsidR="00E002FB">
        <w:rPr>
          <w:rFonts w:ascii="Times New Roman" w:hAnsi="Times New Roman" w:cs="Times New Roman"/>
          <w:sz w:val="24"/>
          <w:szCs w:val="24"/>
        </w:rPr>
        <w:t xml:space="preserve">the extent to </w:t>
      </w:r>
      <w:r w:rsidRPr="00774EDB">
        <w:rPr>
          <w:rFonts w:ascii="Times New Roman" w:hAnsi="Times New Roman" w:cs="Times New Roman"/>
          <w:sz w:val="24"/>
          <w:szCs w:val="24"/>
        </w:rPr>
        <w:t>what interoperability is warranted as a</w:t>
      </w:r>
      <w:r w:rsidR="004C2B02">
        <w:rPr>
          <w:rFonts w:ascii="Times New Roman" w:hAnsi="Times New Roman" w:cs="Times New Roman"/>
          <w:sz w:val="24"/>
          <w:szCs w:val="24"/>
        </w:rPr>
        <w:t xml:space="preserve"> secure ground or given</w:t>
      </w:r>
      <w:r w:rsidRPr="00774EDB">
        <w:rPr>
          <w:rFonts w:ascii="Times New Roman" w:hAnsi="Times New Roman" w:cs="Times New Roman"/>
          <w:sz w:val="24"/>
          <w:szCs w:val="24"/>
        </w:rPr>
        <w:t xml:space="preserve"> </w:t>
      </w:r>
      <w:r w:rsidR="00E35076">
        <w:rPr>
          <w:rFonts w:ascii="Times New Roman" w:hAnsi="Times New Roman" w:cs="Times New Roman"/>
          <w:sz w:val="24"/>
          <w:szCs w:val="24"/>
        </w:rPr>
        <w:t>right</w:t>
      </w:r>
      <w:r w:rsidRPr="00774EDB">
        <w:rPr>
          <w:rFonts w:ascii="Times New Roman" w:hAnsi="Times New Roman" w:cs="Times New Roman"/>
          <w:sz w:val="24"/>
          <w:szCs w:val="24"/>
        </w:rPr>
        <w:t xml:space="preserve"> for </w:t>
      </w:r>
      <w:r w:rsidR="00E35076">
        <w:rPr>
          <w:rFonts w:ascii="Times New Roman" w:hAnsi="Times New Roman" w:cs="Times New Roman"/>
          <w:sz w:val="24"/>
          <w:szCs w:val="24"/>
        </w:rPr>
        <w:t xml:space="preserve">the </w:t>
      </w:r>
      <w:r w:rsidRPr="00774EDB">
        <w:rPr>
          <w:rFonts w:ascii="Times New Roman" w:hAnsi="Times New Roman" w:cs="Times New Roman"/>
          <w:sz w:val="24"/>
          <w:szCs w:val="24"/>
        </w:rPr>
        <w:t>third-party access seekers.</w:t>
      </w:r>
    </w:p>
    <w:p w14:paraId="1380B901" w14:textId="5CB2F050" w:rsidR="00AB6A5B" w:rsidRPr="00774EDB" w:rsidRDefault="001556A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The unclear boundaries of interoperability-based ex</w:t>
      </w:r>
      <w:r w:rsidR="00E35076">
        <w:rPr>
          <w:rFonts w:ascii="Times New Roman" w:hAnsi="Times New Roman" w:cs="Times New Roman"/>
          <w:sz w:val="24"/>
          <w:szCs w:val="24"/>
        </w:rPr>
        <w:t>c</w:t>
      </w:r>
      <w:r w:rsidRPr="00774EDB">
        <w:rPr>
          <w:rFonts w:ascii="Times New Roman" w:hAnsi="Times New Roman" w:cs="Times New Roman"/>
          <w:sz w:val="24"/>
          <w:szCs w:val="24"/>
        </w:rPr>
        <w:t>eption</w:t>
      </w:r>
      <w:r w:rsidR="00E35076">
        <w:rPr>
          <w:rFonts w:ascii="Times New Roman" w:hAnsi="Times New Roman" w:cs="Times New Roman"/>
          <w:sz w:val="24"/>
          <w:szCs w:val="24"/>
        </w:rPr>
        <w:t>al right</w:t>
      </w:r>
      <w:r w:rsidRPr="00774EDB">
        <w:rPr>
          <w:rFonts w:ascii="Times New Roman" w:hAnsi="Times New Roman" w:cs="Times New Roman"/>
          <w:sz w:val="24"/>
          <w:szCs w:val="24"/>
        </w:rPr>
        <w:t xml:space="preserve">s is a common concern in the academic scholarship, as over-protection of IPRs incorporating the interfaces is acknowledged to result in unpredictable or disproportionate impacts </w:t>
      </w:r>
      <w:r w:rsidR="00605033">
        <w:rPr>
          <w:rFonts w:ascii="Times New Roman" w:hAnsi="Times New Roman" w:cs="Times New Roman"/>
          <w:sz w:val="24"/>
          <w:szCs w:val="24"/>
        </w:rPr>
        <w:lastRenderedPageBreak/>
        <w:t xml:space="preserve">regarding </w:t>
      </w:r>
      <w:r w:rsidRPr="00774EDB">
        <w:rPr>
          <w:rFonts w:ascii="Times New Roman" w:hAnsi="Times New Roman" w:cs="Times New Roman"/>
          <w:sz w:val="24"/>
          <w:szCs w:val="24"/>
        </w:rPr>
        <w:t xml:space="preserve">new entries </w:t>
      </w:r>
      <w:r w:rsidR="00605033">
        <w:rPr>
          <w:rFonts w:ascii="Times New Roman" w:hAnsi="Times New Roman" w:cs="Times New Roman"/>
          <w:sz w:val="24"/>
          <w:szCs w:val="24"/>
        </w:rPr>
        <w:t xml:space="preserve">to the marketplace, </w:t>
      </w:r>
      <w:r w:rsidRPr="00774EDB">
        <w:rPr>
          <w:rFonts w:ascii="Times New Roman" w:hAnsi="Times New Roman" w:cs="Times New Roman"/>
          <w:sz w:val="24"/>
          <w:szCs w:val="24"/>
        </w:rPr>
        <w:t xml:space="preserve">innovation </w:t>
      </w:r>
      <w:r w:rsidR="00605033">
        <w:rPr>
          <w:rFonts w:ascii="Times New Roman" w:hAnsi="Times New Roman" w:cs="Times New Roman"/>
          <w:sz w:val="24"/>
          <w:szCs w:val="24"/>
        </w:rPr>
        <w:t>and information flows</w:t>
      </w:r>
      <w:r w:rsidRPr="00774EDB">
        <w:rPr>
          <w:rFonts w:ascii="Times New Roman" w:hAnsi="Times New Roman" w:cs="Times New Roman"/>
          <w:sz w:val="24"/>
          <w:szCs w:val="24"/>
        </w:rPr>
        <w:t xml:space="preserve">. </w:t>
      </w:r>
      <w:r w:rsidR="00605033">
        <w:rPr>
          <w:rFonts w:ascii="Times New Roman" w:hAnsi="Times New Roman" w:cs="Times New Roman"/>
          <w:sz w:val="24"/>
          <w:szCs w:val="24"/>
        </w:rPr>
        <w:t>In practice</w:t>
      </w:r>
      <w:r w:rsidRPr="00774EDB">
        <w:rPr>
          <w:rFonts w:ascii="Times New Roman" w:hAnsi="Times New Roman" w:cs="Times New Roman"/>
          <w:sz w:val="24"/>
          <w:szCs w:val="24"/>
        </w:rPr>
        <w:t xml:space="preserve">, IPRs are spread across the ICTs, </w:t>
      </w:r>
      <w:r w:rsidR="00955492">
        <w:rPr>
          <w:rFonts w:ascii="Times New Roman" w:hAnsi="Times New Roman" w:cs="Times New Roman"/>
          <w:sz w:val="24"/>
          <w:szCs w:val="24"/>
        </w:rPr>
        <w:t xml:space="preserve">with a view to </w:t>
      </w:r>
      <w:r w:rsidRPr="00774EDB">
        <w:rPr>
          <w:rFonts w:ascii="Times New Roman" w:hAnsi="Times New Roman" w:cs="Times New Roman"/>
          <w:sz w:val="24"/>
          <w:szCs w:val="24"/>
        </w:rPr>
        <w:t>create a shield against third-party access to the underlying software, including the interface specifications. This situation however aggravates the concerns based on the vendor lock-in, particularly when the rights holder has a dominant position in the relevant market(s) and is able to heighten the switching costs for the consumers and prevent third parties from creating derivative products.</w:t>
      </w:r>
      <w:r w:rsidR="00AB6A5B" w:rsidRPr="00774EDB">
        <w:rPr>
          <w:rFonts w:ascii="Times New Roman" w:hAnsi="Times New Roman" w:cs="Times New Roman"/>
          <w:sz w:val="24"/>
          <w:szCs w:val="24"/>
        </w:rPr>
        <w:t xml:space="preserve"> </w:t>
      </w:r>
      <w:r w:rsidR="00605033">
        <w:rPr>
          <w:rFonts w:ascii="Times New Roman" w:hAnsi="Times New Roman" w:cs="Times New Roman"/>
          <w:sz w:val="24"/>
          <w:szCs w:val="24"/>
        </w:rPr>
        <w:t xml:space="preserve">These concerns go beyond the </w:t>
      </w:r>
      <w:r w:rsidR="00824BA7">
        <w:rPr>
          <w:rFonts w:ascii="Times New Roman" w:hAnsi="Times New Roman" w:cs="Times New Roman"/>
          <w:sz w:val="24"/>
          <w:szCs w:val="24"/>
        </w:rPr>
        <w:t xml:space="preserve">permissibility of interoperability for </w:t>
      </w:r>
      <w:r w:rsidR="00605033">
        <w:rPr>
          <w:rFonts w:ascii="Times New Roman" w:hAnsi="Times New Roman" w:cs="Times New Roman"/>
          <w:sz w:val="24"/>
          <w:szCs w:val="24"/>
        </w:rPr>
        <w:t>ICT products and services i.e. software and hardware</w:t>
      </w:r>
      <w:r w:rsidR="00824BA7">
        <w:rPr>
          <w:rFonts w:ascii="Times New Roman" w:hAnsi="Times New Roman" w:cs="Times New Roman"/>
          <w:sz w:val="24"/>
          <w:szCs w:val="24"/>
        </w:rPr>
        <w:t>,</w:t>
      </w:r>
      <w:r w:rsidR="00605033">
        <w:rPr>
          <w:rFonts w:ascii="Times New Roman" w:hAnsi="Times New Roman" w:cs="Times New Roman"/>
          <w:sz w:val="24"/>
          <w:szCs w:val="24"/>
        </w:rPr>
        <w:t xml:space="preserve"> and reach out to the informational </w:t>
      </w:r>
      <w:r w:rsidR="00824BA7">
        <w:rPr>
          <w:rFonts w:ascii="Times New Roman" w:hAnsi="Times New Roman" w:cs="Times New Roman"/>
          <w:sz w:val="24"/>
          <w:szCs w:val="24"/>
        </w:rPr>
        <w:t>barriers</w:t>
      </w:r>
      <w:r w:rsidR="00605033">
        <w:rPr>
          <w:rFonts w:ascii="Times New Roman" w:hAnsi="Times New Roman" w:cs="Times New Roman"/>
          <w:sz w:val="24"/>
          <w:szCs w:val="24"/>
        </w:rPr>
        <w:t xml:space="preserve"> and </w:t>
      </w:r>
      <w:r w:rsidR="00227386">
        <w:rPr>
          <w:rFonts w:ascii="Times New Roman" w:hAnsi="Times New Roman" w:cs="Times New Roman"/>
          <w:sz w:val="24"/>
          <w:szCs w:val="24"/>
        </w:rPr>
        <w:t xml:space="preserve">cultural productions, and </w:t>
      </w:r>
      <w:r w:rsidR="00DB7702">
        <w:rPr>
          <w:rFonts w:ascii="Times New Roman" w:hAnsi="Times New Roman" w:cs="Times New Roman"/>
          <w:sz w:val="24"/>
          <w:szCs w:val="24"/>
        </w:rPr>
        <w:t>ultimately to</w:t>
      </w:r>
      <w:r w:rsidR="00605033">
        <w:rPr>
          <w:rFonts w:ascii="Times New Roman" w:hAnsi="Times New Roman" w:cs="Times New Roman"/>
          <w:sz w:val="24"/>
          <w:szCs w:val="24"/>
        </w:rPr>
        <w:t xml:space="preserve"> participatory democracy.</w:t>
      </w:r>
      <w:r w:rsidR="00227386">
        <w:rPr>
          <w:rStyle w:val="FootnoteReference"/>
          <w:rFonts w:ascii="Times New Roman" w:hAnsi="Times New Roman" w:cs="Times New Roman"/>
          <w:sz w:val="24"/>
          <w:szCs w:val="24"/>
        </w:rPr>
        <w:footnoteReference w:id="841"/>
      </w:r>
      <w:r w:rsidR="00605033">
        <w:rPr>
          <w:rFonts w:ascii="Times New Roman" w:hAnsi="Times New Roman" w:cs="Times New Roman"/>
          <w:sz w:val="24"/>
          <w:szCs w:val="24"/>
        </w:rPr>
        <w:t xml:space="preserve"> </w:t>
      </w:r>
    </w:p>
    <w:p w14:paraId="25E94EC7" w14:textId="77777777" w:rsidR="002F4972" w:rsidRDefault="001556A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As the IPR-based rules are not designed to and primarily aimed at, dealing with lock-in and accompanying anti-competitive conducts, EU policy makers have thus far preferred to invoke competition law in the relevant cases. Not only technologically, but also on the contractual basis, the possibility of customers being locked into a dominant product is usually not welcomed by the EU competition rules, which are designed to keep the markets effectively competitive and to increase consumer welfare.</w:t>
      </w:r>
    </w:p>
    <w:p w14:paraId="3ACD5093" w14:textId="25AF0CAA" w:rsidR="00CC04C3" w:rsidRPr="00774EDB" w:rsidRDefault="001556A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Even in the markets which are subject to sector-specific </w:t>
      </w:r>
      <w:r w:rsidR="006868B3" w:rsidRPr="00774EDB">
        <w:rPr>
          <w:rFonts w:ascii="Times New Roman" w:hAnsi="Times New Roman" w:cs="Times New Roman"/>
          <w:sz w:val="24"/>
          <w:szCs w:val="24"/>
        </w:rPr>
        <w:t xml:space="preserve">or IPR-based </w:t>
      </w:r>
      <w:r w:rsidRPr="00774EDB">
        <w:rPr>
          <w:rFonts w:ascii="Times New Roman" w:hAnsi="Times New Roman" w:cs="Times New Roman"/>
          <w:sz w:val="24"/>
          <w:szCs w:val="24"/>
        </w:rPr>
        <w:t xml:space="preserve">measures i.e. copyright exemptions based on reverse engineering, EU competition law rules have an overriding effect and applicability should a breach of competition rules take place. Being not limited to the software-to-software compatibility, any market failure that needs to be solved across concentrative actions e.g. </w:t>
      </w:r>
      <w:r w:rsidR="002F4972">
        <w:rPr>
          <w:rFonts w:ascii="Times New Roman" w:hAnsi="Times New Roman" w:cs="Times New Roman"/>
          <w:sz w:val="24"/>
          <w:szCs w:val="24"/>
        </w:rPr>
        <w:t>M&amp;As</w:t>
      </w:r>
      <w:r w:rsidRPr="00774EDB">
        <w:rPr>
          <w:rFonts w:ascii="Times New Roman" w:hAnsi="Times New Roman" w:cs="Times New Roman"/>
          <w:sz w:val="24"/>
          <w:szCs w:val="24"/>
        </w:rPr>
        <w:t xml:space="preserve"> and joint ventures, </w:t>
      </w:r>
      <w:r w:rsidRPr="00774EDB">
        <w:rPr>
          <w:rFonts w:ascii="Times New Roman" w:hAnsi="Times New Roman" w:cs="Times New Roman"/>
          <w:sz w:val="24"/>
          <w:szCs w:val="24"/>
        </w:rPr>
        <w:lastRenderedPageBreak/>
        <w:t>coordinative undertakings e.g. agreements and concerted actions, and unilateral behaviours e.g. abuse of dominance, falls within the scope of EU competition law.</w:t>
      </w:r>
    </w:p>
    <w:p w14:paraId="1226D7D0" w14:textId="165FC0D3" w:rsidR="002B3112" w:rsidRPr="00774EDB" w:rsidRDefault="006868B3"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Notwithstanding, EU competition law rules and remedies reveal several shortcomings, which need to be underlined. Firstly, high thresholds e.g. dominant position and uneven pre-requisites e.g. exceptional circumstances, are sought for the implementation of EU competition law. Secondly, while EU case law lays out a firm policy in favour of interoperability and effective competition, the enforcement procedures entail a lengthy process to be confronted by the related parties. The </w:t>
      </w:r>
      <w:r w:rsidRPr="00774EDB">
        <w:rPr>
          <w:rFonts w:ascii="Times New Roman" w:hAnsi="Times New Roman" w:cs="Times New Roman"/>
          <w:i/>
          <w:sz w:val="24"/>
          <w:szCs w:val="24"/>
        </w:rPr>
        <w:t>Microsoft</w:t>
      </w:r>
      <w:r w:rsidRPr="00774EDB">
        <w:rPr>
          <w:rFonts w:ascii="Times New Roman" w:hAnsi="Times New Roman" w:cs="Times New Roman"/>
          <w:sz w:val="24"/>
          <w:szCs w:val="24"/>
        </w:rPr>
        <w:t xml:space="preserve"> case illustrates such an unbearably long process of enforcement, which lasted for nearly a decade subsequent to the Commission’s decision.</w:t>
      </w:r>
      <w:r w:rsidRPr="00774EDB">
        <w:rPr>
          <w:rStyle w:val="FootnoteReference"/>
          <w:rFonts w:ascii="Times New Roman" w:hAnsi="Times New Roman" w:cs="Times New Roman"/>
          <w:sz w:val="24"/>
          <w:szCs w:val="24"/>
        </w:rPr>
        <w:footnoteReference w:id="842"/>
      </w:r>
      <w:r w:rsidRPr="00774EDB">
        <w:rPr>
          <w:rFonts w:ascii="Times New Roman" w:hAnsi="Times New Roman" w:cs="Times New Roman"/>
          <w:sz w:val="24"/>
          <w:szCs w:val="24"/>
        </w:rPr>
        <w:t xml:space="preserve"> While able to produce an interoperability-enabling and competitive result, such a lengthy process would not be sustainable, particularly in view of the deprived societal benefits, would-be closed market(s) and </w:t>
      </w:r>
      <w:r w:rsidR="000F2DC5" w:rsidRPr="00774EDB">
        <w:rPr>
          <w:rFonts w:ascii="Times New Roman" w:hAnsi="Times New Roman" w:cs="Times New Roman"/>
          <w:sz w:val="24"/>
          <w:szCs w:val="24"/>
        </w:rPr>
        <w:t xml:space="preserve">further implications </w:t>
      </w:r>
      <w:r w:rsidR="00751D62">
        <w:rPr>
          <w:rFonts w:ascii="Times New Roman" w:hAnsi="Times New Roman" w:cs="Times New Roman"/>
          <w:sz w:val="24"/>
          <w:szCs w:val="24"/>
        </w:rPr>
        <w:t xml:space="preserve">based on the </w:t>
      </w:r>
      <w:r w:rsidR="00DB7702">
        <w:rPr>
          <w:rFonts w:ascii="Times New Roman" w:hAnsi="Times New Roman" w:cs="Times New Roman"/>
          <w:sz w:val="24"/>
          <w:szCs w:val="24"/>
        </w:rPr>
        <w:t>affected information flows</w:t>
      </w:r>
      <w:r w:rsidRPr="00774EDB">
        <w:rPr>
          <w:rFonts w:ascii="Times New Roman" w:hAnsi="Times New Roman" w:cs="Times New Roman"/>
          <w:sz w:val="24"/>
          <w:szCs w:val="24"/>
        </w:rPr>
        <w:t xml:space="preserve">. </w:t>
      </w:r>
      <w:r w:rsidR="00123CC2" w:rsidRPr="00774EDB">
        <w:rPr>
          <w:rFonts w:ascii="Times New Roman" w:hAnsi="Times New Roman" w:cs="Times New Roman"/>
          <w:sz w:val="24"/>
          <w:szCs w:val="24"/>
        </w:rPr>
        <w:t xml:space="preserve"> </w:t>
      </w:r>
    </w:p>
    <w:p w14:paraId="540FDAC5" w14:textId="1425010C" w:rsidR="00DF46AD" w:rsidRPr="00774EDB" w:rsidRDefault="0088268A"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Against this background regarding the limitations of EU IPR and competition law rules, the ECRF needs to be fleshed out as another source of law for enabling ICT interoperability. The ECRF means a regulatory framework under which interoperability is featured as a core value and a principle, particularly </w:t>
      </w:r>
      <w:r w:rsidR="008D5A18">
        <w:rPr>
          <w:rFonts w:ascii="Times New Roman" w:hAnsi="Times New Roman" w:cs="Times New Roman"/>
          <w:sz w:val="24"/>
          <w:szCs w:val="24"/>
        </w:rPr>
        <w:t>to ensure</w:t>
      </w:r>
      <w:r w:rsidRPr="00774EDB">
        <w:rPr>
          <w:rFonts w:ascii="Times New Roman" w:hAnsi="Times New Roman" w:cs="Times New Roman"/>
          <w:sz w:val="24"/>
          <w:szCs w:val="24"/>
        </w:rPr>
        <w:t xml:space="preserve"> end-to-end connectivity. Ex-ante tools of the ECRF partially respond to the problems unsolved by the EU competition rules, sometimes going beyond the ‘consumer welfare’ standard by not seeking a likely consumer harm and protecting the consumers regardless of the demand and supply parameters in the marketplace. While interoperability is </w:t>
      </w:r>
      <w:r w:rsidR="001659B7" w:rsidRPr="00774EDB">
        <w:rPr>
          <w:rFonts w:ascii="Times New Roman" w:hAnsi="Times New Roman" w:cs="Times New Roman"/>
          <w:sz w:val="24"/>
          <w:szCs w:val="24"/>
        </w:rPr>
        <w:t xml:space="preserve">also </w:t>
      </w:r>
      <w:r w:rsidRPr="00774EDB">
        <w:rPr>
          <w:rFonts w:ascii="Times New Roman" w:hAnsi="Times New Roman" w:cs="Times New Roman"/>
          <w:sz w:val="24"/>
          <w:szCs w:val="24"/>
        </w:rPr>
        <w:t xml:space="preserve">covered within the dominance-based rules of the ECRF e.g. the </w:t>
      </w:r>
      <w:r w:rsidRPr="00774EDB">
        <w:rPr>
          <w:rFonts w:ascii="Times New Roman" w:hAnsi="Times New Roman" w:cs="Times New Roman"/>
          <w:sz w:val="24"/>
          <w:szCs w:val="24"/>
        </w:rPr>
        <w:lastRenderedPageBreak/>
        <w:t>SMP regime, this is subordinated to its consumer-oriented and end-to-end connectivity</w:t>
      </w:r>
      <w:r w:rsidR="001659B7" w:rsidRPr="00774EDB">
        <w:rPr>
          <w:rFonts w:ascii="Times New Roman" w:hAnsi="Times New Roman" w:cs="Times New Roman"/>
          <w:sz w:val="24"/>
          <w:szCs w:val="24"/>
        </w:rPr>
        <w:t xml:space="preserve"> </w:t>
      </w:r>
      <w:r w:rsidRPr="00774EDB">
        <w:rPr>
          <w:rFonts w:ascii="Times New Roman" w:hAnsi="Times New Roman" w:cs="Times New Roman"/>
          <w:sz w:val="24"/>
          <w:szCs w:val="24"/>
        </w:rPr>
        <w:t>based approach.</w:t>
      </w:r>
    </w:p>
    <w:p w14:paraId="1D699B2E" w14:textId="6AA5DA23" w:rsidR="009D4C7A" w:rsidRPr="00774EDB" w:rsidRDefault="001659B7"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interconnection policy of the ECRF illustrates this regulatory mind-set. In fact, while the SMP (dominant) players are obliged by the NRAs’ market analyses to provide interconnection e.g. call termination and origination through their networks, similar obligations comprising interoperability might also be imposed on non-SMP players under certain conditions e.g. when end-to-end connectivity is at stake. Likewise, according to the CAS obligation covered by the ECRF, interoperability between the CAS provider and broadcaster needs to be secured when the content transmission is to take place via the former’s conditional access system e.g. set-top box. Considering that consumers’ access to their intended content is crucial for media plurality and cultural diversity, the ECRF mandates access to and interoperability with the underlying technological platforms, without regard to any potential </w:t>
      </w:r>
      <w:r w:rsidR="000614F6" w:rsidRPr="00774EDB">
        <w:rPr>
          <w:rFonts w:ascii="Times New Roman" w:hAnsi="Times New Roman" w:cs="Times New Roman"/>
          <w:sz w:val="24"/>
          <w:szCs w:val="24"/>
        </w:rPr>
        <w:t>competition problem</w:t>
      </w:r>
      <w:r w:rsidRPr="00774EDB">
        <w:rPr>
          <w:rFonts w:ascii="Times New Roman" w:hAnsi="Times New Roman" w:cs="Times New Roman"/>
          <w:sz w:val="24"/>
          <w:szCs w:val="24"/>
        </w:rPr>
        <w:t xml:space="preserve">. Similarly, EU net neutrality regulations comprise all of the ISPs, regardless of their market power or any potential anti-competitive behaviour, considering the ‘gatekeeping’ functionalities </w:t>
      </w:r>
      <w:r w:rsidR="008D5A18">
        <w:rPr>
          <w:rFonts w:ascii="Times New Roman" w:hAnsi="Times New Roman" w:cs="Times New Roman"/>
          <w:sz w:val="24"/>
          <w:szCs w:val="24"/>
        </w:rPr>
        <w:t>that could emerge</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843"/>
      </w:r>
      <w:r w:rsidR="0068369B" w:rsidRPr="00774EDB">
        <w:rPr>
          <w:rFonts w:ascii="Times New Roman" w:hAnsi="Times New Roman" w:cs="Times New Roman"/>
          <w:sz w:val="24"/>
          <w:szCs w:val="24"/>
        </w:rPr>
        <w:t xml:space="preserve"> Having said that</w:t>
      </w:r>
      <w:r w:rsidRPr="00774EDB">
        <w:rPr>
          <w:rFonts w:ascii="Times New Roman" w:hAnsi="Times New Roman" w:cs="Times New Roman"/>
          <w:sz w:val="24"/>
          <w:szCs w:val="24"/>
        </w:rPr>
        <w:t>, although a great many concerns are well responded to within the context of the ECRF, the regulatory tools and instruments in it are of a non-holistic and disaggregated structure.</w:t>
      </w:r>
      <w:r w:rsidR="009D4C7A" w:rsidRPr="00774EDB">
        <w:rPr>
          <w:rFonts w:ascii="Times New Roman" w:hAnsi="Times New Roman" w:cs="Times New Roman"/>
          <w:sz w:val="24"/>
          <w:szCs w:val="24"/>
        </w:rPr>
        <w:t xml:space="preserve"> </w:t>
      </w:r>
    </w:p>
    <w:p w14:paraId="116EC7D5" w14:textId="1A550B24" w:rsidR="00836152" w:rsidRPr="00774EDB" w:rsidRDefault="0068369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Primarily speaking, the ECRF has a legacy aim of removing the monopolies and regulating the infrastructural elements of ICT services. While the broadly designated policy objectives</w:t>
      </w:r>
      <w:r w:rsidRPr="00774EDB">
        <w:rPr>
          <w:rStyle w:val="FootnoteReference"/>
          <w:rFonts w:ascii="Times New Roman" w:hAnsi="Times New Roman" w:cs="Times New Roman"/>
          <w:sz w:val="24"/>
          <w:szCs w:val="24"/>
        </w:rPr>
        <w:footnoteReference w:id="844"/>
      </w:r>
      <w:r w:rsidRPr="00774EDB">
        <w:rPr>
          <w:rFonts w:ascii="Times New Roman" w:hAnsi="Times New Roman" w:cs="Times New Roman"/>
          <w:sz w:val="24"/>
          <w:szCs w:val="24"/>
        </w:rPr>
        <w:t xml:space="preserve"> warrant a wide range of regulatory means, NRAs are bound up with certain boundaries, primarily based on the ‘transmission’ and ‘content’ distinction. Focusing on the former, the ECRF allows NRAs to intervene in not every case of ICTs, but those related to the ECSs and not entailing IP-based data transmission and interconnection, nor covering many upper layer services – apart from certain exceptions e.g. number-based ICSs for consumer-protection reasons. Hence, an access or interoperability problem occurring in the domain of other ICT services than ECSs falls within the remit of EU </w:t>
      </w:r>
      <w:r w:rsidR="000101BB">
        <w:rPr>
          <w:rFonts w:ascii="Times New Roman" w:hAnsi="Times New Roman" w:cs="Times New Roman"/>
          <w:sz w:val="24"/>
          <w:szCs w:val="24"/>
        </w:rPr>
        <w:t>c</w:t>
      </w:r>
      <w:r w:rsidRPr="00774EDB">
        <w:rPr>
          <w:rFonts w:ascii="Times New Roman" w:hAnsi="Times New Roman" w:cs="Times New Roman"/>
          <w:sz w:val="24"/>
          <w:szCs w:val="24"/>
        </w:rPr>
        <w:t xml:space="preserve">ompetition </w:t>
      </w:r>
      <w:r w:rsidR="000101BB">
        <w:rPr>
          <w:rFonts w:ascii="Times New Roman" w:hAnsi="Times New Roman" w:cs="Times New Roman"/>
          <w:sz w:val="24"/>
          <w:szCs w:val="24"/>
        </w:rPr>
        <w:t>l</w:t>
      </w:r>
      <w:r w:rsidRPr="00774EDB">
        <w:rPr>
          <w:rFonts w:ascii="Times New Roman" w:hAnsi="Times New Roman" w:cs="Times New Roman"/>
          <w:sz w:val="24"/>
          <w:szCs w:val="24"/>
        </w:rPr>
        <w:t>aw, but not the ECRF</w:t>
      </w:r>
      <w:r w:rsidR="008D5A18">
        <w:rPr>
          <w:rFonts w:ascii="Times New Roman" w:hAnsi="Times New Roman" w:cs="Times New Roman"/>
          <w:sz w:val="24"/>
          <w:szCs w:val="24"/>
        </w:rPr>
        <w:t>, principally</w:t>
      </w:r>
      <w:r w:rsidRPr="00774EDB">
        <w:rPr>
          <w:rFonts w:ascii="Times New Roman" w:hAnsi="Times New Roman" w:cs="Times New Roman"/>
          <w:sz w:val="24"/>
          <w:szCs w:val="24"/>
        </w:rPr>
        <w:t>.</w:t>
      </w:r>
    </w:p>
    <w:p w14:paraId="0CDBBB4D" w14:textId="3F492DAD" w:rsidR="000B3544" w:rsidRPr="00774EDB" w:rsidRDefault="0068369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At this point, it needs to be emphasized that electronic communications networks and services representing the </w:t>
      </w:r>
      <w:r w:rsidR="00530BEE">
        <w:rPr>
          <w:rFonts w:ascii="Times New Roman" w:hAnsi="Times New Roman" w:cs="Times New Roman"/>
          <w:sz w:val="24"/>
          <w:szCs w:val="24"/>
        </w:rPr>
        <w:t>low</w:t>
      </w:r>
      <w:r w:rsidRPr="00774EDB">
        <w:rPr>
          <w:rFonts w:ascii="Times New Roman" w:hAnsi="Times New Roman" w:cs="Times New Roman"/>
          <w:sz w:val="24"/>
          <w:szCs w:val="24"/>
        </w:rPr>
        <w:t>er layer ICT services, may not be the source of the problem e.g. market failure</w:t>
      </w:r>
      <w:r w:rsidR="008D5A18">
        <w:rPr>
          <w:rFonts w:ascii="Times New Roman" w:hAnsi="Times New Roman" w:cs="Times New Roman"/>
          <w:sz w:val="24"/>
          <w:szCs w:val="24"/>
        </w:rPr>
        <w:t xml:space="preserve"> or informational </w:t>
      </w:r>
      <w:r w:rsidR="00824BA7">
        <w:rPr>
          <w:rFonts w:ascii="Times New Roman" w:hAnsi="Times New Roman" w:cs="Times New Roman"/>
          <w:sz w:val="24"/>
          <w:szCs w:val="24"/>
        </w:rPr>
        <w:t>barrier</w:t>
      </w:r>
      <w:r w:rsidRPr="00774EDB">
        <w:rPr>
          <w:rFonts w:ascii="Times New Roman" w:hAnsi="Times New Roman" w:cs="Times New Roman"/>
          <w:sz w:val="24"/>
          <w:szCs w:val="24"/>
        </w:rPr>
        <w:t xml:space="preserve">, in every case. Other ICT services could equally be the cause of the </w:t>
      </w:r>
      <w:r w:rsidR="00F06589">
        <w:rPr>
          <w:rFonts w:ascii="Times New Roman" w:hAnsi="Times New Roman" w:cs="Times New Roman"/>
          <w:sz w:val="24"/>
          <w:szCs w:val="24"/>
        </w:rPr>
        <w:t>related problems surrounding</w:t>
      </w:r>
      <w:r w:rsidRPr="00774EDB">
        <w:rPr>
          <w:rFonts w:ascii="Times New Roman" w:hAnsi="Times New Roman" w:cs="Times New Roman"/>
          <w:sz w:val="24"/>
          <w:szCs w:val="24"/>
        </w:rPr>
        <w:t xml:space="preserve"> lack</w:t>
      </w:r>
      <w:r w:rsidR="00F06589">
        <w:rPr>
          <w:rFonts w:ascii="Times New Roman" w:hAnsi="Times New Roman" w:cs="Times New Roman"/>
          <w:sz w:val="24"/>
          <w:szCs w:val="24"/>
        </w:rPr>
        <w:t xml:space="preserve"> of</w:t>
      </w:r>
      <w:r w:rsidRPr="00774EDB">
        <w:rPr>
          <w:rFonts w:ascii="Times New Roman" w:hAnsi="Times New Roman" w:cs="Times New Roman"/>
          <w:sz w:val="24"/>
          <w:szCs w:val="24"/>
        </w:rPr>
        <w:t xml:space="preserve"> interoperability. Thus, it is criticisable to leave out some ICT cases following the legacy viewpoint of the ECRF. </w:t>
      </w:r>
    </w:p>
    <w:p w14:paraId="63F93927" w14:textId="6748C956" w:rsidR="000B3544" w:rsidRPr="00774EDB" w:rsidRDefault="000614F6"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lack of interoperability does not automatically pose a threat by itself and all the ICT layers and services do not have to be regulated </w:t>
      </w:r>
      <w:r w:rsidRPr="00774EDB">
        <w:rPr>
          <w:rFonts w:ascii="Times New Roman" w:hAnsi="Times New Roman" w:cs="Times New Roman"/>
          <w:i/>
          <w:sz w:val="24"/>
          <w:szCs w:val="24"/>
        </w:rPr>
        <w:t>a priori</w:t>
      </w:r>
      <w:r w:rsidR="00B36C2A">
        <w:rPr>
          <w:rFonts w:ascii="Times New Roman" w:hAnsi="Times New Roman" w:cs="Times New Roman"/>
          <w:sz w:val="24"/>
          <w:szCs w:val="24"/>
        </w:rPr>
        <w:t>. Nevertheless,</w:t>
      </w:r>
      <w:r w:rsidRPr="00774EDB">
        <w:rPr>
          <w:rFonts w:ascii="Times New Roman" w:hAnsi="Times New Roman" w:cs="Times New Roman"/>
          <w:sz w:val="24"/>
          <w:szCs w:val="24"/>
        </w:rPr>
        <w:t xml:space="preserve"> regulators should be aware of the need to consider all the ICT layers and the interdependencies among </w:t>
      </w:r>
      <w:r w:rsidR="00F06589">
        <w:rPr>
          <w:rFonts w:ascii="Times New Roman" w:hAnsi="Times New Roman" w:cs="Times New Roman"/>
          <w:sz w:val="24"/>
          <w:szCs w:val="24"/>
        </w:rPr>
        <w:t>such layers</w:t>
      </w:r>
      <w:r w:rsidRPr="00774EDB">
        <w:rPr>
          <w:rFonts w:ascii="Times New Roman" w:hAnsi="Times New Roman" w:cs="Times New Roman"/>
          <w:sz w:val="24"/>
          <w:szCs w:val="24"/>
        </w:rPr>
        <w:t>. While the interdependencies across the layers, particularly in an ecosystem environment, might reduce or eliminate the need to regulate interoperability,</w:t>
      </w:r>
      <w:r w:rsidRPr="00774EDB">
        <w:rPr>
          <w:rStyle w:val="FootnoteReference"/>
          <w:rFonts w:ascii="Times New Roman" w:hAnsi="Times New Roman" w:cs="Times New Roman"/>
          <w:sz w:val="24"/>
          <w:szCs w:val="24"/>
        </w:rPr>
        <w:footnoteReference w:id="845"/>
      </w:r>
      <w:r w:rsidRPr="00774EDB">
        <w:rPr>
          <w:rFonts w:ascii="Times New Roman" w:hAnsi="Times New Roman" w:cs="Times New Roman"/>
          <w:sz w:val="24"/>
          <w:szCs w:val="24"/>
        </w:rPr>
        <w:t xml:space="preserve"> the </w:t>
      </w:r>
      <w:r w:rsidR="00F06589">
        <w:rPr>
          <w:rFonts w:ascii="Times New Roman" w:hAnsi="Times New Roman" w:cs="Times New Roman"/>
          <w:sz w:val="24"/>
          <w:szCs w:val="24"/>
        </w:rPr>
        <w:t xml:space="preserve">legacy </w:t>
      </w:r>
      <w:r w:rsidRPr="00774EDB">
        <w:rPr>
          <w:rFonts w:ascii="Times New Roman" w:hAnsi="Times New Roman" w:cs="Times New Roman"/>
          <w:sz w:val="24"/>
          <w:szCs w:val="24"/>
        </w:rPr>
        <w:t xml:space="preserve">mind-set and remit </w:t>
      </w:r>
      <w:r w:rsidR="00F06589">
        <w:rPr>
          <w:rFonts w:ascii="Times New Roman" w:hAnsi="Times New Roman" w:cs="Times New Roman"/>
          <w:sz w:val="24"/>
          <w:szCs w:val="24"/>
        </w:rPr>
        <w:t xml:space="preserve">of the regulations i.e. ECRF </w:t>
      </w:r>
      <w:r w:rsidRPr="00774EDB">
        <w:rPr>
          <w:rFonts w:ascii="Times New Roman" w:hAnsi="Times New Roman" w:cs="Times New Roman"/>
          <w:sz w:val="24"/>
          <w:szCs w:val="24"/>
        </w:rPr>
        <w:t xml:space="preserve">needs to </w:t>
      </w:r>
      <w:r w:rsidRPr="00774EDB">
        <w:rPr>
          <w:rFonts w:ascii="Times New Roman" w:hAnsi="Times New Roman" w:cs="Times New Roman"/>
          <w:sz w:val="24"/>
          <w:szCs w:val="24"/>
        </w:rPr>
        <w:lastRenderedPageBreak/>
        <w:t xml:space="preserve">be checked out in any case. Before elaborating the possible ways to revise this remit and concerning how to advance an appropriate regulatory model, findings from the case studies firstly need to be taken into consideration. </w:t>
      </w:r>
      <w:r w:rsidR="00FD2F1B" w:rsidRPr="00774EDB">
        <w:rPr>
          <w:rFonts w:ascii="Times New Roman" w:hAnsi="Times New Roman" w:cs="Times New Roman"/>
          <w:sz w:val="24"/>
          <w:szCs w:val="24"/>
        </w:rPr>
        <w:t xml:space="preserve"> </w:t>
      </w:r>
    </w:p>
    <w:p w14:paraId="3EA16B65" w14:textId="77777777" w:rsidR="005E49CF" w:rsidRPr="00774EDB" w:rsidRDefault="00424818" w:rsidP="00A70042">
      <w:pPr>
        <w:pStyle w:val="Heading3"/>
        <w:numPr>
          <w:ilvl w:val="2"/>
          <w:numId w:val="33"/>
        </w:numPr>
        <w:spacing w:before="360"/>
        <w:ind w:left="0" w:firstLine="0"/>
        <w:jc w:val="both"/>
        <w:rPr>
          <w:rFonts w:ascii="Times New Roman" w:hAnsi="Times New Roman" w:cs="Times New Roman"/>
          <w:b/>
        </w:rPr>
      </w:pPr>
      <w:bookmarkStart w:id="662" w:name="_Toc17611499"/>
      <w:bookmarkStart w:id="663" w:name="_Toc17611716"/>
      <w:bookmarkStart w:id="664" w:name="_Toc17611928"/>
      <w:bookmarkStart w:id="665" w:name="_Toc17612142"/>
      <w:bookmarkStart w:id="666" w:name="_Toc17612355"/>
      <w:bookmarkStart w:id="667" w:name="_Toc17611500"/>
      <w:bookmarkStart w:id="668" w:name="_Toc53576119"/>
      <w:bookmarkEnd w:id="662"/>
      <w:bookmarkEnd w:id="663"/>
      <w:bookmarkEnd w:id="664"/>
      <w:bookmarkEnd w:id="665"/>
      <w:bookmarkEnd w:id="666"/>
      <w:r w:rsidRPr="00774EDB">
        <w:rPr>
          <w:rFonts w:ascii="Times New Roman" w:hAnsi="Times New Roman" w:cs="Times New Roman"/>
          <w:b/>
          <w:color w:val="auto"/>
        </w:rPr>
        <w:t>Assessment through the lens of case studies</w:t>
      </w:r>
      <w:bookmarkEnd w:id="667"/>
      <w:bookmarkEnd w:id="668"/>
      <w:r w:rsidRPr="00774EDB">
        <w:rPr>
          <w:rFonts w:ascii="Times New Roman" w:hAnsi="Times New Roman" w:cs="Times New Roman"/>
          <w:b/>
        </w:rPr>
        <w:t xml:space="preserve">   </w:t>
      </w:r>
    </w:p>
    <w:p w14:paraId="615C36B8" w14:textId="1F904FE5" w:rsidR="009103CD" w:rsidRPr="00774EDB" w:rsidRDefault="0093404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As </w:t>
      </w:r>
      <w:r w:rsidR="00071804">
        <w:rPr>
          <w:rFonts w:ascii="Times New Roman" w:hAnsi="Times New Roman" w:cs="Times New Roman"/>
          <w:sz w:val="24"/>
          <w:szCs w:val="24"/>
        </w:rPr>
        <w:t>emphasis</w:t>
      </w:r>
      <w:r w:rsidRPr="00774EDB">
        <w:rPr>
          <w:rFonts w:ascii="Times New Roman" w:hAnsi="Times New Roman" w:cs="Times New Roman"/>
          <w:sz w:val="24"/>
          <w:szCs w:val="24"/>
        </w:rPr>
        <w:t>ed above, from the interoperability perspective, EU-based solutions have shortcomings in terms of completeness and coherency. The</w:t>
      </w:r>
      <w:r w:rsidR="00071804">
        <w:rPr>
          <w:rFonts w:ascii="Times New Roman" w:hAnsi="Times New Roman" w:cs="Times New Roman"/>
          <w:sz w:val="24"/>
          <w:szCs w:val="24"/>
        </w:rPr>
        <w:t xml:space="preserve"> pertinent rules of the EU legal framework</w:t>
      </w:r>
      <w:r w:rsidRPr="00774EDB">
        <w:rPr>
          <w:rFonts w:ascii="Times New Roman" w:hAnsi="Times New Roman" w:cs="Times New Roman"/>
          <w:sz w:val="24"/>
          <w:szCs w:val="24"/>
        </w:rPr>
        <w:t xml:space="preserve"> fall far from being fully responsive and effective against the lack of interoperability and accompanying problems across the ICT layers. To evaluate the multi-layered aspects of ICT interoperability and delve into policy elaboration, along with an appropriate, holistic regulatory design in the end, cloud computing and the IoT have been examined as the case studies of this thesis. </w:t>
      </w:r>
      <w:r w:rsidR="00182221">
        <w:rPr>
          <w:rFonts w:ascii="Times New Roman" w:hAnsi="Times New Roman" w:cs="Times New Roman"/>
          <w:sz w:val="24"/>
          <w:szCs w:val="24"/>
        </w:rPr>
        <w:t>The c</w:t>
      </w:r>
      <w:r w:rsidRPr="00774EDB">
        <w:rPr>
          <w:rFonts w:ascii="Times New Roman" w:hAnsi="Times New Roman" w:cs="Times New Roman"/>
          <w:sz w:val="24"/>
          <w:szCs w:val="24"/>
        </w:rPr>
        <w:t xml:space="preserve">ase studies, </w:t>
      </w:r>
      <w:r w:rsidR="00FB3590">
        <w:rPr>
          <w:rFonts w:ascii="Times New Roman" w:hAnsi="Times New Roman" w:cs="Times New Roman"/>
          <w:sz w:val="24"/>
          <w:szCs w:val="24"/>
        </w:rPr>
        <w:t>having both explanatory and exploratory nature for</w:t>
      </w:r>
      <w:r w:rsidRPr="00774EDB">
        <w:rPr>
          <w:rFonts w:ascii="Times New Roman" w:hAnsi="Times New Roman" w:cs="Times New Roman"/>
          <w:sz w:val="24"/>
          <w:szCs w:val="24"/>
        </w:rPr>
        <w:t xml:space="preserve"> technical and economic </w:t>
      </w:r>
      <w:r w:rsidR="00FB3590">
        <w:rPr>
          <w:rFonts w:ascii="Times New Roman" w:hAnsi="Times New Roman" w:cs="Times New Roman"/>
          <w:sz w:val="24"/>
          <w:szCs w:val="24"/>
        </w:rPr>
        <w:t>assessment</w:t>
      </w:r>
      <w:r w:rsidRPr="00774EDB">
        <w:rPr>
          <w:rFonts w:ascii="Times New Roman" w:hAnsi="Times New Roman" w:cs="Times New Roman"/>
          <w:sz w:val="24"/>
          <w:szCs w:val="24"/>
        </w:rPr>
        <w:t xml:space="preserve"> of such layers, </w:t>
      </w:r>
      <w:r w:rsidR="00182221">
        <w:rPr>
          <w:rFonts w:ascii="Times New Roman" w:hAnsi="Times New Roman" w:cs="Times New Roman"/>
          <w:sz w:val="24"/>
          <w:szCs w:val="24"/>
        </w:rPr>
        <w:t xml:space="preserve">have </w:t>
      </w:r>
      <w:r w:rsidRPr="00774EDB">
        <w:rPr>
          <w:rFonts w:ascii="Times New Roman" w:hAnsi="Times New Roman" w:cs="Times New Roman"/>
          <w:sz w:val="24"/>
          <w:szCs w:val="24"/>
        </w:rPr>
        <w:t>le</w:t>
      </w:r>
      <w:r w:rsidR="00182221">
        <w:rPr>
          <w:rFonts w:ascii="Times New Roman" w:hAnsi="Times New Roman" w:cs="Times New Roman"/>
          <w:sz w:val="24"/>
          <w:szCs w:val="24"/>
        </w:rPr>
        <w:t xml:space="preserve">d </w:t>
      </w:r>
      <w:r w:rsidRPr="00774EDB">
        <w:rPr>
          <w:rFonts w:ascii="Times New Roman" w:hAnsi="Times New Roman" w:cs="Times New Roman"/>
          <w:sz w:val="24"/>
          <w:szCs w:val="24"/>
        </w:rPr>
        <w:t xml:space="preserve">to important findings on how to restructure regulatory pillars in a holistic way. </w:t>
      </w:r>
      <w:r w:rsidR="009103CD" w:rsidRPr="00774EDB">
        <w:rPr>
          <w:rFonts w:ascii="Times New Roman" w:hAnsi="Times New Roman" w:cs="Times New Roman"/>
          <w:sz w:val="24"/>
          <w:szCs w:val="24"/>
        </w:rPr>
        <w:t xml:space="preserve"> </w:t>
      </w:r>
    </w:p>
    <w:p w14:paraId="486A8A03" w14:textId="77777777" w:rsidR="007B360A" w:rsidRPr="00774EDB" w:rsidRDefault="0093404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Cloud computing denotes an environment whereby a great many stakeholders e.g. software developers, security firms, virtualisation companies and network operators, collaborate and/or compete. Under the management and coordination of the cloud provider, cloud computing services, which include hosting, processing and updating relevant software and data, are offered to the users. While cloud architectures rely on three components, or internal elements, consisting of ‘infrastructure’, ‘platform’ and ‘application’ layers, this tripartite structure expands with the underlying external elements, namely content delivery and broadband access networks, which constitute </w:t>
      </w:r>
      <w:r w:rsidRPr="00774EDB">
        <w:rPr>
          <w:rFonts w:ascii="Times New Roman" w:hAnsi="Times New Roman" w:cs="Times New Roman"/>
          <w:sz w:val="24"/>
          <w:szCs w:val="24"/>
        </w:rPr>
        <w:lastRenderedPageBreak/>
        <w:t>the ‘access’ layer.</w:t>
      </w:r>
      <w:r w:rsidRPr="00774EDB">
        <w:rPr>
          <w:rStyle w:val="FootnoteReference"/>
          <w:rFonts w:ascii="Times New Roman" w:hAnsi="Times New Roman" w:cs="Times New Roman"/>
          <w:sz w:val="24"/>
          <w:szCs w:val="24"/>
        </w:rPr>
        <w:footnoteReference w:id="846"/>
      </w:r>
      <w:r w:rsidRPr="00774EDB">
        <w:rPr>
          <w:rFonts w:ascii="Times New Roman" w:hAnsi="Times New Roman" w:cs="Times New Roman"/>
          <w:sz w:val="24"/>
          <w:szCs w:val="24"/>
        </w:rPr>
        <w:t xml:space="preserve"> When considered with these external elements, cloud computing architectures most often turn into ecosystems, which inhabit players i.e. ISPs, CDNs, CPs, co</w:t>
      </w:r>
      <w:r w:rsidR="00E054A7" w:rsidRPr="00774EDB">
        <w:rPr>
          <w:rFonts w:ascii="Times New Roman" w:hAnsi="Times New Roman" w:cs="Times New Roman"/>
          <w:sz w:val="24"/>
          <w:szCs w:val="24"/>
        </w:rPr>
        <w:t>o</w:t>
      </w:r>
      <w:r w:rsidRPr="00774EDB">
        <w:rPr>
          <w:rFonts w:ascii="Times New Roman" w:hAnsi="Times New Roman" w:cs="Times New Roman"/>
          <w:sz w:val="24"/>
          <w:szCs w:val="24"/>
        </w:rPr>
        <w:t>peting with each other via their respective strategies and means.</w:t>
      </w:r>
      <w:r w:rsidRPr="00774EDB">
        <w:rPr>
          <w:rStyle w:val="FootnoteReference"/>
          <w:rFonts w:ascii="Times New Roman" w:hAnsi="Times New Roman" w:cs="Times New Roman"/>
          <w:sz w:val="24"/>
          <w:szCs w:val="24"/>
        </w:rPr>
        <w:footnoteReference w:id="847"/>
      </w:r>
      <w:r w:rsidRPr="00774EDB">
        <w:rPr>
          <w:rFonts w:ascii="Times New Roman" w:hAnsi="Times New Roman" w:cs="Times New Roman"/>
          <w:sz w:val="24"/>
          <w:szCs w:val="24"/>
        </w:rPr>
        <w:t xml:space="preserve"> This transition from the cloud ‘environment’ to the cloud ‘ecosystem’ provides us with an in-depth outlook, allowing us to revitalise the interoperability debate.</w:t>
      </w:r>
    </w:p>
    <w:p w14:paraId="6392FE16" w14:textId="7E55CC92" w:rsidR="00982CCE" w:rsidRPr="00774EDB" w:rsidRDefault="00E054A7"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Primarily, the interdependencies within the cloud settings of the ‘environment’ and ‘ecosystem’ have different breadths. While in the cloud environment interoperability is limited to the interlinks between the ‘infrastructure’, ‘platform’ and ‘application’ layers being governed by the cloud provider, such interlinks expand and deepen in the cloud ecosystem. In the ecosystem setting, the volume and intensity of the interdependencies</w:t>
      </w:r>
      <w:r w:rsidR="00736E07" w:rsidRPr="00774EDB">
        <w:rPr>
          <w:rFonts w:ascii="Times New Roman" w:hAnsi="Times New Roman" w:cs="Times New Roman"/>
          <w:sz w:val="24"/>
          <w:szCs w:val="24"/>
        </w:rPr>
        <w:t xml:space="preserve"> culminate in</w:t>
      </w:r>
      <w:r w:rsidRPr="00774EDB">
        <w:rPr>
          <w:rFonts w:ascii="Times New Roman" w:hAnsi="Times New Roman" w:cs="Times New Roman"/>
          <w:sz w:val="24"/>
          <w:szCs w:val="24"/>
        </w:rPr>
        <w:t xml:space="preserve"> the ‘coopetition’ among the players, namely cloud providers, the CDNs, ISPs and CPs. This ‘coopetition’ minimizes the need to regulate interoperability gaps as they are being governed and filled through the cross-layer, even </w:t>
      </w:r>
      <w:r w:rsidR="003C1ED0">
        <w:rPr>
          <w:rFonts w:ascii="Times New Roman" w:hAnsi="Times New Roman" w:cs="Times New Roman"/>
          <w:sz w:val="24"/>
          <w:szCs w:val="24"/>
        </w:rPr>
        <w:t xml:space="preserve">sometimes </w:t>
      </w:r>
      <w:r w:rsidRPr="00774EDB">
        <w:rPr>
          <w:rFonts w:ascii="Times New Roman" w:hAnsi="Times New Roman" w:cs="Times New Roman"/>
          <w:sz w:val="24"/>
          <w:szCs w:val="24"/>
        </w:rPr>
        <w:t>‘symbiotic’, relationships.</w:t>
      </w:r>
    </w:p>
    <w:p w14:paraId="0D68E5AE" w14:textId="3BA63025" w:rsidR="000E4FF4" w:rsidRPr="00774EDB" w:rsidRDefault="00B405D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This does not mean ecosystem-wide ‘openness’, as opposed to the proprietary systems, but rather it denotes the self-sustainability based on the interoperability channels neutralizing the effect of walled gardens.</w:t>
      </w:r>
      <w:r w:rsidR="00010746" w:rsidRPr="00774EDB">
        <w:rPr>
          <w:rStyle w:val="FootnoteReference"/>
          <w:rFonts w:ascii="Times New Roman" w:hAnsi="Times New Roman" w:cs="Times New Roman"/>
          <w:sz w:val="24"/>
          <w:szCs w:val="24"/>
        </w:rPr>
        <w:footnoteReference w:id="848"/>
      </w:r>
      <w:r w:rsidR="00010746"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This situation is comparable to ‘contestable’ markets, which are depicted by low barriers to entry and exit along with </w:t>
      </w:r>
      <w:r w:rsidRPr="00774EDB">
        <w:rPr>
          <w:rFonts w:ascii="Times New Roman" w:hAnsi="Times New Roman" w:cs="Times New Roman"/>
          <w:sz w:val="24"/>
          <w:szCs w:val="24"/>
        </w:rPr>
        <w:lastRenderedPageBreak/>
        <w:t>short-term prices and price-sensitive consumers.</w:t>
      </w:r>
      <w:r w:rsidRPr="00774EDB">
        <w:rPr>
          <w:rStyle w:val="FootnoteReference"/>
          <w:rFonts w:ascii="Times New Roman" w:hAnsi="Times New Roman" w:cs="Times New Roman"/>
          <w:sz w:val="24"/>
          <w:szCs w:val="24"/>
        </w:rPr>
        <w:footnoteReference w:id="849"/>
      </w:r>
      <w:r w:rsidRPr="00774EDB">
        <w:rPr>
          <w:rFonts w:ascii="Times New Roman" w:hAnsi="Times New Roman" w:cs="Times New Roman"/>
          <w:sz w:val="24"/>
          <w:szCs w:val="24"/>
        </w:rPr>
        <w:t xml:space="preserve"> Across such a potential for competition e.g. when switching is easy and fast, lack of interoperability no longer has the effects of preventing new entries and/or innovation. However, in such situations, competition</w:t>
      </w:r>
      <w:r w:rsidR="00416D69">
        <w:rPr>
          <w:rFonts w:ascii="Times New Roman" w:hAnsi="Times New Roman" w:cs="Times New Roman"/>
          <w:sz w:val="24"/>
          <w:szCs w:val="24"/>
        </w:rPr>
        <w:t xml:space="preserve"> dynamics</w:t>
      </w:r>
      <w:r w:rsidRPr="00774EDB">
        <w:rPr>
          <w:rFonts w:ascii="Times New Roman" w:hAnsi="Times New Roman" w:cs="Times New Roman"/>
          <w:sz w:val="24"/>
          <w:szCs w:val="24"/>
        </w:rPr>
        <w:t xml:space="preserve"> shift from the market </w:t>
      </w:r>
      <w:r w:rsidR="001934DF" w:rsidRPr="00774EDB">
        <w:rPr>
          <w:rFonts w:ascii="Times New Roman" w:hAnsi="Times New Roman" w:cs="Times New Roman"/>
          <w:sz w:val="24"/>
          <w:szCs w:val="24"/>
        </w:rPr>
        <w:t xml:space="preserve">or platform </w:t>
      </w:r>
      <w:r w:rsidRPr="00774EDB">
        <w:rPr>
          <w:rFonts w:ascii="Times New Roman" w:hAnsi="Times New Roman" w:cs="Times New Roman"/>
          <w:sz w:val="24"/>
          <w:szCs w:val="24"/>
        </w:rPr>
        <w:t>level to the ecosystem level, whereby no classic “silos” could survive without a competitive threat across the layers. What is more, not only competitive but also co-operative relationships exist at the same time, heightening the difficulty to designate the boundaries</w:t>
      </w:r>
      <w:r w:rsidR="00B176A6">
        <w:rPr>
          <w:rFonts w:ascii="Times New Roman" w:hAnsi="Times New Roman" w:cs="Times New Roman"/>
          <w:sz w:val="24"/>
          <w:szCs w:val="24"/>
        </w:rPr>
        <w:t xml:space="preserve"> for any ICT market</w:t>
      </w:r>
      <w:r w:rsidRPr="00774EDB">
        <w:rPr>
          <w:rFonts w:ascii="Times New Roman" w:hAnsi="Times New Roman" w:cs="Times New Roman"/>
          <w:sz w:val="24"/>
          <w:szCs w:val="24"/>
        </w:rPr>
        <w:t>.</w:t>
      </w:r>
      <w:r w:rsidR="00982CCE" w:rsidRPr="00774EDB">
        <w:rPr>
          <w:rFonts w:ascii="Times New Roman" w:hAnsi="Times New Roman" w:cs="Times New Roman"/>
          <w:sz w:val="24"/>
          <w:szCs w:val="24"/>
        </w:rPr>
        <w:t xml:space="preserve">  </w:t>
      </w:r>
    </w:p>
    <w:p w14:paraId="0F60F1D8" w14:textId="4881862A" w:rsidR="0054616F" w:rsidRPr="00774EDB" w:rsidRDefault="001934D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 this broader setting of a cloud ecosystem, crystallising a lack of interoperability based on a one or two-sided market relationship, would mean isolating a problem from a narrow-minded perspective with potentially negative implications for the cloud users e.g. by chilling innovation and affecting competitive equilibrium</w:t>
      </w:r>
      <w:r w:rsidR="00B176A6">
        <w:rPr>
          <w:rFonts w:ascii="Times New Roman" w:hAnsi="Times New Roman" w:cs="Times New Roman"/>
          <w:sz w:val="24"/>
          <w:szCs w:val="24"/>
        </w:rPr>
        <w:t>(s)</w:t>
      </w:r>
      <w:r w:rsidRPr="00774EDB">
        <w:rPr>
          <w:rFonts w:ascii="Times New Roman" w:hAnsi="Times New Roman" w:cs="Times New Roman"/>
          <w:sz w:val="24"/>
          <w:szCs w:val="24"/>
        </w:rPr>
        <w:t xml:space="preserve">. </w:t>
      </w:r>
      <w:r w:rsidR="009B670A">
        <w:rPr>
          <w:rFonts w:ascii="Times New Roman" w:hAnsi="Times New Roman" w:cs="Times New Roman"/>
          <w:sz w:val="24"/>
          <w:szCs w:val="24"/>
        </w:rPr>
        <w:t>Most p</w:t>
      </w:r>
      <w:r w:rsidR="00B176A6" w:rsidRPr="00774EDB">
        <w:rPr>
          <w:rFonts w:ascii="Times New Roman" w:hAnsi="Times New Roman" w:cs="Times New Roman"/>
          <w:sz w:val="24"/>
          <w:szCs w:val="24"/>
        </w:rPr>
        <w:t>otential efficiencies</w:t>
      </w:r>
      <w:r w:rsidR="00B176A6">
        <w:rPr>
          <w:rFonts w:ascii="Times New Roman" w:hAnsi="Times New Roman" w:cs="Times New Roman"/>
          <w:sz w:val="24"/>
          <w:szCs w:val="24"/>
        </w:rPr>
        <w:t xml:space="preserve"> that are engendered</w:t>
      </w:r>
      <w:r w:rsidRPr="00774EDB">
        <w:rPr>
          <w:rFonts w:ascii="Times New Roman" w:hAnsi="Times New Roman" w:cs="Times New Roman"/>
          <w:sz w:val="24"/>
          <w:szCs w:val="24"/>
        </w:rPr>
        <w:t xml:space="preserve"> </w:t>
      </w:r>
      <w:r w:rsidR="00B176A6">
        <w:rPr>
          <w:rFonts w:ascii="Times New Roman" w:hAnsi="Times New Roman" w:cs="Times New Roman"/>
          <w:sz w:val="24"/>
          <w:szCs w:val="24"/>
        </w:rPr>
        <w:t xml:space="preserve">by the </w:t>
      </w:r>
      <w:r w:rsidRPr="00774EDB">
        <w:rPr>
          <w:rFonts w:ascii="Times New Roman" w:hAnsi="Times New Roman" w:cs="Times New Roman"/>
          <w:sz w:val="24"/>
          <w:szCs w:val="24"/>
        </w:rPr>
        <w:t>cloud-based competition and innovation</w:t>
      </w:r>
      <w:r w:rsidR="00B176A6">
        <w:rPr>
          <w:rFonts w:ascii="Times New Roman" w:hAnsi="Times New Roman" w:cs="Times New Roman"/>
          <w:sz w:val="24"/>
          <w:szCs w:val="24"/>
        </w:rPr>
        <w:t xml:space="preserve"> and </w:t>
      </w:r>
      <w:r w:rsidRPr="00774EDB">
        <w:rPr>
          <w:rFonts w:ascii="Times New Roman" w:hAnsi="Times New Roman" w:cs="Times New Roman"/>
          <w:sz w:val="24"/>
          <w:szCs w:val="24"/>
        </w:rPr>
        <w:t xml:space="preserve">would emerge in the larger industry settings e.g. ecosystems would </w:t>
      </w:r>
      <w:r w:rsidR="00B176A6">
        <w:rPr>
          <w:rFonts w:ascii="Times New Roman" w:hAnsi="Times New Roman" w:cs="Times New Roman"/>
          <w:sz w:val="24"/>
          <w:szCs w:val="24"/>
        </w:rPr>
        <w:t xml:space="preserve">also </w:t>
      </w:r>
      <w:r w:rsidRPr="00774EDB">
        <w:rPr>
          <w:rFonts w:ascii="Times New Roman" w:hAnsi="Times New Roman" w:cs="Times New Roman"/>
          <w:sz w:val="24"/>
          <w:szCs w:val="24"/>
        </w:rPr>
        <w:t xml:space="preserve">be dismissed in the case of smaller scale definitions e.g. </w:t>
      </w:r>
      <w:r w:rsidR="00B176A6">
        <w:rPr>
          <w:rFonts w:ascii="Times New Roman" w:hAnsi="Times New Roman" w:cs="Times New Roman"/>
          <w:sz w:val="24"/>
          <w:szCs w:val="24"/>
        </w:rPr>
        <w:t>based on</w:t>
      </w:r>
      <w:r w:rsidRPr="00774EDB">
        <w:rPr>
          <w:rFonts w:ascii="Times New Roman" w:hAnsi="Times New Roman" w:cs="Times New Roman"/>
          <w:sz w:val="24"/>
          <w:szCs w:val="24"/>
        </w:rPr>
        <w:t xml:space="preserve"> a market or platform.</w:t>
      </w:r>
      <w:r w:rsidRPr="00774EDB">
        <w:rPr>
          <w:rStyle w:val="FootnoteReference"/>
          <w:rFonts w:ascii="Times New Roman" w:hAnsi="Times New Roman" w:cs="Times New Roman"/>
          <w:sz w:val="24"/>
          <w:szCs w:val="24"/>
        </w:rPr>
        <w:footnoteReference w:id="850"/>
      </w:r>
    </w:p>
    <w:p w14:paraId="1DB36C03" w14:textId="52987985" w:rsidR="002A0F87" w:rsidRPr="00774EDB" w:rsidRDefault="00033A17"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IoT, similarly, entails various settings and different organisational supply structures based on several layers and components. IoT systems, while having unique architectural elements, including devices, sensors, microprocessors, etc., depend on clouds and broadband access networks, which all constitute interdependent layers underlying IoT applications and services. Constituent IoT elements are widely acknowledged to comprise the ‘perception’, ‘access (network)’ and ‘application’ </w:t>
      </w:r>
      <w:r w:rsidRPr="00774EDB">
        <w:rPr>
          <w:rFonts w:ascii="Times New Roman" w:hAnsi="Times New Roman" w:cs="Times New Roman"/>
          <w:sz w:val="24"/>
          <w:szCs w:val="24"/>
        </w:rPr>
        <w:lastRenderedPageBreak/>
        <w:t>layers, albeit with absent classifications for the internal or external elements.</w:t>
      </w:r>
      <w:r w:rsidRPr="00774EDB">
        <w:rPr>
          <w:rStyle w:val="FootnoteReference"/>
          <w:rFonts w:ascii="Times New Roman" w:hAnsi="Times New Roman" w:cs="Times New Roman"/>
          <w:sz w:val="24"/>
          <w:szCs w:val="24"/>
        </w:rPr>
        <w:footnoteReference w:id="851"/>
      </w:r>
      <w:r w:rsidRPr="00774EDB">
        <w:rPr>
          <w:rFonts w:ascii="Times New Roman" w:hAnsi="Times New Roman" w:cs="Times New Roman"/>
          <w:sz w:val="24"/>
          <w:szCs w:val="24"/>
        </w:rPr>
        <w:t xml:space="preserve"> These layers represent not only the technological components </w:t>
      </w:r>
      <w:r w:rsidR="003759B0">
        <w:rPr>
          <w:rFonts w:ascii="Times New Roman" w:hAnsi="Times New Roman" w:cs="Times New Roman"/>
          <w:sz w:val="24"/>
          <w:szCs w:val="24"/>
        </w:rPr>
        <w:t>interlinked</w:t>
      </w:r>
      <w:r w:rsidRPr="00774EDB">
        <w:rPr>
          <w:rFonts w:ascii="Times New Roman" w:hAnsi="Times New Roman" w:cs="Times New Roman"/>
          <w:sz w:val="24"/>
          <w:szCs w:val="24"/>
        </w:rPr>
        <w:t xml:space="preserve"> by the interfaces but also the value chains demarcated by the economic activities of the IoT players e.g. IoT </w:t>
      </w:r>
      <w:r w:rsidR="00010746" w:rsidRPr="00774EDB">
        <w:rPr>
          <w:rFonts w:ascii="Times New Roman" w:hAnsi="Times New Roman" w:cs="Times New Roman"/>
          <w:sz w:val="24"/>
          <w:szCs w:val="24"/>
        </w:rPr>
        <w:t>platform/</w:t>
      </w:r>
      <w:r w:rsidRPr="00774EDB">
        <w:rPr>
          <w:rFonts w:ascii="Times New Roman" w:hAnsi="Times New Roman" w:cs="Times New Roman"/>
          <w:sz w:val="24"/>
          <w:szCs w:val="24"/>
        </w:rPr>
        <w:t xml:space="preserve">service provider, connectivity provider and software/apps developer. The IoT layers comprising wireless LANs (WLANs) and broadband access networks and clouds that serve as the middleware layer for the IoT service provisioning, interact with each other creating the cross-layer interdependencies. As a result of such interdependencies, an ecosystem </w:t>
      </w:r>
      <w:r w:rsidR="003759B0">
        <w:rPr>
          <w:rFonts w:ascii="Times New Roman" w:hAnsi="Times New Roman" w:cs="Times New Roman"/>
          <w:sz w:val="24"/>
          <w:szCs w:val="24"/>
        </w:rPr>
        <w:t>setting</w:t>
      </w:r>
      <w:r w:rsidRPr="00774EDB">
        <w:rPr>
          <w:rFonts w:ascii="Times New Roman" w:hAnsi="Times New Roman" w:cs="Times New Roman"/>
          <w:sz w:val="24"/>
          <w:szCs w:val="24"/>
        </w:rPr>
        <w:t xml:space="preserve"> would emerge insofar as they build on the</w:t>
      </w:r>
      <w:r w:rsidR="00010746" w:rsidRPr="00774EDB">
        <w:rPr>
          <w:rFonts w:ascii="Times New Roman" w:hAnsi="Times New Roman" w:cs="Times New Roman"/>
          <w:sz w:val="24"/>
          <w:szCs w:val="24"/>
        </w:rPr>
        <w:t xml:space="preserve"> coopetition</w:t>
      </w:r>
      <w:r w:rsidRPr="00774EDB">
        <w:rPr>
          <w:rFonts w:ascii="Times New Roman" w:hAnsi="Times New Roman" w:cs="Times New Roman"/>
          <w:sz w:val="24"/>
          <w:szCs w:val="24"/>
        </w:rPr>
        <w:t xml:space="preserve"> between the IoT players.</w:t>
      </w:r>
    </w:p>
    <w:p w14:paraId="42C99C93" w14:textId="08701950" w:rsidR="009A06B5" w:rsidRPr="00774EDB" w:rsidRDefault="00906346"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From this point of view, IoT settings resemble the cloud’s ‘environment’ and ‘ecosystem’ settings in terms of the cross-layer interdependencies, which potentially refashion the competition and innovation dynamics. However, differing from the clouds, IoT systems are not functioning as bottleneck </w:t>
      </w:r>
      <w:r w:rsidR="007F34F0" w:rsidRPr="00774EDB">
        <w:rPr>
          <w:rFonts w:ascii="Times New Roman" w:hAnsi="Times New Roman" w:cs="Times New Roman"/>
          <w:sz w:val="24"/>
          <w:szCs w:val="24"/>
        </w:rPr>
        <w:t xml:space="preserve">intermediary </w:t>
      </w:r>
      <w:r w:rsidRPr="00774EDB">
        <w:rPr>
          <w:rFonts w:ascii="Times New Roman" w:hAnsi="Times New Roman" w:cs="Times New Roman"/>
          <w:sz w:val="24"/>
          <w:szCs w:val="24"/>
        </w:rPr>
        <w:t>services for ICT connectivity and usage. Additionally, IoT settings e.g. smart city, smart energy, public transport, telemedicine and industrial processes, being so diverse and fragmented, drive the re</w:t>
      </w:r>
      <w:r w:rsidR="007F34F0">
        <w:rPr>
          <w:rFonts w:ascii="Times New Roman" w:hAnsi="Times New Roman" w:cs="Times New Roman"/>
          <w:sz w:val="24"/>
          <w:szCs w:val="24"/>
        </w:rPr>
        <w:t>spective</w:t>
      </w:r>
      <w:r w:rsidRPr="00774EDB">
        <w:rPr>
          <w:rFonts w:ascii="Times New Roman" w:hAnsi="Times New Roman" w:cs="Times New Roman"/>
          <w:sz w:val="24"/>
          <w:szCs w:val="24"/>
        </w:rPr>
        <w:t xml:space="preserve"> SSO processes on an unintegrated basis. Furthermore, stakeholders are pushing their own standard and/or protocol for IoT systems, trying to gain a significant advantage from the potential markets. </w:t>
      </w:r>
      <w:r w:rsidR="00BF0D01" w:rsidRPr="00774EDB">
        <w:rPr>
          <w:rFonts w:ascii="Times New Roman" w:hAnsi="Times New Roman" w:cs="Times New Roman"/>
          <w:sz w:val="24"/>
          <w:szCs w:val="24"/>
        </w:rPr>
        <w:t>As a result</w:t>
      </w:r>
      <w:r w:rsidRPr="00774EDB">
        <w:rPr>
          <w:rFonts w:ascii="Times New Roman" w:hAnsi="Times New Roman" w:cs="Times New Roman"/>
          <w:sz w:val="24"/>
          <w:szCs w:val="24"/>
        </w:rPr>
        <w:t xml:space="preserve">, </w:t>
      </w:r>
      <w:r w:rsidR="001A2B59">
        <w:rPr>
          <w:rFonts w:ascii="Times New Roman" w:hAnsi="Times New Roman" w:cs="Times New Roman"/>
          <w:sz w:val="24"/>
          <w:szCs w:val="24"/>
        </w:rPr>
        <w:t xml:space="preserve">silo type </w:t>
      </w:r>
      <w:r w:rsidRPr="00774EDB">
        <w:rPr>
          <w:rFonts w:ascii="Times New Roman" w:hAnsi="Times New Roman" w:cs="Times New Roman"/>
          <w:sz w:val="24"/>
          <w:szCs w:val="24"/>
        </w:rPr>
        <w:t xml:space="preserve">walled garden structures and vendor lock-in cases are far more confrontable in IoT settings, compared to the cloud environments and ecosystems. As a </w:t>
      </w:r>
      <w:r w:rsidR="00BF0D01" w:rsidRPr="00774EDB">
        <w:rPr>
          <w:rFonts w:ascii="Times New Roman" w:hAnsi="Times New Roman" w:cs="Times New Roman"/>
          <w:sz w:val="24"/>
          <w:szCs w:val="24"/>
        </w:rPr>
        <w:t>matter of fact</w:t>
      </w:r>
      <w:r w:rsidRPr="00774EDB">
        <w:rPr>
          <w:rFonts w:ascii="Times New Roman" w:hAnsi="Times New Roman" w:cs="Times New Roman"/>
          <w:sz w:val="24"/>
          <w:szCs w:val="24"/>
        </w:rPr>
        <w:t xml:space="preserve">, coopetitive and symbiotic relationships </w:t>
      </w:r>
      <w:r w:rsidR="00BF0D01" w:rsidRPr="00774EDB">
        <w:rPr>
          <w:rFonts w:ascii="Times New Roman" w:hAnsi="Times New Roman" w:cs="Times New Roman"/>
          <w:sz w:val="24"/>
          <w:szCs w:val="24"/>
        </w:rPr>
        <w:t>c</w:t>
      </w:r>
      <w:r w:rsidRPr="00774EDB">
        <w:rPr>
          <w:rFonts w:ascii="Times New Roman" w:hAnsi="Times New Roman" w:cs="Times New Roman"/>
          <w:sz w:val="24"/>
          <w:szCs w:val="24"/>
        </w:rPr>
        <w:t>ould not be attributed to many IoT</w:t>
      </w:r>
      <w:r w:rsidR="007F34F0">
        <w:rPr>
          <w:rFonts w:ascii="Times New Roman" w:hAnsi="Times New Roman" w:cs="Times New Roman"/>
          <w:sz w:val="24"/>
          <w:szCs w:val="24"/>
        </w:rPr>
        <w:t xml:space="preserve"> driven</w:t>
      </w:r>
      <w:r w:rsidRPr="00774EDB">
        <w:rPr>
          <w:rFonts w:ascii="Times New Roman" w:hAnsi="Times New Roman" w:cs="Times New Roman"/>
          <w:sz w:val="24"/>
          <w:szCs w:val="24"/>
        </w:rPr>
        <w:t xml:space="preserve"> settings</w:t>
      </w:r>
      <w:r w:rsidR="00402B33" w:rsidRPr="00774EDB">
        <w:rPr>
          <w:rFonts w:ascii="Times New Roman" w:hAnsi="Times New Roman" w:cs="Times New Roman"/>
          <w:sz w:val="24"/>
          <w:szCs w:val="24"/>
        </w:rPr>
        <w:t xml:space="preserve"> or sector</w:t>
      </w:r>
      <w:r w:rsidR="001A2B59">
        <w:rPr>
          <w:rFonts w:ascii="Times New Roman" w:hAnsi="Times New Roman" w:cs="Times New Roman"/>
          <w:sz w:val="24"/>
          <w:szCs w:val="24"/>
        </w:rPr>
        <w:t>s</w:t>
      </w:r>
      <w:r w:rsidR="00402B33" w:rsidRPr="00774EDB">
        <w:rPr>
          <w:rFonts w:ascii="Times New Roman" w:hAnsi="Times New Roman" w:cs="Times New Roman"/>
          <w:sz w:val="24"/>
          <w:szCs w:val="24"/>
        </w:rPr>
        <w:t>,</w:t>
      </w:r>
      <w:r w:rsidRPr="00774EDB">
        <w:rPr>
          <w:rFonts w:ascii="Times New Roman" w:hAnsi="Times New Roman" w:cs="Times New Roman"/>
          <w:sz w:val="24"/>
          <w:szCs w:val="24"/>
        </w:rPr>
        <w:t xml:space="preserve"> e.g. transport, smart city and telemedicine. This, however, creates significant challenges for the emergence of ecosystem characteristics.</w:t>
      </w:r>
      <w:r w:rsidR="00CF531A" w:rsidRPr="00774EDB">
        <w:rPr>
          <w:rFonts w:ascii="Times New Roman" w:hAnsi="Times New Roman" w:cs="Times New Roman"/>
          <w:sz w:val="24"/>
          <w:szCs w:val="24"/>
        </w:rPr>
        <w:t xml:space="preserve"> </w:t>
      </w:r>
    </w:p>
    <w:p w14:paraId="524BA1ED" w14:textId="2AB6AE81" w:rsidR="00EB21EA" w:rsidRPr="00774EDB" w:rsidRDefault="008B7CA9" w:rsidP="00A70042">
      <w:pPr>
        <w:spacing w:before="360"/>
        <w:jc w:val="both"/>
        <w:rPr>
          <w:rFonts w:ascii="Times New Roman" w:hAnsi="Times New Roman" w:cs="Times New Roman"/>
          <w:color w:val="FF0000"/>
          <w:sz w:val="24"/>
          <w:szCs w:val="24"/>
        </w:rPr>
      </w:pPr>
      <w:r w:rsidRPr="00774EDB">
        <w:rPr>
          <w:rFonts w:ascii="Times New Roman" w:hAnsi="Times New Roman" w:cs="Times New Roman"/>
          <w:sz w:val="24"/>
          <w:szCs w:val="24"/>
        </w:rPr>
        <w:lastRenderedPageBreak/>
        <w:t>Given</w:t>
      </w:r>
      <w:r w:rsidR="00BF0D01" w:rsidRPr="00774EDB">
        <w:rPr>
          <w:rFonts w:ascii="Times New Roman" w:hAnsi="Times New Roman" w:cs="Times New Roman"/>
          <w:sz w:val="24"/>
          <w:szCs w:val="24"/>
        </w:rPr>
        <w:t xml:space="preserve"> this </w:t>
      </w:r>
      <w:r w:rsidRPr="00774EDB">
        <w:rPr>
          <w:rFonts w:ascii="Times New Roman" w:hAnsi="Times New Roman" w:cs="Times New Roman"/>
          <w:sz w:val="24"/>
          <w:szCs w:val="24"/>
        </w:rPr>
        <w:t>fac</w:t>
      </w:r>
      <w:r w:rsidR="00BF0D01" w:rsidRPr="00774EDB">
        <w:rPr>
          <w:rFonts w:ascii="Times New Roman" w:hAnsi="Times New Roman" w:cs="Times New Roman"/>
          <w:sz w:val="24"/>
          <w:szCs w:val="24"/>
        </w:rPr>
        <w:t xml:space="preserve">t, many IoT settings boast far more interoperability problems and gaps, when compared to the cloud settings. While both </w:t>
      </w:r>
      <w:r w:rsidRPr="00774EDB">
        <w:rPr>
          <w:rFonts w:ascii="Times New Roman" w:hAnsi="Times New Roman" w:cs="Times New Roman"/>
          <w:sz w:val="24"/>
          <w:szCs w:val="24"/>
        </w:rPr>
        <w:t xml:space="preserve">cloud and IoT </w:t>
      </w:r>
      <w:r w:rsidR="00BF0D01" w:rsidRPr="00774EDB">
        <w:rPr>
          <w:rFonts w:ascii="Times New Roman" w:hAnsi="Times New Roman" w:cs="Times New Roman"/>
          <w:sz w:val="24"/>
          <w:szCs w:val="24"/>
        </w:rPr>
        <w:t>settings</w:t>
      </w:r>
      <w:r w:rsidRPr="00774EDB">
        <w:rPr>
          <w:rFonts w:ascii="Times New Roman" w:hAnsi="Times New Roman" w:cs="Times New Roman"/>
          <w:sz w:val="24"/>
          <w:szCs w:val="24"/>
        </w:rPr>
        <w:t xml:space="preserve"> </w:t>
      </w:r>
      <w:r w:rsidR="00BF0D01" w:rsidRPr="00774EDB">
        <w:rPr>
          <w:rFonts w:ascii="Times New Roman" w:hAnsi="Times New Roman" w:cs="Times New Roman"/>
          <w:sz w:val="24"/>
          <w:szCs w:val="24"/>
        </w:rPr>
        <w:t>are fraught from the absen</w:t>
      </w:r>
      <w:r w:rsidR="001A2B59">
        <w:rPr>
          <w:rFonts w:ascii="Times New Roman" w:hAnsi="Times New Roman" w:cs="Times New Roman"/>
          <w:sz w:val="24"/>
          <w:szCs w:val="24"/>
        </w:rPr>
        <w:t>t</w:t>
      </w:r>
      <w:r w:rsidR="00BF0D01" w:rsidRPr="00774EDB">
        <w:rPr>
          <w:rFonts w:ascii="Times New Roman" w:hAnsi="Times New Roman" w:cs="Times New Roman"/>
          <w:sz w:val="24"/>
          <w:szCs w:val="24"/>
        </w:rPr>
        <w:t xml:space="preserve"> multi-layered common standards, clouds are typified by utility and bottleneck characteristics, </w:t>
      </w:r>
      <w:r w:rsidR="009B670A">
        <w:rPr>
          <w:rFonts w:ascii="Times New Roman" w:hAnsi="Times New Roman" w:cs="Times New Roman"/>
          <w:sz w:val="24"/>
          <w:szCs w:val="24"/>
        </w:rPr>
        <w:t xml:space="preserve">which </w:t>
      </w:r>
      <w:r w:rsidR="00BF0D01" w:rsidRPr="00774EDB">
        <w:rPr>
          <w:rFonts w:ascii="Times New Roman" w:hAnsi="Times New Roman" w:cs="Times New Roman"/>
          <w:sz w:val="24"/>
          <w:szCs w:val="24"/>
        </w:rPr>
        <w:t>bridg</w:t>
      </w:r>
      <w:r w:rsidR="009B670A">
        <w:rPr>
          <w:rFonts w:ascii="Times New Roman" w:hAnsi="Times New Roman" w:cs="Times New Roman"/>
          <w:sz w:val="24"/>
          <w:szCs w:val="24"/>
        </w:rPr>
        <w:t>es</w:t>
      </w:r>
      <w:r w:rsidR="00BF0D01" w:rsidRPr="00774EDB">
        <w:rPr>
          <w:rFonts w:ascii="Times New Roman" w:hAnsi="Times New Roman" w:cs="Times New Roman"/>
          <w:sz w:val="24"/>
          <w:szCs w:val="24"/>
        </w:rPr>
        <w:t xml:space="preserve"> the interoperability gaps as the major hubs for the ICT interconnectivity and usage. This and other aspects of cloud computing e.g.</w:t>
      </w:r>
      <w:r w:rsidR="00402B33" w:rsidRPr="00774EDB">
        <w:rPr>
          <w:rFonts w:ascii="Times New Roman" w:hAnsi="Times New Roman" w:cs="Times New Roman"/>
          <w:sz w:val="24"/>
          <w:szCs w:val="24"/>
        </w:rPr>
        <w:t xml:space="preserve"> ever fast increasing cloud adoption by the entrepreneurs,</w:t>
      </w:r>
      <w:r w:rsidR="00402B33" w:rsidRPr="00774EDB">
        <w:rPr>
          <w:rStyle w:val="FootnoteReference"/>
          <w:rFonts w:ascii="Times New Roman" w:hAnsi="Times New Roman" w:cs="Times New Roman"/>
          <w:sz w:val="24"/>
          <w:szCs w:val="24"/>
        </w:rPr>
        <w:footnoteReference w:id="852"/>
      </w:r>
      <w:r w:rsidR="00402B33" w:rsidRPr="00774EDB">
        <w:rPr>
          <w:rFonts w:ascii="Times New Roman" w:hAnsi="Times New Roman" w:cs="Times New Roman"/>
          <w:sz w:val="24"/>
          <w:szCs w:val="24"/>
        </w:rPr>
        <w:t xml:space="preserve"> and its </w:t>
      </w:r>
      <w:r w:rsidR="00BF0D01" w:rsidRPr="00774EDB">
        <w:rPr>
          <w:rFonts w:ascii="Times New Roman" w:hAnsi="Times New Roman" w:cs="Times New Roman"/>
          <w:sz w:val="24"/>
          <w:szCs w:val="24"/>
        </w:rPr>
        <w:t>close</w:t>
      </w:r>
      <w:r w:rsidR="001A2B59">
        <w:rPr>
          <w:rFonts w:ascii="Times New Roman" w:hAnsi="Times New Roman" w:cs="Times New Roman"/>
          <w:sz w:val="24"/>
          <w:szCs w:val="24"/>
        </w:rPr>
        <w:t>r</w:t>
      </w:r>
      <w:r w:rsidR="00BF0D01" w:rsidRPr="00774EDB">
        <w:rPr>
          <w:rFonts w:ascii="Times New Roman" w:hAnsi="Times New Roman" w:cs="Times New Roman"/>
          <w:sz w:val="24"/>
          <w:szCs w:val="24"/>
        </w:rPr>
        <w:t xml:space="preserve"> inter</w:t>
      </w:r>
      <w:r w:rsidR="001A2B59">
        <w:rPr>
          <w:rFonts w:ascii="Times New Roman" w:hAnsi="Times New Roman" w:cs="Times New Roman"/>
          <w:sz w:val="24"/>
          <w:szCs w:val="24"/>
        </w:rPr>
        <w:t>links</w:t>
      </w:r>
      <w:r w:rsidR="00BF0D01" w:rsidRPr="00774EDB">
        <w:rPr>
          <w:rFonts w:ascii="Times New Roman" w:hAnsi="Times New Roman" w:cs="Times New Roman"/>
          <w:sz w:val="24"/>
          <w:szCs w:val="24"/>
        </w:rPr>
        <w:t xml:space="preserve"> with the external elements</w:t>
      </w:r>
      <w:r w:rsidRPr="00774EDB">
        <w:rPr>
          <w:rFonts w:ascii="Times New Roman" w:hAnsi="Times New Roman" w:cs="Times New Roman"/>
          <w:sz w:val="24"/>
          <w:szCs w:val="24"/>
        </w:rPr>
        <w:t xml:space="preserve"> e.g. CDN, broadband access networks,</w:t>
      </w:r>
      <w:r w:rsidR="00BF0D01" w:rsidRPr="00774EDB">
        <w:rPr>
          <w:rFonts w:ascii="Times New Roman" w:hAnsi="Times New Roman" w:cs="Times New Roman"/>
          <w:sz w:val="24"/>
          <w:szCs w:val="24"/>
        </w:rPr>
        <w:t xml:space="preserve"> bring</w:t>
      </w:r>
      <w:r w:rsidR="001A2B59">
        <w:rPr>
          <w:rFonts w:ascii="Times New Roman" w:hAnsi="Times New Roman" w:cs="Times New Roman"/>
          <w:sz w:val="24"/>
          <w:szCs w:val="24"/>
        </w:rPr>
        <w:t xml:space="preserve"> out the result that</w:t>
      </w:r>
      <w:r w:rsidR="00BF0D01" w:rsidRPr="00774EDB">
        <w:rPr>
          <w:rFonts w:ascii="Times New Roman" w:hAnsi="Times New Roman" w:cs="Times New Roman"/>
          <w:sz w:val="24"/>
          <w:szCs w:val="24"/>
        </w:rPr>
        <w:t xml:space="preserve"> clouds </w:t>
      </w:r>
      <w:r w:rsidR="001A2B59">
        <w:rPr>
          <w:rFonts w:ascii="Times New Roman" w:hAnsi="Times New Roman" w:cs="Times New Roman"/>
          <w:sz w:val="24"/>
          <w:szCs w:val="24"/>
        </w:rPr>
        <w:t xml:space="preserve">are far more depicted with </w:t>
      </w:r>
      <w:r w:rsidR="00BF0D01" w:rsidRPr="00774EDB">
        <w:rPr>
          <w:rFonts w:ascii="Times New Roman" w:hAnsi="Times New Roman" w:cs="Times New Roman"/>
          <w:sz w:val="24"/>
          <w:szCs w:val="24"/>
        </w:rPr>
        <w:t>the ‘ecosystem’</w:t>
      </w:r>
      <w:r w:rsidR="001A2B59">
        <w:rPr>
          <w:rFonts w:ascii="Times New Roman" w:hAnsi="Times New Roman" w:cs="Times New Roman"/>
          <w:sz w:val="24"/>
          <w:szCs w:val="24"/>
        </w:rPr>
        <w:t xml:space="preserve"> characteristics,</w:t>
      </w:r>
      <w:r w:rsidRPr="00774EDB">
        <w:rPr>
          <w:rFonts w:ascii="Times New Roman" w:hAnsi="Times New Roman" w:cs="Times New Roman"/>
          <w:sz w:val="24"/>
          <w:szCs w:val="24"/>
        </w:rPr>
        <w:t xml:space="preserve"> </w:t>
      </w:r>
      <w:r w:rsidR="006E7D2F" w:rsidRPr="00774EDB">
        <w:rPr>
          <w:rFonts w:ascii="Times New Roman" w:hAnsi="Times New Roman" w:cs="Times New Roman"/>
          <w:sz w:val="24"/>
          <w:szCs w:val="24"/>
        </w:rPr>
        <w:t>e.g. coopetition among the players.</w:t>
      </w:r>
      <w:r w:rsidRPr="00774EDB">
        <w:rPr>
          <w:rFonts w:ascii="Times New Roman" w:hAnsi="Times New Roman" w:cs="Times New Roman"/>
          <w:sz w:val="24"/>
          <w:szCs w:val="24"/>
        </w:rPr>
        <w:t xml:space="preserve">  </w:t>
      </w:r>
      <w:r w:rsidR="00EF5C2C" w:rsidRPr="00774EDB">
        <w:rPr>
          <w:rFonts w:ascii="Times New Roman" w:hAnsi="Times New Roman" w:cs="Times New Roman"/>
          <w:sz w:val="24"/>
          <w:szCs w:val="24"/>
        </w:rPr>
        <w:t xml:space="preserve"> </w:t>
      </w:r>
    </w:p>
    <w:p w14:paraId="3BB51C06" w14:textId="2CBAB9BB" w:rsidR="00EF5C2C" w:rsidRPr="00774EDB" w:rsidRDefault="00E6062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On the other hand, it is always possible that walled garden structures </w:t>
      </w:r>
      <w:r w:rsidR="001A2B59">
        <w:rPr>
          <w:rFonts w:ascii="Times New Roman" w:hAnsi="Times New Roman" w:cs="Times New Roman"/>
          <w:sz w:val="24"/>
          <w:szCs w:val="24"/>
        </w:rPr>
        <w:t xml:space="preserve">including IoT silos </w:t>
      </w:r>
      <w:r w:rsidRPr="00774EDB">
        <w:rPr>
          <w:rFonts w:ascii="Times New Roman" w:hAnsi="Times New Roman" w:cs="Times New Roman"/>
          <w:sz w:val="24"/>
          <w:szCs w:val="24"/>
        </w:rPr>
        <w:t xml:space="preserve">could turn into ecosystems </w:t>
      </w:r>
      <w:r w:rsidR="006144B4">
        <w:rPr>
          <w:rFonts w:ascii="Times New Roman" w:hAnsi="Times New Roman" w:cs="Times New Roman"/>
          <w:sz w:val="24"/>
          <w:szCs w:val="24"/>
        </w:rPr>
        <w:t>ensuing</w:t>
      </w:r>
      <w:r w:rsidRPr="00774EDB">
        <w:rPr>
          <w:rFonts w:ascii="Times New Roman" w:hAnsi="Times New Roman" w:cs="Times New Roman"/>
          <w:sz w:val="24"/>
          <w:szCs w:val="24"/>
        </w:rPr>
        <w:t xml:space="preserve"> intensive and pervasive cross-layer interdependencies. Having said that, in response to the diverse possible scenarios </w:t>
      </w:r>
      <w:r w:rsidR="006144B4">
        <w:rPr>
          <w:rFonts w:ascii="Times New Roman" w:hAnsi="Times New Roman" w:cs="Times New Roman"/>
          <w:sz w:val="24"/>
          <w:szCs w:val="24"/>
        </w:rPr>
        <w:t>to</w:t>
      </w:r>
      <w:r w:rsidRPr="00774EDB">
        <w:rPr>
          <w:rFonts w:ascii="Times New Roman" w:hAnsi="Times New Roman" w:cs="Times New Roman"/>
          <w:sz w:val="24"/>
          <w:szCs w:val="24"/>
        </w:rPr>
        <w:t xml:space="preserve"> be </w:t>
      </w:r>
      <w:r w:rsidR="006144B4">
        <w:rPr>
          <w:rFonts w:ascii="Times New Roman" w:hAnsi="Times New Roman" w:cs="Times New Roman"/>
          <w:sz w:val="24"/>
          <w:szCs w:val="24"/>
        </w:rPr>
        <w:t>fac</w:t>
      </w:r>
      <w:r w:rsidRPr="00774EDB">
        <w:rPr>
          <w:rFonts w:ascii="Times New Roman" w:hAnsi="Times New Roman" w:cs="Times New Roman"/>
          <w:sz w:val="24"/>
          <w:szCs w:val="24"/>
        </w:rPr>
        <w:t xml:space="preserve">ed by the regulators, the legal system should be flexible enough to entail ecosystem and non-ecosystem settings, </w:t>
      </w:r>
      <w:r w:rsidR="007D5A97">
        <w:rPr>
          <w:rFonts w:ascii="Times New Roman" w:hAnsi="Times New Roman" w:cs="Times New Roman"/>
          <w:sz w:val="24"/>
          <w:szCs w:val="24"/>
        </w:rPr>
        <w:t xml:space="preserve">just </w:t>
      </w:r>
      <w:r w:rsidRPr="00774EDB">
        <w:rPr>
          <w:rFonts w:ascii="Times New Roman" w:hAnsi="Times New Roman" w:cs="Times New Roman"/>
          <w:sz w:val="24"/>
          <w:szCs w:val="24"/>
        </w:rPr>
        <w:t xml:space="preserve">as </w:t>
      </w:r>
      <w:r w:rsidR="006144B4">
        <w:rPr>
          <w:rFonts w:ascii="Times New Roman" w:hAnsi="Times New Roman" w:cs="Times New Roman"/>
          <w:sz w:val="24"/>
          <w:szCs w:val="24"/>
        </w:rPr>
        <w:t xml:space="preserve">it needs to </w:t>
      </w:r>
      <w:r w:rsidRPr="00774EDB">
        <w:rPr>
          <w:rFonts w:ascii="Times New Roman" w:hAnsi="Times New Roman" w:cs="Times New Roman"/>
          <w:sz w:val="24"/>
          <w:szCs w:val="24"/>
        </w:rPr>
        <w:t xml:space="preserve">be holistically designed. Given the fact that the EU legal system is of an inflexible, fragile and non-holistic nature, an overhaul based on a wider outlook seems compelling, particularly from the perspective of </w:t>
      </w:r>
      <w:r w:rsidR="006144B4">
        <w:rPr>
          <w:rFonts w:ascii="Times New Roman" w:hAnsi="Times New Roman" w:cs="Times New Roman"/>
          <w:sz w:val="24"/>
          <w:szCs w:val="24"/>
        </w:rPr>
        <w:t xml:space="preserve">ICT </w:t>
      </w:r>
      <w:r w:rsidRPr="00774EDB">
        <w:rPr>
          <w:rFonts w:ascii="Times New Roman" w:hAnsi="Times New Roman" w:cs="Times New Roman"/>
          <w:sz w:val="24"/>
          <w:szCs w:val="24"/>
        </w:rPr>
        <w:t xml:space="preserve">interoperability. </w:t>
      </w:r>
      <w:r w:rsidR="006144B4">
        <w:rPr>
          <w:rFonts w:ascii="Times New Roman" w:hAnsi="Times New Roman" w:cs="Times New Roman"/>
          <w:sz w:val="24"/>
          <w:szCs w:val="24"/>
        </w:rPr>
        <w:t>Alongside the</w:t>
      </w:r>
      <w:r w:rsidR="006144B4"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ecosystems </w:t>
      </w:r>
      <w:r w:rsidR="006144B4">
        <w:rPr>
          <w:rFonts w:ascii="Times New Roman" w:hAnsi="Times New Roman" w:cs="Times New Roman"/>
          <w:sz w:val="24"/>
          <w:szCs w:val="24"/>
        </w:rPr>
        <w:t xml:space="preserve">that </w:t>
      </w:r>
      <w:r w:rsidRPr="00774EDB">
        <w:rPr>
          <w:rFonts w:ascii="Times New Roman" w:hAnsi="Times New Roman" w:cs="Times New Roman"/>
          <w:sz w:val="24"/>
          <w:szCs w:val="24"/>
        </w:rPr>
        <w:t xml:space="preserve">represent the widest supply structure, other supply structures or </w:t>
      </w:r>
      <w:r w:rsidR="006144B4">
        <w:rPr>
          <w:rFonts w:ascii="Times New Roman" w:hAnsi="Times New Roman" w:cs="Times New Roman"/>
          <w:sz w:val="24"/>
          <w:szCs w:val="24"/>
        </w:rPr>
        <w:t>settings</w:t>
      </w:r>
      <w:r w:rsidRPr="00774EDB">
        <w:rPr>
          <w:rFonts w:ascii="Times New Roman" w:hAnsi="Times New Roman" w:cs="Times New Roman"/>
          <w:sz w:val="24"/>
          <w:szCs w:val="24"/>
        </w:rPr>
        <w:t xml:space="preserve"> also need to be comprehended and included within the regulatory model to be designed.</w:t>
      </w:r>
    </w:p>
    <w:p w14:paraId="74293076" w14:textId="77777777" w:rsidR="005E49CF" w:rsidRPr="00774EDB" w:rsidRDefault="00E76DD4" w:rsidP="00A70042">
      <w:pPr>
        <w:pStyle w:val="Heading2"/>
        <w:numPr>
          <w:ilvl w:val="1"/>
          <w:numId w:val="33"/>
        </w:numPr>
        <w:tabs>
          <w:tab w:val="left" w:pos="426"/>
        </w:tabs>
        <w:spacing w:before="360"/>
        <w:ind w:left="0" w:firstLine="0"/>
        <w:jc w:val="both"/>
        <w:rPr>
          <w:rFonts w:ascii="Times New Roman" w:hAnsi="Times New Roman" w:cs="Times New Roman"/>
          <w:b/>
          <w:color w:val="auto"/>
          <w:sz w:val="24"/>
          <w:szCs w:val="24"/>
        </w:rPr>
      </w:pPr>
      <w:bookmarkStart w:id="669" w:name="_Toc17611501"/>
      <w:bookmarkStart w:id="670" w:name="_Toc17611718"/>
      <w:bookmarkStart w:id="671" w:name="_Toc17611930"/>
      <w:bookmarkStart w:id="672" w:name="_Toc17612144"/>
      <w:bookmarkStart w:id="673" w:name="_Toc17612357"/>
      <w:bookmarkStart w:id="674" w:name="_Toc17611502"/>
      <w:bookmarkStart w:id="675" w:name="_Toc53576120"/>
      <w:bookmarkEnd w:id="669"/>
      <w:bookmarkEnd w:id="670"/>
      <w:bookmarkEnd w:id="671"/>
      <w:bookmarkEnd w:id="672"/>
      <w:bookmarkEnd w:id="673"/>
      <w:r w:rsidRPr="00774EDB">
        <w:rPr>
          <w:rFonts w:ascii="Times New Roman" w:hAnsi="Times New Roman" w:cs="Times New Roman"/>
          <w:b/>
          <w:color w:val="auto"/>
          <w:sz w:val="24"/>
          <w:szCs w:val="24"/>
        </w:rPr>
        <w:lastRenderedPageBreak/>
        <w:t>Policy r</w:t>
      </w:r>
      <w:r w:rsidR="005C6CC7" w:rsidRPr="00774EDB">
        <w:rPr>
          <w:rFonts w:ascii="Times New Roman" w:hAnsi="Times New Roman" w:cs="Times New Roman"/>
          <w:b/>
          <w:color w:val="auto"/>
          <w:sz w:val="24"/>
          <w:szCs w:val="24"/>
        </w:rPr>
        <w:t>efinement</w:t>
      </w:r>
      <w:r w:rsidR="005E49CF" w:rsidRPr="00774EDB">
        <w:rPr>
          <w:rFonts w:ascii="Times New Roman" w:hAnsi="Times New Roman" w:cs="Times New Roman"/>
          <w:b/>
          <w:color w:val="auto"/>
          <w:sz w:val="24"/>
          <w:szCs w:val="24"/>
        </w:rPr>
        <w:t xml:space="preserve"> </w:t>
      </w:r>
      <w:r w:rsidR="003E39A3" w:rsidRPr="00774EDB">
        <w:rPr>
          <w:rFonts w:ascii="Times New Roman" w:hAnsi="Times New Roman" w:cs="Times New Roman"/>
          <w:b/>
          <w:color w:val="auto"/>
          <w:sz w:val="24"/>
          <w:szCs w:val="24"/>
        </w:rPr>
        <w:t>and elaboration for</w:t>
      </w:r>
      <w:r w:rsidR="005E49CF" w:rsidRPr="00774EDB">
        <w:rPr>
          <w:rFonts w:ascii="Times New Roman" w:hAnsi="Times New Roman" w:cs="Times New Roman"/>
          <w:b/>
          <w:color w:val="auto"/>
          <w:sz w:val="24"/>
          <w:szCs w:val="24"/>
        </w:rPr>
        <w:t xml:space="preserve"> </w:t>
      </w:r>
      <w:r w:rsidR="002474D1" w:rsidRPr="00774EDB">
        <w:rPr>
          <w:rFonts w:ascii="Times New Roman" w:hAnsi="Times New Roman" w:cs="Times New Roman"/>
          <w:b/>
          <w:color w:val="auto"/>
          <w:sz w:val="24"/>
          <w:szCs w:val="24"/>
        </w:rPr>
        <w:t xml:space="preserve">the </w:t>
      </w:r>
      <w:r w:rsidR="008E1F3D" w:rsidRPr="00774EDB">
        <w:rPr>
          <w:rFonts w:ascii="Times New Roman" w:hAnsi="Times New Roman" w:cs="Times New Roman"/>
          <w:b/>
          <w:color w:val="auto"/>
          <w:sz w:val="24"/>
          <w:szCs w:val="24"/>
        </w:rPr>
        <w:t xml:space="preserve">EU </w:t>
      </w:r>
      <w:r w:rsidR="005E49CF" w:rsidRPr="00774EDB">
        <w:rPr>
          <w:rFonts w:ascii="Times New Roman" w:hAnsi="Times New Roman" w:cs="Times New Roman"/>
          <w:b/>
          <w:color w:val="auto"/>
          <w:sz w:val="24"/>
          <w:szCs w:val="24"/>
        </w:rPr>
        <w:t>legal framework</w:t>
      </w:r>
      <w:bookmarkEnd w:id="674"/>
      <w:bookmarkEnd w:id="675"/>
      <w:r w:rsidR="003E39A3" w:rsidRPr="00774EDB">
        <w:rPr>
          <w:rFonts w:ascii="Times New Roman" w:hAnsi="Times New Roman" w:cs="Times New Roman"/>
          <w:b/>
          <w:color w:val="auto"/>
          <w:sz w:val="24"/>
          <w:szCs w:val="24"/>
        </w:rPr>
        <w:t xml:space="preserve"> </w:t>
      </w:r>
    </w:p>
    <w:p w14:paraId="6CD98B2E" w14:textId="77777777" w:rsidR="00357345" w:rsidRPr="00774EDB" w:rsidRDefault="004C15F8" w:rsidP="00A70042">
      <w:pPr>
        <w:pStyle w:val="Heading3"/>
        <w:numPr>
          <w:ilvl w:val="2"/>
          <w:numId w:val="33"/>
        </w:numPr>
        <w:spacing w:before="360"/>
        <w:ind w:left="0" w:firstLine="0"/>
        <w:jc w:val="both"/>
        <w:rPr>
          <w:rFonts w:ascii="Times New Roman" w:hAnsi="Times New Roman" w:cs="Times New Roman"/>
          <w:b/>
          <w:color w:val="auto"/>
        </w:rPr>
      </w:pPr>
      <w:bookmarkStart w:id="676" w:name="_Toc17611503"/>
      <w:bookmarkStart w:id="677" w:name="_Toc17611720"/>
      <w:bookmarkStart w:id="678" w:name="_Toc17611932"/>
      <w:bookmarkStart w:id="679" w:name="_Toc17612146"/>
      <w:bookmarkStart w:id="680" w:name="_Toc17612359"/>
      <w:bookmarkStart w:id="681" w:name="_Toc17611504"/>
      <w:bookmarkStart w:id="682" w:name="_Toc53576121"/>
      <w:bookmarkEnd w:id="676"/>
      <w:bookmarkEnd w:id="677"/>
      <w:bookmarkEnd w:id="678"/>
      <w:bookmarkEnd w:id="679"/>
      <w:bookmarkEnd w:id="680"/>
      <w:r w:rsidRPr="00774EDB">
        <w:rPr>
          <w:rFonts w:ascii="Times New Roman" w:hAnsi="Times New Roman" w:cs="Times New Roman"/>
          <w:b/>
          <w:color w:val="auto"/>
        </w:rPr>
        <w:t>Refin</w:t>
      </w:r>
      <w:r w:rsidR="00357345" w:rsidRPr="00774EDB">
        <w:rPr>
          <w:rFonts w:ascii="Times New Roman" w:hAnsi="Times New Roman" w:cs="Times New Roman"/>
          <w:b/>
          <w:color w:val="auto"/>
        </w:rPr>
        <w:t>ing the assessments</w:t>
      </w:r>
      <w:r w:rsidR="00E67361" w:rsidRPr="00774EDB">
        <w:rPr>
          <w:rFonts w:ascii="Times New Roman" w:hAnsi="Times New Roman" w:cs="Times New Roman"/>
          <w:b/>
          <w:color w:val="auto"/>
        </w:rPr>
        <w:t>:</w:t>
      </w:r>
      <w:r w:rsidR="00357345" w:rsidRPr="00774EDB">
        <w:rPr>
          <w:rFonts w:ascii="Times New Roman" w:hAnsi="Times New Roman" w:cs="Times New Roman"/>
          <w:b/>
          <w:color w:val="auto"/>
        </w:rPr>
        <w:t xml:space="preserve"> </w:t>
      </w:r>
      <w:r w:rsidR="00421AE8" w:rsidRPr="00774EDB">
        <w:rPr>
          <w:rFonts w:ascii="Times New Roman" w:hAnsi="Times New Roman" w:cs="Times New Roman"/>
          <w:b/>
          <w:color w:val="auto"/>
        </w:rPr>
        <w:t xml:space="preserve">Setting out </w:t>
      </w:r>
      <w:r w:rsidR="008A0A86" w:rsidRPr="00774EDB">
        <w:rPr>
          <w:rFonts w:ascii="Times New Roman" w:hAnsi="Times New Roman" w:cs="Times New Roman"/>
          <w:b/>
          <w:color w:val="auto"/>
        </w:rPr>
        <w:t>the</w:t>
      </w:r>
      <w:r w:rsidR="00A150EC" w:rsidRPr="00774EDB">
        <w:rPr>
          <w:rFonts w:ascii="Times New Roman" w:hAnsi="Times New Roman" w:cs="Times New Roman"/>
          <w:b/>
          <w:color w:val="auto"/>
        </w:rPr>
        <w:t xml:space="preserve"> </w:t>
      </w:r>
      <w:r w:rsidR="002D2F86" w:rsidRPr="00774EDB">
        <w:rPr>
          <w:rFonts w:ascii="Times New Roman" w:hAnsi="Times New Roman" w:cs="Times New Roman"/>
          <w:b/>
          <w:color w:val="auto"/>
        </w:rPr>
        <w:t>baseline policy</w:t>
      </w:r>
      <w:r w:rsidR="00357345" w:rsidRPr="00774EDB">
        <w:rPr>
          <w:rFonts w:ascii="Times New Roman" w:hAnsi="Times New Roman" w:cs="Times New Roman"/>
          <w:b/>
          <w:color w:val="auto"/>
        </w:rPr>
        <w:t xml:space="preserve"> </w:t>
      </w:r>
      <w:r w:rsidR="008A0A86" w:rsidRPr="00774EDB">
        <w:rPr>
          <w:rFonts w:ascii="Times New Roman" w:hAnsi="Times New Roman" w:cs="Times New Roman"/>
          <w:b/>
          <w:color w:val="auto"/>
        </w:rPr>
        <w:t>approach</w:t>
      </w:r>
      <w:bookmarkEnd w:id="681"/>
      <w:bookmarkEnd w:id="682"/>
      <w:r w:rsidR="00357345" w:rsidRPr="00774EDB">
        <w:rPr>
          <w:rFonts w:ascii="Times New Roman" w:hAnsi="Times New Roman" w:cs="Times New Roman"/>
          <w:b/>
          <w:color w:val="auto"/>
        </w:rPr>
        <w:t xml:space="preserve"> </w:t>
      </w:r>
    </w:p>
    <w:p w14:paraId="2D4FD284" w14:textId="1273FB86" w:rsidR="006D6338" w:rsidRPr="00774EDB" w:rsidRDefault="00641F5D"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lang w:val="en-US"/>
        </w:rPr>
        <w:t xml:space="preserve">Under the EU legal framework there is no holistic treatment for ICT interoperability. </w:t>
      </w:r>
      <w:r w:rsidR="00752F20" w:rsidRPr="00774EDB">
        <w:rPr>
          <w:rFonts w:ascii="Times New Roman" w:hAnsi="Times New Roman" w:cs="Times New Roman"/>
          <w:sz w:val="24"/>
          <w:szCs w:val="24"/>
          <w:lang w:val="en-US"/>
        </w:rPr>
        <w:t>Notwithstanding</w:t>
      </w:r>
      <w:r w:rsidRPr="00774EDB">
        <w:rPr>
          <w:rFonts w:ascii="Times New Roman" w:hAnsi="Times New Roman" w:cs="Times New Roman"/>
          <w:sz w:val="24"/>
          <w:szCs w:val="24"/>
          <w:lang w:val="en-US"/>
        </w:rPr>
        <w:t xml:space="preserve"> the pressing need to have a wider outlook, to evaluate the ICT services and layers, the EU system is built on disaggregated instruments, which cause some significant gaps and overlaps. </w:t>
      </w:r>
      <w:r w:rsidRPr="00774EDB">
        <w:rPr>
          <w:rFonts w:ascii="Times New Roman" w:hAnsi="Times New Roman" w:cs="Times New Roman"/>
          <w:sz w:val="24"/>
          <w:szCs w:val="24"/>
        </w:rPr>
        <w:t xml:space="preserve">Not only to deal with the lack of interoperability but also to have a sustainable and holistic regulatory framework, the EU legal framework needs to be revitalised with </w:t>
      </w:r>
      <w:r w:rsidR="0048378D">
        <w:rPr>
          <w:rFonts w:ascii="Times New Roman" w:hAnsi="Times New Roman" w:cs="Times New Roman"/>
          <w:sz w:val="24"/>
          <w:szCs w:val="24"/>
        </w:rPr>
        <w:t xml:space="preserve">broadly and appropriately designed </w:t>
      </w:r>
      <w:r w:rsidRPr="00774EDB">
        <w:rPr>
          <w:rFonts w:ascii="Times New Roman" w:hAnsi="Times New Roman" w:cs="Times New Roman"/>
          <w:sz w:val="24"/>
          <w:szCs w:val="24"/>
        </w:rPr>
        <w:t>new rules.</w:t>
      </w:r>
    </w:p>
    <w:p w14:paraId="78C7D449" w14:textId="480A84FD" w:rsidR="000D3F80" w:rsidRPr="00774EDB" w:rsidRDefault="00752F2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To emphasize, the EU’s predominantly market-based approach relies on a narrow-minded approach by which some parts of the ICT ecosystems are dealt with via regulatory rules, whereas others are not. Although one should refrain from a simplification that all ICT services be regulated, as this would not automatically remedy the access and interoperability problems</w:t>
      </w:r>
      <w:r w:rsidR="0048378D">
        <w:rPr>
          <w:rFonts w:ascii="Times New Roman" w:hAnsi="Times New Roman" w:cs="Times New Roman"/>
          <w:sz w:val="24"/>
          <w:szCs w:val="24"/>
        </w:rPr>
        <w:t>. Instead,</w:t>
      </w:r>
      <w:r w:rsidRPr="00774EDB">
        <w:rPr>
          <w:rFonts w:ascii="Times New Roman" w:hAnsi="Times New Roman" w:cs="Times New Roman"/>
          <w:sz w:val="24"/>
          <w:szCs w:val="24"/>
        </w:rPr>
        <w:t xml:space="preserve"> filtering the ICT layers from a holistic regulatory lens arises as a </w:t>
      </w:r>
      <w:r w:rsidR="0048378D">
        <w:rPr>
          <w:rFonts w:ascii="Times New Roman" w:hAnsi="Times New Roman" w:cs="Times New Roman"/>
          <w:sz w:val="24"/>
          <w:szCs w:val="24"/>
        </w:rPr>
        <w:t>necessity</w:t>
      </w:r>
      <w:r w:rsidR="0048378D"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for the evaluation of the regulatory and competition problems, including the lack of interoperability. </w:t>
      </w:r>
      <w:r w:rsidR="00385609">
        <w:rPr>
          <w:rFonts w:ascii="Times New Roman" w:hAnsi="Times New Roman" w:cs="Times New Roman"/>
          <w:sz w:val="24"/>
          <w:szCs w:val="24"/>
        </w:rPr>
        <w:t>Flowing</w:t>
      </w:r>
      <w:r w:rsidR="00385609" w:rsidRPr="00774EDB">
        <w:rPr>
          <w:rFonts w:ascii="Times New Roman" w:hAnsi="Times New Roman" w:cs="Times New Roman"/>
          <w:sz w:val="24"/>
          <w:szCs w:val="24"/>
        </w:rPr>
        <w:t xml:space="preserve"> </w:t>
      </w:r>
      <w:r w:rsidR="00385609">
        <w:rPr>
          <w:rFonts w:ascii="Times New Roman" w:hAnsi="Times New Roman" w:cs="Times New Roman"/>
          <w:sz w:val="24"/>
          <w:szCs w:val="24"/>
        </w:rPr>
        <w:t xml:space="preserve">from </w:t>
      </w:r>
      <w:r w:rsidRPr="00774EDB">
        <w:rPr>
          <w:rFonts w:ascii="Times New Roman" w:hAnsi="Times New Roman" w:cs="Times New Roman"/>
          <w:sz w:val="24"/>
          <w:szCs w:val="24"/>
        </w:rPr>
        <w:t xml:space="preserve">this, a holistic and fulfilling regulatory analysis across the ICT interdependencies should be possible, as opposed to the </w:t>
      </w:r>
      <w:r w:rsidRPr="00774EDB">
        <w:rPr>
          <w:rFonts w:ascii="Times New Roman" w:hAnsi="Times New Roman" w:cs="Times New Roman"/>
          <w:i/>
          <w:sz w:val="24"/>
          <w:szCs w:val="24"/>
        </w:rPr>
        <w:t>status quo</w:t>
      </w:r>
      <w:r w:rsidRPr="00774EDB">
        <w:rPr>
          <w:rFonts w:ascii="Times New Roman" w:hAnsi="Times New Roman" w:cs="Times New Roman"/>
          <w:sz w:val="24"/>
          <w:szCs w:val="24"/>
        </w:rPr>
        <w:t>.</w:t>
      </w:r>
      <w:r w:rsidR="000D3F80" w:rsidRPr="00774EDB">
        <w:rPr>
          <w:rFonts w:ascii="Times New Roman" w:hAnsi="Times New Roman" w:cs="Times New Roman"/>
          <w:sz w:val="24"/>
          <w:szCs w:val="24"/>
        </w:rPr>
        <w:t xml:space="preserve"> </w:t>
      </w:r>
    </w:p>
    <w:p w14:paraId="0569170C" w14:textId="55C92C58" w:rsidR="00752F20" w:rsidRPr="00774EDB" w:rsidRDefault="00752F2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 the current ICT ecosystems, systemic interrelatedness goes beyond complementarity and substitutability; complex patterns of feedback and non-linear developments arise, and micro-level decision making becomes uneasy with the multiple dynamic equilibria of such systems.</w:t>
      </w:r>
      <w:r w:rsidRPr="00774EDB">
        <w:rPr>
          <w:rStyle w:val="FootnoteReference"/>
          <w:rFonts w:ascii="Times New Roman" w:hAnsi="Times New Roman" w:cs="Times New Roman"/>
          <w:sz w:val="24"/>
          <w:szCs w:val="24"/>
        </w:rPr>
        <w:footnoteReference w:id="853"/>
      </w:r>
      <w:r w:rsidRPr="00774EDB">
        <w:rPr>
          <w:rFonts w:ascii="Times New Roman" w:hAnsi="Times New Roman" w:cs="Times New Roman"/>
          <w:sz w:val="24"/>
          <w:szCs w:val="24"/>
        </w:rPr>
        <w:t xml:space="preserve"> Regarding the ICT supply structures </w:t>
      </w:r>
      <w:r w:rsidRPr="00774EDB">
        <w:rPr>
          <w:rFonts w:ascii="Times New Roman" w:hAnsi="Times New Roman" w:cs="Times New Roman"/>
          <w:sz w:val="24"/>
          <w:szCs w:val="24"/>
        </w:rPr>
        <w:lastRenderedPageBreak/>
        <w:t xml:space="preserve">as ‘static’ by narrowing them down into markets does not well respond to the cross-layer interdependencies. In fact, neither the underlying concepts </w:t>
      </w:r>
      <w:r w:rsidR="0048378D">
        <w:rPr>
          <w:rFonts w:ascii="Times New Roman" w:hAnsi="Times New Roman" w:cs="Times New Roman"/>
          <w:sz w:val="24"/>
          <w:szCs w:val="24"/>
        </w:rPr>
        <w:t xml:space="preserve">for market analysis </w:t>
      </w:r>
      <w:r w:rsidRPr="00774EDB">
        <w:rPr>
          <w:rFonts w:ascii="Times New Roman" w:hAnsi="Times New Roman" w:cs="Times New Roman"/>
          <w:sz w:val="24"/>
          <w:szCs w:val="24"/>
        </w:rPr>
        <w:t>i.e. complementarity and substitution, nor the accompanying instruments i.e.</w:t>
      </w:r>
      <w:r w:rsidR="00DC4359" w:rsidRPr="00774EDB">
        <w:rPr>
          <w:rFonts w:ascii="Times New Roman" w:hAnsi="Times New Roman" w:cs="Times New Roman"/>
          <w:sz w:val="24"/>
          <w:szCs w:val="24"/>
        </w:rPr>
        <w:t xml:space="preserve"> </w:t>
      </w:r>
      <w:r w:rsidRPr="00774EDB">
        <w:rPr>
          <w:rFonts w:ascii="Times New Roman" w:hAnsi="Times New Roman" w:cs="Times New Roman"/>
          <w:sz w:val="24"/>
          <w:szCs w:val="24"/>
        </w:rPr>
        <w:t>the SSNIP test, are inclusive and holistic enough as they aim to segment the ICT landscape into markets, leaving out the cross-layer efficiencies, innovation and competition.</w:t>
      </w:r>
    </w:p>
    <w:p w14:paraId="1CAC8E87" w14:textId="12A95A5C" w:rsidR="00C44434" w:rsidRDefault="00752F2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view of the interdependencies, a potentially new regulatory approach needs to embrace all the supply structures </w:t>
      </w:r>
      <w:r w:rsidR="00C50E01" w:rsidRPr="00774EDB">
        <w:rPr>
          <w:rFonts w:ascii="Times New Roman" w:hAnsi="Times New Roman" w:cs="Times New Roman"/>
          <w:sz w:val="24"/>
          <w:szCs w:val="24"/>
        </w:rPr>
        <w:t>including ecosystems and non-ecosystem settings</w:t>
      </w:r>
      <w:r w:rsidRPr="00774EDB">
        <w:rPr>
          <w:rFonts w:ascii="Times New Roman" w:hAnsi="Times New Roman" w:cs="Times New Roman"/>
          <w:sz w:val="24"/>
          <w:szCs w:val="24"/>
        </w:rPr>
        <w:t xml:space="preserve">, given the cases of the IoT and cloud computing. From the perspective of these case studies, it is clear that various settings would </w:t>
      </w:r>
      <w:r w:rsidR="00385609">
        <w:rPr>
          <w:rFonts w:ascii="Times New Roman" w:hAnsi="Times New Roman" w:cs="Times New Roman"/>
          <w:sz w:val="24"/>
          <w:szCs w:val="24"/>
        </w:rPr>
        <w:t>tend to</w:t>
      </w:r>
      <w:r w:rsidRPr="00774EDB">
        <w:rPr>
          <w:rFonts w:ascii="Times New Roman" w:hAnsi="Times New Roman" w:cs="Times New Roman"/>
          <w:sz w:val="24"/>
          <w:szCs w:val="24"/>
        </w:rPr>
        <w:t xml:space="preserve"> regulatory and competition problems. Although </w:t>
      </w:r>
      <w:r w:rsidR="002F709D" w:rsidRPr="00774EDB">
        <w:rPr>
          <w:rFonts w:ascii="Times New Roman" w:hAnsi="Times New Roman" w:cs="Times New Roman"/>
          <w:sz w:val="24"/>
          <w:szCs w:val="24"/>
        </w:rPr>
        <w:t>many</w:t>
      </w:r>
      <w:r w:rsidRPr="00774EDB">
        <w:rPr>
          <w:rFonts w:ascii="Times New Roman" w:hAnsi="Times New Roman" w:cs="Times New Roman"/>
          <w:sz w:val="24"/>
          <w:szCs w:val="24"/>
        </w:rPr>
        <w:t xml:space="preserve"> </w:t>
      </w:r>
      <w:r w:rsidR="00385609">
        <w:rPr>
          <w:rFonts w:ascii="Times New Roman" w:hAnsi="Times New Roman" w:cs="Times New Roman"/>
          <w:sz w:val="24"/>
          <w:szCs w:val="24"/>
        </w:rPr>
        <w:t xml:space="preserve">other </w:t>
      </w:r>
      <w:r w:rsidRPr="00774EDB">
        <w:rPr>
          <w:rFonts w:ascii="Times New Roman" w:hAnsi="Times New Roman" w:cs="Times New Roman"/>
          <w:sz w:val="24"/>
          <w:szCs w:val="24"/>
        </w:rPr>
        <w:t xml:space="preserve">settings </w:t>
      </w:r>
      <w:r w:rsidR="001267BE" w:rsidRPr="00774EDB">
        <w:rPr>
          <w:rFonts w:ascii="Times New Roman" w:hAnsi="Times New Roman" w:cs="Times New Roman"/>
          <w:sz w:val="24"/>
          <w:szCs w:val="24"/>
        </w:rPr>
        <w:t xml:space="preserve">could be found </w:t>
      </w:r>
      <w:r w:rsidRPr="00774EDB">
        <w:rPr>
          <w:rFonts w:ascii="Times New Roman" w:hAnsi="Times New Roman" w:cs="Times New Roman"/>
          <w:sz w:val="24"/>
          <w:szCs w:val="24"/>
        </w:rPr>
        <w:t>lean</w:t>
      </w:r>
      <w:r w:rsidR="001267BE" w:rsidRPr="00774EDB">
        <w:rPr>
          <w:rFonts w:ascii="Times New Roman" w:hAnsi="Times New Roman" w:cs="Times New Roman"/>
          <w:sz w:val="24"/>
          <w:szCs w:val="24"/>
        </w:rPr>
        <w:t>ing</w:t>
      </w:r>
      <w:r w:rsidRPr="00774EDB">
        <w:rPr>
          <w:rFonts w:ascii="Times New Roman" w:hAnsi="Times New Roman" w:cs="Times New Roman"/>
          <w:sz w:val="24"/>
          <w:szCs w:val="24"/>
        </w:rPr>
        <w:t xml:space="preserve"> towards ecosystems, this should not be taken as reflecting all the scenarios in which the ICT networks and services are supplied. Thus, a purely ecosystem-based approach would overlook narrower ICT settings and not fit well with many situations e.g. where silo-type vertically integrated firms exist. In such a situation, as represented by many IoT </w:t>
      </w:r>
      <w:r w:rsidR="001267BE" w:rsidRPr="00774EDB">
        <w:rPr>
          <w:rFonts w:ascii="Times New Roman" w:hAnsi="Times New Roman" w:cs="Times New Roman"/>
          <w:sz w:val="24"/>
          <w:szCs w:val="24"/>
        </w:rPr>
        <w:t>setting</w:t>
      </w:r>
      <w:r w:rsidRPr="00774EDB">
        <w:rPr>
          <w:rFonts w:ascii="Times New Roman" w:hAnsi="Times New Roman" w:cs="Times New Roman"/>
          <w:sz w:val="24"/>
          <w:szCs w:val="24"/>
        </w:rPr>
        <w:t>s, absent controlling or mitigating tools would result in augmented interoperability gaps and problems e.g. vendor lock-in</w:t>
      </w:r>
      <w:r w:rsidR="0030182E">
        <w:rPr>
          <w:rFonts w:ascii="Times New Roman" w:hAnsi="Times New Roman" w:cs="Times New Roman"/>
          <w:sz w:val="24"/>
          <w:szCs w:val="24"/>
        </w:rPr>
        <w:t>.</w:t>
      </w:r>
      <w:r w:rsidR="00C44434">
        <w:rPr>
          <w:rFonts w:ascii="Times New Roman" w:hAnsi="Times New Roman" w:cs="Times New Roman"/>
          <w:sz w:val="24"/>
          <w:szCs w:val="24"/>
        </w:rPr>
        <w:t xml:space="preserve"> </w:t>
      </w:r>
      <w:r w:rsidR="00C44434" w:rsidRPr="00774EDB">
        <w:rPr>
          <w:rFonts w:ascii="Times New Roman" w:hAnsi="Times New Roman" w:cs="Times New Roman"/>
          <w:sz w:val="24"/>
          <w:szCs w:val="24"/>
        </w:rPr>
        <w:t>For instance, when a dominant IoT-based software management system has a partnership with certain applications and devices, it could be considered to create a market and/or a platform, but not an ecosystem.</w:t>
      </w:r>
    </w:p>
    <w:p w14:paraId="0CBA086B" w14:textId="376B8992" w:rsidR="00C44434" w:rsidRDefault="0030182E" w:rsidP="00A70042">
      <w:pPr>
        <w:spacing w:before="360"/>
        <w:jc w:val="both"/>
        <w:rPr>
          <w:rFonts w:ascii="Times New Roman" w:hAnsi="Times New Roman" w:cs="Times New Roman"/>
          <w:sz w:val="24"/>
          <w:szCs w:val="24"/>
        </w:rPr>
      </w:pPr>
      <w:r>
        <w:rPr>
          <w:rFonts w:ascii="Times New Roman" w:hAnsi="Times New Roman" w:cs="Times New Roman"/>
          <w:sz w:val="24"/>
          <w:szCs w:val="24"/>
        </w:rPr>
        <w:t>This contrasts</w:t>
      </w:r>
      <w:r w:rsidR="00752F20" w:rsidRPr="00774EDB">
        <w:rPr>
          <w:rFonts w:ascii="Times New Roman" w:hAnsi="Times New Roman" w:cs="Times New Roman"/>
          <w:sz w:val="24"/>
          <w:szCs w:val="24"/>
        </w:rPr>
        <w:t xml:space="preserve"> </w:t>
      </w:r>
      <w:r>
        <w:rPr>
          <w:rFonts w:ascii="Times New Roman" w:hAnsi="Times New Roman" w:cs="Times New Roman"/>
          <w:sz w:val="24"/>
          <w:szCs w:val="24"/>
        </w:rPr>
        <w:t>with</w:t>
      </w:r>
      <w:r w:rsidR="00752F20" w:rsidRPr="00774EDB">
        <w:rPr>
          <w:rFonts w:ascii="Times New Roman" w:hAnsi="Times New Roman" w:cs="Times New Roman"/>
          <w:sz w:val="24"/>
          <w:szCs w:val="24"/>
        </w:rPr>
        <w:t xml:space="preserve"> the cloud-type ecosystems where ex-ante regulation is no longer needed for self-regulatory functionalities e.g.</w:t>
      </w:r>
      <w:r w:rsidR="001267BE" w:rsidRPr="00774EDB">
        <w:rPr>
          <w:rFonts w:ascii="Times New Roman" w:hAnsi="Times New Roman" w:cs="Times New Roman"/>
          <w:sz w:val="24"/>
          <w:szCs w:val="24"/>
        </w:rPr>
        <w:t xml:space="preserve"> coopetition </w:t>
      </w:r>
      <w:r w:rsidR="00752F20" w:rsidRPr="00774EDB">
        <w:rPr>
          <w:rFonts w:ascii="Times New Roman" w:hAnsi="Times New Roman" w:cs="Times New Roman"/>
          <w:sz w:val="24"/>
          <w:szCs w:val="24"/>
        </w:rPr>
        <w:t>across the layers.</w:t>
      </w:r>
      <w:r w:rsidR="00C44434">
        <w:rPr>
          <w:rFonts w:ascii="Times New Roman" w:hAnsi="Times New Roman" w:cs="Times New Roman"/>
          <w:sz w:val="24"/>
          <w:szCs w:val="24"/>
        </w:rPr>
        <w:t xml:space="preserve"> </w:t>
      </w:r>
      <w:r w:rsidR="0081257F" w:rsidRPr="00774EDB">
        <w:rPr>
          <w:rFonts w:ascii="Times New Roman" w:hAnsi="Times New Roman" w:cs="Times New Roman"/>
          <w:sz w:val="24"/>
          <w:szCs w:val="24"/>
        </w:rPr>
        <w:t>The concept of ‘coopetition’ is of a key role</w:t>
      </w:r>
      <w:r w:rsidR="001D7FD2" w:rsidRPr="00774EDB">
        <w:rPr>
          <w:rFonts w:ascii="Times New Roman" w:hAnsi="Times New Roman" w:cs="Times New Roman"/>
          <w:sz w:val="24"/>
          <w:szCs w:val="24"/>
        </w:rPr>
        <w:t xml:space="preserve"> for acknowledgement of an </w:t>
      </w:r>
      <w:r w:rsidR="00D655D3" w:rsidRPr="00774EDB">
        <w:rPr>
          <w:rFonts w:ascii="Times New Roman" w:hAnsi="Times New Roman" w:cs="Times New Roman"/>
          <w:sz w:val="24"/>
          <w:szCs w:val="24"/>
        </w:rPr>
        <w:t>‘</w:t>
      </w:r>
      <w:r w:rsidR="001D7FD2" w:rsidRPr="00774EDB">
        <w:rPr>
          <w:rFonts w:ascii="Times New Roman" w:hAnsi="Times New Roman" w:cs="Times New Roman"/>
          <w:sz w:val="24"/>
          <w:szCs w:val="24"/>
        </w:rPr>
        <w:t>ecosystem</w:t>
      </w:r>
      <w:r w:rsidR="00D655D3" w:rsidRPr="00774EDB">
        <w:rPr>
          <w:rFonts w:ascii="Times New Roman" w:hAnsi="Times New Roman" w:cs="Times New Roman"/>
          <w:sz w:val="24"/>
          <w:szCs w:val="24"/>
        </w:rPr>
        <w:t xml:space="preserve">’, </w:t>
      </w:r>
      <w:r w:rsidR="00752F20" w:rsidRPr="00774EDB">
        <w:rPr>
          <w:rFonts w:ascii="Times New Roman" w:hAnsi="Times New Roman" w:cs="Times New Roman"/>
          <w:sz w:val="24"/>
          <w:szCs w:val="24"/>
        </w:rPr>
        <w:t>involving both cooperative and competitive relationship</w:t>
      </w:r>
      <w:r w:rsidR="003625B4" w:rsidRPr="00774EDB">
        <w:rPr>
          <w:rFonts w:ascii="Times New Roman" w:hAnsi="Times New Roman" w:cs="Times New Roman"/>
          <w:sz w:val="24"/>
          <w:szCs w:val="24"/>
        </w:rPr>
        <w:t>s</w:t>
      </w:r>
      <w:r w:rsidR="00752F20" w:rsidRPr="00774EDB">
        <w:rPr>
          <w:rFonts w:ascii="Times New Roman" w:hAnsi="Times New Roman" w:cs="Times New Roman"/>
          <w:sz w:val="24"/>
          <w:szCs w:val="24"/>
        </w:rPr>
        <w:t>,</w:t>
      </w:r>
      <w:r w:rsidR="00D655D3" w:rsidRPr="00774EDB">
        <w:rPr>
          <w:rFonts w:ascii="Times New Roman" w:hAnsi="Times New Roman" w:cs="Times New Roman"/>
          <w:sz w:val="24"/>
          <w:szCs w:val="24"/>
        </w:rPr>
        <w:t xml:space="preserve"> and</w:t>
      </w:r>
      <w:r w:rsidR="00752F20" w:rsidRPr="00774EDB">
        <w:rPr>
          <w:rFonts w:ascii="Times New Roman" w:hAnsi="Times New Roman" w:cs="Times New Roman"/>
          <w:sz w:val="24"/>
          <w:szCs w:val="24"/>
        </w:rPr>
        <w:t xml:space="preserve"> exist</w:t>
      </w:r>
      <w:r w:rsidR="00D655D3" w:rsidRPr="00774EDB">
        <w:rPr>
          <w:rFonts w:ascii="Times New Roman" w:hAnsi="Times New Roman" w:cs="Times New Roman"/>
          <w:sz w:val="24"/>
          <w:szCs w:val="24"/>
        </w:rPr>
        <w:t>ing</w:t>
      </w:r>
      <w:r w:rsidR="00752F20" w:rsidRPr="00774EDB">
        <w:rPr>
          <w:rFonts w:ascii="Times New Roman" w:hAnsi="Times New Roman" w:cs="Times New Roman"/>
          <w:sz w:val="24"/>
          <w:szCs w:val="24"/>
        </w:rPr>
        <w:t xml:space="preserve"> horizontally and vertically, e.g. between the IoT </w:t>
      </w:r>
      <w:r w:rsidR="0081257F" w:rsidRPr="00774EDB">
        <w:rPr>
          <w:rFonts w:ascii="Times New Roman" w:hAnsi="Times New Roman" w:cs="Times New Roman"/>
          <w:sz w:val="24"/>
          <w:szCs w:val="24"/>
        </w:rPr>
        <w:t>platform/</w:t>
      </w:r>
      <w:r w:rsidR="00752F20" w:rsidRPr="00774EDB">
        <w:rPr>
          <w:rFonts w:ascii="Times New Roman" w:hAnsi="Times New Roman" w:cs="Times New Roman"/>
          <w:sz w:val="24"/>
          <w:szCs w:val="24"/>
        </w:rPr>
        <w:t>service providers</w:t>
      </w:r>
      <w:r w:rsidR="0081257F" w:rsidRPr="00774EDB">
        <w:rPr>
          <w:rFonts w:ascii="Times New Roman" w:hAnsi="Times New Roman" w:cs="Times New Roman"/>
          <w:sz w:val="24"/>
          <w:szCs w:val="24"/>
        </w:rPr>
        <w:t>, manufacturers</w:t>
      </w:r>
      <w:r w:rsidR="00752F20" w:rsidRPr="00774EDB">
        <w:rPr>
          <w:rFonts w:ascii="Times New Roman" w:hAnsi="Times New Roman" w:cs="Times New Roman"/>
          <w:sz w:val="24"/>
          <w:szCs w:val="24"/>
        </w:rPr>
        <w:t xml:space="preserve"> and the </w:t>
      </w:r>
      <w:r w:rsidR="0081257F" w:rsidRPr="00774EDB">
        <w:rPr>
          <w:rFonts w:ascii="Times New Roman" w:hAnsi="Times New Roman" w:cs="Times New Roman"/>
          <w:sz w:val="24"/>
          <w:szCs w:val="24"/>
        </w:rPr>
        <w:lastRenderedPageBreak/>
        <w:t>software developers</w:t>
      </w:r>
      <w:r w:rsidR="00752F20" w:rsidRPr="00774EDB">
        <w:rPr>
          <w:rFonts w:ascii="Times New Roman" w:hAnsi="Times New Roman" w:cs="Times New Roman"/>
          <w:sz w:val="24"/>
          <w:szCs w:val="24"/>
        </w:rPr>
        <w:t>. Th</w:t>
      </w:r>
      <w:r w:rsidR="004D2273">
        <w:rPr>
          <w:rFonts w:ascii="Times New Roman" w:hAnsi="Times New Roman" w:cs="Times New Roman"/>
          <w:sz w:val="24"/>
          <w:szCs w:val="24"/>
        </w:rPr>
        <w:t>ese</w:t>
      </w:r>
      <w:r w:rsidR="00752F20" w:rsidRPr="00774EDB">
        <w:rPr>
          <w:rFonts w:ascii="Times New Roman" w:hAnsi="Times New Roman" w:cs="Times New Roman"/>
          <w:sz w:val="24"/>
          <w:szCs w:val="24"/>
        </w:rPr>
        <w:t xml:space="preserve"> vertical and horizontal </w:t>
      </w:r>
      <w:r w:rsidR="00034D4A" w:rsidRPr="00774EDB">
        <w:rPr>
          <w:rFonts w:ascii="Times New Roman" w:hAnsi="Times New Roman" w:cs="Times New Roman"/>
          <w:sz w:val="24"/>
          <w:szCs w:val="24"/>
        </w:rPr>
        <w:t>relationships</w:t>
      </w:r>
      <w:r w:rsidR="004D2273">
        <w:rPr>
          <w:rFonts w:ascii="Times New Roman" w:hAnsi="Times New Roman" w:cs="Times New Roman"/>
          <w:sz w:val="24"/>
          <w:szCs w:val="24"/>
        </w:rPr>
        <w:t>,</w:t>
      </w:r>
      <w:r w:rsidR="00034D4A" w:rsidRPr="00774EDB">
        <w:rPr>
          <w:rFonts w:ascii="Times New Roman" w:hAnsi="Times New Roman" w:cs="Times New Roman"/>
          <w:sz w:val="24"/>
          <w:szCs w:val="24"/>
        </w:rPr>
        <w:t xml:space="preserve"> echoing layer interdependencies</w:t>
      </w:r>
      <w:r w:rsidR="004D2273">
        <w:rPr>
          <w:rFonts w:ascii="Times New Roman" w:hAnsi="Times New Roman" w:cs="Times New Roman"/>
          <w:sz w:val="24"/>
          <w:szCs w:val="24"/>
        </w:rPr>
        <w:t xml:space="preserve"> and</w:t>
      </w:r>
      <w:r w:rsidR="00752F20" w:rsidRPr="00774EDB">
        <w:rPr>
          <w:rFonts w:ascii="Times New Roman" w:hAnsi="Times New Roman" w:cs="Times New Roman"/>
          <w:sz w:val="24"/>
          <w:szCs w:val="24"/>
        </w:rPr>
        <w:t xml:space="preserve"> </w:t>
      </w:r>
      <w:r w:rsidR="004D2273">
        <w:rPr>
          <w:rFonts w:ascii="Times New Roman" w:hAnsi="Times New Roman" w:cs="Times New Roman"/>
          <w:sz w:val="24"/>
          <w:szCs w:val="24"/>
        </w:rPr>
        <w:t>denoting</w:t>
      </w:r>
      <w:r w:rsidR="00752F20" w:rsidRPr="00774EDB">
        <w:rPr>
          <w:rFonts w:ascii="Times New Roman" w:hAnsi="Times New Roman" w:cs="Times New Roman"/>
          <w:sz w:val="24"/>
          <w:szCs w:val="24"/>
        </w:rPr>
        <w:t xml:space="preserve"> the ecosystem</w:t>
      </w:r>
      <w:r w:rsidR="004D2273">
        <w:rPr>
          <w:rFonts w:ascii="Times New Roman" w:hAnsi="Times New Roman" w:cs="Times New Roman"/>
          <w:sz w:val="24"/>
          <w:szCs w:val="24"/>
        </w:rPr>
        <w:t xml:space="preserve"> feature</w:t>
      </w:r>
      <w:r w:rsidR="00752F20" w:rsidRPr="00774EDB">
        <w:rPr>
          <w:rFonts w:ascii="Times New Roman" w:hAnsi="Times New Roman" w:cs="Times New Roman"/>
          <w:sz w:val="24"/>
          <w:szCs w:val="24"/>
        </w:rPr>
        <w:t>s, has also the key potential to dissolve the interoperability-</w:t>
      </w:r>
      <w:r w:rsidR="004D2273">
        <w:rPr>
          <w:rFonts w:ascii="Times New Roman" w:hAnsi="Times New Roman" w:cs="Times New Roman"/>
          <w:sz w:val="24"/>
          <w:szCs w:val="24"/>
        </w:rPr>
        <w:t>based</w:t>
      </w:r>
      <w:r w:rsidR="00752F20" w:rsidRPr="00774EDB">
        <w:rPr>
          <w:rFonts w:ascii="Times New Roman" w:hAnsi="Times New Roman" w:cs="Times New Roman"/>
          <w:sz w:val="24"/>
          <w:szCs w:val="24"/>
        </w:rPr>
        <w:t xml:space="preserve"> problems.</w:t>
      </w:r>
    </w:p>
    <w:p w14:paraId="77D4F56D" w14:textId="1FF8B1D3" w:rsidR="00752F20" w:rsidRPr="00774EDB" w:rsidRDefault="00C44434"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Against this background, the layout on which the regulatory design will be shaped </w:t>
      </w:r>
      <w:r w:rsidR="008220B6">
        <w:rPr>
          <w:rFonts w:ascii="Times New Roman" w:hAnsi="Times New Roman" w:cs="Times New Roman"/>
          <w:sz w:val="24"/>
          <w:szCs w:val="24"/>
        </w:rPr>
        <w:t xml:space="preserve">out </w:t>
      </w:r>
      <w:r w:rsidRPr="00774EDB">
        <w:rPr>
          <w:rFonts w:ascii="Times New Roman" w:hAnsi="Times New Roman" w:cs="Times New Roman"/>
          <w:sz w:val="24"/>
          <w:szCs w:val="24"/>
        </w:rPr>
        <w:t>needs to be flexible and holistic enough to reach out to ecosystems, as well as to non-ecosystem structures. In other words, both self-</w:t>
      </w:r>
      <w:r w:rsidR="008220B6">
        <w:rPr>
          <w:rFonts w:ascii="Times New Roman" w:hAnsi="Times New Roman" w:cs="Times New Roman"/>
          <w:sz w:val="24"/>
          <w:szCs w:val="24"/>
        </w:rPr>
        <w:t>perpetuat</w:t>
      </w:r>
      <w:r w:rsidRPr="00774EDB">
        <w:rPr>
          <w:rFonts w:ascii="Times New Roman" w:hAnsi="Times New Roman" w:cs="Times New Roman"/>
          <w:sz w:val="24"/>
          <w:szCs w:val="24"/>
        </w:rPr>
        <w:t>ing ecosystem</w:t>
      </w:r>
      <w:r w:rsidR="008220B6">
        <w:rPr>
          <w:rFonts w:ascii="Times New Roman" w:hAnsi="Times New Roman" w:cs="Times New Roman"/>
          <w:sz w:val="24"/>
          <w:szCs w:val="24"/>
        </w:rPr>
        <w:t>s</w:t>
      </w:r>
      <w:r w:rsidRPr="00774EDB">
        <w:rPr>
          <w:rFonts w:ascii="Times New Roman" w:hAnsi="Times New Roman" w:cs="Times New Roman"/>
          <w:sz w:val="24"/>
          <w:szCs w:val="24"/>
        </w:rPr>
        <w:t xml:space="preserve"> and other settings that warrant regulation need to be comprehended and covered by the regulatory model that is to be built up. </w:t>
      </w:r>
      <w:r>
        <w:rPr>
          <w:rFonts w:ascii="Times New Roman" w:hAnsi="Times New Roman" w:cs="Times New Roman"/>
          <w:sz w:val="24"/>
          <w:szCs w:val="24"/>
        </w:rPr>
        <w:t>Having said that</w:t>
      </w:r>
      <w:r w:rsidR="00752F20" w:rsidRPr="00774EDB">
        <w:rPr>
          <w:rFonts w:ascii="Times New Roman" w:hAnsi="Times New Roman" w:cs="Times New Roman"/>
          <w:sz w:val="24"/>
          <w:szCs w:val="24"/>
        </w:rPr>
        <w:t>, technologically neutral</w:t>
      </w:r>
      <w:r w:rsidR="008220B6">
        <w:rPr>
          <w:rFonts w:ascii="Times New Roman" w:hAnsi="Times New Roman" w:cs="Times New Roman"/>
          <w:sz w:val="24"/>
          <w:szCs w:val="24"/>
        </w:rPr>
        <w:t>,</w:t>
      </w:r>
      <w:r w:rsidR="00752F20" w:rsidRPr="00774EDB">
        <w:rPr>
          <w:rFonts w:ascii="Times New Roman" w:hAnsi="Times New Roman" w:cs="Times New Roman"/>
          <w:sz w:val="24"/>
          <w:szCs w:val="24"/>
        </w:rPr>
        <w:t xml:space="preserve"> widely applicable </w:t>
      </w:r>
      <w:r w:rsidR="008220B6">
        <w:rPr>
          <w:rFonts w:ascii="Times New Roman" w:hAnsi="Times New Roman" w:cs="Times New Roman"/>
          <w:sz w:val="24"/>
          <w:szCs w:val="24"/>
        </w:rPr>
        <w:t xml:space="preserve">and interdependent </w:t>
      </w:r>
      <w:r w:rsidR="00752F20" w:rsidRPr="00774EDB">
        <w:rPr>
          <w:rFonts w:ascii="Times New Roman" w:hAnsi="Times New Roman" w:cs="Times New Roman"/>
          <w:sz w:val="24"/>
          <w:szCs w:val="24"/>
        </w:rPr>
        <w:t xml:space="preserve">layers would provide the appropriate layout </w:t>
      </w:r>
      <w:r w:rsidR="008220B6">
        <w:rPr>
          <w:rFonts w:ascii="Times New Roman" w:hAnsi="Times New Roman" w:cs="Times New Roman"/>
          <w:sz w:val="24"/>
          <w:szCs w:val="24"/>
        </w:rPr>
        <w:t xml:space="preserve">or </w:t>
      </w:r>
      <w:r w:rsidR="008220B6" w:rsidRPr="00774EDB">
        <w:rPr>
          <w:rFonts w:ascii="Times New Roman" w:hAnsi="Times New Roman" w:cs="Times New Roman"/>
          <w:sz w:val="24"/>
          <w:szCs w:val="24"/>
        </w:rPr>
        <w:t xml:space="preserve">the ideal building blocks </w:t>
      </w:r>
      <w:r w:rsidR="00752F20" w:rsidRPr="00774EDB">
        <w:rPr>
          <w:rFonts w:ascii="Times New Roman" w:hAnsi="Times New Roman" w:cs="Times New Roman"/>
          <w:sz w:val="24"/>
          <w:szCs w:val="24"/>
        </w:rPr>
        <w:t xml:space="preserve">for </w:t>
      </w:r>
      <w:r w:rsidR="00060BCC">
        <w:rPr>
          <w:rFonts w:ascii="Times New Roman" w:hAnsi="Times New Roman" w:cs="Times New Roman"/>
          <w:sz w:val="24"/>
          <w:szCs w:val="24"/>
        </w:rPr>
        <w:t>a</w:t>
      </w:r>
      <w:r w:rsidR="00752F20" w:rsidRPr="00774EDB">
        <w:rPr>
          <w:rFonts w:ascii="Times New Roman" w:hAnsi="Times New Roman" w:cs="Times New Roman"/>
          <w:sz w:val="24"/>
          <w:szCs w:val="24"/>
        </w:rPr>
        <w:t xml:space="preserve"> regulatory model. </w:t>
      </w:r>
    </w:p>
    <w:p w14:paraId="3FD84A4A" w14:textId="3D4DE217" w:rsidR="00432CEE" w:rsidRPr="00774EDB" w:rsidRDefault="00752F2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Overall, a well-designed layering-based approach, by which ICT layers are regulated to the appropriate extent, seems to be sustainable and widely applicable as this approach w</w:t>
      </w:r>
      <w:r w:rsidR="00915618" w:rsidRPr="00774EDB">
        <w:rPr>
          <w:rFonts w:ascii="Times New Roman" w:hAnsi="Times New Roman" w:cs="Times New Roman"/>
          <w:sz w:val="24"/>
          <w:szCs w:val="24"/>
        </w:rPr>
        <w:t>ill</w:t>
      </w:r>
      <w:r w:rsidRPr="00774EDB">
        <w:rPr>
          <w:rFonts w:ascii="Times New Roman" w:hAnsi="Times New Roman" w:cs="Times New Roman"/>
          <w:sz w:val="24"/>
          <w:szCs w:val="24"/>
        </w:rPr>
        <w:t xml:space="preserve"> </w:t>
      </w:r>
      <w:r w:rsidR="00915618" w:rsidRPr="00774EDB">
        <w:rPr>
          <w:rFonts w:ascii="Times New Roman" w:hAnsi="Times New Roman" w:cs="Times New Roman"/>
          <w:sz w:val="24"/>
          <w:szCs w:val="24"/>
        </w:rPr>
        <w:t>provide the regulators with</w:t>
      </w:r>
      <w:r w:rsidRPr="00774EDB">
        <w:rPr>
          <w:rFonts w:ascii="Times New Roman" w:hAnsi="Times New Roman" w:cs="Times New Roman"/>
          <w:sz w:val="24"/>
          <w:szCs w:val="24"/>
        </w:rPr>
        <w:t xml:space="preserve"> the necessary dynamic ground for </w:t>
      </w:r>
      <w:r w:rsidR="00915618" w:rsidRPr="00774EDB">
        <w:rPr>
          <w:rFonts w:ascii="Times New Roman" w:hAnsi="Times New Roman" w:cs="Times New Roman"/>
          <w:sz w:val="24"/>
          <w:szCs w:val="24"/>
        </w:rPr>
        <w:t xml:space="preserve">defining and </w:t>
      </w:r>
      <w:r w:rsidRPr="00774EDB">
        <w:rPr>
          <w:rFonts w:ascii="Times New Roman" w:hAnsi="Times New Roman" w:cs="Times New Roman"/>
          <w:sz w:val="24"/>
          <w:szCs w:val="24"/>
        </w:rPr>
        <w:t xml:space="preserve">remedying the </w:t>
      </w:r>
      <w:r w:rsidR="008220B6">
        <w:rPr>
          <w:rFonts w:ascii="Times New Roman" w:hAnsi="Times New Roman" w:cs="Times New Roman"/>
          <w:sz w:val="24"/>
          <w:szCs w:val="24"/>
        </w:rPr>
        <w:t xml:space="preserve">related </w:t>
      </w:r>
      <w:r w:rsidRPr="00774EDB">
        <w:rPr>
          <w:rFonts w:ascii="Times New Roman" w:hAnsi="Times New Roman" w:cs="Times New Roman"/>
          <w:sz w:val="24"/>
          <w:szCs w:val="24"/>
        </w:rPr>
        <w:t>interoperability problems. Before delving into regulatory design of the appropriate model, it needs to be clarified whether the ex-ante or ex-post approaches need to be followed within this context.</w:t>
      </w:r>
    </w:p>
    <w:p w14:paraId="02C9F918" w14:textId="77777777" w:rsidR="002474D1" w:rsidRPr="00774EDB" w:rsidRDefault="00496DC8" w:rsidP="00A70042">
      <w:pPr>
        <w:pStyle w:val="Heading3"/>
        <w:numPr>
          <w:ilvl w:val="2"/>
          <w:numId w:val="33"/>
        </w:numPr>
        <w:spacing w:before="360"/>
        <w:ind w:left="0" w:firstLine="0"/>
        <w:jc w:val="both"/>
        <w:rPr>
          <w:rFonts w:ascii="Times New Roman" w:hAnsi="Times New Roman" w:cs="Times New Roman"/>
          <w:b/>
          <w:color w:val="auto"/>
        </w:rPr>
      </w:pPr>
      <w:bookmarkStart w:id="683" w:name="_Toc17611505"/>
      <w:bookmarkStart w:id="684" w:name="_Toc17611722"/>
      <w:bookmarkStart w:id="685" w:name="_Toc17611934"/>
      <w:bookmarkStart w:id="686" w:name="_Toc17612148"/>
      <w:bookmarkStart w:id="687" w:name="_Toc17612361"/>
      <w:bookmarkStart w:id="688" w:name="_Toc17611506"/>
      <w:bookmarkStart w:id="689" w:name="_Toc53576122"/>
      <w:bookmarkEnd w:id="683"/>
      <w:bookmarkEnd w:id="684"/>
      <w:bookmarkEnd w:id="685"/>
      <w:bookmarkEnd w:id="686"/>
      <w:bookmarkEnd w:id="687"/>
      <w:r w:rsidRPr="00774EDB">
        <w:rPr>
          <w:rFonts w:ascii="Times New Roman" w:hAnsi="Times New Roman" w:cs="Times New Roman"/>
          <w:b/>
          <w:color w:val="auto"/>
        </w:rPr>
        <w:t>Policy choices between ex ante and ex post</w:t>
      </w:r>
      <w:bookmarkEnd w:id="688"/>
      <w:bookmarkEnd w:id="689"/>
    </w:p>
    <w:p w14:paraId="2A034E6B" w14:textId="6FE77361" w:rsidR="008D5EEB" w:rsidRPr="00774EDB" w:rsidRDefault="00AC5679"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Although interoperability has so far figured as one of the important policy items of the EU agenda, it has not been translated into the ICT regulations at the equivalent level. While the ICT-based transformation, which is echoed in the fourth industrial revolution or Web 4.0 paradigm, has unraveled new challenges</w:t>
      </w:r>
      <w:r w:rsidR="00BC6039" w:rsidRPr="00774EDB">
        <w:rPr>
          <w:rFonts w:ascii="Times New Roman" w:hAnsi="Times New Roman" w:cs="Times New Roman"/>
          <w:sz w:val="24"/>
          <w:szCs w:val="24"/>
          <w:lang w:val="en-US"/>
        </w:rPr>
        <w:t xml:space="preserve"> </w:t>
      </w:r>
      <w:r w:rsidRPr="00774EDB">
        <w:rPr>
          <w:rFonts w:ascii="Times New Roman" w:hAnsi="Times New Roman" w:cs="Times New Roman"/>
          <w:sz w:val="24"/>
          <w:szCs w:val="24"/>
          <w:lang w:val="en-US"/>
        </w:rPr>
        <w:t>e.g. AI, cloud</w:t>
      </w:r>
      <w:r w:rsidR="00A11D68" w:rsidRPr="00774EDB">
        <w:rPr>
          <w:rFonts w:ascii="Times New Roman" w:hAnsi="Times New Roman" w:cs="Times New Roman"/>
          <w:sz w:val="24"/>
          <w:szCs w:val="24"/>
          <w:lang w:val="en-US"/>
        </w:rPr>
        <w:t xml:space="preserve"> computing</w:t>
      </w:r>
      <w:r w:rsidRPr="00774EDB">
        <w:rPr>
          <w:rFonts w:ascii="Times New Roman" w:hAnsi="Times New Roman" w:cs="Times New Roman"/>
          <w:sz w:val="24"/>
          <w:szCs w:val="24"/>
          <w:lang w:val="en-US"/>
        </w:rPr>
        <w:t xml:space="preserve">, IoT, these have yet to be resolved from a broader </w:t>
      </w:r>
      <w:r w:rsidR="00115C10" w:rsidRPr="00774EDB">
        <w:rPr>
          <w:rFonts w:ascii="Times New Roman" w:hAnsi="Times New Roman" w:cs="Times New Roman"/>
          <w:sz w:val="24"/>
          <w:szCs w:val="24"/>
          <w:lang w:val="en-US"/>
        </w:rPr>
        <w:t>interoperability</w:t>
      </w:r>
      <w:r w:rsidR="00115C10">
        <w:rPr>
          <w:rFonts w:ascii="Times New Roman" w:hAnsi="Times New Roman" w:cs="Times New Roman"/>
          <w:sz w:val="24"/>
          <w:szCs w:val="24"/>
          <w:lang w:val="en-US"/>
        </w:rPr>
        <w:t>-based</w:t>
      </w:r>
      <w:r w:rsidR="00115C10" w:rsidRPr="00774EDB">
        <w:rPr>
          <w:rFonts w:ascii="Times New Roman" w:hAnsi="Times New Roman" w:cs="Times New Roman"/>
          <w:sz w:val="24"/>
          <w:szCs w:val="24"/>
          <w:lang w:val="en-US"/>
        </w:rPr>
        <w:t xml:space="preserve"> </w:t>
      </w:r>
      <w:r w:rsidRPr="00774EDB">
        <w:rPr>
          <w:rFonts w:ascii="Times New Roman" w:hAnsi="Times New Roman" w:cs="Times New Roman"/>
          <w:sz w:val="24"/>
          <w:szCs w:val="24"/>
          <w:lang w:val="en-US"/>
        </w:rPr>
        <w:t>perspective.</w:t>
      </w:r>
    </w:p>
    <w:p w14:paraId="5C357D3D" w14:textId="12AD810B" w:rsidR="005678D5" w:rsidRPr="00774EDB" w:rsidRDefault="00A11D68"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lastRenderedPageBreak/>
        <w:t>EU IPR rules and safeguards, which are privately enforced, are of a limited role in this respect and hence ICT interoperability becomes much more of an issue to be solved by means of competition law and sector-specific ECRF rules.</w:t>
      </w:r>
      <w:r w:rsidR="005678D5" w:rsidRPr="00774EDB">
        <w:rPr>
          <w:rFonts w:ascii="Times New Roman" w:hAnsi="Times New Roman" w:cs="Times New Roman"/>
          <w:sz w:val="24"/>
          <w:szCs w:val="24"/>
          <w:lang w:val="en-US"/>
        </w:rPr>
        <w:t xml:space="preserve"> While under EU competition law there is no</w:t>
      </w:r>
      <w:r w:rsidR="00C12D02">
        <w:rPr>
          <w:rFonts w:ascii="Times New Roman" w:hAnsi="Times New Roman" w:cs="Times New Roman"/>
          <w:sz w:val="24"/>
          <w:szCs w:val="24"/>
          <w:lang w:val="en-US"/>
        </w:rPr>
        <w:t xml:space="preserve"> such</w:t>
      </w:r>
      <w:r w:rsidR="005678D5" w:rsidRPr="00774EDB">
        <w:rPr>
          <w:rFonts w:ascii="Times New Roman" w:hAnsi="Times New Roman" w:cs="Times New Roman"/>
          <w:sz w:val="24"/>
          <w:szCs w:val="24"/>
          <w:lang w:val="en-US"/>
        </w:rPr>
        <w:t xml:space="preserve"> a self-standing interoperability rule, the ECRF attributes a key underlying role to interoperability. Not only this stark distinction, but also the very nature of the ECRF e.g. more detailed, target-based and ICT-enabling character, would promise more responsive solutions to interoperability problems.</w:t>
      </w:r>
    </w:p>
    <w:p w14:paraId="0B126D26" w14:textId="73BE2FA3" w:rsidR="005678D5" w:rsidRPr="00774EDB" w:rsidRDefault="003F29D6"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From a broader point of view, </w:t>
      </w:r>
      <w:r w:rsidR="005678D5" w:rsidRPr="00774EDB">
        <w:rPr>
          <w:rFonts w:ascii="Times New Roman" w:hAnsi="Times New Roman" w:cs="Times New Roman"/>
          <w:sz w:val="24"/>
          <w:szCs w:val="24"/>
          <w:lang w:val="en-US"/>
        </w:rPr>
        <w:t>NRAs being equipped with wide-ranging roles and responsibilities i.e. authorization, monitoring, dispute resolution, access, tariff and competition measures, provides a comparative advantage over EU competition law, which mainly consists of ex-post remedies. While some competition law tools e.g. merger control entail ex-ante measures, these are applicable to the concentrative and/or cooperative relationships at hand, being limited to the related parties. For instance, the</w:t>
      </w:r>
      <w:r w:rsidR="005D615E" w:rsidRPr="00774EDB">
        <w:rPr>
          <w:rFonts w:ascii="Times New Roman" w:hAnsi="Times New Roman" w:cs="Times New Roman"/>
          <w:sz w:val="24"/>
          <w:szCs w:val="24"/>
          <w:lang w:val="en-US"/>
        </w:rPr>
        <w:t xml:space="preserve"> Commission’s</w:t>
      </w:r>
      <w:r w:rsidR="005678D5" w:rsidRPr="00774EDB">
        <w:rPr>
          <w:rFonts w:ascii="Times New Roman" w:hAnsi="Times New Roman" w:cs="Times New Roman"/>
          <w:sz w:val="24"/>
          <w:szCs w:val="24"/>
          <w:lang w:val="en-US"/>
        </w:rPr>
        <w:t xml:space="preserve"> </w:t>
      </w:r>
      <w:r w:rsidR="005678D5" w:rsidRPr="00774EDB">
        <w:rPr>
          <w:rFonts w:ascii="Times New Roman" w:hAnsi="Times New Roman" w:cs="Times New Roman"/>
          <w:i/>
          <w:sz w:val="24"/>
          <w:szCs w:val="24"/>
          <w:lang w:val="en-US"/>
        </w:rPr>
        <w:t>Microsoft/LinkedIn</w:t>
      </w:r>
      <w:r w:rsidR="005678D5" w:rsidRPr="00774EDB">
        <w:rPr>
          <w:rFonts w:ascii="Times New Roman" w:hAnsi="Times New Roman" w:cs="Times New Roman"/>
          <w:sz w:val="24"/>
          <w:szCs w:val="24"/>
          <w:lang w:val="en-US"/>
        </w:rPr>
        <w:t xml:space="preserve"> decision, whilst entailing a detailed and pro-interoperability intervention, is not applicable to the parties outside of the merger.</w:t>
      </w:r>
    </w:p>
    <w:p w14:paraId="6172EF3A" w14:textId="1FAAD89C" w:rsidR="00B843F1" w:rsidRPr="00774EDB" w:rsidRDefault="007526F4"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Arguably, competition law interventions such as the Commission’s 2004 </w:t>
      </w:r>
      <w:r w:rsidRPr="00774EDB">
        <w:rPr>
          <w:rFonts w:ascii="Times New Roman" w:hAnsi="Times New Roman" w:cs="Times New Roman"/>
          <w:i/>
          <w:sz w:val="24"/>
          <w:szCs w:val="24"/>
          <w:lang w:val="en-US"/>
        </w:rPr>
        <w:t xml:space="preserve">Microsoft </w:t>
      </w:r>
      <w:r w:rsidRPr="00774EDB">
        <w:rPr>
          <w:rFonts w:ascii="Times New Roman" w:hAnsi="Times New Roman" w:cs="Times New Roman"/>
          <w:sz w:val="24"/>
          <w:szCs w:val="24"/>
          <w:lang w:val="en-US"/>
        </w:rPr>
        <w:t xml:space="preserve">decision could have far-reaching implications, exceeding the boundaries of an ex-post remedy. Any super-dominant firm like Microsoft, subsequent to this decision, would have to either refrain from withdrawing the interfaces </w:t>
      </w:r>
      <w:r w:rsidR="00E7363A" w:rsidRPr="00774EDB">
        <w:rPr>
          <w:rFonts w:ascii="Times New Roman" w:hAnsi="Times New Roman" w:cs="Times New Roman"/>
          <w:sz w:val="24"/>
          <w:szCs w:val="24"/>
          <w:lang w:val="en-US"/>
        </w:rPr>
        <w:t>in order</w:t>
      </w:r>
      <w:r w:rsidRPr="00774EDB">
        <w:rPr>
          <w:rFonts w:ascii="Times New Roman" w:hAnsi="Times New Roman" w:cs="Times New Roman"/>
          <w:sz w:val="24"/>
          <w:szCs w:val="24"/>
          <w:lang w:val="en-US"/>
        </w:rPr>
        <w:t xml:space="preserve"> not to be considered as abusing its market power, or envision a long-term policy to not disclose any of their proprietary interfaces from the beginning.</w:t>
      </w:r>
      <w:r w:rsidRPr="00774EDB">
        <w:rPr>
          <w:rStyle w:val="FootnoteReference"/>
          <w:rFonts w:ascii="Times New Roman" w:hAnsi="Times New Roman" w:cs="Times New Roman"/>
          <w:sz w:val="24"/>
          <w:szCs w:val="24"/>
          <w:lang w:val="en-US"/>
        </w:rPr>
        <w:footnoteReference w:id="854"/>
      </w:r>
      <w:r w:rsidRPr="00774EDB">
        <w:rPr>
          <w:rFonts w:ascii="Times New Roman" w:hAnsi="Times New Roman" w:cs="Times New Roman"/>
          <w:sz w:val="24"/>
          <w:szCs w:val="24"/>
          <w:lang w:val="en-US"/>
        </w:rPr>
        <w:t xml:space="preserve"> </w:t>
      </w:r>
      <w:r w:rsidR="00E4494A">
        <w:rPr>
          <w:rFonts w:ascii="Times New Roman" w:hAnsi="Times New Roman" w:cs="Times New Roman"/>
          <w:sz w:val="24"/>
          <w:szCs w:val="24"/>
          <w:lang w:val="en-US"/>
        </w:rPr>
        <w:t>F</w:t>
      </w:r>
      <w:r w:rsidRPr="00774EDB">
        <w:rPr>
          <w:rFonts w:ascii="Times New Roman" w:hAnsi="Times New Roman" w:cs="Times New Roman"/>
          <w:sz w:val="24"/>
          <w:szCs w:val="24"/>
          <w:lang w:val="en-US"/>
        </w:rPr>
        <w:t xml:space="preserve">or </w:t>
      </w:r>
      <w:r w:rsidR="00E4494A">
        <w:rPr>
          <w:rFonts w:ascii="Times New Roman" w:hAnsi="Times New Roman" w:cs="Times New Roman"/>
          <w:sz w:val="24"/>
          <w:szCs w:val="24"/>
          <w:lang w:val="en-US"/>
        </w:rPr>
        <w:t>substantiating and evidencing an abuse of dominance</w:t>
      </w:r>
      <w:r w:rsidRPr="00774EDB">
        <w:rPr>
          <w:rFonts w:ascii="Times New Roman" w:hAnsi="Times New Roman" w:cs="Times New Roman"/>
          <w:sz w:val="24"/>
          <w:szCs w:val="24"/>
          <w:lang w:val="en-US"/>
        </w:rPr>
        <w:t xml:space="preserve">, resources to be deployed by the competition authorities would be enormous, considering the decade-long </w:t>
      </w:r>
      <w:r w:rsidRPr="00774EDB">
        <w:rPr>
          <w:rFonts w:ascii="Times New Roman" w:hAnsi="Times New Roman" w:cs="Times New Roman"/>
          <w:i/>
          <w:sz w:val="24"/>
          <w:szCs w:val="24"/>
          <w:lang w:val="en-US"/>
        </w:rPr>
        <w:t>Microsoft</w:t>
      </w:r>
      <w:r w:rsidRPr="00774EDB">
        <w:rPr>
          <w:rFonts w:ascii="Times New Roman" w:hAnsi="Times New Roman" w:cs="Times New Roman"/>
          <w:sz w:val="24"/>
          <w:szCs w:val="24"/>
          <w:lang w:val="en-US"/>
        </w:rPr>
        <w:t xml:space="preserve"> case. Not only the duration but also </w:t>
      </w:r>
      <w:r w:rsidRPr="00774EDB">
        <w:rPr>
          <w:rFonts w:ascii="Times New Roman" w:hAnsi="Times New Roman" w:cs="Times New Roman"/>
          <w:sz w:val="24"/>
          <w:szCs w:val="24"/>
          <w:lang w:val="en-US"/>
        </w:rPr>
        <w:lastRenderedPageBreak/>
        <w:t xml:space="preserve">the uneven standards applied in </w:t>
      </w:r>
      <w:r w:rsidRPr="00774EDB">
        <w:rPr>
          <w:rFonts w:ascii="Times New Roman" w:hAnsi="Times New Roman" w:cs="Times New Roman"/>
          <w:i/>
          <w:sz w:val="24"/>
          <w:szCs w:val="24"/>
          <w:lang w:val="en-US"/>
        </w:rPr>
        <w:t>Microsoft</w:t>
      </w:r>
      <w:r w:rsidRPr="00774EDB">
        <w:rPr>
          <w:rFonts w:ascii="Times New Roman" w:hAnsi="Times New Roman" w:cs="Times New Roman"/>
          <w:sz w:val="24"/>
          <w:szCs w:val="24"/>
          <w:lang w:val="en-US"/>
        </w:rPr>
        <w:t xml:space="preserve"> pose a hazy ground for any intervention of th</w:t>
      </w:r>
      <w:r w:rsidR="00E4494A">
        <w:rPr>
          <w:rFonts w:ascii="Times New Roman" w:hAnsi="Times New Roman" w:cs="Times New Roman"/>
          <w:sz w:val="24"/>
          <w:szCs w:val="24"/>
          <w:lang w:val="en-US"/>
        </w:rPr>
        <w:t>is</w:t>
      </w:r>
      <w:r w:rsidRPr="00774EDB">
        <w:rPr>
          <w:rFonts w:ascii="Times New Roman" w:hAnsi="Times New Roman" w:cs="Times New Roman"/>
          <w:sz w:val="24"/>
          <w:szCs w:val="24"/>
          <w:lang w:val="en-US"/>
        </w:rPr>
        <w:t xml:space="preserve"> kind and elevates the uncertainty for the market actors. Remarkably, the emergent uncertainty would easily disrupt the </w:t>
      </w:r>
      <w:r w:rsidR="00FA58CD">
        <w:rPr>
          <w:rFonts w:ascii="Times New Roman" w:hAnsi="Times New Roman" w:cs="Times New Roman"/>
          <w:sz w:val="24"/>
          <w:szCs w:val="24"/>
          <w:lang w:val="en-US"/>
        </w:rPr>
        <w:t>uneasy</w:t>
      </w:r>
      <w:r w:rsidRPr="00774EDB">
        <w:rPr>
          <w:rFonts w:ascii="Times New Roman" w:hAnsi="Times New Roman" w:cs="Times New Roman"/>
          <w:sz w:val="24"/>
          <w:szCs w:val="24"/>
          <w:lang w:val="en-US"/>
        </w:rPr>
        <w:t xml:space="preserve"> balance between </w:t>
      </w:r>
      <w:r w:rsidR="00C46FB6" w:rsidRPr="00774EDB">
        <w:rPr>
          <w:rFonts w:ascii="Times New Roman" w:hAnsi="Times New Roman" w:cs="Times New Roman"/>
          <w:sz w:val="24"/>
          <w:szCs w:val="24"/>
          <w:lang w:val="en-US"/>
        </w:rPr>
        <w:t xml:space="preserve">the short-term and long-term </w:t>
      </w:r>
      <w:r w:rsidRPr="00774EDB">
        <w:rPr>
          <w:rFonts w:ascii="Times New Roman" w:hAnsi="Times New Roman" w:cs="Times New Roman"/>
          <w:sz w:val="24"/>
          <w:szCs w:val="24"/>
          <w:lang w:val="en-US"/>
        </w:rPr>
        <w:t>competition in favour of the former</w:t>
      </w:r>
      <w:r w:rsidR="00C46FB6" w:rsidRPr="00774EDB">
        <w:rPr>
          <w:rFonts w:ascii="Times New Roman" w:hAnsi="Times New Roman" w:cs="Times New Roman"/>
          <w:sz w:val="24"/>
          <w:szCs w:val="24"/>
          <w:lang w:val="en-US"/>
        </w:rPr>
        <w:t xml:space="preserve"> along with po</w:t>
      </w:r>
      <w:r w:rsidR="002A3401">
        <w:rPr>
          <w:rFonts w:ascii="Times New Roman" w:hAnsi="Times New Roman" w:cs="Times New Roman"/>
          <w:sz w:val="24"/>
          <w:szCs w:val="24"/>
          <w:lang w:val="en-US"/>
        </w:rPr>
        <w:t>tential</w:t>
      </w:r>
      <w:r w:rsidR="00C46FB6" w:rsidRPr="00774EDB">
        <w:rPr>
          <w:rFonts w:ascii="Times New Roman" w:hAnsi="Times New Roman" w:cs="Times New Roman"/>
          <w:sz w:val="24"/>
          <w:szCs w:val="24"/>
          <w:lang w:val="en-US"/>
        </w:rPr>
        <w:t>ly lessened innovation</w:t>
      </w:r>
      <w:r w:rsidRPr="00774EDB">
        <w:rPr>
          <w:rFonts w:ascii="Times New Roman" w:hAnsi="Times New Roman" w:cs="Times New Roman"/>
          <w:sz w:val="24"/>
          <w:szCs w:val="24"/>
          <w:lang w:val="en-US"/>
        </w:rPr>
        <w:t>. From this viewpoint, establishing and maintaining the trade-off between these two goals is hardly achievable under the EU competition law precedents.</w:t>
      </w:r>
      <w:r w:rsidR="00421274" w:rsidRPr="00774EDB">
        <w:rPr>
          <w:rFonts w:ascii="Times New Roman" w:hAnsi="Times New Roman" w:cs="Times New Roman"/>
          <w:sz w:val="24"/>
          <w:szCs w:val="24"/>
          <w:lang w:val="en-US"/>
        </w:rPr>
        <w:t xml:space="preserve">   </w:t>
      </w:r>
    </w:p>
    <w:p w14:paraId="53CABE55" w14:textId="7CEEAF5D" w:rsidR="00A57DA6" w:rsidRPr="00774EDB" w:rsidRDefault="000F05EF" w:rsidP="00106D30">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On the other hand, </w:t>
      </w:r>
      <w:r w:rsidR="00A57DA6" w:rsidRPr="00774EDB">
        <w:rPr>
          <w:rFonts w:ascii="Times New Roman" w:hAnsi="Times New Roman" w:cs="Times New Roman"/>
          <w:sz w:val="24"/>
          <w:szCs w:val="24"/>
          <w:lang w:val="en-US"/>
        </w:rPr>
        <w:t xml:space="preserve">at the disposal of NRAs which are in charge of implementing the ECRF, are </w:t>
      </w:r>
      <w:r w:rsidRPr="00774EDB">
        <w:rPr>
          <w:rFonts w:ascii="Times New Roman" w:hAnsi="Times New Roman" w:cs="Times New Roman"/>
          <w:sz w:val="24"/>
          <w:szCs w:val="24"/>
          <w:lang w:val="en-US"/>
        </w:rPr>
        <w:t xml:space="preserve">timely and directly applicable rules and remedies. </w:t>
      </w:r>
      <w:r w:rsidR="002A3401">
        <w:rPr>
          <w:rFonts w:ascii="Times New Roman" w:hAnsi="Times New Roman" w:cs="Times New Roman"/>
          <w:sz w:val="24"/>
          <w:szCs w:val="24"/>
          <w:lang w:val="en-US"/>
        </w:rPr>
        <w:t>To emphasize</w:t>
      </w:r>
      <w:r w:rsidRPr="00774EDB">
        <w:rPr>
          <w:rFonts w:ascii="Times New Roman" w:hAnsi="Times New Roman" w:cs="Times New Roman"/>
          <w:sz w:val="24"/>
          <w:szCs w:val="24"/>
          <w:lang w:val="en-US"/>
        </w:rPr>
        <w:t xml:space="preserve">, ‘interoperability’ is </w:t>
      </w:r>
      <w:r w:rsidR="00A57DA6" w:rsidRPr="00774EDB">
        <w:rPr>
          <w:rFonts w:ascii="Times New Roman" w:hAnsi="Times New Roman" w:cs="Times New Roman"/>
          <w:sz w:val="24"/>
          <w:szCs w:val="24"/>
          <w:lang w:val="en-US"/>
        </w:rPr>
        <w:t>attributed a key role under</w:t>
      </w:r>
      <w:r w:rsidRPr="00774EDB">
        <w:rPr>
          <w:rFonts w:ascii="Times New Roman" w:hAnsi="Times New Roman" w:cs="Times New Roman"/>
          <w:sz w:val="24"/>
          <w:szCs w:val="24"/>
          <w:lang w:val="en-US"/>
        </w:rPr>
        <w:t xml:space="preserve"> the ECRF, although designed as subordinated to interconnection, end-to-end connectivity, etc. When certain harms e.g. regarding end-to-end connectivity and access to emergency services are at stake, access and interoperability remedies could be applied without regard to ‘consumer welfare’</w:t>
      </w:r>
      <w:r w:rsidR="00A57DA6" w:rsidRPr="00774EDB">
        <w:rPr>
          <w:rFonts w:ascii="Times New Roman" w:hAnsi="Times New Roman" w:cs="Times New Roman"/>
          <w:sz w:val="24"/>
          <w:szCs w:val="24"/>
          <w:lang w:val="en-US"/>
        </w:rPr>
        <w:t xml:space="preserve">, which requires elaboration of likely costs and benefits in case-by-case analysis. </w:t>
      </w:r>
      <w:r w:rsidR="006C21D1" w:rsidRPr="00774EDB">
        <w:rPr>
          <w:rFonts w:ascii="Times New Roman" w:hAnsi="Times New Roman" w:cs="Times New Roman"/>
          <w:sz w:val="24"/>
          <w:szCs w:val="24"/>
          <w:lang w:val="en-US"/>
        </w:rPr>
        <w:t>While th</w:t>
      </w:r>
      <w:r w:rsidR="000F5B00">
        <w:rPr>
          <w:rFonts w:ascii="Times New Roman" w:hAnsi="Times New Roman" w:cs="Times New Roman"/>
          <w:sz w:val="24"/>
          <w:szCs w:val="24"/>
          <w:lang w:val="en-US"/>
        </w:rPr>
        <w:t>e</w:t>
      </w:r>
      <w:r w:rsidR="006C21D1" w:rsidRPr="00774EDB">
        <w:rPr>
          <w:rFonts w:ascii="Times New Roman" w:hAnsi="Times New Roman" w:cs="Times New Roman"/>
          <w:sz w:val="24"/>
          <w:szCs w:val="24"/>
          <w:lang w:val="en-US"/>
        </w:rPr>
        <w:t xml:space="preserve"> </w:t>
      </w:r>
      <w:r w:rsidR="000F5B00">
        <w:rPr>
          <w:rFonts w:ascii="Times New Roman" w:hAnsi="Times New Roman" w:cs="Times New Roman"/>
          <w:sz w:val="24"/>
          <w:szCs w:val="24"/>
          <w:lang w:val="en-US"/>
        </w:rPr>
        <w:t xml:space="preserve">latter, </w:t>
      </w:r>
      <w:r w:rsidR="008F02E9" w:rsidRPr="00774EDB">
        <w:rPr>
          <w:rFonts w:ascii="Times New Roman" w:hAnsi="Times New Roman" w:cs="Times New Roman"/>
          <w:sz w:val="24"/>
          <w:szCs w:val="24"/>
          <w:lang w:val="en-US"/>
        </w:rPr>
        <w:t>basically competition law grounded</w:t>
      </w:r>
      <w:r w:rsidR="000F5B00">
        <w:rPr>
          <w:rFonts w:ascii="Times New Roman" w:hAnsi="Times New Roman" w:cs="Times New Roman"/>
          <w:sz w:val="24"/>
          <w:szCs w:val="24"/>
          <w:lang w:val="en-US"/>
        </w:rPr>
        <w:t>,</w:t>
      </w:r>
      <w:r w:rsidR="008F02E9" w:rsidRPr="00774EDB">
        <w:rPr>
          <w:rFonts w:ascii="Times New Roman" w:hAnsi="Times New Roman" w:cs="Times New Roman"/>
          <w:sz w:val="24"/>
          <w:szCs w:val="24"/>
          <w:lang w:val="en-US"/>
        </w:rPr>
        <w:t xml:space="preserve"> </w:t>
      </w:r>
      <w:r w:rsidR="006C21D1" w:rsidRPr="00774EDB">
        <w:rPr>
          <w:rFonts w:ascii="Times New Roman" w:hAnsi="Times New Roman" w:cs="Times New Roman"/>
          <w:sz w:val="24"/>
          <w:szCs w:val="24"/>
          <w:lang w:val="en-US"/>
        </w:rPr>
        <w:t>approach promises more elaborate and substantiated findings, th</w:t>
      </w:r>
      <w:r w:rsidR="00326DA5" w:rsidRPr="00774EDB">
        <w:rPr>
          <w:rFonts w:ascii="Times New Roman" w:hAnsi="Times New Roman" w:cs="Times New Roman"/>
          <w:sz w:val="24"/>
          <w:szCs w:val="24"/>
          <w:lang w:val="en-US"/>
        </w:rPr>
        <w:t>is</w:t>
      </w:r>
      <w:r w:rsidR="006C21D1" w:rsidRPr="00774EDB">
        <w:rPr>
          <w:rFonts w:ascii="Times New Roman" w:hAnsi="Times New Roman" w:cs="Times New Roman"/>
          <w:sz w:val="24"/>
          <w:szCs w:val="24"/>
          <w:lang w:val="en-US"/>
        </w:rPr>
        <w:t xml:space="preserve"> would come up with </w:t>
      </w:r>
      <w:r w:rsidR="00326DA5" w:rsidRPr="00774EDB">
        <w:rPr>
          <w:rFonts w:ascii="Times New Roman" w:hAnsi="Times New Roman" w:cs="Times New Roman"/>
          <w:sz w:val="24"/>
          <w:szCs w:val="24"/>
          <w:lang w:val="en-US"/>
        </w:rPr>
        <w:t xml:space="preserve">undeniable costs </w:t>
      </w:r>
      <w:r w:rsidR="008F02E9" w:rsidRPr="00774EDB">
        <w:rPr>
          <w:rFonts w:ascii="Times New Roman" w:hAnsi="Times New Roman" w:cs="Times New Roman"/>
          <w:sz w:val="24"/>
          <w:szCs w:val="24"/>
          <w:lang w:val="en-US"/>
        </w:rPr>
        <w:t xml:space="preserve">e.g. ineffective and belated solutions, </w:t>
      </w:r>
      <w:r w:rsidR="00326DA5" w:rsidRPr="00774EDB">
        <w:rPr>
          <w:rFonts w:ascii="Times New Roman" w:hAnsi="Times New Roman" w:cs="Times New Roman"/>
          <w:sz w:val="24"/>
          <w:szCs w:val="24"/>
          <w:lang w:val="en-US"/>
        </w:rPr>
        <w:t>for it looks at the</w:t>
      </w:r>
      <w:r w:rsidR="006C21D1" w:rsidRPr="00774EDB">
        <w:rPr>
          <w:rFonts w:ascii="Times New Roman" w:hAnsi="Times New Roman" w:cs="Times New Roman"/>
          <w:sz w:val="24"/>
          <w:szCs w:val="24"/>
          <w:lang w:val="en-US"/>
        </w:rPr>
        <w:t xml:space="preserve"> entirety of the circumstances </w:t>
      </w:r>
      <w:r w:rsidR="008F02E9" w:rsidRPr="00774EDB">
        <w:rPr>
          <w:rFonts w:ascii="Times New Roman" w:hAnsi="Times New Roman" w:cs="Times New Roman"/>
          <w:sz w:val="24"/>
          <w:szCs w:val="24"/>
          <w:lang w:val="en-US"/>
        </w:rPr>
        <w:t>through long-lasting investigations</w:t>
      </w:r>
      <w:r w:rsidR="00326DA5" w:rsidRPr="00774EDB">
        <w:rPr>
          <w:rFonts w:ascii="Times New Roman" w:hAnsi="Times New Roman" w:cs="Times New Roman"/>
          <w:sz w:val="24"/>
          <w:szCs w:val="24"/>
          <w:lang w:val="en-US"/>
        </w:rPr>
        <w:t>.</w:t>
      </w:r>
      <w:r w:rsidR="006C21D1" w:rsidRPr="00774EDB">
        <w:rPr>
          <w:rFonts w:ascii="Times New Roman" w:hAnsi="Times New Roman" w:cs="Times New Roman"/>
          <w:sz w:val="24"/>
          <w:szCs w:val="24"/>
          <w:lang w:val="en-US"/>
        </w:rPr>
        <w:t xml:space="preserve"> </w:t>
      </w:r>
      <w:r w:rsidR="00FA58CD">
        <w:rPr>
          <w:rFonts w:ascii="Times New Roman" w:hAnsi="Times New Roman" w:cs="Times New Roman"/>
          <w:sz w:val="24"/>
          <w:szCs w:val="24"/>
          <w:lang w:val="en-US"/>
        </w:rPr>
        <w:t>A</w:t>
      </w:r>
      <w:r w:rsidR="00BF6BCB">
        <w:rPr>
          <w:rFonts w:ascii="Times New Roman" w:hAnsi="Times New Roman" w:cs="Times New Roman"/>
          <w:sz w:val="24"/>
          <w:szCs w:val="24"/>
          <w:lang w:val="en-US"/>
        </w:rPr>
        <w:t>ll</w:t>
      </w:r>
      <w:r w:rsidR="00837392">
        <w:rPr>
          <w:rFonts w:ascii="Times New Roman" w:hAnsi="Times New Roman" w:cs="Times New Roman"/>
          <w:sz w:val="24"/>
          <w:szCs w:val="24"/>
          <w:lang w:val="en-US"/>
        </w:rPr>
        <w:t xml:space="preserve"> the underlying circumstances being considered in each case</w:t>
      </w:r>
      <w:r w:rsidR="00FA58CD">
        <w:rPr>
          <w:rFonts w:ascii="Times New Roman" w:hAnsi="Times New Roman" w:cs="Times New Roman"/>
          <w:sz w:val="24"/>
          <w:szCs w:val="24"/>
          <w:lang w:val="en-US"/>
        </w:rPr>
        <w:t xml:space="preserve">, </w:t>
      </w:r>
      <w:r w:rsidR="00837392">
        <w:rPr>
          <w:rFonts w:ascii="Times New Roman" w:hAnsi="Times New Roman" w:cs="Times New Roman"/>
          <w:sz w:val="24"/>
          <w:szCs w:val="24"/>
          <w:lang w:val="en-US"/>
        </w:rPr>
        <w:t>is ironically deemed to be an important aspect of competition law</w:t>
      </w:r>
      <w:r w:rsidR="00106D30">
        <w:rPr>
          <w:rFonts w:ascii="Times New Roman" w:hAnsi="Times New Roman" w:cs="Times New Roman"/>
          <w:sz w:val="24"/>
          <w:szCs w:val="24"/>
          <w:lang w:val="en-US"/>
        </w:rPr>
        <w:t xml:space="preserve">; however, not only the accompanying cost for this but also the inadequateness of </w:t>
      </w:r>
      <w:r w:rsidR="00106D30" w:rsidRPr="00106D30">
        <w:rPr>
          <w:rFonts w:ascii="Times New Roman" w:hAnsi="Times New Roman" w:cs="Times New Roman"/>
          <w:sz w:val="24"/>
          <w:szCs w:val="24"/>
          <w:lang w:val="en-US"/>
        </w:rPr>
        <w:t xml:space="preserve">the </w:t>
      </w:r>
      <w:r w:rsidR="00106D30">
        <w:rPr>
          <w:rFonts w:ascii="Times New Roman" w:hAnsi="Times New Roman" w:cs="Times New Roman"/>
          <w:sz w:val="24"/>
          <w:szCs w:val="24"/>
          <w:lang w:val="en-US"/>
        </w:rPr>
        <w:t xml:space="preserve">underlying </w:t>
      </w:r>
      <w:r w:rsidR="00106D30" w:rsidRPr="00106D30">
        <w:rPr>
          <w:rFonts w:ascii="Times New Roman" w:hAnsi="Times New Roman" w:cs="Times New Roman"/>
          <w:sz w:val="24"/>
          <w:szCs w:val="24"/>
          <w:lang w:val="en-US"/>
        </w:rPr>
        <w:t xml:space="preserve">notion of </w:t>
      </w:r>
      <w:r w:rsidR="00106D30">
        <w:rPr>
          <w:rFonts w:ascii="Times New Roman" w:hAnsi="Times New Roman" w:cs="Times New Roman"/>
          <w:sz w:val="24"/>
          <w:szCs w:val="24"/>
          <w:lang w:val="en-US"/>
        </w:rPr>
        <w:t>‘</w:t>
      </w:r>
      <w:r w:rsidR="00106D30" w:rsidRPr="00106D30">
        <w:rPr>
          <w:rFonts w:ascii="Times New Roman" w:hAnsi="Times New Roman" w:cs="Times New Roman"/>
          <w:sz w:val="24"/>
          <w:szCs w:val="24"/>
          <w:lang w:val="en-US"/>
        </w:rPr>
        <w:t>consumer welfare</w:t>
      </w:r>
      <w:r w:rsidR="00106D30">
        <w:rPr>
          <w:rFonts w:ascii="Times New Roman" w:hAnsi="Times New Roman" w:cs="Times New Roman"/>
          <w:sz w:val="24"/>
          <w:szCs w:val="24"/>
          <w:lang w:val="en-US"/>
        </w:rPr>
        <w:t>’</w:t>
      </w:r>
      <w:r w:rsidR="00106D30" w:rsidRPr="00106D30">
        <w:rPr>
          <w:rFonts w:ascii="Times New Roman" w:hAnsi="Times New Roman" w:cs="Times New Roman"/>
          <w:sz w:val="24"/>
          <w:szCs w:val="24"/>
          <w:lang w:val="en-US"/>
        </w:rPr>
        <w:t xml:space="preserve"> </w:t>
      </w:r>
      <w:r w:rsidR="00106D30">
        <w:rPr>
          <w:rFonts w:ascii="Times New Roman" w:hAnsi="Times New Roman" w:cs="Times New Roman"/>
          <w:sz w:val="24"/>
          <w:szCs w:val="24"/>
          <w:lang w:val="en-US"/>
        </w:rPr>
        <w:t>is compelling for a broader regulatory thinking.</w:t>
      </w:r>
      <w:r w:rsidR="00106D30">
        <w:rPr>
          <w:rStyle w:val="FootnoteReference"/>
          <w:rFonts w:ascii="Times New Roman" w:hAnsi="Times New Roman" w:cs="Times New Roman"/>
          <w:sz w:val="24"/>
          <w:szCs w:val="24"/>
          <w:lang w:val="en-US"/>
        </w:rPr>
        <w:footnoteReference w:id="855"/>
      </w:r>
      <w:r w:rsidR="006C21D1" w:rsidRPr="00774EDB">
        <w:rPr>
          <w:rFonts w:ascii="Times New Roman" w:hAnsi="Times New Roman" w:cs="Times New Roman"/>
          <w:sz w:val="24"/>
          <w:szCs w:val="24"/>
          <w:lang w:val="en-US"/>
        </w:rPr>
        <w:t xml:space="preserve"> </w:t>
      </w:r>
    </w:p>
    <w:p w14:paraId="7B410419" w14:textId="089DCA8A" w:rsidR="00D07907" w:rsidRPr="00774EDB" w:rsidRDefault="00106D30" w:rsidP="00A70042">
      <w:pPr>
        <w:spacing w:before="360"/>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A</w:t>
      </w:r>
      <w:r w:rsidR="00326DA5" w:rsidRPr="00774EDB">
        <w:rPr>
          <w:rFonts w:ascii="Times New Roman" w:hAnsi="Times New Roman" w:cs="Times New Roman"/>
          <w:sz w:val="24"/>
          <w:szCs w:val="24"/>
          <w:lang w:val="en-US"/>
        </w:rPr>
        <w:t xml:space="preserve"> good harmonisation of static and dynamic rule making, </w:t>
      </w:r>
      <w:r w:rsidR="00242333">
        <w:rPr>
          <w:rFonts w:ascii="Times New Roman" w:hAnsi="Times New Roman" w:cs="Times New Roman"/>
          <w:sz w:val="24"/>
          <w:szCs w:val="24"/>
          <w:lang w:val="en-US"/>
        </w:rPr>
        <w:t>i</w:t>
      </w:r>
      <w:r w:rsidR="00326DA5" w:rsidRPr="00774EDB">
        <w:rPr>
          <w:rFonts w:ascii="Times New Roman" w:hAnsi="Times New Roman" w:cs="Times New Roman"/>
          <w:sz w:val="24"/>
          <w:szCs w:val="24"/>
          <w:lang w:val="en-US"/>
        </w:rPr>
        <w:t>s implicated in many areas of DSM initiative,</w:t>
      </w:r>
      <w:r w:rsidR="008F02E9" w:rsidRPr="00774EDB">
        <w:rPr>
          <w:rStyle w:val="FootnoteReference"/>
          <w:rFonts w:ascii="Times New Roman" w:hAnsi="Times New Roman" w:cs="Times New Roman"/>
          <w:sz w:val="24"/>
          <w:szCs w:val="24"/>
          <w:lang w:val="en-US"/>
        </w:rPr>
        <w:footnoteReference w:id="856"/>
      </w:r>
      <w:r w:rsidR="00326DA5" w:rsidRPr="00774EDB">
        <w:rPr>
          <w:rFonts w:ascii="Times New Roman" w:hAnsi="Times New Roman" w:cs="Times New Roman"/>
          <w:sz w:val="24"/>
          <w:szCs w:val="24"/>
          <w:lang w:val="en-US"/>
        </w:rPr>
        <w:t xml:space="preserve"> </w:t>
      </w:r>
      <w:r>
        <w:rPr>
          <w:rFonts w:ascii="Times New Roman" w:hAnsi="Times New Roman" w:cs="Times New Roman"/>
          <w:sz w:val="24"/>
          <w:szCs w:val="24"/>
          <w:lang w:val="en-US"/>
        </w:rPr>
        <w:t>reflecting this broader thinking, if not sufficiently</w:t>
      </w:r>
      <w:r w:rsidR="00F66652">
        <w:rPr>
          <w:rFonts w:ascii="Times New Roman" w:hAnsi="Times New Roman" w:cs="Times New Roman"/>
          <w:sz w:val="24"/>
          <w:szCs w:val="24"/>
          <w:lang w:val="en-US"/>
        </w:rPr>
        <w:t>,</w:t>
      </w:r>
      <w:r>
        <w:rPr>
          <w:rFonts w:ascii="Times New Roman" w:hAnsi="Times New Roman" w:cs="Times New Roman"/>
          <w:sz w:val="24"/>
          <w:szCs w:val="24"/>
          <w:lang w:val="en-US"/>
        </w:rPr>
        <w:t xml:space="preserve"> and </w:t>
      </w:r>
      <w:r w:rsidR="00242333">
        <w:rPr>
          <w:rFonts w:ascii="Times New Roman" w:hAnsi="Times New Roman" w:cs="Times New Roman"/>
          <w:sz w:val="24"/>
          <w:szCs w:val="24"/>
          <w:lang w:val="en-US"/>
        </w:rPr>
        <w:t>having the potential to</w:t>
      </w:r>
      <w:r w:rsidR="00242333" w:rsidRPr="00774EDB">
        <w:rPr>
          <w:rFonts w:ascii="Times New Roman" w:hAnsi="Times New Roman" w:cs="Times New Roman"/>
          <w:sz w:val="24"/>
          <w:szCs w:val="24"/>
          <w:lang w:val="en-US"/>
        </w:rPr>
        <w:t xml:space="preserve"> </w:t>
      </w:r>
      <w:r w:rsidR="00326DA5" w:rsidRPr="00774EDB">
        <w:rPr>
          <w:rFonts w:ascii="Times New Roman" w:hAnsi="Times New Roman" w:cs="Times New Roman"/>
          <w:sz w:val="24"/>
          <w:szCs w:val="24"/>
          <w:lang w:val="en-US"/>
        </w:rPr>
        <w:t xml:space="preserve">promise effective </w:t>
      </w:r>
      <w:r w:rsidR="00F8646B" w:rsidRPr="00774EDB">
        <w:rPr>
          <w:rFonts w:ascii="Times New Roman" w:hAnsi="Times New Roman" w:cs="Times New Roman"/>
          <w:sz w:val="24"/>
          <w:szCs w:val="24"/>
          <w:lang w:val="en-US"/>
        </w:rPr>
        <w:t xml:space="preserve">and timely </w:t>
      </w:r>
      <w:r w:rsidR="00326DA5" w:rsidRPr="00774EDB">
        <w:rPr>
          <w:rFonts w:ascii="Times New Roman" w:hAnsi="Times New Roman" w:cs="Times New Roman"/>
          <w:sz w:val="24"/>
          <w:szCs w:val="24"/>
          <w:lang w:val="en-US"/>
        </w:rPr>
        <w:t xml:space="preserve">results in </w:t>
      </w:r>
      <w:r w:rsidR="00242333">
        <w:rPr>
          <w:rFonts w:ascii="Times New Roman" w:hAnsi="Times New Roman" w:cs="Times New Roman"/>
          <w:sz w:val="24"/>
          <w:szCs w:val="24"/>
          <w:lang w:val="en-US"/>
        </w:rPr>
        <w:t>terms of</w:t>
      </w:r>
      <w:r w:rsidR="00242333" w:rsidRPr="00774EDB">
        <w:rPr>
          <w:rFonts w:ascii="Times New Roman" w:hAnsi="Times New Roman" w:cs="Times New Roman"/>
          <w:sz w:val="24"/>
          <w:szCs w:val="24"/>
          <w:lang w:val="en-US"/>
        </w:rPr>
        <w:t xml:space="preserve"> </w:t>
      </w:r>
      <w:r w:rsidR="00326DA5" w:rsidRPr="00774EDB">
        <w:rPr>
          <w:rFonts w:ascii="Times New Roman" w:hAnsi="Times New Roman" w:cs="Times New Roman"/>
          <w:sz w:val="24"/>
          <w:szCs w:val="24"/>
          <w:lang w:val="en-US"/>
        </w:rPr>
        <w:t xml:space="preserve">consumer satisfaction and interests. </w:t>
      </w:r>
      <w:r w:rsidR="00242333">
        <w:rPr>
          <w:rFonts w:ascii="Times New Roman" w:hAnsi="Times New Roman" w:cs="Times New Roman"/>
          <w:sz w:val="24"/>
          <w:szCs w:val="24"/>
          <w:lang w:val="en-US"/>
        </w:rPr>
        <w:t xml:space="preserve">Likewise, </w:t>
      </w:r>
      <w:r w:rsidR="00BD33CD">
        <w:rPr>
          <w:rFonts w:ascii="Times New Roman" w:hAnsi="Times New Roman" w:cs="Times New Roman"/>
          <w:sz w:val="24"/>
          <w:szCs w:val="24"/>
          <w:lang w:val="en-US"/>
        </w:rPr>
        <w:t>represent</w:t>
      </w:r>
      <w:r w:rsidR="00242333">
        <w:rPr>
          <w:rFonts w:ascii="Times New Roman" w:hAnsi="Times New Roman" w:cs="Times New Roman"/>
          <w:sz w:val="24"/>
          <w:szCs w:val="24"/>
          <w:lang w:val="en-US"/>
        </w:rPr>
        <w:t>ing</w:t>
      </w:r>
      <w:r w:rsidR="00326DA5" w:rsidRPr="00774EDB">
        <w:rPr>
          <w:rFonts w:ascii="Times New Roman" w:hAnsi="Times New Roman" w:cs="Times New Roman"/>
          <w:sz w:val="24"/>
          <w:szCs w:val="24"/>
          <w:lang w:val="en-US"/>
        </w:rPr>
        <w:t xml:space="preserve"> a consumer-oriented regulatory </w:t>
      </w:r>
      <w:r w:rsidR="008F02E9" w:rsidRPr="00774EDB">
        <w:rPr>
          <w:rFonts w:ascii="Times New Roman" w:hAnsi="Times New Roman" w:cs="Times New Roman"/>
          <w:sz w:val="24"/>
          <w:szCs w:val="24"/>
          <w:lang w:val="en-US"/>
        </w:rPr>
        <w:t>framework</w:t>
      </w:r>
      <w:r w:rsidR="00326DA5" w:rsidRPr="00774EDB">
        <w:rPr>
          <w:rFonts w:ascii="Times New Roman" w:hAnsi="Times New Roman" w:cs="Times New Roman"/>
          <w:sz w:val="24"/>
          <w:szCs w:val="24"/>
          <w:lang w:val="en-US"/>
        </w:rPr>
        <w:t xml:space="preserve"> under which both dynamic and static elements co-exist, </w:t>
      </w:r>
      <w:r w:rsidR="00242333">
        <w:rPr>
          <w:rFonts w:ascii="Times New Roman" w:hAnsi="Times New Roman" w:cs="Times New Roman"/>
          <w:sz w:val="24"/>
          <w:szCs w:val="24"/>
          <w:lang w:val="en-US"/>
        </w:rPr>
        <w:t xml:space="preserve">ECRF </w:t>
      </w:r>
      <w:r w:rsidR="00112DE3">
        <w:rPr>
          <w:rFonts w:ascii="Times New Roman" w:hAnsi="Times New Roman" w:cs="Times New Roman"/>
          <w:sz w:val="24"/>
          <w:szCs w:val="24"/>
          <w:lang w:val="en-US"/>
        </w:rPr>
        <w:t>incorporates</w:t>
      </w:r>
      <w:r w:rsidR="008F02E9" w:rsidRPr="00774EDB">
        <w:rPr>
          <w:rFonts w:ascii="Times New Roman" w:hAnsi="Times New Roman" w:cs="Times New Roman"/>
          <w:sz w:val="24"/>
          <w:szCs w:val="24"/>
          <w:lang w:val="en-US"/>
        </w:rPr>
        <w:t xml:space="preserve"> a </w:t>
      </w:r>
      <w:r w:rsidR="00112DE3">
        <w:rPr>
          <w:rFonts w:ascii="Times New Roman" w:hAnsi="Times New Roman" w:cs="Times New Roman"/>
          <w:sz w:val="24"/>
          <w:szCs w:val="24"/>
          <w:lang w:val="en-US"/>
        </w:rPr>
        <w:t xml:space="preserve">set of </w:t>
      </w:r>
      <w:r w:rsidR="00BD33CD">
        <w:rPr>
          <w:rFonts w:ascii="Times New Roman" w:hAnsi="Times New Roman" w:cs="Times New Roman"/>
          <w:sz w:val="24"/>
          <w:szCs w:val="24"/>
          <w:lang w:val="en-US"/>
        </w:rPr>
        <w:t>effective</w:t>
      </w:r>
      <w:r w:rsidR="00BD33CD" w:rsidRPr="00774EDB">
        <w:rPr>
          <w:rFonts w:ascii="Times New Roman" w:hAnsi="Times New Roman" w:cs="Times New Roman"/>
          <w:sz w:val="24"/>
          <w:szCs w:val="24"/>
          <w:lang w:val="en-US"/>
        </w:rPr>
        <w:t xml:space="preserve"> </w:t>
      </w:r>
      <w:r w:rsidR="008F02E9" w:rsidRPr="00774EDB">
        <w:rPr>
          <w:rFonts w:ascii="Times New Roman" w:hAnsi="Times New Roman" w:cs="Times New Roman"/>
          <w:sz w:val="24"/>
          <w:szCs w:val="24"/>
          <w:lang w:val="en-US"/>
        </w:rPr>
        <w:t>and responsive</w:t>
      </w:r>
      <w:r w:rsidR="00326DA5" w:rsidRPr="00774EDB">
        <w:rPr>
          <w:rFonts w:ascii="Times New Roman" w:hAnsi="Times New Roman" w:cs="Times New Roman"/>
          <w:sz w:val="24"/>
          <w:szCs w:val="24"/>
          <w:lang w:val="en-US"/>
        </w:rPr>
        <w:t xml:space="preserve"> </w:t>
      </w:r>
      <w:r w:rsidR="00112DE3">
        <w:rPr>
          <w:rFonts w:ascii="Times New Roman" w:hAnsi="Times New Roman" w:cs="Times New Roman"/>
          <w:sz w:val="24"/>
          <w:szCs w:val="24"/>
          <w:lang w:val="en-US"/>
        </w:rPr>
        <w:t xml:space="preserve">tools if not </w:t>
      </w:r>
      <w:r w:rsidR="00BD33CD">
        <w:rPr>
          <w:rFonts w:ascii="Times New Roman" w:hAnsi="Times New Roman" w:cs="Times New Roman"/>
          <w:sz w:val="24"/>
          <w:szCs w:val="24"/>
          <w:lang w:val="en-US"/>
        </w:rPr>
        <w:t>from</w:t>
      </w:r>
      <w:r w:rsidR="00112DE3">
        <w:rPr>
          <w:rFonts w:ascii="Times New Roman" w:hAnsi="Times New Roman" w:cs="Times New Roman"/>
          <w:sz w:val="24"/>
          <w:szCs w:val="24"/>
          <w:lang w:val="en-US"/>
        </w:rPr>
        <w:t xml:space="preserve"> a holistic </w:t>
      </w:r>
      <w:r w:rsidR="00BD33CD">
        <w:rPr>
          <w:rFonts w:ascii="Times New Roman" w:hAnsi="Times New Roman" w:cs="Times New Roman"/>
          <w:sz w:val="24"/>
          <w:szCs w:val="24"/>
          <w:lang w:val="en-US"/>
        </w:rPr>
        <w:t>perspective</w:t>
      </w:r>
      <w:r w:rsidR="00431A43" w:rsidRPr="00774EDB">
        <w:rPr>
          <w:rFonts w:ascii="Times New Roman" w:hAnsi="Times New Roman" w:cs="Times New Roman"/>
          <w:sz w:val="24"/>
          <w:szCs w:val="24"/>
          <w:lang w:val="en-US"/>
        </w:rPr>
        <w:t>.</w:t>
      </w:r>
      <w:r w:rsidR="008F02E9" w:rsidRPr="00774EDB">
        <w:rPr>
          <w:rFonts w:ascii="Times New Roman" w:hAnsi="Times New Roman" w:cs="Times New Roman"/>
          <w:sz w:val="24"/>
          <w:szCs w:val="24"/>
          <w:lang w:val="en-US"/>
        </w:rPr>
        <w:t xml:space="preserve"> </w:t>
      </w:r>
      <w:r w:rsidR="007818E2" w:rsidRPr="00774EDB">
        <w:rPr>
          <w:rFonts w:ascii="Times New Roman" w:hAnsi="Times New Roman" w:cs="Times New Roman"/>
          <w:sz w:val="24"/>
          <w:szCs w:val="24"/>
          <w:lang w:val="en-US"/>
        </w:rPr>
        <w:t>Through such a combination</w:t>
      </w:r>
      <w:r w:rsidR="00C36928">
        <w:rPr>
          <w:rFonts w:ascii="Times New Roman" w:hAnsi="Times New Roman" w:cs="Times New Roman"/>
          <w:sz w:val="24"/>
          <w:szCs w:val="24"/>
          <w:lang w:val="en-US"/>
        </w:rPr>
        <w:t xml:space="preserve"> based on a wider perspective</w:t>
      </w:r>
      <w:r w:rsidR="000F05EF" w:rsidRPr="00774EDB">
        <w:rPr>
          <w:rFonts w:ascii="Times New Roman" w:hAnsi="Times New Roman" w:cs="Times New Roman"/>
          <w:sz w:val="24"/>
          <w:szCs w:val="24"/>
          <w:lang w:val="en-US"/>
        </w:rPr>
        <w:t>, certainty and flexibility could exist and be harmonised under ex-ante regulation</w:t>
      </w:r>
      <w:r w:rsidR="007818E2" w:rsidRPr="00774EDB">
        <w:rPr>
          <w:rFonts w:ascii="Times New Roman" w:hAnsi="Times New Roman" w:cs="Times New Roman"/>
          <w:sz w:val="24"/>
          <w:szCs w:val="24"/>
          <w:lang w:val="en-US"/>
        </w:rPr>
        <w:t xml:space="preserve">, </w:t>
      </w:r>
      <w:r w:rsidR="00C36928">
        <w:rPr>
          <w:rFonts w:ascii="Times New Roman" w:hAnsi="Times New Roman" w:cs="Times New Roman"/>
          <w:sz w:val="24"/>
          <w:szCs w:val="24"/>
          <w:lang w:val="en-US"/>
        </w:rPr>
        <w:t>as</w:t>
      </w:r>
      <w:r w:rsidR="00BD33CD">
        <w:rPr>
          <w:rFonts w:ascii="Times New Roman" w:hAnsi="Times New Roman" w:cs="Times New Roman"/>
          <w:sz w:val="24"/>
          <w:szCs w:val="24"/>
          <w:lang w:val="en-US"/>
        </w:rPr>
        <w:t xml:space="preserve"> need</w:t>
      </w:r>
      <w:r w:rsidR="00F66652">
        <w:rPr>
          <w:rFonts w:ascii="Times New Roman" w:hAnsi="Times New Roman" w:cs="Times New Roman"/>
          <w:sz w:val="24"/>
          <w:szCs w:val="24"/>
          <w:lang w:val="en-US"/>
        </w:rPr>
        <w:t>ed</w:t>
      </w:r>
      <w:r w:rsidR="00BD33CD">
        <w:rPr>
          <w:rFonts w:ascii="Times New Roman" w:hAnsi="Times New Roman" w:cs="Times New Roman"/>
          <w:sz w:val="24"/>
          <w:szCs w:val="24"/>
          <w:lang w:val="en-US"/>
        </w:rPr>
        <w:t xml:space="preserve"> to be </w:t>
      </w:r>
      <w:r w:rsidR="007818E2" w:rsidRPr="00774EDB">
        <w:rPr>
          <w:rFonts w:ascii="Times New Roman" w:hAnsi="Times New Roman" w:cs="Times New Roman"/>
          <w:sz w:val="24"/>
          <w:szCs w:val="24"/>
          <w:lang w:val="en-US"/>
        </w:rPr>
        <w:t xml:space="preserve">reflected </w:t>
      </w:r>
      <w:r w:rsidR="00402FAB">
        <w:rPr>
          <w:rFonts w:ascii="Times New Roman" w:hAnsi="Times New Roman" w:cs="Times New Roman"/>
          <w:sz w:val="24"/>
          <w:szCs w:val="24"/>
          <w:lang w:val="en-US"/>
        </w:rPr>
        <w:t xml:space="preserve">in the </w:t>
      </w:r>
      <w:r w:rsidR="00F66652">
        <w:rPr>
          <w:rFonts w:ascii="Times New Roman" w:hAnsi="Times New Roman" w:cs="Times New Roman"/>
          <w:sz w:val="24"/>
          <w:szCs w:val="24"/>
          <w:lang w:val="en-US"/>
        </w:rPr>
        <w:t>intend</w:t>
      </w:r>
      <w:r w:rsidR="00402FAB">
        <w:rPr>
          <w:rFonts w:ascii="Times New Roman" w:hAnsi="Times New Roman" w:cs="Times New Roman"/>
          <w:sz w:val="24"/>
          <w:szCs w:val="24"/>
          <w:lang w:val="en-US"/>
        </w:rPr>
        <w:t>ed regulatory design</w:t>
      </w:r>
      <w:r w:rsidR="00FA0344" w:rsidRPr="00774EDB">
        <w:rPr>
          <w:rFonts w:ascii="Times New Roman" w:hAnsi="Times New Roman" w:cs="Times New Roman"/>
          <w:sz w:val="24"/>
          <w:szCs w:val="24"/>
          <w:lang w:val="en-US"/>
        </w:rPr>
        <w:t>.</w:t>
      </w:r>
      <w:r w:rsidR="00BD33CD">
        <w:rPr>
          <w:rFonts w:ascii="Times New Roman" w:hAnsi="Times New Roman" w:cs="Times New Roman"/>
          <w:sz w:val="24"/>
          <w:szCs w:val="24"/>
          <w:lang w:val="en-US"/>
        </w:rPr>
        <w:t xml:space="preserve"> </w:t>
      </w:r>
    </w:p>
    <w:p w14:paraId="2CAA1EBC" w14:textId="286FB97F" w:rsidR="007818E2" w:rsidRPr="00774EDB" w:rsidRDefault="007818E2" w:rsidP="00A70042">
      <w:pPr>
        <w:spacing w:before="36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It is remarkable that EU authorities, having regarded the competition law tools as insufficient to achieve such objectives, focused on the enhancement of the ex-ante tools and considered the DSM process as a significant leverage for this. While the legislative measures regarding cross-border content delivery, (un)interrupted data flow and portability and the transparency of the platform-to-business relationships</w:t>
      </w:r>
      <w:r w:rsidRPr="00774EDB">
        <w:rPr>
          <w:rStyle w:val="FootnoteReference"/>
          <w:rFonts w:ascii="Times New Roman" w:hAnsi="Times New Roman" w:cs="Times New Roman"/>
          <w:sz w:val="24"/>
          <w:szCs w:val="24"/>
          <w:lang w:val="en-US"/>
        </w:rPr>
        <w:footnoteReference w:id="857"/>
      </w:r>
      <w:r w:rsidRPr="00774EDB">
        <w:rPr>
          <w:rFonts w:ascii="Times New Roman" w:hAnsi="Times New Roman" w:cs="Times New Roman"/>
          <w:sz w:val="24"/>
          <w:szCs w:val="24"/>
          <w:lang w:val="en-US"/>
        </w:rPr>
        <w:t xml:space="preserve"> illustrate these recent steps made in this regard, it is note-worthy that their added value primarily stems from their ex-ante nature in the first instance.  </w:t>
      </w:r>
      <w:r w:rsidR="00F66652">
        <w:rPr>
          <w:rFonts w:ascii="Times New Roman" w:hAnsi="Times New Roman" w:cs="Times New Roman"/>
          <w:sz w:val="24"/>
          <w:szCs w:val="24"/>
          <w:lang w:val="en-US"/>
        </w:rPr>
        <w:t>The</w:t>
      </w:r>
      <w:r w:rsidR="0070568A">
        <w:rPr>
          <w:rFonts w:ascii="Times New Roman" w:hAnsi="Times New Roman" w:cs="Times New Roman"/>
          <w:sz w:val="24"/>
          <w:szCs w:val="24"/>
          <w:lang w:val="en-US"/>
        </w:rPr>
        <w:t xml:space="preserve"> EU’s</w:t>
      </w:r>
      <w:r w:rsidR="00F66652">
        <w:rPr>
          <w:rFonts w:ascii="Times New Roman" w:hAnsi="Times New Roman" w:cs="Times New Roman"/>
          <w:sz w:val="24"/>
          <w:szCs w:val="24"/>
          <w:lang w:val="en-US"/>
        </w:rPr>
        <w:t xml:space="preserve"> recent attempt to regulate the digital platforms for their wide-ranging economic powers and capabilities, should also be read from the same outlook.</w:t>
      </w:r>
      <w:r w:rsidR="00F66652" w:rsidRPr="00EB7F3A">
        <w:rPr>
          <w:rStyle w:val="FootnoteReference"/>
          <w:rFonts w:ascii="Times New Roman" w:hAnsi="Times New Roman"/>
          <w:sz w:val="24"/>
          <w:szCs w:val="24"/>
        </w:rPr>
        <w:footnoteReference w:id="858"/>
      </w:r>
    </w:p>
    <w:p w14:paraId="161E0594" w14:textId="77777777" w:rsidR="00C36928" w:rsidRDefault="0022649E" w:rsidP="00A70042">
      <w:pPr>
        <w:spacing w:before="360"/>
        <w:jc w:val="both"/>
        <w:rPr>
          <w:rFonts w:ascii="Times New Roman" w:hAnsi="Times New Roman" w:cs="Times New Roman"/>
          <w:sz w:val="24"/>
          <w:szCs w:val="24"/>
          <w:lang w:val="en-US"/>
        </w:rPr>
      </w:pPr>
      <w:r>
        <w:rPr>
          <w:rFonts w:ascii="Times New Roman" w:hAnsi="Times New Roman" w:cs="Times New Roman"/>
          <w:sz w:val="24"/>
          <w:szCs w:val="24"/>
          <w:lang w:val="en-US"/>
        </w:rPr>
        <w:t>On the other hand</w:t>
      </w:r>
      <w:r w:rsidR="007818E2" w:rsidRPr="00774EDB">
        <w:rPr>
          <w:rFonts w:ascii="Times New Roman" w:hAnsi="Times New Roman" w:cs="Times New Roman"/>
          <w:sz w:val="24"/>
          <w:szCs w:val="24"/>
          <w:lang w:val="en-US"/>
        </w:rPr>
        <w:t xml:space="preserve">, EU legislative measures have a patchy and complicated nature, which might sometimes have the opposite effect to what is intended. This flip side of the coin could worsen the situation of the ICT actors and diminish the so-called advantages to be gained from the ex-ante regulations. Therefore, while the main </w:t>
      </w:r>
      <w:r w:rsidR="007818E2" w:rsidRPr="00774EDB">
        <w:rPr>
          <w:rFonts w:ascii="Times New Roman" w:hAnsi="Times New Roman" w:cs="Times New Roman"/>
          <w:sz w:val="24"/>
          <w:szCs w:val="24"/>
          <w:lang w:val="en-US"/>
        </w:rPr>
        <w:lastRenderedPageBreak/>
        <w:t>regulatory path would ideally be ex-ante, it is equally important to strike the right balance between flexibility and predictability.</w:t>
      </w:r>
    </w:p>
    <w:p w14:paraId="1B97AC43" w14:textId="7DF53250" w:rsidR="00C21238" w:rsidRPr="00774EDB" w:rsidRDefault="00C36928" w:rsidP="00A70042">
      <w:pPr>
        <w:spacing w:before="360"/>
        <w:jc w:val="both"/>
        <w:rPr>
          <w:rFonts w:ascii="Times New Roman" w:hAnsi="Times New Roman" w:cs="Times New Roman"/>
          <w:sz w:val="24"/>
          <w:szCs w:val="24"/>
          <w:lang w:val="en-US"/>
        </w:rPr>
      </w:pPr>
      <w:r>
        <w:rPr>
          <w:rFonts w:ascii="Times New Roman" w:hAnsi="Times New Roman" w:cs="Times New Roman"/>
          <w:sz w:val="24"/>
          <w:szCs w:val="24"/>
          <w:lang w:val="en-US"/>
        </w:rPr>
        <w:t>Ostensibly</w:t>
      </w:r>
      <w:r w:rsidRPr="00774EDB">
        <w:rPr>
          <w:rFonts w:ascii="Times New Roman" w:hAnsi="Times New Roman" w:cs="Times New Roman"/>
          <w:sz w:val="24"/>
          <w:szCs w:val="24"/>
          <w:lang w:val="en-US"/>
        </w:rPr>
        <w:t>, the ever-faster-growing nature of the ICTs has driven the fast-paced development of the ex-ante tools and measures under the DSM in recent years</w:t>
      </w:r>
      <w:r w:rsidR="0070568A">
        <w:rPr>
          <w:rFonts w:ascii="Times New Roman" w:hAnsi="Times New Roman" w:cs="Times New Roman"/>
          <w:sz w:val="24"/>
          <w:szCs w:val="24"/>
          <w:lang w:val="en-US"/>
        </w:rPr>
        <w:t>, and this seems to go on further.</w:t>
      </w:r>
      <w:r>
        <w:rPr>
          <w:rFonts w:ascii="Times New Roman" w:hAnsi="Times New Roman" w:cs="Times New Roman"/>
          <w:sz w:val="24"/>
          <w:szCs w:val="24"/>
          <w:lang w:val="en-US"/>
        </w:rPr>
        <w:t xml:space="preserve"> However, it is debated as to whether such safeguards would alone suffice to respond the multi-layered regulatory problems surrounding interoperability. </w:t>
      </w:r>
      <w:r w:rsidR="00DC46CF">
        <w:rPr>
          <w:rFonts w:ascii="Times New Roman" w:hAnsi="Times New Roman" w:cs="Times New Roman"/>
          <w:sz w:val="24"/>
          <w:szCs w:val="24"/>
          <w:lang w:val="en-US"/>
        </w:rPr>
        <w:t>Thus</w:t>
      </w:r>
      <w:r w:rsidR="007818E2" w:rsidRPr="00774EDB">
        <w:rPr>
          <w:rFonts w:ascii="Times New Roman" w:hAnsi="Times New Roman" w:cs="Times New Roman"/>
          <w:sz w:val="24"/>
          <w:szCs w:val="24"/>
          <w:lang w:val="en-US"/>
        </w:rPr>
        <w:t>, would-be ex-ante rules and regulations had better aim to filter the interoperability-</w:t>
      </w:r>
      <w:r w:rsidR="0022649E">
        <w:rPr>
          <w:rFonts w:ascii="Times New Roman" w:hAnsi="Times New Roman" w:cs="Times New Roman"/>
          <w:sz w:val="24"/>
          <w:szCs w:val="24"/>
          <w:lang w:val="en-US"/>
        </w:rPr>
        <w:t>based</w:t>
      </w:r>
      <w:r w:rsidR="007818E2" w:rsidRPr="00774EDB">
        <w:rPr>
          <w:rFonts w:ascii="Times New Roman" w:hAnsi="Times New Roman" w:cs="Times New Roman"/>
          <w:sz w:val="24"/>
          <w:szCs w:val="24"/>
          <w:lang w:val="en-US"/>
        </w:rPr>
        <w:t xml:space="preserve"> problems for the interdependent layers, </w:t>
      </w:r>
      <w:r w:rsidR="00DC46CF">
        <w:rPr>
          <w:rFonts w:ascii="Times New Roman" w:hAnsi="Times New Roman" w:cs="Times New Roman"/>
          <w:sz w:val="24"/>
          <w:szCs w:val="24"/>
          <w:lang w:val="en-US"/>
        </w:rPr>
        <w:t>seek</w:t>
      </w:r>
      <w:r w:rsidR="007818E2" w:rsidRPr="00774EDB">
        <w:rPr>
          <w:rFonts w:ascii="Times New Roman" w:hAnsi="Times New Roman" w:cs="Times New Roman"/>
          <w:sz w:val="24"/>
          <w:szCs w:val="24"/>
          <w:lang w:val="en-US"/>
        </w:rPr>
        <w:t xml:space="preserve">ing out coherent solutions </w:t>
      </w:r>
      <w:r w:rsidR="00DC46CF">
        <w:rPr>
          <w:rFonts w:ascii="Times New Roman" w:hAnsi="Times New Roman" w:cs="Times New Roman"/>
          <w:sz w:val="24"/>
          <w:szCs w:val="24"/>
          <w:lang w:val="en-US"/>
        </w:rPr>
        <w:t>in the field of ICTs</w:t>
      </w:r>
      <w:r w:rsidR="007818E2" w:rsidRPr="00774EDB">
        <w:rPr>
          <w:rFonts w:ascii="Times New Roman" w:hAnsi="Times New Roman" w:cs="Times New Roman"/>
          <w:sz w:val="24"/>
          <w:szCs w:val="24"/>
          <w:lang w:val="en-US"/>
        </w:rPr>
        <w:t xml:space="preserve">. Reflecting this, details of the ex-ante regulatory model that is to be proposed by this study are elaborated below. </w:t>
      </w:r>
      <w:r w:rsidR="00CC6906" w:rsidRPr="00774EDB">
        <w:rPr>
          <w:rFonts w:ascii="Times New Roman" w:hAnsi="Times New Roman" w:cs="Times New Roman"/>
          <w:sz w:val="24"/>
          <w:szCs w:val="24"/>
          <w:lang w:val="en-US"/>
        </w:rPr>
        <w:t xml:space="preserve"> </w:t>
      </w:r>
    </w:p>
    <w:p w14:paraId="49DF807C" w14:textId="77777777" w:rsidR="0000491D" w:rsidRPr="00774EDB" w:rsidRDefault="00CE2F58" w:rsidP="00A70042">
      <w:pPr>
        <w:pStyle w:val="Heading2"/>
        <w:numPr>
          <w:ilvl w:val="1"/>
          <w:numId w:val="33"/>
        </w:numPr>
        <w:tabs>
          <w:tab w:val="left" w:pos="426"/>
        </w:tabs>
        <w:spacing w:before="360"/>
        <w:ind w:left="0" w:firstLine="0"/>
        <w:jc w:val="both"/>
        <w:rPr>
          <w:rFonts w:ascii="Times New Roman" w:hAnsi="Times New Roman" w:cs="Times New Roman"/>
          <w:b/>
          <w:sz w:val="24"/>
          <w:szCs w:val="24"/>
        </w:rPr>
      </w:pPr>
      <w:bookmarkStart w:id="690" w:name="_Toc17611507"/>
      <w:bookmarkStart w:id="691" w:name="_Toc53576123"/>
      <w:r w:rsidRPr="00774EDB">
        <w:rPr>
          <w:rFonts w:ascii="Times New Roman" w:hAnsi="Times New Roman" w:cs="Times New Roman"/>
          <w:b/>
          <w:color w:val="auto"/>
          <w:sz w:val="24"/>
          <w:szCs w:val="24"/>
        </w:rPr>
        <w:t xml:space="preserve">Layering </w:t>
      </w:r>
      <w:r w:rsidR="002D1EE2" w:rsidRPr="00774EDB">
        <w:rPr>
          <w:rFonts w:ascii="Times New Roman" w:hAnsi="Times New Roman" w:cs="Times New Roman"/>
          <w:b/>
          <w:color w:val="auto"/>
          <w:sz w:val="24"/>
          <w:szCs w:val="24"/>
        </w:rPr>
        <w:t>theory</w:t>
      </w:r>
      <w:r w:rsidRPr="00774EDB">
        <w:rPr>
          <w:rFonts w:ascii="Times New Roman" w:hAnsi="Times New Roman" w:cs="Times New Roman"/>
          <w:b/>
          <w:color w:val="auto"/>
          <w:sz w:val="24"/>
          <w:szCs w:val="24"/>
        </w:rPr>
        <w:t xml:space="preserve"> and regulatory implications</w:t>
      </w:r>
      <w:bookmarkEnd w:id="690"/>
      <w:bookmarkEnd w:id="691"/>
    </w:p>
    <w:p w14:paraId="604B47D1" w14:textId="640CF784" w:rsidR="002622A4" w:rsidRPr="00774EDB" w:rsidRDefault="001053BE" w:rsidP="00A70042">
      <w:pPr>
        <w:spacing w:before="360"/>
        <w:jc w:val="both"/>
        <w:rPr>
          <w:rFonts w:ascii="Times New Roman" w:hAnsi="Times New Roman" w:cs="Times New Roman"/>
          <w:sz w:val="24"/>
          <w:szCs w:val="24"/>
          <w:lang w:val="en-US"/>
        </w:rPr>
      </w:pPr>
      <w:r w:rsidRPr="00A70042">
        <w:rPr>
          <w:rFonts w:ascii="Times New Roman" w:hAnsi="Times New Roman" w:cs="Times New Roman"/>
          <w:spacing w:val="-2"/>
          <w:sz w:val="24"/>
          <w:szCs w:val="24"/>
          <w:lang w:val="en-US"/>
        </w:rPr>
        <w:t xml:space="preserve">After concluding that interoperability and accompanying problems could be better addressed with an </w:t>
      </w:r>
      <w:r w:rsidR="009979FF">
        <w:rPr>
          <w:rFonts w:ascii="Times New Roman" w:hAnsi="Times New Roman" w:cs="Times New Roman"/>
          <w:spacing w:val="-2"/>
          <w:sz w:val="24"/>
          <w:szCs w:val="24"/>
          <w:lang w:val="en-US"/>
        </w:rPr>
        <w:t>‘</w:t>
      </w:r>
      <w:r w:rsidRPr="00A70042">
        <w:rPr>
          <w:rFonts w:ascii="Times New Roman" w:hAnsi="Times New Roman" w:cs="Times New Roman"/>
          <w:spacing w:val="-2"/>
          <w:sz w:val="24"/>
          <w:szCs w:val="24"/>
          <w:lang w:val="en-US"/>
        </w:rPr>
        <w:t>ex-ante</w:t>
      </w:r>
      <w:r w:rsidR="009979FF">
        <w:rPr>
          <w:rFonts w:ascii="Times New Roman" w:hAnsi="Times New Roman" w:cs="Times New Roman"/>
          <w:spacing w:val="-2"/>
          <w:sz w:val="24"/>
          <w:szCs w:val="24"/>
          <w:lang w:val="en-US"/>
        </w:rPr>
        <w:t>’</w:t>
      </w:r>
      <w:r w:rsidRPr="00A70042">
        <w:rPr>
          <w:rFonts w:ascii="Times New Roman" w:hAnsi="Times New Roman" w:cs="Times New Roman"/>
          <w:spacing w:val="-2"/>
          <w:sz w:val="24"/>
          <w:szCs w:val="24"/>
          <w:lang w:val="en-US"/>
        </w:rPr>
        <w:t xml:space="preserve"> </w:t>
      </w:r>
      <w:r w:rsidR="009979FF">
        <w:rPr>
          <w:rFonts w:ascii="Times New Roman" w:hAnsi="Times New Roman" w:cs="Times New Roman"/>
          <w:spacing w:val="-2"/>
          <w:sz w:val="24"/>
          <w:szCs w:val="24"/>
          <w:lang w:val="en-US"/>
        </w:rPr>
        <w:t>and ‘</w:t>
      </w:r>
      <w:r w:rsidRPr="00A70042">
        <w:rPr>
          <w:rFonts w:ascii="Times New Roman" w:hAnsi="Times New Roman" w:cs="Times New Roman"/>
          <w:spacing w:val="-2"/>
          <w:sz w:val="24"/>
          <w:szCs w:val="24"/>
          <w:lang w:val="en-US"/>
        </w:rPr>
        <w:t>layering-based</w:t>
      </w:r>
      <w:r w:rsidR="009979FF">
        <w:rPr>
          <w:rFonts w:ascii="Times New Roman" w:hAnsi="Times New Roman" w:cs="Times New Roman"/>
          <w:spacing w:val="-2"/>
          <w:sz w:val="24"/>
          <w:szCs w:val="24"/>
          <w:lang w:val="en-US"/>
        </w:rPr>
        <w:t>’</w:t>
      </w:r>
      <w:r w:rsidRPr="00A70042">
        <w:rPr>
          <w:rFonts w:ascii="Times New Roman" w:hAnsi="Times New Roman" w:cs="Times New Roman"/>
          <w:spacing w:val="-2"/>
          <w:sz w:val="24"/>
          <w:szCs w:val="24"/>
          <w:lang w:val="en-US"/>
        </w:rPr>
        <w:t xml:space="preserve"> regulatory model, the next task is to determine the main pillars and contours of the model. Having said this, it first needs to be reemphasized that the intended regulatory model should have a holistic and flexible nature. </w:t>
      </w:r>
      <w:r w:rsidR="009979FF">
        <w:rPr>
          <w:rFonts w:ascii="Times New Roman" w:hAnsi="Times New Roman" w:cs="Times New Roman"/>
          <w:spacing w:val="-2"/>
          <w:sz w:val="24"/>
          <w:szCs w:val="24"/>
          <w:lang w:val="en-US"/>
        </w:rPr>
        <w:t>T</w:t>
      </w:r>
      <w:r w:rsidRPr="00A70042">
        <w:rPr>
          <w:rFonts w:ascii="Times New Roman" w:hAnsi="Times New Roman" w:cs="Times New Roman"/>
          <w:spacing w:val="-2"/>
          <w:sz w:val="24"/>
          <w:szCs w:val="24"/>
          <w:lang w:val="en-US"/>
        </w:rPr>
        <w:t xml:space="preserve">he layering perspective and approach should </w:t>
      </w:r>
      <w:r w:rsidR="009979FF">
        <w:rPr>
          <w:rFonts w:ascii="Times New Roman" w:hAnsi="Times New Roman" w:cs="Times New Roman"/>
          <w:spacing w:val="-2"/>
          <w:sz w:val="24"/>
          <w:szCs w:val="24"/>
          <w:lang w:val="en-US"/>
        </w:rPr>
        <w:t xml:space="preserve">thus </w:t>
      </w:r>
      <w:r w:rsidRPr="00A70042">
        <w:rPr>
          <w:rFonts w:ascii="Times New Roman" w:hAnsi="Times New Roman" w:cs="Times New Roman"/>
          <w:spacing w:val="-2"/>
          <w:sz w:val="24"/>
          <w:szCs w:val="24"/>
          <w:lang w:val="en-US"/>
        </w:rPr>
        <w:t>be fit for purpose</w:t>
      </w:r>
      <w:r w:rsidR="009979FF">
        <w:rPr>
          <w:rFonts w:ascii="Times New Roman" w:hAnsi="Times New Roman" w:cs="Times New Roman"/>
          <w:spacing w:val="-2"/>
          <w:sz w:val="24"/>
          <w:szCs w:val="24"/>
          <w:lang w:val="en-US"/>
        </w:rPr>
        <w:t>.</w:t>
      </w:r>
      <w:r w:rsidRPr="00A70042">
        <w:rPr>
          <w:rFonts w:ascii="Times New Roman" w:hAnsi="Times New Roman" w:cs="Times New Roman"/>
          <w:spacing w:val="-2"/>
          <w:sz w:val="24"/>
          <w:szCs w:val="24"/>
          <w:lang w:val="en-US"/>
        </w:rPr>
        <w:t xml:space="preserve"> </w:t>
      </w:r>
      <w:r w:rsidR="009979FF">
        <w:rPr>
          <w:rFonts w:ascii="Times New Roman" w:hAnsi="Times New Roman" w:cs="Times New Roman"/>
          <w:spacing w:val="-2"/>
          <w:sz w:val="24"/>
          <w:szCs w:val="24"/>
          <w:lang w:val="en-US"/>
        </w:rPr>
        <w:t xml:space="preserve">Given this </w:t>
      </w:r>
      <w:r w:rsidRPr="00A70042">
        <w:rPr>
          <w:rFonts w:ascii="Times New Roman" w:hAnsi="Times New Roman" w:cs="Times New Roman"/>
          <w:spacing w:val="-2"/>
          <w:sz w:val="24"/>
          <w:szCs w:val="24"/>
          <w:lang w:val="en-US"/>
        </w:rPr>
        <w:t>the starting point will be the investigation of the layering theory that is built upon, via elaboration of the IP layers, to design a regulatory approach. Based on this, the proposed framework and necessary details of the intended regulatory model will be set out.</w:t>
      </w:r>
    </w:p>
    <w:p w14:paraId="430F0633" w14:textId="77777777" w:rsidR="002B3E9E" w:rsidRPr="00774EDB" w:rsidRDefault="002B3E9E" w:rsidP="00A70042">
      <w:pPr>
        <w:pStyle w:val="Heading3"/>
        <w:numPr>
          <w:ilvl w:val="2"/>
          <w:numId w:val="33"/>
        </w:numPr>
        <w:spacing w:before="360"/>
        <w:ind w:left="0" w:firstLine="0"/>
        <w:jc w:val="both"/>
        <w:rPr>
          <w:rFonts w:ascii="Times New Roman" w:hAnsi="Times New Roman" w:cs="Times New Roman"/>
          <w:b/>
          <w:lang w:val="en-US"/>
        </w:rPr>
      </w:pPr>
      <w:bookmarkStart w:id="692" w:name="_Toc17611508"/>
      <w:bookmarkStart w:id="693" w:name="_Toc53576124"/>
      <w:r w:rsidRPr="00774EDB">
        <w:rPr>
          <w:rFonts w:ascii="Times New Roman" w:hAnsi="Times New Roman" w:cs="Times New Roman"/>
          <w:b/>
          <w:color w:val="auto"/>
          <w:lang w:val="en-US"/>
        </w:rPr>
        <w:lastRenderedPageBreak/>
        <w:t xml:space="preserve">Layering </w:t>
      </w:r>
      <w:r w:rsidR="002D1EE2" w:rsidRPr="00774EDB">
        <w:rPr>
          <w:rFonts w:ascii="Times New Roman" w:hAnsi="Times New Roman" w:cs="Times New Roman"/>
          <w:b/>
          <w:color w:val="auto"/>
          <w:lang w:val="en-US"/>
        </w:rPr>
        <w:t>theory</w:t>
      </w:r>
      <w:r w:rsidR="00530D92" w:rsidRPr="00774EDB">
        <w:rPr>
          <w:rFonts w:ascii="Times New Roman" w:hAnsi="Times New Roman" w:cs="Times New Roman"/>
          <w:b/>
          <w:color w:val="auto"/>
          <w:lang w:val="en-US"/>
        </w:rPr>
        <w:t xml:space="preserve"> </w:t>
      </w:r>
      <w:r w:rsidR="00DC69D7" w:rsidRPr="00774EDB">
        <w:rPr>
          <w:rFonts w:ascii="Times New Roman" w:hAnsi="Times New Roman" w:cs="Times New Roman"/>
          <w:b/>
          <w:color w:val="auto"/>
          <w:lang w:val="en-US"/>
        </w:rPr>
        <w:t xml:space="preserve">and models </w:t>
      </w:r>
      <w:r w:rsidR="00530D92" w:rsidRPr="00774EDB">
        <w:rPr>
          <w:rFonts w:ascii="Times New Roman" w:hAnsi="Times New Roman" w:cs="Times New Roman"/>
          <w:b/>
          <w:color w:val="auto"/>
          <w:lang w:val="en-US"/>
        </w:rPr>
        <w:t>in general</w:t>
      </w:r>
      <w:bookmarkEnd w:id="692"/>
      <w:bookmarkEnd w:id="693"/>
      <w:r w:rsidR="00167C53" w:rsidRPr="00774EDB">
        <w:rPr>
          <w:rFonts w:ascii="Times New Roman" w:hAnsi="Times New Roman" w:cs="Times New Roman"/>
          <w:b/>
          <w:color w:val="auto"/>
          <w:lang w:val="en-US"/>
        </w:rPr>
        <w:t xml:space="preserve"> </w:t>
      </w:r>
    </w:p>
    <w:p w14:paraId="35A8363E" w14:textId="3C401232" w:rsidR="00867E57" w:rsidRPr="00774EDB" w:rsidRDefault="001053B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internet layers and governing protocols i.e. developed under </w:t>
      </w:r>
      <w:r w:rsidR="0097366D" w:rsidRPr="00774EDB">
        <w:rPr>
          <w:rFonts w:ascii="Times New Roman" w:hAnsi="Times New Roman" w:cs="Times New Roman"/>
          <w:sz w:val="24"/>
          <w:szCs w:val="24"/>
          <w:lang w:val="en-US"/>
        </w:rPr>
        <w:t>Open Systems Interc</w:t>
      </w:r>
      <w:r w:rsidR="00F83A44" w:rsidRPr="00774EDB">
        <w:rPr>
          <w:rFonts w:ascii="Times New Roman" w:hAnsi="Times New Roman" w:cs="Times New Roman"/>
          <w:sz w:val="24"/>
          <w:szCs w:val="24"/>
          <w:lang w:val="en-US"/>
        </w:rPr>
        <w:t xml:space="preserve">onnection </w:t>
      </w:r>
      <w:r w:rsidR="0097366D" w:rsidRPr="00774EDB">
        <w:rPr>
          <w:rFonts w:ascii="Times New Roman" w:hAnsi="Times New Roman" w:cs="Times New Roman"/>
          <w:sz w:val="24"/>
          <w:szCs w:val="24"/>
        </w:rPr>
        <w:t>(</w:t>
      </w:r>
      <w:r w:rsidRPr="00774EDB">
        <w:rPr>
          <w:rFonts w:ascii="Times New Roman" w:hAnsi="Times New Roman" w:cs="Times New Roman"/>
          <w:sz w:val="24"/>
          <w:szCs w:val="24"/>
        </w:rPr>
        <w:t>OSI</w:t>
      </w:r>
      <w:r w:rsidR="0097366D" w:rsidRPr="00774EDB">
        <w:rPr>
          <w:rFonts w:ascii="Times New Roman" w:hAnsi="Times New Roman" w:cs="Times New Roman"/>
          <w:sz w:val="24"/>
          <w:szCs w:val="24"/>
        </w:rPr>
        <w:t>)</w:t>
      </w:r>
      <w:r w:rsidRPr="00774EDB">
        <w:rPr>
          <w:rFonts w:ascii="Times New Roman" w:hAnsi="Times New Roman" w:cs="Times New Roman"/>
          <w:sz w:val="24"/>
          <w:szCs w:val="24"/>
        </w:rPr>
        <w:t xml:space="preserve"> or TCP/IP stacks</w:t>
      </w:r>
      <w:r w:rsidRPr="00774EDB">
        <w:rPr>
          <w:rStyle w:val="FootnoteReference"/>
          <w:rFonts w:ascii="Times New Roman" w:hAnsi="Times New Roman" w:cs="Times New Roman"/>
          <w:sz w:val="24"/>
          <w:szCs w:val="24"/>
        </w:rPr>
        <w:footnoteReference w:id="859"/>
      </w:r>
      <w:r w:rsidRPr="00774EDB">
        <w:rPr>
          <w:rFonts w:ascii="Times New Roman" w:hAnsi="Times New Roman" w:cs="Times New Roman"/>
          <w:sz w:val="24"/>
          <w:szCs w:val="24"/>
        </w:rPr>
        <w:t xml:space="preserve"> lay the ground for development of the ‘layering theory’, which generally means adapting the IP layers to policy and regulatory approaches. The vital role of the protocol layering within the IP ecosystem came to the fore in the late 1990s and had a remarkable influence on the literature with regards to the reconstructing of the regulatory policies. IP-based convergence, along with the layer-based internet structure, led scholars to revisit the conventional sector-specific policies focused on the regulation of certain infrastructures e.g. the PSTN, which were considered as natural monopolies or essential facilities at the time.</w:t>
      </w:r>
    </w:p>
    <w:p w14:paraId="54C1EEBA" w14:textId="0106E694" w:rsidR="001E7C4F" w:rsidRPr="00774EDB" w:rsidRDefault="001E7C4F"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This </w:t>
      </w:r>
      <w:r w:rsidR="00313E74">
        <w:rPr>
          <w:rFonts w:ascii="Times New Roman" w:hAnsi="Times New Roman" w:cs="Times New Roman"/>
          <w:sz w:val="24"/>
          <w:szCs w:val="24"/>
        </w:rPr>
        <w:t>convention</w:t>
      </w:r>
      <w:r w:rsidRPr="00774EDB">
        <w:rPr>
          <w:rFonts w:ascii="Times New Roman" w:hAnsi="Times New Roman" w:cs="Times New Roman"/>
          <w:sz w:val="24"/>
          <w:szCs w:val="24"/>
        </w:rPr>
        <w:t xml:space="preserve">al regulatory establishment </w:t>
      </w:r>
      <w:r w:rsidR="00313E74">
        <w:rPr>
          <w:rFonts w:ascii="Times New Roman" w:hAnsi="Times New Roman" w:cs="Times New Roman"/>
          <w:sz w:val="24"/>
          <w:szCs w:val="24"/>
        </w:rPr>
        <w:t xml:space="preserve">in the 1990s </w:t>
      </w:r>
      <w:r w:rsidRPr="00774EDB">
        <w:rPr>
          <w:rFonts w:ascii="Times New Roman" w:hAnsi="Times New Roman" w:cs="Times New Roman"/>
          <w:sz w:val="24"/>
          <w:szCs w:val="24"/>
        </w:rPr>
        <w:t>was criticised as being technologically biased and adopting a single-minded approach concerning the communications networks and services. As a response, particularly in the USA, layering theory was found to pave the way for an environment whereby regulatory rules against different networks, e.g. cable, the PSTN and services, for example VoIP and voice telephony, were to be filtered on the basis of convergence across the internet layers (TCP/IP) on a technologically neutral basis. The effective outcome of adopting the layering theory mainly incurred challenging the regulatory rules that were designed to regulate certain vertically integrated networks, so-called ‘silos’.</w:t>
      </w:r>
      <w:r w:rsidRPr="00774EDB">
        <w:rPr>
          <w:rStyle w:val="FootnoteReference"/>
          <w:rFonts w:ascii="Times New Roman" w:hAnsi="Times New Roman" w:cs="Times New Roman"/>
          <w:sz w:val="24"/>
          <w:szCs w:val="24"/>
        </w:rPr>
        <w:footnoteReference w:id="860"/>
      </w:r>
      <w:r w:rsidRPr="00774EDB">
        <w:rPr>
          <w:rFonts w:ascii="Times New Roman" w:hAnsi="Times New Roman" w:cs="Times New Roman"/>
          <w:sz w:val="24"/>
          <w:szCs w:val="24"/>
        </w:rPr>
        <w:t xml:space="preserve"> </w:t>
      </w:r>
    </w:p>
    <w:p w14:paraId="4F4F0134" w14:textId="00C86A27" w:rsidR="004F2838" w:rsidRPr="00A70042" w:rsidRDefault="001E7C4F"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 xml:space="preserve">The layering-based approach is usually credited, as it allows that each module or layer of the whole ICT system could be analysed in a self-contained division, whilst </w:t>
      </w:r>
      <w:r w:rsidRPr="00A70042">
        <w:rPr>
          <w:rFonts w:ascii="Times New Roman" w:hAnsi="Times New Roman" w:cs="Times New Roman"/>
          <w:spacing w:val="-2"/>
          <w:sz w:val="24"/>
          <w:szCs w:val="24"/>
        </w:rPr>
        <w:lastRenderedPageBreak/>
        <w:t>acknowledging the interdependence among the layers,</w:t>
      </w:r>
      <w:r w:rsidRPr="00A70042">
        <w:rPr>
          <w:rStyle w:val="FootnoteReference"/>
          <w:rFonts w:ascii="Times New Roman" w:hAnsi="Times New Roman" w:cs="Times New Roman"/>
          <w:spacing w:val="-2"/>
          <w:sz w:val="24"/>
          <w:szCs w:val="24"/>
        </w:rPr>
        <w:footnoteReference w:id="861"/>
      </w:r>
      <w:r w:rsidRPr="00A70042">
        <w:rPr>
          <w:rFonts w:ascii="Times New Roman" w:hAnsi="Times New Roman" w:cs="Times New Roman"/>
          <w:spacing w:val="-2"/>
          <w:sz w:val="24"/>
          <w:szCs w:val="24"/>
        </w:rPr>
        <w:t xml:space="preserve"> namely the ‘physical’, ‘logical’, ‘application’ and ‘content’ layers, as widely accepted.</w:t>
      </w:r>
      <w:r w:rsidRPr="00A70042">
        <w:rPr>
          <w:rStyle w:val="FootnoteReference"/>
          <w:rFonts w:ascii="Times New Roman" w:hAnsi="Times New Roman" w:cs="Times New Roman"/>
          <w:spacing w:val="-2"/>
          <w:sz w:val="24"/>
          <w:szCs w:val="24"/>
        </w:rPr>
        <w:footnoteReference w:id="862"/>
      </w:r>
      <w:r w:rsidRPr="00A70042">
        <w:rPr>
          <w:rFonts w:ascii="Times New Roman" w:hAnsi="Times New Roman" w:cs="Times New Roman"/>
          <w:spacing w:val="-2"/>
          <w:sz w:val="24"/>
          <w:szCs w:val="24"/>
        </w:rPr>
        <w:t xml:space="preserve"> Having regard to the cross-layer interdependencies, Fransman, developed business and innovation models built upon the layering theory and </w:t>
      </w:r>
      <w:r w:rsidR="00313E74">
        <w:rPr>
          <w:rFonts w:ascii="Times New Roman" w:hAnsi="Times New Roman" w:cs="Times New Roman"/>
          <w:spacing w:val="-2"/>
          <w:sz w:val="24"/>
          <w:szCs w:val="24"/>
        </w:rPr>
        <w:t xml:space="preserve">fleshed out </w:t>
      </w:r>
      <w:r w:rsidRPr="00A70042">
        <w:rPr>
          <w:rFonts w:ascii="Times New Roman" w:hAnsi="Times New Roman" w:cs="Times New Roman"/>
          <w:spacing w:val="-2"/>
          <w:sz w:val="24"/>
          <w:szCs w:val="24"/>
        </w:rPr>
        <w:t xml:space="preserve">its implications for the industrial dynamics. While acknowledging the distinct natures of the layers, Fransman </w:t>
      </w:r>
      <w:r w:rsidR="00313E74">
        <w:rPr>
          <w:rFonts w:ascii="Times New Roman" w:hAnsi="Times New Roman" w:cs="Times New Roman"/>
          <w:spacing w:val="-2"/>
          <w:sz w:val="24"/>
          <w:szCs w:val="24"/>
        </w:rPr>
        <w:t>underlin</w:t>
      </w:r>
      <w:r w:rsidRPr="00A70042">
        <w:rPr>
          <w:rFonts w:ascii="Times New Roman" w:hAnsi="Times New Roman" w:cs="Times New Roman"/>
          <w:spacing w:val="-2"/>
          <w:sz w:val="24"/>
          <w:szCs w:val="24"/>
        </w:rPr>
        <w:t>ed the interdependencies between them and reached the conclusion that there exists a symbiosis between the ICT layers and players, invoking the ‘ecosystem’ approach at the core</w:t>
      </w:r>
      <w:r w:rsidR="00953B81">
        <w:rPr>
          <w:rFonts w:ascii="Times New Roman" w:hAnsi="Times New Roman" w:cs="Times New Roman"/>
          <w:spacing w:val="-2"/>
          <w:sz w:val="24"/>
          <w:szCs w:val="24"/>
        </w:rPr>
        <w:t xml:space="preserve"> of his narrative and proposition</w:t>
      </w:r>
      <w:r w:rsidRPr="00A70042">
        <w:rPr>
          <w:rFonts w:ascii="Times New Roman" w:hAnsi="Times New Roman" w:cs="Times New Roman"/>
          <w:spacing w:val="-2"/>
          <w:sz w:val="24"/>
          <w:szCs w:val="24"/>
        </w:rPr>
        <w:t>.</w:t>
      </w:r>
      <w:r w:rsidRPr="00A70042">
        <w:rPr>
          <w:rStyle w:val="FootnoteAnchor"/>
          <w:rFonts w:ascii="Times New Roman" w:hAnsi="Times New Roman" w:cs="Times New Roman"/>
          <w:spacing w:val="-2"/>
          <w:sz w:val="24"/>
          <w:szCs w:val="24"/>
        </w:rPr>
        <w:footnoteReference w:id="863"/>
      </w:r>
      <w:r w:rsidR="0091642D" w:rsidRPr="00A70042">
        <w:rPr>
          <w:rFonts w:ascii="Times New Roman" w:hAnsi="Times New Roman" w:cs="Times New Roman"/>
          <w:spacing w:val="-2"/>
          <w:sz w:val="24"/>
          <w:szCs w:val="24"/>
        </w:rPr>
        <w:t xml:space="preserve"> </w:t>
      </w:r>
    </w:p>
    <w:p w14:paraId="5B8E400B" w14:textId="239CF7FE" w:rsidR="000F3966" w:rsidRPr="00774EDB" w:rsidRDefault="00953B81" w:rsidP="00A70042">
      <w:pPr>
        <w:spacing w:before="360"/>
        <w:jc w:val="both"/>
        <w:rPr>
          <w:rFonts w:ascii="Times New Roman" w:hAnsi="Times New Roman" w:cs="Times New Roman"/>
          <w:sz w:val="24"/>
          <w:szCs w:val="24"/>
        </w:rPr>
      </w:pPr>
      <w:r>
        <w:rPr>
          <w:rFonts w:ascii="Times New Roman" w:hAnsi="Times New Roman" w:cs="Times New Roman"/>
          <w:sz w:val="24"/>
          <w:szCs w:val="24"/>
        </w:rPr>
        <w:t>Overall, l</w:t>
      </w:r>
      <w:r w:rsidR="00070E72" w:rsidRPr="00774EDB">
        <w:rPr>
          <w:rFonts w:ascii="Times New Roman" w:hAnsi="Times New Roman" w:cs="Times New Roman"/>
          <w:sz w:val="24"/>
          <w:szCs w:val="24"/>
        </w:rPr>
        <w:t>ayering theory and its approach was first intended as a tool for examining policy implications on technology and later evolved into a policy model intended to promote a technically neutral view of the various emerging network platforms.</w:t>
      </w:r>
      <w:r w:rsidR="00070E72" w:rsidRPr="00774EDB">
        <w:rPr>
          <w:rStyle w:val="FootnoteReference"/>
          <w:rFonts w:ascii="Times New Roman" w:hAnsi="Times New Roman" w:cs="Times New Roman"/>
          <w:sz w:val="24"/>
          <w:szCs w:val="24"/>
        </w:rPr>
        <w:footnoteReference w:id="864"/>
      </w:r>
      <w:r w:rsidR="00070E72" w:rsidRPr="00774EDB">
        <w:rPr>
          <w:rFonts w:ascii="Times New Roman" w:hAnsi="Times New Roman" w:cs="Times New Roman"/>
          <w:sz w:val="24"/>
          <w:szCs w:val="24"/>
        </w:rPr>
        <w:t xml:space="preserve"> On the techno-political ground cultivated by this, several ‘regulatory models’ have thus far been developed, inspired by the theory.</w:t>
      </w:r>
      <w:r w:rsidR="00070E72" w:rsidRPr="00774EDB">
        <w:rPr>
          <w:rStyle w:val="FootnoteReference"/>
          <w:rFonts w:ascii="Times New Roman" w:hAnsi="Times New Roman" w:cs="Times New Roman"/>
          <w:sz w:val="24"/>
          <w:szCs w:val="24"/>
        </w:rPr>
        <w:footnoteReference w:id="865"/>
      </w:r>
      <w:r w:rsidR="00070E72" w:rsidRPr="00774EDB">
        <w:rPr>
          <w:rFonts w:ascii="Times New Roman" w:hAnsi="Times New Roman" w:cs="Times New Roman"/>
          <w:sz w:val="24"/>
          <w:szCs w:val="24"/>
        </w:rPr>
        <w:t xml:space="preserve"> The main arguments of the policy proponents for layering models evolved on the; (i) differentiated treatment for each horizontal layer along with a lighter regulation in the higher layers and</w:t>
      </w:r>
      <w:r w:rsidR="00070E72" w:rsidRPr="00774EDB">
        <w:rPr>
          <w:rStyle w:val="FootnoteReference"/>
          <w:rFonts w:ascii="Times New Roman" w:hAnsi="Times New Roman" w:cs="Times New Roman"/>
          <w:sz w:val="24"/>
          <w:szCs w:val="24"/>
        </w:rPr>
        <w:footnoteReference w:id="866"/>
      </w:r>
      <w:r w:rsidR="00070E72" w:rsidRPr="00774EDB">
        <w:rPr>
          <w:rFonts w:ascii="Times New Roman" w:hAnsi="Times New Roman" w:cs="Times New Roman"/>
          <w:sz w:val="24"/>
          <w:szCs w:val="24"/>
        </w:rPr>
        <w:t xml:space="preserve"> (ii) adoption of a more technology-neutral and refined regulatory treatment for the ICT networks and services.</w:t>
      </w:r>
      <w:r w:rsidR="00070E72" w:rsidRPr="00774EDB">
        <w:rPr>
          <w:rStyle w:val="FootnoteAnchor"/>
          <w:rFonts w:ascii="Times New Roman" w:hAnsi="Times New Roman" w:cs="Times New Roman"/>
          <w:sz w:val="24"/>
          <w:szCs w:val="24"/>
        </w:rPr>
        <w:footnoteReference w:id="867"/>
      </w:r>
    </w:p>
    <w:p w14:paraId="3DB42C7E" w14:textId="77777777" w:rsidR="00D067A1" w:rsidRPr="00774EDB" w:rsidRDefault="00070E7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 xml:space="preserve">Scholarly perception of the theory led to the idea that heavy regulations were to be attributed to the bottom physical and transport layers, whereas the upper application and content layers were to be subject to zero or minimum sector-specific regulation because of their very characteristics e.g. being conducive to innovation and no serious upfront costs for operation with no bottleneck aspects. As an exception, </w:t>
      </w:r>
      <w:r w:rsidRPr="00774EDB">
        <w:rPr>
          <w:rFonts w:ascii="Times New Roman" w:hAnsi="Times New Roman" w:cs="Times New Roman"/>
          <w:sz w:val="24"/>
          <w:szCs w:val="24"/>
          <w:lang w:val="tr-TR"/>
        </w:rPr>
        <w:t>Kariyawasam suggested a broader and systemic approach called the “layered policy model”, in which layers are configured enabling a more homogenous and holistic regulatory treatment and pertaining to ECSs, in the broadest sense.</w:t>
      </w:r>
      <w:r w:rsidRPr="00774EDB">
        <w:rPr>
          <w:rStyle w:val="FootnoteReference"/>
          <w:rFonts w:ascii="Times New Roman" w:hAnsi="Times New Roman" w:cs="Times New Roman"/>
          <w:sz w:val="24"/>
          <w:szCs w:val="24"/>
          <w:lang w:val="tr-TR"/>
        </w:rPr>
        <w:footnoteReference w:id="868"/>
      </w:r>
    </w:p>
    <w:p w14:paraId="7699511E" w14:textId="3092F8F4" w:rsidR="001B5D19" w:rsidRPr="00774EDB" w:rsidRDefault="001B5D19" w:rsidP="00A70042">
      <w:pPr>
        <w:spacing w:before="360"/>
        <w:jc w:val="both"/>
        <w:rPr>
          <w:rFonts w:ascii="Times New Roman" w:hAnsi="Times New Roman" w:cs="Times New Roman"/>
          <w:sz w:val="24"/>
          <w:szCs w:val="24"/>
          <w:lang w:val="tr-TR"/>
        </w:rPr>
      </w:pPr>
      <w:r w:rsidRPr="00774EDB">
        <w:rPr>
          <w:rFonts w:ascii="Times New Roman" w:hAnsi="Times New Roman" w:cs="Times New Roman"/>
          <w:sz w:val="24"/>
          <w:szCs w:val="24"/>
          <w:lang w:val="tr-TR"/>
        </w:rPr>
        <w:t>Rather than describing each layer as strictly representing the providers of the services, Kariyawasam argues that an ECS could either fall in its entirety into one of the access, transport, application, or content layers,</w:t>
      </w:r>
      <w:r w:rsidR="00C95779" w:rsidRPr="00774EDB">
        <w:rPr>
          <w:rStyle w:val="FootnoteReference"/>
          <w:rFonts w:ascii="Times New Roman" w:hAnsi="Times New Roman" w:cs="Times New Roman"/>
          <w:sz w:val="24"/>
          <w:szCs w:val="24"/>
        </w:rPr>
        <w:footnoteReference w:id="869"/>
      </w:r>
      <w:r w:rsidRPr="00774EDB">
        <w:rPr>
          <w:rFonts w:ascii="Times New Roman" w:hAnsi="Times New Roman" w:cs="Times New Roman"/>
          <w:sz w:val="24"/>
          <w:szCs w:val="24"/>
          <w:lang w:val="tr-TR"/>
        </w:rPr>
        <w:t xml:space="preserve"> or will have component parts that will fit into any one, or several of the layers, simultaneously.</w:t>
      </w:r>
      <w:r w:rsidRPr="00774EDB">
        <w:rPr>
          <w:rStyle w:val="FootnoteReference"/>
          <w:rFonts w:ascii="Times New Roman" w:hAnsi="Times New Roman" w:cs="Times New Roman"/>
          <w:sz w:val="24"/>
          <w:szCs w:val="24"/>
          <w:lang w:val="tr-TR"/>
        </w:rPr>
        <w:footnoteReference w:id="870"/>
      </w:r>
      <w:r w:rsidRPr="00774EDB">
        <w:rPr>
          <w:rFonts w:ascii="Times New Roman" w:hAnsi="Times New Roman" w:cs="Times New Roman"/>
          <w:sz w:val="24"/>
          <w:szCs w:val="24"/>
          <w:lang w:val="tr-TR"/>
        </w:rPr>
        <w:t xml:space="preserve"> In a systemic approach, Kariyawasam suggests to regulate the operators that run their multi-layered activities based on the type and amount of the IP packets, namely the volume of the data traffic that transcends each layer - by means of deep packet inspection and allocating them into each layer via accounting seperation.</w:t>
      </w:r>
      <w:r w:rsidRPr="00774EDB">
        <w:rPr>
          <w:rStyle w:val="FootnoteReference"/>
          <w:rFonts w:ascii="Times New Roman" w:hAnsi="Times New Roman" w:cs="Times New Roman"/>
          <w:sz w:val="24"/>
          <w:szCs w:val="24"/>
          <w:lang w:val="tr-TR"/>
        </w:rPr>
        <w:footnoteReference w:id="871"/>
      </w:r>
    </w:p>
    <w:p w14:paraId="4687BDCC" w14:textId="77777777" w:rsidR="00F30ABD" w:rsidRPr="00774EDB" w:rsidRDefault="001B5D19" w:rsidP="00A70042">
      <w:pPr>
        <w:spacing w:before="360"/>
        <w:jc w:val="both"/>
        <w:rPr>
          <w:rFonts w:ascii="Times New Roman" w:hAnsi="Times New Roman" w:cs="Times New Roman"/>
          <w:sz w:val="24"/>
          <w:szCs w:val="24"/>
          <w:lang w:val="tr-TR"/>
        </w:rPr>
      </w:pPr>
      <w:r w:rsidRPr="00774EDB">
        <w:rPr>
          <w:rFonts w:ascii="Times New Roman" w:hAnsi="Times New Roman" w:cs="Times New Roman"/>
          <w:sz w:val="24"/>
          <w:szCs w:val="24"/>
          <w:lang w:val="tr-TR"/>
        </w:rPr>
        <w:lastRenderedPageBreak/>
        <w:t>Considering the ICT layers not in a self-divided manner but rather as components of ECSs, this proposed model ends up with new definitions regarding electronic communications network and services and criteria regarding market definition and market power, to replace the legacy ECRF rules</w:t>
      </w:r>
      <w:r w:rsidR="009124F5" w:rsidRPr="00774EDB">
        <w:rPr>
          <w:rFonts w:ascii="Times New Roman" w:hAnsi="Times New Roman" w:cs="Times New Roman"/>
          <w:sz w:val="24"/>
          <w:szCs w:val="24"/>
          <w:lang w:val="tr-TR"/>
        </w:rPr>
        <w:t>, specifically SMP regime</w:t>
      </w:r>
      <w:r w:rsidRPr="00774EDB">
        <w:rPr>
          <w:rFonts w:ascii="Times New Roman" w:hAnsi="Times New Roman" w:cs="Times New Roman"/>
          <w:sz w:val="24"/>
          <w:szCs w:val="24"/>
          <w:lang w:val="tr-TR"/>
        </w:rPr>
        <w:t>. While doing this, the volume of the traffic across the layer(s) is attributed a key role to determine market presence, with direct implications to determine SMP in the relevant layers, instead of markets. The established link between the amount of data transcending each layer and the market power makes Kariyawasam’s model a unique one and fully based on IP convergence and transmission, from a holistic viewpoint. Since then, no further model has been developed to refashion the regulation of the ICT networks and services based on the layering theory.</w:t>
      </w:r>
    </w:p>
    <w:p w14:paraId="05D8C13F" w14:textId="77777777" w:rsidR="00530D92" w:rsidRPr="00774EDB" w:rsidRDefault="00B3331B" w:rsidP="00A70042">
      <w:pPr>
        <w:pStyle w:val="Heading3"/>
        <w:numPr>
          <w:ilvl w:val="2"/>
          <w:numId w:val="33"/>
        </w:numPr>
        <w:spacing w:before="360"/>
        <w:ind w:left="0" w:firstLine="0"/>
        <w:jc w:val="both"/>
        <w:rPr>
          <w:rFonts w:ascii="Times New Roman" w:hAnsi="Times New Roman" w:cs="Times New Roman"/>
          <w:b/>
          <w:color w:val="auto"/>
        </w:rPr>
      </w:pPr>
      <w:bookmarkStart w:id="694" w:name="_Toc17611509"/>
      <w:bookmarkStart w:id="695" w:name="_Toc17611726"/>
      <w:bookmarkStart w:id="696" w:name="_Toc17611938"/>
      <w:bookmarkStart w:id="697" w:name="_Toc17612152"/>
      <w:bookmarkStart w:id="698" w:name="_Toc17612365"/>
      <w:bookmarkStart w:id="699" w:name="_Toc17611510"/>
      <w:bookmarkStart w:id="700" w:name="_Toc53576125"/>
      <w:bookmarkEnd w:id="694"/>
      <w:bookmarkEnd w:id="695"/>
      <w:bookmarkEnd w:id="696"/>
      <w:bookmarkEnd w:id="697"/>
      <w:bookmarkEnd w:id="698"/>
      <w:r w:rsidRPr="00774EDB">
        <w:rPr>
          <w:rFonts w:ascii="Times New Roman" w:hAnsi="Times New Roman" w:cs="Times New Roman"/>
          <w:b/>
          <w:color w:val="auto"/>
        </w:rPr>
        <w:t xml:space="preserve">Critical analysis of </w:t>
      </w:r>
      <w:r w:rsidR="007C736B" w:rsidRPr="00774EDB">
        <w:rPr>
          <w:rFonts w:ascii="Times New Roman" w:hAnsi="Times New Roman" w:cs="Times New Roman"/>
          <w:b/>
          <w:color w:val="auto"/>
        </w:rPr>
        <w:t xml:space="preserve">the </w:t>
      </w:r>
      <w:r w:rsidR="00530D92" w:rsidRPr="00774EDB">
        <w:rPr>
          <w:rFonts w:ascii="Times New Roman" w:hAnsi="Times New Roman" w:cs="Times New Roman"/>
          <w:b/>
          <w:color w:val="auto"/>
        </w:rPr>
        <w:t>layering models</w:t>
      </w:r>
      <w:bookmarkEnd w:id="699"/>
      <w:bookmarkEnd w:id="700"/>
      <w:r w:rsidR="00530D92" w:rsidRPr="00774EDB">
        <w:rPr>
          <w:rFonts w:ascii="Times New Roman" w:hAnsi="Times New Roman" w:cs="Times New Roman"/>
          <w:b/>
          <w:color w:val="auto"/>
        </w:rPr>
        <w:t xml:space="preserve"> </w:t>
      </w:r>
    </w:p>
    <w:p w14:paraId="58865A51" w14:textId="2A8DAF2C" w:rsidR="00114FC3" w:rsidRPr="00774EDB" w:rsidRDefault="00A36D67"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After an overall analysis, one could infer three common aspects that could be attributed to the layering models: (i) categorisation of the ICT networks and services under horizontal ‘layers’, (ii) technologically neutral treatment of the layered networks and services, and (iii) differentiated treatment of the horizontal layers. The most </w:t>
      </w:r>
      <w:r w:rsidR="00C95779">
        <w:rPr>
          <w:rFonts w:ascii="Times New Roman" w:hAnsi="Times New Roman" w:cs="Times New Roman"/>
          <w:sz w:val="24"/>
          <w:szCs w:val="24"/>
        </w:rPr>
        <w:t>prominent</w:t>
      </w:r>
      <w:r w:rsidR="00C95779" w:rsidRPr="00774EDB">
        <w:rPr>
          <w:rFonts w:ascii="Times New Roman" w:hAnsi="Times New Roman" w:cs="Times New Roman"/>
          <w:sz w:val="24"/>
          <w:szCs w:val="24"/>
        </w:rPr>
        <w:t xml:space="preserve"> </w:t>
      </w:r>
      <w:r w:rsidRPr="00774EDB">
        <w:rPr>
          <w:rFonts w:ascii="Times New Roman" w:hAnsi="Times New Roman" w:cs="Times New Roman"/>
          <w:sz w:val="24"/>
          <w:szCs w:val="24"/>
        </w:rPr>
        <w:t>aspect of the layering models is reconceptualising the ICT layers so as to identify the problematic areas where the market failures would occur. Targeted regulation based on the layering models is to ensure that market failures do not occur, that market power at lower layers cannot be levered into control of upper layers and that policy objectives are achieved in the face of market incentives.</w:t>
      </w:r>
      <w:r w:rsidRPr="00774EDB">
        <w:rPr>
          <w:rStyle w:val="FootnoteReference"/>
          <w:rFonts w:ascii="Times New Roman" w:hAnsi="Times New Roman" w:cs="Times New Roman"/>
          <w:sz w:val="24"/>
          <w:szCs w:val="24"/>
        </w:rPr>
        <w:footnoteReference w:id="872"/>
      </w:r>
      <w:r w:rsidRPr="00774EDB">
        <w:rPr>
          <w:rFonts w:ascii="Times New Roman" w:hAnsi="Times New Roman" w:cs="Times New Roman"/>
          <w:sz w:val="24"/>
          <w:szCs w:val="24"/>
        </w:rPr>
        <w:t xml:space="preserve"> In this setting, the lower layers are believed to be kept under ex-ante regulation, whereas the upper layers are largely left </w:t>
      </w:r>
      <w:r w:rsidRPr="00774EDB">
        <w:rPr>
          <w:rFonts w:ascii="Times New Roman" w:hAnsi="Times New Roman" w:cs="Times New Roman"/>
          <w:sz w:val="24"/>
          <w:szCs w:val="24"/>
        </w:rPr>
        <w:lastRenderedPageBreak/>
        <w:t>to market forces, considering the innovation potential of the latter as opposed to the bottleneck aspects of the former.</w:t>
      </w:r>
    </w:p>
    <w:p w14:paraId="0A31A747" w14:textId="3D756748" w:rsidR="000C1D0C" w:rsidRDefault="00321C3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However, these presumptions are open to criticism under the light of the detailed analysis given in this study. As a matter of fact, the extensively voiced differences between the upper and lower layers in terms of innovation and bottleneck features faded away and are no longer relevant today. Notably, the undertakings that represent the lower layers i.e. traditional telco</w:t>
      </w:r>
      <w:r w:rsidR="004A12DE" w:rsidRPr="00774EDB">
        <w:rPr>
          <w:rFonts w:ascii="Times New Roman" w:hAnsi="Times New Roman" w:cs="Times New Roman"/>
          <w:sz w:val="24"/>
          <w:szCs w:val="24"/>
        </w:rPr>
        <w:t>e</w:t>
      </w:r>
      <w:r w:rsidRPr="00774EDB">
        <w:rPr>
          <w:rFonts w:ascii="Times New Roman" w:hAnsi="Times New Roman" w:cs="Times New Roman"/>
          <w:sz w:val="24"/>
          <w:szCs w:val="24"/>
        </w:rPr>
        <w:t xml:space="preserve">s, </w:t>
      </w:r>
      <w:r w:rsidR="000C1D0C">
        <w:rPr>
          <w:rFonts w:ascii="Times New Roman" w:hAnsi="Times New Roman" w:cs="Times New Roman"/>
          <w:sz w:val="24"/>
          <w:szCs w:val="24"/>
        </w:rPr>
        <w:t xml:space="preserve">have long been and </w:t>
      </w:r>
      <w:r w:rsidRPr="00774EDB">
        <w:rPr>
          <w:rFonts w:ascii="Times New Roman" w:hAnsi="Times New Roman" w:cs="Times New Roman"/>
          <w:sz w:val="24"/>
          <w:szCs w:val="24"/>
        </w:rPr>
        <w:t xml:space="preserve">are </w:t>
      </w:r>
      <w:r w:rsidR="000C1D0C">
        <w:rPr>
          <w:rFonts w:ascii="Times New Roman" w:hAnsi="Times New Roman" w:cs="Times New Roman"/>
          <w:sz w:val="24"/>
          <w:szCs w:val="24"/>
        </w:rPr>
        <w:t xml:space="preserve">still </w:t>
      </w:r>
      <w:r w:rsidRPr="00774EDB">
        <w:rPr>
          <w:rFonts w:ascii="Times New Roman" w:hAnsi="Times New Roman" w:cs="Times New Roman"/>
          <w:sz w:val="24"/>
          <w:szCs w:val="24"/>
        </w:rPr>
        <w:t>under regulatory pressure</w:t>
      </w:r>
      <w:r w:rsidR="0070568A">
        <w:rPr>
          <w:rFonts w:ascii="Times New Roman" w:hAnsi="Times New Roman" w:cs="Times New Roman"/>
          <w:sz w:val="24"/>
          <w:szCs w:val="24"/>
        </w:rPr>
        <w:t>,</w:t>
      </w:r>
      <w:r w:rsidRPr="00774EDB">
        <w:rPr>
          <w:rFonts w:ascii="Times New Roman" w:hAnsi="Times New Roman" w:cs="Times New Roman"/>
          <w:sz w:val="24"/>
          <w:szCs w:val="24"/>
        </w:rPr>
        <w:t xml:space="preserve"> </w:t>
      </w:r>
      <w:r w:rsidR="000C1D0C">
        <w:rPr>
          <w:rFonts w:ascii="Times New Roman" w:hAnsi="Times New Roman" w:cs="Times New Roman"/>
          <w:sz w:val="24"/>
          <w:szCs w:val="24"/>
        </w:rPr>
        <w:t>posing questions as to the</w:t>
      </w:r>
      <w:r w:rsidRPr="00774EDB">
        <w:rPr>
          <w:rFonts w:ascii="Times New Roman" w:hAnsi="Times New Roman" w:cs="Times New Roman"/>
          <w:sz w:val="24"/>
          <w:szCs w:val="24"/>
        </w:rPr>
        <w:t xml:space="preserve"> equal footing </w:t>
      </w:r>
      <w:r w:rsidR="000C1D0C">
        <w:rPr>
          <w:rFonts w:ascii="Times New Roman" w:hAnsi="Times New Roman" w:cs="Times New Roman"/>
          <w:sz w:val="24"/>
          <w:szCs w:val="24"/>
        </w:rPr>
        <w:t>between these and</w:t>
      </w:r>
      <w:r w:rsidR="000C1D0C" w:rsidRPr="00774EDB">
        <w:rPr>
          <w:rFonts w:ascii="Times New Roman" w:hAnsi="Times New Roman" w:cs="Times New Roman"/>
          <w:sz w:val="24"/>
          <w:szCs w:val="24"/>
        </w:rPr>
        <w:t xml:space="preserve"> </w:t>
      </w:r>
      <w:r w:rsidRPr="00774EDB">
        <w:rPr>
          <w:rFonts w:ascii="Times New Roman" w:hAnsi="Times New Roman" w:cs="Times New Roman"/>
          <w:sz w:val="24"/>
          <w:szCs w:val="24"/>
        </w:rPr>
        <w:t>the upper</w:t>
      </w:r>
      <w:r w:rsidR="004A12DE" w:rsidRPr="00774EDB">
        <w:rPr>
          <w:rFonts w:ascii="Times New Roman" w:hAnsi="Times New Roman" w:cs="Times New Roman"/>
          <w:sz w:val="24"/>
          <w:szCs w:val="24"/>
        </w:rPr>
        <w:t xml:space="preserve"> </w:t>
      </w:r>
      <w:r w:rsidRPr="00774EDB">
        <w:rPr>
          <w:rFonts w:ascii="Times New Roman" w:hAnsi="Times New Roman" w:cs="Times New Roman"/>
          <w:sz w:val="24"/>
          <w:szCs w:val="24"/>
        </w:rPr>
        <w:t>layer firms i.e. software companies</w:t>
      </w:r>
      <w:r w:rsidR="0070568A">
        <w:rPr>
          <w:rFonts w:ascii="Times New Roman" w:hAnsi="Times New Roman" w:cs="Times New Roman"/>
          <w:sz w:val="24"/>
          <w:szCs w:val="24"/>
        </w:rPr>
        <w:t>,</w:t>
      </w:r>
      <w:r w:rsidR="000C1D0C">
        <w:rPr>
          <w:rFonts w:ascii="Times New Roman" w:hAnsi="Times New Roman" w:cs="Times New Roman"/>
          <w:sz w:val="24"/>
          <w:szCs w:val="24"/>
        </w:rPr>
        <w:t xml:space="preserve"> which </w:t>
      </w:r>
      <w:r w:rsidR="0070568A">
        <w:rPr>
          <w:rFonts w:ascii="Times New Roman" w:hAnsi="Times New Roman" w:cs="Times New Roman"/>
          <w:sz w:val="24"/>
          <w:szCs w:val="24"/>
        </w:rPr>
        <w:t xml:space="preserve">has </w:t>
      </w:r>
      <w:r w:rsidR="000C1D0C">
        <w:rPr>
          <w:rFonts w:ascii="Times New Roman" w:hAnsi="Times New Roman" w:cs="Times New Roman"/>
          <w:sz w:val="24"/>
          <w:szCs w:val="24"/>
        </w:rPr>
        <w:t xml:space="preserve">appealed regulatory attention in a slower pace </w:t>
      </w:r>
      <w:r w:rsidR="00716804">
        <w:rPr>
          <w:rFonts w:ascii="Times New Roman" w:hAnsi="Times New Roman" w:cs="Times New Roman"/>
          <w:sz w:val="24"/>
          <w:szCs w:val="24"/>
        </w:rPr>
        <w:t>through the last decade</w:t>
      </w:r>
      <w:r w:rsidRPr="00774EDB">
        <w:rPr>
          <w:rFonts w:ascii="Times New Roman" w:hAnsi="Times New Roman" w:cs="Times New Roman"/>
          <w:sz w:val="24"/>
          <w:szCs w:val="24"/>
        </w:rPr>
        <w:t xml:space="preserve">. </w:t>
      </w:r>
      <w:r w:rsidR="000C1D0C" w:rsidRPr="00774EDB">
        <w:rPr>
          <w:rFonts w:ascii="Times New Roman" w:hAnsi="Times New Roman" w:cs="Times New Roman"/>
          <w:sz w:val="24"/>
          <w:szCs w:val="24"/>
        </w:rPr>
        <w:t xml:space="preserve">Existing regulations, i.e. net neutrality, being applicable only to the ISPs, signifies </w:t>
      </w:r>
      <w:r w:rsidR="00716804">
        <w:rPr>
          <w:rFonts w:ascii="Times New Roman" w:hAnsi="Times New Roman" w:cs="Times New Roman"/>
          <w:sz w:val="24"/>
          <w:szCs w:val="24"/>
        </w:rPr>
        <w:t xml:space="preserve">and exemplifies </w:t>
      </w:r>
      <w:r w:rsidR="000C1D0C" w:rsidRPr="00774EDB">
        <w:rPr>
          <w:rFonts w:ascii="Times New Roman" w:hAnsi="Times New Roman" w:cs="Times New Roman"/>
          <w:sz w:val="24"/>
          <w:szCs w:val="24"/>
        </w:rPr>
        <w:t xml:space="preserve">the distinctly marked boundaries between the lower and upper layers, in contrast to the </w:t>
      </w:r>
      <w:r w:rsidR="0070568A">
        <w:rPr>
          <w:rFonts w:ascii="Times New Roman" w:hAnsi="Times New Roman" w:cs="Times New Roman"/>
          <w:sz w:val="24"/>
          <w:szCs w:val="24"/>
        </w:rPr>
        <w:t xml:space="preserve">ever fast </w:t>
      </w:r>
      <w:r w:rsidR="000C1D0C" w:rsidRPr="00774EDB">
        <w:rPr>
          <w:rFonts w:ascii="Times New Roman" w:hAnsi="Times New Roman" w:cs="Times New Roman"/>
          <w:sz w:val="24"/>
          <w:szCs w:val="24"/>
        </w:rPr>
        <w:t xml:space="preserve">increasing </w:t>
      </w:r>
      <w:r w:rsidR="00716804">
        <w:rPr>
          <w:rFonts w:ascii="Times New Roman" w:hAnsi="Times New Roman" w:cs="Times New Roman"/>
          <w:sz w:val="24"/>
          <w:szCs w:val="24"/>
        </w:rPr>
        <w:t xml:space="preserve">IP </w:t>
      </w:r>
      <w:r w:rsidR="000C1D0C" w:rsidRPr="00774EDB">
        <w:rPr>
          <w:rFonts w:ascii="Times New Roman" w:hAnsi="Times New Roman" w:cs="Times New Roman"/>
          <w:sz w:val="24"/>
          <w:szCs w:val="24"/>
        </w:rPr>
        <w:t>convergence.</w:t>
      </w:r>
      <w:r w:rsidR="000C1D0C" w:rsidRPr="00774EDB">
        <w:rPr>
          <w:rStyle w:val="FootnoteReference"/>
          <w:rFonts w:ascii="Times New Roman" w:hAnsi="Times New Roman" w:cs="Times New Roman"/>
          <w:sz w:val="24"/>
          <w:szCs w:val="24"/>
        </w:rPr>
        <w:footnoteReference w:id="873"/>
      </w:r>
    </w:p>
    <w:p w14:paraId="03D230E9" w14:textId="3B0EEB80" w:rsidR="00F93B26" w:rsidRPr="00774EDB" w:rsidRDefault="000C1D0C" w:rsidP="00A70042">
      <w:pPr>
        <w:spacing w:before="360"/>
        <w:jc w:val="both"/>
        <w:rPr>
          <w:rFonts w:ascii="Times New Roman" w:hAnsi="Times New Roman" w:cs="Times New Roman"/>
          <w:sz w:val="24"/>
          <w:szCs w:val="24"/>
        </w:rPr>
      </w:pPr>
      <w:r>
        <w:rPr>
          <w:rFonts w:ascii="Times New Roman" w:hAnsi="Times New Roman" w:cs="Times New Roman"/>
          <w:sz w:val="24"/>
          <w:szCs w:val="24"/>
        </w:rPr>
        <w:t>By the same token, t</w:t>
      </w:r>
      <w:r w:rsidR="00321C3B" w:rsidRPr="00774EDB">
        <w:rPr>
          <w:rFonts w:ascii="Times New Roman" w:hAnsi="Times New Roman" w:cs="Times New Roman"/>
          <w:sz w:val="24"/>
          <w:szCs w:val="24"/>
        </w:rPr>
        <w:t>elecom operators, which represent the characteristics of the access layer, increasingly invest in network configuration, virtualisation and softwarisation, whereas the software companies have already expertise in these areas, taking this advantage to get closer to the users through data-driven software and apps, voice assistants, handsets</w:t>
      </w:r>
      <w:r>
        <w:rPr>
          <w:rFonts w:ascii="Times New Roman" w:hAnsi="Times New Roman" w:cs="Times New Roman"/>
          <w:sz w:val="24"/>
          <w:szCs w:val="24"/>
        </w:rPr>
        <w:t xml:space="preserve"> or devices</w:t>
      </w:r>
      <w:r w:rsidR="00321C3B" w:rsidRPr="00774EDB">
        <w:rPr>
          <w:rFonts w:ascii="Times New Roman" w:hAnsi="Times New Roman" w:cs="Times New Roman"/>
          <w:sz w:val="24"/>
          <w:szCs w:val="24"/>
        </w:rPr>
        <w:t>, smart watches, etc. As a matter of fact, the broadband access networks often serve just as the mere conduit for the users, who meet their ICT-inclusive needs from the popular software companies e.g. the so-called FAGMA of Facebook, Apple, Google, Microsoft and Amazon. While FAGMA manipulate the users’ behaviours with a view to make the</w:t>
      </w:r>
      <w:r>
        <w:rPr>
          <w:rFonts w:ascii="Times New Roman" w:hAnsi="Times New Roman" w:cs="Times New Roman"/>
          <w:sz w:val="24"/>
          <w:szCs w:val="24"/>
        </w:rPr>
        <w:t>m</w:t>
      </w:r>
      <w:r w:rsidR="00321C3B" w:rsidRPr="00774EDB">
        <w:rPr>
          <w:rFonts w:ascii="Times New Roman" w:hAnsi="Times New Roman" w:cs="Times New Roman"/>
          <w:sz w:val="24"/>
          <w:szCs w:val="24"/>
        </w:rPr>
        <w:t xml:space="preserve"> rely on their services, their already </w:t>
      </w:r>
      <w:r w:rsidR="00321C3B" w:rsidRPr="00774EDB">
        <w:rPr>
          <w:rFonts w:ascii="Times New Roman" w:hAnsi="Times New Roman" w:cs="Times New Roman"/>
          <w:sz w:val="24"/>
          <w:szCs w:val="24"/>
        </w:rPr>
        <w:lastRenderedPageBreak/>
        <w:t>reserved areas for competition and innovation help this to be managed</w:t>
      </w:r>
      <w:r>
        <w:rPr>
          <w:rFonts w:ascii="Times New Roman" w:hAnsi="Times New Roman" w:cs="Times New Roman"/>
          <w:sz w:val="24"/>
          <w:szCs w:val="24"/>
        </w:rPr>
        <w:t xml:space="preserve"> more thoroughly e.g. with the AI support and configuration</w:t>
      </w:r>
      <w:r w:rsidR="00321C3B" w:rsidRPr="00774EDB">
        <w:rPr>
          <w:rFonts w:ascii="Times New Roman" w:hAnsi="Times New Roman" w:cs="Times New Roman"/>
          <w:sz w:val="24"/>
          <w:szCs w:val="24"/>
        </w:rPr>
        <w:t xml:space="preserve">. </w:t>
      </w:r>
    </w:p>
    <w:p w14:paraId="0889211D" w14:textId="466D653E" w:rsidR="00371F72" w:rsidRPr="00774EDB" w:rsidRDefault="00716804" w:rsidP="00A70042">
      <w:pPr>
        <w:spacing w:before="360"/>
        <w:jc w:val="both"/>
        <w:rPr>
          <w:rFonts w:ascii="Times New Roman" w:hAnsi="Times New Roman" w:cs="Times New Roman"/>
          <w:sz w:val="24"/>
          <w:szCs w:val="24"/>
        </w:rPr>
      </w:pPr>
      <w:r>
        <w:rPr>
          <w:rFonts w:ascii="Times New Roman" w:hAnsi="Times New Roman" w:cs="Times New Roman"/>
          <w:sz w:val="24"/>
          <w:szCs w:val="24"/>
        </w:rPr>
        <w:t>From this vantage point of view</w:t>
      </w:r>
      <w:r w:rsidR="004A12DE" w:rsidRPr="00774EDB">
        <w:rPr>
          <w:rFonts w:ascii="Times New Roman" w:hAnsi="Times New Roman" w:cs="Times New Roman"/>
          <w:sz w:val="24"/>
          <w:szCs w:val="24"/>
        </w:rPr>
        <w:t>, a more neutral and homogenous treatment arises as a key component and to be attached to the layered regulatory model to be proposed by this study. Drawing a distinction within the layering-based models, Kariyawasam’s model suggests layers be treated in an equivalent manner, based on the measurement of IP data, as per the protocols used, to designate the SMP players. Hence, the model proposed by Kariyawasam diverges from other models for its advanced regulatory homogeneity across the layers.</w:t>
      </w:r>
      <w:r w:rsidR="003E4F49" w:rsidRPr="00774EDB">
        <w:rPr>
          <w:rFonts w:ascii="Times New Roman" w:hAnsi="Times New Roman" w:cs="Times New Roman"/>
          <w:sz w:val="24"/>
          <w:szCs w:val="24"/>
        </w:rPr>
        <w:t xml:space="preserve"> </w:t>
      </w:r>
      <w:r w:rsidR="00047364" w:rsidRPr="00774EDB">
        <w:rPr>
          <w:rFonts w:ascii="Times New Roman" w:hAnsi="Times New Roman" w:cs="Times New Roman"/>
          <w:sz w:val="24"/>
          <w:szCs w:val="24"/>
        </w:rPr>
        <w:t>I</w:t>
      </w:r>
      <w:r w:rsidR="004A12DE" w:rsidRPr="00774EDB">
        <w:rPr>
          <w:rFonts w:ascii="Times New Roman" w:hAnsi="Times New Roman" w:cs="Times New Roman"/>
          <w:sz w:val="24"/>
          <w:szCs w:val="24"/>
        </w:rPr>
        <w:t xml:space="preserve">t is </w:t>
      </w:r>
      <w:r w:rsidR="00047364" w:rsidRPr="00774EDB">
        <w:rPr>
          <w:rFonts w:ascii="Times New Roman" w:hAnsi="Times New Roman" w:cs="Times New Roman"/>
          <w:sz w:val="24"/>
          <w:szCs w:val="24"/>
        </w:rPr>
        <w:t>important to</w:t>
      </w:r>
      <w:r w:rsidR="004A12DE" w:rsidRPr="00774EDB">
        <w:rPr>
          <w:rFonts w:ascii="Times New Roman" w:hAnsi="Times New Roman" w:cs="Times New Roman"/>
          <w:sz w:val="24"/>
          <w:szCs w:val="24"/>
        </w:rPr>
        <w:t xml:space="preserve"> not</w:t>
      </w:r>
      <w:r w:rsidR="00047364" w:rsidRPr="00774EDB">
        <w:rPr>
          <w:rFonts w:ascii="Times New Roman" w:hAnsi="Times New Roman" w:cs="Times New Roman"/>
          <w:sz w:val="24"/>
          <w:szCs w:val="24"/>
        </w:rPr>
        <w:t>e</w:t>
      </w:r>
      <w:r w:rsidR="004A12DE" w:rsidRPr="00774EDB">
        <w:rPr>
          <w:rFonts w:ascii="Times New Roman" w:hAnsi="Times New Roman" w:cs="Times New Roman"/>
          <w:sz w:val="24"/>
          <w:szCs w:val="24"/>
        </w:rPr>
        <w:t xml:space="preserve"> that the homogenous and equivalent treatment of the layers</w:t>
      </w:r>
      <w:r w:rsidR="00047364" w:rsidRPr="00774EDB">
        <w:rPr>
          <w:rFonts w:ascii="Times New Roman" w:hAnsi="Times New Roman" w:cs="Times New Roman"/>
          <w:sz w:val="24"/>
          <w:szCs w:val="24"/>
        </w:rPr>
        <w:t>, as featured in this model,</w:t>
      </w:r>
      <w:r w:rsidR="004A12DE" w:rsidRPr="00774EDB">
        <w:rPr>
          <w:rFonts w:ascii="Times New Roman" w:hAnsi="Times New Roman" w:cs="Times New Roman"/>
          <w:sz w:val="24"/>
          <w:szCs w:val="24"/>
        </w:rPr>
        <w:t xml:space="preserve"> arises as the key aspect of a regulatory model because of the reasons explained above.</w:t>
      </w:r>
      <w:r w:rsidR="00047364" w:rsidRPr="00774EDB">
        <w:rPr>
          <w:rFonts w:ascii="Times New Roman" w:hAnsi="Times New Roman" w:cs="Times New Roman"/>
          <w:sz w:val="24"/>
          <w:szCs w:val="24"/>
        </w:rPr>
        <w:t xml:space="preserve">  </w:t>
      </w:r>
    </w:p>
    <w:p w14:paraId="0698DA94" w14:textId="6DD1C9E5" w:rsidR="00FE31F7" w:rsidRPr="00774EDB" w:rsidRDefault="00047364"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On the other hand, not only Kariyawasam’s model but also other layered models heavily focus on the IP layering and protocols, with no delving into the economic relationships between the layers and players. While IP convergence drives data transmission being considered as a common thread of the layers, the abovementioned locus of the users’ activities and the potential threats over them e.g. because of lacking interoperability, need</w:t>
      </w:r>
      <w:r w:rsidR="00112E5B" w:rsidRPr="00774EDB">
        <w:rPr>
          <w:rFonts w:ascii="Times New Roman" w:hAnsi="Times New Roman" w:cs="Times New Roman"/>
          <w:sz w:val="24"/>
          <w:szCs w:val="24"/>
        </w:rPr>
        <w:t>s</w:t>
      </w:r>
      <w:r w:rsidRPr="00774EDB">
        <w:rPr>
          <w:rFonts w:ascii="Times New Roman" w:hAnsi="Times New Roman" w:cs="Times New Roman"/>
          <w:sz w:val="24"/>
          <w:szCs w:val="24"/>
        </w:rPr>
        <w:t xml:space="preserve"> to be prioritised. Data transmission means the path, being represented by IP stack, along which the IP packets go and reach their destination. </w:t>
      </w:r>
      <w:r w:rsidR="00244D82" w:rsidRPr="00774EDB">
        <w:rPr>
          <w:rFonts w:ascii="Times New Roman" w:hAnsi="Times New Roman" w:cs="Times New Roman"/>
          <w:sz w:val="24"/>
          <w:szCs w:val="24"/>
        </w:rPr>
        <w:t>Notwithstanding</w:t>
      </w:r>
      <w:r w:rsidRPr="00774EDB">
        <w:rPr>
          <w:rFonts w:ascii="Times New Roman" w:hAnsi="Times New Roman" w:cs="Times New Roman"/>
          <w:sz w:val="24"/>
          <w:szCs w:val="24"/>
        </w:rPr>
        <w:t xml:space="preserve">, </w:t>
      </w:r>
      <w:r w:rsidR="00112E5B" w:rsidRPr="00774EDB">
        <w:rPr>
          <w:rFonts w:ascii="Times New Roman" w:hAnsi="Times New Roman" w:cs="Times New Roman"/>
          <w:sz w:val="24"/>
          <w:szCs w:val="24"/>
        </w:rPr>
        <w:t>neither</w:t>
      </w:r>
      <w:r w:rsidRPr="00774EDB">
        <w:rPr>
          <w:rFonts w:ascii="Times New Roman" w:hAnsi="Times New Roman" w:cs="Times New Roman"/>
          <w:sz w:val="24"/>
          <w:szCs w:val="24"/>
        </w:rPr>
        <w:t xml:space="preserve"> controlling power of the </w:t>
      </w:r>
      <w:r w:rsidR="00716804">
        <w:rPr>
          <w:rFonts w:ascii="Times New Roman" w:hAnsi="Times New Roman" w:cs="Times New Roman"/>
          <w:sz w:val="24"/>
          <w:szCs w:val="24"/>
        </w:rPr>
        <w:t>‘</w:t>
      </w:r>
      <w:r w:rsidRPr="00774EDB">
        <w:rPr>
          <w:rFonts w:ascii="Times New Roman" w:hAnsi="Times New Roman" w:cs="Times New Roman"/>
          <w:sz w:val="24"/>
          <w:szCs w:val="24"/>
        </w:rPr>
        <w:t>gatekeepers</w:t>
      </w:r>
      <w:r w:rsidR="00716804">
        <w:rPr>
          <w:rFonts w:ascii="Times New Roman" w:hAnsi="Times New Roman" w:cs="Times New Roman"/>
          <w:sz w:val="24"/>
          <w:szCs w:val="24"/>
        </w:rPr>
        <w:t>’</w:t>
      </w:r>
      <w:r w:rsidRPr="00774EDB">
        <w:rPr>
          <w:rFonts w:ascii="Times New Roman" w:hAnsi="Times New Roman" w:cs="Times New Roman"/>
          <w:sz w:val="24"/>
          <w:szCs w:val="24"/>
        </w:rPr>
        <w:t xml:space="preserve"> across the layers</w:t>
      </w:r>
      <w:r w:rsidR="008F1A36" w:rsidRPr="00774EDB">
        <w:rPr>
          <w:rFonts w:ascii="Times New Roman" w:hAnsi="Times New Roman" w:cs="Times New Roman"/>
          <w:sz w:val="24"/>
          <w:szCs w:val="24"/>
        </w:rPr>
        <w:t xml:space="preserve"> nor </w:t>
      </w:r>
      <w:r w:rsidR="00716804">
        <w:rPr>
          <w:rFonts w:ascii="Times New Roman" w:hAnsi="Times New Roman" w:cs="Times New Roman"/>
          <w:sz w:val="24"/>
          <w:szCs w:val="24"/>
        </w:rPr>
        <w:t xml:space="preserve">their </w:t>
      </w:r>
      <w:r w:rsidR="008F1A36" w:rsidRPr="00774EDB">
        <w:rPr>
          <w:rFonts w:ascii="Times New Roman" w:hAnsi="Times New Roman" w:cs="Times New Roman"/>
          <w:sz w:val="24"/>
          <w:szCs w:val="24"/>
        </w:rPr>
        <w:t xml:space="preserve">restrictive activities are </w:t>
      </w:r>
      <w:r w:rsidR="00716804">
        <w:rPr>
          <w:rFonts w:ascii="Times New Roman" w:hAnsi="Times New Roman" w:cs="Times New Roman"/>
          <w:sz w:val="24"/>
          <w:szCs w:val="24"/>
        </w:rPr>
        <w:t xml:space="preserve">well </w:t>
      </w:r>
      <w:r w:rsidR="008F1A36" w:rsidRPr="00774EDB">
        <w:rPr>
          <w:rFonts w:ascii="Times New Roman" w:hAnsi="Times New Roman" w:cs="Times New Roman"/>
          <w:sz w:val="24"/>
          <w:szCs w:val="24"/>
        </w:rPr>
        <w:t>depicted within</w:t>
      </w:r>
      <w:r w:rsidR="00112E5B" w:rsidRPr="00774EDB">
        <w:rPr>
          <w:rFonts w:ascii="Times New Roman" w:hAnsi="Times New Roman" w:cs="Times New Roman"/>
          <w:sz w:val="24"/>
          <w:szCs w:val="24"/>
        </w:rPr>
        <w:t xml:space="preserve"> the so</w:t>
      </w:r>
      <w:r w:rsidR="00244D82" w:rsidRPr="00774EDB">
        <w:rPr>
          <w:rFonts w:ascii="Times New Roman" w:hAnsi="Times New Roman" w:cs="Times New Roman"/>
          <w:sz w:val="24"/>
          <w:szCs w:val="24"/>
        </w:rPr>
        <w:t>-</w:t>
      </w:r>
      <w:r w:rsidR="00112E5B" w:rsidRPr="00774EDB">
        <w:rPr>
          <w:rFonts w:ascii="Times New Roman" w:hAnsi="Times New Roman" w:cs="Times New Roman"/>
          <w:sz w:val="24"/>
          <w:szCs w:val="24"/>
        </w:rPr>
        <w:t>called IP stack</w:t>
      </w:r>
      <w:r w:rsidR="00F060E7" w:rsidRPr="00774EDB">
        <w:rPr>
          <w:rFonts w:ascii="Times New Roman" w:hAnsi="Times New Roman" w:cs="Times New Roman"/>
          <w:sz w:val="24"/>
          <w:szCs w:val="24"/>
        </w:rPr>
        <w:t xml:space="preserve"> and related models</w:t>
      </w:r>
      <w:r w:rsidR="008F1A36" w:rsidRPr="00774EDB">
        <w:rPr>
          <w:rFonts w:ascii="Times New Roman" w:hAnsi="Times New Roman" w:cs="Times New Roman"/>
          <w:sz w:val="24"/>
          <w:szCs w:val="24"/>
        </w:rPr>
        <w:t>.</w:t>
      </w:r>
      <w:r w:rsidR="00244D82" w:rsidRPr="00774EDB">
        <w:rPr>
          <w:rFonts w:ascii="Times New Roman" w:hAnsi="Times New Roman" w:cs="Times New Roman"/>
          <w:sz w:val="24"/>
          <w:szCs w:val="24"/>
        </w:rPr>
        <w:t xml:space="preserve"> That is to say, the potential restrictions over this data transmission needs to be considered as equally important as the transmission path and calculation of data transmitted through the IP layers.</w:t>
      </w:r>
    </w:p>
    <w:p w14:paraId="50D8064C" w14:textId="01B31BA0" w:rsidR="008D1A55" w:rsidRPr="00774EDB" w:rsidRDefault="008F1A36"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lastRenderedPageBreak/>
        <w:t xml:space="preserve">To illustrate, in the case of discriminatory traffic management e.g. blocking or throttling unaffiliated content by the ISPs, account is and ought to be paid to the gatekeeping activities and the attributable consumer harms, but not to the amount of the transmitted data. Likewise, in the case of access to the CAS facilities, CAS operators e.g. set-top box providers are required to provide access regardless of the amount of transmission, or market power, but just because of the CAS operators’ gatekeeping position. Other cases regarding access and interconnection could also be compared to the so-called gatekeeping functionalities, particularly when </w:t>
      </w:r>
      <w:r w:rsidR="000B431C">
        <w:rPr>
          <w:rFonts w:ascii="Times New Roman" w:hAnsi="Times New Roman" w:cs="Times New Roman"/>
          <w:sz w:val="24"/>
          <w:szCs w:val="24"/>
        </w:rPr>
        <w:t>wide-ranging</w:t>
      </w:r>
      <w:r w:rsidR="000B431C"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restrictions would make the users </w:t>
      </w:r>
      <w:r w:rsidR="00A74686" w:rsidRPr="00774EDB">
        <w:rPr>
          <w:rFonts w:ascii="Times New Roman" w:hAnsi="Times New Roman" w:cs="Times New Roman"/>
          <w:sz w:val="24"/>
          <w:szCs w:val="24"/>
        </w:rPr>
        <w:t>worse off in terms of the po</w:t>
      </w:r>
      <w:r w:rsidR="000B431C">
        <w:rPr>
          <w:rFonts w:ascii="Times New Roman" w:hAnsi="Times New Roman" w:cs="Times New Roman"/>
          <w:sz w:val="24"/>
          <w:szCs w:val="24"/>
        </w:rPr>
        <w:t>tential</w:t>
      </w:r>
      <w:r w:rsidR="00A74686" w:rsidRPr="00774EDB">
        <w:rPr>
          <w:rFonts w:ascii="Times New Roman" w:hAnsi="Times New Roman" w:cs="Times New Roman"/>
          <w:sz w:val="24"/>
          <w:szCs w:val="24"/>
        </w:rPr>
        <w:t xml:space="preserve"> choices </w:t>
      </w:r>
      <w:r w:rsidR="00716804">
        <w:rPr>
          <w:rFonts w:ascii="Times New Roman" w:hAnsi="Times New Roman" w:cs="Times New Roman"/>
          <w:sz w:val="24"/>
          <w:szCs w:val="24"/>
        </w:rPr>
        <w:t>they would have</w:t>
      </w:r>
      <w:r w:rsidR="00A74686" w:rsidRPr="00774EDB">
        <w:rPr>
          <w:rFonts w:ascii="Times New Roman" w:hAnsi="Times New Roman" w:cs="Times New Roman"/>
          <w:sz w:val="24"/>
          <w:szCs w:val="24"/>
        </w:rPr>
        <w:t>, for example regarding connectivity, speed</w:t>
      </w:r>
      <w:r w:rsidR="00244D82" w:rsidRPr="00774EDB">
        <w:rPr>
          <w:rFonts w:ascii="Times New Roman" w:hAnsi="Times New Roman" w:cs="Times New Roman"/>
          <w:sz w:val="24"/>
          <w:szCs w:val="24"/>
        </w:rPr>
        <w:t xml:space="preserve"> and</w:t>
      </w:r>
      <w:r w:rsidR="00A74686" w:rsidRPr="00774EDB">
        <w:rPr>
          <w:rFonts w:ascii="Times New Roman" w:hAnsi="Times New Roman" w:cs="Times New Roman"/>
          <w:sz w:val="24"/>
          <w:szCs w:val="24"/>
        </w:rPr>
        <w:t xml:space="preserve"> quality</w:t>
      </w:r>
      <w:r w:rsidRPr="00774EDB">
        <w:rPr>
          <w:rFonts w:ascii="Times New Roman" w:hAnsi="Times New Roman" w:cs="Times New Roman"/>
          <w:sz w:val="24"/>
          <w:szCs w:val="24"/>
        </w:rPr>
        <w:t xml:space="preserve">. </w:t>
      </w:r>
      <w:r w:rsidR="00716804">
        <w:rPr>
          <w:rFonts w:ascii="Times New Roman" w:hAnsi="Times New Roman" w:cs="Times New Roman"/>
          <w:sz w:val="24"/>
          <w:szCs w:val="24"/>
        </w:rPr>
        <w:t xml:space="preserve">These concerns need to be extended to </w:t>
      </w:r>
      <w:r w:rsidR="00483526">
        <w:rPr>
          <w:rFonts w:ascii="Times New Roman" w:hAnsi="Times New Roman" w:cs="Times New Roman"/>
          <w:sz w:val="24"/>
          <w:szCs w:val="24"/>
        </w:rPr>
        <w:t xml:space="preserve">the absent </w:t>
      </w:r>
      <w:r w:rsidR="000B431C">
        <w:rPr>
          <w:rFonts w:ascii="Times New Roman" w:hAnsi="Times New Roman" w:cs="Times New Roman"/>
          <w:sz w:val="24"/>
          <w:szCs w:val="24"/>
        </w:rPr>
        <w:t xml:space="preserve">free </w:t>
      </w:r>
      <w:r w:rsidR="00483526">
        <w:rPr>
          <w:rFonts w:ascii="Times New Roman" w:hAnsi="Times New Roman" w:cs="Times New Roman"/>
          <w:sz w:val="24"/>
          <w:szCs w:val="24"/>
        </w:rPr>
        <w:t>information flow</w:t>
      </w:r>
      <w:r w:rsidR="000B431C">
        <w:rPr>
          <w:rFonts w:ascii="Times New Roman" w:hAnsi="Times New Roman" w:cs="Times New Roman"/>
          <w:sz w:val="24"/>
          <w:szCs w:val="24"/>
        </w:rPr>
        <w:t>s</w:t>
      </w:r>
      <w:r w:rsidR="00483526">
        <w:rPr>
          <w:rFonts w:ascii="Times New Roman" w:hAnsi="Times New Roman" w:cs="Times New Roman"/>
          <w:sz w:val="24"/>
          <w:szCs w:val="24"/>
        </w:rPr>
        <w:t xml:space="preserve"> and its techno-social </w:t>
      </w:r>
      <w:r w:rsidR="003545E5">
        <w:rPr>
          <w:rFonts w:ascii="Times New Roman" w:hAnsi="Times New Roman" w:cs="Times New Roman"/>
          <w:sz w:val="24"/>
          <w:szCs w:val="24"/>
        </w:rPr>
        <w:t>underpinnings</w:t>
      </w:r>
      <w:r w:rsidR="00483526">
        <w:rPr>
          <w:rFonts w:ascii="Times New Roman" w:hAnsi="Times New Roman" w:cs="Times New Roman"/>
          <w:sz w:val="24"/>
          <w:szCs w:val="24"/>
        </w:rPr>
        <w:t xml:space="preserve"> particularly in view of the restricted participatory democracy and </w:t>
      </w:r>
      <w:r w:rsidR="00996E1C">
        <w:rPr>
          <w:rFonts w:ascii="Times New Roman" w:hAnsi="Times New Roman" w:cs="Times New Roman"/>
          <w:sz w:val="24"/>
          <w:szCs w:val="24"/>
        </w:rPr>
        <w:t>cultur</w:t>
      </w:r>
      <w:r w:rsidR="00483526">
        <w:rPr>
          <w:rFonts w:ascii="Times New Roman" w:hAnsi="Times New Roman" w:cs="Times New Roman"/>
          <w:sz w:val="24"/>
          <w:szCs w:val="24"/>
        </w:rPr>
        <w:t xml:space="preserve">al production. </w:t>
      </w:r>
      <w:r w:rsidRPr="00774EDB">
        <w:rPr>
          <w:rFonts w:ascii="Times New Roman" w:hAnsi="Times New Roman" w:cs="Times New Roman"/>
          <w:sz w:val="24"/>
          <w:szCs w:val="24"/>
        </w:rPr>
        <w:t>Summing up, rather than the volume of the transmitted data and/or market power, prevention and/or manipulation of data flow appears as the real determinant for the intervention, as reflected in the net neutrality and the CAS regulations.</w:t>
      </w:r>
    </w:p>
    <w:p w14:paraId="7F4686F1" w14:textId="2C185BEB" w:rsidR="00165729" w:rsidRPr="00774EDB" w:rsidRDefault="0016572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 intended outcomes of </w:t>
      </w:r>
      <w:r w:rsidR="00F060E7" w:rsidRPr="00774EDB">
        <w:rPr>
          <w:rFonts w:ascii="Times New Roman" w:hAnsi="Times New Roman" w:cs="Times New Roman"/>
          <w:sz w:val="24"/>
          <w:szCs w:val="24"/>
        </w:rPr>
        <w:t>ECRF</w:t>
      </w:r>
      <w:r w:rsidRPr="00774EDB">
        <w:rPr>
          <w:rFonts w:ascii="Times New Roman" w:hAnsi="Times New Roman" w:cs="Times New Roman"/>
          <w:sz w:val="24"/>
          <w:szCs w:val="24"/>
        </w:rPr>
        <w:t xml:space="preserve"> regulations, including net neutrality and for CASs, signify co-existence of the economics-based</w:t>
      </w:r>
      <w:r w:rsidR="0065040B">
        <w:rPr>
          <w:rFonts w:ascii="Times New Roman" w:hAnsi="Times New Roman" w:cs="Times New Roman"/>
          <w:sz w:val="24"/>
          <w:szCs w:val="24"/>
        </w:rPr>
        <w:t>, mostly competition-</w:t>
      </w:r>
      <w:r w:rsidR="003545E5">
        <w:rPr>
          <w:rFonts w:ascii="Times New Roman" w:hAnsi="Times New Roman" w:cs="Times New Roman"/>
          <w:sz w:val="24"/>
          <w:szCs w:val="24"/>
        </w:rPr>
        <w:t>orien</w:t>
      </w:r>
      <w:r w:rsidR="0065040B">
        <w:rPr>
          <w:rFonts w:ascii="Times New Roman" w:hAnsi="Times New Roman" w:cs="Times New Roman"/>
          <w:sz w:val="24"/>
          <w:szCs w:val="24"/>
        </w:rPr>
        <w:t>ted,</w:t>
      </w:r>
      <w:r w:rsidRPr="00774EDB">
        <w:rPr>
          <w:rFonts w:ascii="Times New Roman" w:hAnsi="Times New Roman" w:cs="Times New Roman"/>
          <w:sz w:val="24"/>
          <w:szCs w:val="24"/>
        </w:rPr>
        <w:t xml:space="preserve"> </w:t>
      </w:r>
      <w:r w:rsidR="0065040B">
        <w:rPr>
          <w:rFonts w:ascii="Times New Roman" w:hAnsi="Times New Roman" w:cs="Times New Roman"/>
          <w:sz w:val="24"/>
          <w:szCs w:val="24"/>
        </w:rPr>
        <w:t xml:space="preserve">aspects </w:t>
      </w:r>
      <w:r w:rsidRPr="00774EDB">
        <w:rPr>
          <w:rFonts w:ascii="Times New Roman" w:hAnsi="Times New Roman" w:cs="Times New Roman"/>
          <w:sz w:val="24"/>
          <w:szCs w:val="24"/>
        </w:rPr>
        <w:t xml:space="preserve">and the </w:t>
      </w:r>
      <w:r w:rsidR="0065040B">
        <w:rPr>
          <w:rFonts w:ascii="Times New Roman" w:hAnsi="Times New Roman" w:cs="Times New Roman"/>
          <w:sz w:val="24"/>
          <w:szCs w:val="24"/>
        </w:rPr>
        <w:t>non-economic characteristics that are</w:t>
      </w:r>
      <w:r w:rsidRPr="00774EDB">
        <w:rPr>
          <w:rFonts w:ascii="Times New Roman" w:hAnsi="Times New Roman" w:cs="Times New Roman"/>
          <w:sz w:val="24"/>
          <w:szCs w:val="24"/>
        </w:rPr>
        <w:t xml:space="preserve"> </w:t>
      </w:r>
      <w:r w:rsidR="0065040B">
        <w:rPr>
          <w:rFonts w:ascii="Times New Roman" w:hAnsi="Times New Roman" w:cs="Times New Roman"/>
          <w:sz w:val="24"/>
          <w:szCs w:val="24"/>
        </w:rPr>
        <w:t xml:space="preserve">of </w:t>
      </w:r>
      <w:r w:rsidR="005B48B1">
        <w:rPr>
          <w:rFonts w:ascii="Times New Roman" w:hAnsi="Times New Roman" w:cs="Times New Roman"/>
          <w:sz w:val="24"/>
          <w:szCs w:val="24"/>
        </w:rPr>
        <w:t>mostly techno-social</w:t>
      </w:r>
      <w:r w:rsidR="0065040B">
        <w:rPr>
          <w:rFonts w:ascii="Times New Roman" w:hAnsi="Times New Roman" w:cs="Times New Roman"/>
          <w:sz w:val="24"/>
          <w:szCs w:val="24"/>
        </w:rPr>
        <w:t xml:space="preserve"> nature</w:t>
      </w:r>
      <w:r w:rsidRPr="00774EDB">
        <w:rPr>
          <w:rFonts w:ascii="Times New Roman" w:hAnsi="Times New Roman" w:cs="Times New Roman"/>
          <w:sz w:val="24"/>
          <w:szCs w:val="24"/>
        </w:rPr>
        <w:t xml:space="preserve"> under the same regulatory framework. While both types of </w:t>
      </w:r>
      <w:r w:rsidR="0065040B">
        <w:rPr>
          <w:rFonts w:ascii="Times New Roman" w:hAnsi="Times New Roman" w:cs="Times New Roman"/>
          <w:sz w:val="24"/>
          <w:szCs w:val="24"/>
        </w:rPr>
        <w:t xml:space="preserve">‘competition’ and ‘techno-social’ </w:t>
      </w:r>
      <w:r w:rsidRPr="00774EDB">
        <w:rPr>
          <w:rFonts w:ascii="Times New Roman" w:hAnsi="Times New Roman" w:cs="Times New Roman"/>
          <w:sz w:val="24"/>
          <w:szCs w:val="24"/>
        </w:rPr>
        <w:t xml:space="preserve">concerns </w:t>
      </w:r>
      <w:r w:rsidR="0065040B">
        <w:rPr>
          <w:rFonts w:ascii="Times New Roman" w:hAnsi="Times New Roman" w:cs="Times New Roman"/>
          <w:sz w:val="24"/>
          <w:szCs w:val="24"/>
        </w:rPr>
        <w:t xml:space="preserve">find a room </w:t>
      </w:r>
      <w:r w:rsidRPr="00774EDB">
        <w:rPr>
          <w:rFonts w:ascii="Times New Roman" w:hAnsi="Times New Roman" w:cs="Times New Roman"/>
          <w:sz w:val="24"/>
          <w:szCs w:val="24"/>
        </w:rPr>
        <w:t xml:space="preserve">under the ECRF, in parallel with the shifting locus from the lower layers to the upper ones, the latter concerns need to be prioritised because of the changing </w:t>
      </w:r>
      <w:r w:rsidR="0065040B">
        <w:rPr>
          <w:rFonts w:ascii="Times New Roman" w:hAnsi="Times New Roman" w:cs="Times New Roman"/>
          <w:sz w:val="24"/>
          <w:szCs w:val="24"/>
        </w:rPr>
        <w:t xml:space="preserve">ICT </w:t>
      </w:r>
      <w:r w:rsidRPr="00774EDB">
        <w:rPr>
          <w:rFonts w:ascii="Times New Roman" w:hAnsi="Times New Roman" w:cs="Times New Roman"/>
          <w:sz w:val="24"/>
          <w:szCs w:val="24"/>
        </w:rPr>
        <w:t xml:space="preserve">dynamics. Online activities which are run by </w:t>
      </w:r>
      <w:r w:rsidR="003E2D36">
        <w:rPr>
          <w:rFonts w:ascii="Times New Roman" w:hAnsi="Times New Roman" w:cs="Times New Roman"/>
          <w:sz w:val="24"/>
          <w:szCs w:val="24"/>
        </w:rPr>
        <w:t xml:space="preserve">data-driven </w:t>
      </w:r>
      <w:r w:rsidRPr="00774EDB">
        <w:rPr>
          <w:rFonts w:ascii="Times New Roman" w:hAnsi="Times New Roman" w:cs="Times New Roman"/>
          <w:sz w:val="24"/>
          <w:szCs w:val="24"/>
        </w:rPr>
        <w:t xml:space="preserve">algorithms and manipulative </w:t>
      </w:r>
      <w:r w:rsidR="00DC220B">
        <w:rPr>
          <w:rFonts w:ascii="Times New Roman" w:hAnsi="Times New Roman" w:cs="Times New Roman"/>
          <w:sz w:val="24"/>
          <w:szCs w:val="24"/>
        </w:rPr>
        <w:t xml:space="preserve">AI </w:t>
      </w:r>
      <w:r w:rsidRPr="00774EDB">
        <w:rPr>
          <w:rFonts w:ascii="Times New Roman" w:hAnsi="Times New Roman" w:cs="Times New Roman"/>
          <w:sz w:val="24"/>
          <w:szCs w:val="24"/>
        </w:rPr>
        <w:t>technologies may cause access</w:t>
      </w:r>
      <w:r w:rsidR="00DF3DFC">
        <w:rPr>
          <w:rFonts w:ascii="Times New Roman" w:hAnsi="Times New Roman" w:cs="Times New Roman"/>
          <w:sz w:val="24"/>
          <w:szCs w:val="24"/>
        </w:rPr>
        <w:t>/interoperability</w:t>
      </w:r>
      <w:r w:rsidRPr="00774EDB">
        <w:rPr>
          <w:rFonts w:ascii="Times New Roman" w:hAnsi="Times New Roman" w:cs="Times New Roman"/>
          <w:sz w:val="24"/>
          <w:szCs w:val="24"/>
        </w:rPr>
        <w:t xml:space="preserve"> restrictions and covert discrimination at the upper layers, which may not well match the typical activities of </w:t>
      </w:r>
      <w:r w:rsidRPr="00774EDB">
        <w:rPr>
          <w:rFonts w:ascii="Times New Roman" w:hAnsi="Times New Roman" w:cs="Times New Roman"/>
          <w:sz w:val="24"/>
          <w:szCs w:val="24"/>
        </w:rPr>
        <w:lastRenderedPageBreak/>
        <w:t xml:space="preserve">the lower layers e.g. denial of access </w:t>
      </w:r>
      <w:r w:rsidR="00F060E7" w:rsidRPr="00774EDB">
        <w:rPr>
          <w:rFonts w:ascii="Times New Roman" w:hAnsi="Times New Roman" w:cs="Times New Roman"/>
          <w:sz w:val="24"/>
          <w:szCs w:val="24"/>
        </w:rPr>
        <w:t>or interconnection</w:t>
      </w:r>
      <w:r w:rsidR="00DC220B">
        <w:rPr>
          <w:rFonts w:ascii="Times New Roman" w:hAnsi="Times New Roman" w:cs="Times New Roman"/>
          <w:sz w:val="24"/>
          <w:szCs w:val="24"/>
        </w:rPr>
        <w:t xml:space="preserve">, </w:t>
      </w:r>
      <w:r w:rsidR="00195704">
        <w:rPr>
          <w:rFonts w:ascii="Times New Roman" w:hAnsi="Times New Roman" w:cs="Times New Roman"/>
          <w:sz w:val="24"/>
          <w:szCs w:val="24"/>
        </w:rPr>
        <w:t>that</w:t>
      </w:r>
      <w:r w:rsidR="00DC220B">
        <w:rPr>
          <w:rFonts w:ascii="Times New Roman" w:hAnsi="Times New Roman" w:cs="Times New Roman"/>
          <w:sz w:val="24"/>
          <w:szCs w:val="24"/>
        </w:rPr>
        <w:t xml:space="preserve"> are </w:t>
      </w:r>
      <w:r w:rsidR="00195704">
        <w:rPr>
          <w:rFonts w:ascii="Times New Roman" w:hAnsi="Times New Roman" w:cs="Times New Roman"/>
          <w:sz w:val="24"/>
          <w:szCs w:val="24"/>
        </w:rPr>
        <w:t xml:space="preserve">well </w:t>
      </w:r>
      <w:r w:rsidR="00DC220B">
        <w:rPr>
          <w:rFonts w:ascii="Times New Roman" w:hAnsi="Times New Roman" w:cs="Times New Roman"/>
          <w:sz w:val="24"/>
          <w:szCs w:val="24"/>
        </w:rPr>
        <w:t xml:space="preserve">responded </w:t>
      </w:r>
      <w:r w:rsidR="00195704">
        <w:rPr>
          <w:rFonts w:ascii="Times New Roman" w:hAnsi="Times New Roman" w:cs="Times New Roman"/>
          <w:sz w:val="24"/>
          <w:szCs w:val="24"/>
        </w:rPr>
        <w:t>and sorted under the ECRF</w:t>
      </w:r>
      <w:r w:rsidRPr="00774EDB">
        <w:rPr>
          <w:rFonts w:ascii="Times New Roman" w:hAnsi="Times New Roman" w:cs="Times New Roman"/>
          <w:sz w:val="24"/>
          <w:szCs w:val="24"/>
        </w:rPr>
        <w:t>.</w:t>
      </w:r>
    </w:p>
    <w:p w14:paraId="42542577" w14:textId="1999B4BF" w:rsidR="003B2207" w:rsidRPr="00774EDB" w:rsidRDefault="00165729" w:rsidP="00A70042">
      <w:pPr>
        <w:spacing w:before="360"/>
        <w:jc w:val="both"/>
        <w:rPr>
          <w:rFonts w:ascii="Times New Roman" w:hAnsi="Times New Roman" w:cs="Times New Roman"/>
          <w:sz w:val="24"/>
          <w:szCs w:val="24"/>
          <w:lang w:val="tr-TR"/>
        </w:rPr>
      </w:pPr>
      <w:r w:rsidRPr="00774EDB">
        <w:rPr>
          <w:rFonts w:ascii="Times New Roman" w:hAnsi="Times New Roman" w:cs="Times New Roman"/>
          <w:sz w:val="24"/>
          <w:szCs w:val="24"/>
        </w:rPr>
        <w:t xml:space="preserve">As the software-based manipulations, access </w:t>
      </w:r>
      <w:r w:rsidR="00DF3DFC">
        <w:rPr>
          <w:rFonts w:ascii="Times New Roman" w:hAnsi="Times New Roman" w:cs="Times New Roman"/>
          <w:sz w:val="24"/>
          <w:szCs w:val="24"/>
        </w:rPr>
        <w:t xml:space="preserve">or interoperability </w:t>
      </w:r>
      <w:r w:rsidRPr="00774EDB">
        <w:rPr>
          <w:rFonts w:ascii="Times New Roman" w:hAnsi="Times New Roman" w:cs="Times New Roman"/>
          <w:sz w:val="24"/>
          <w:szCs w:val="24"/>
        </w:rPr>
        <w:t>restrictions and discriminations supplant those formerly seen e.g. mostly overt and infrastructure-based access restrictions, the attention primarily needs to be paid to the ‘gatekeepers’ along with their gatekeeping involving activities</w:t>
      </w:r>
      <w:r w:rsidR="00263F19">
        <w:rPr>
          <w:rFonts w:ascii="Times New Roman" w:hAnsi="Times New Roman" w:cs="Times New Roman"/>
          <w:sz w:val="24"/>
          <w:szCs w:val="24"/>
        </w:rPr>
        <w:t xml:space="preserve"> as are encountered at upper layers</w:t>
      </w:r>
      <w:r w:rsidRPr="00774EDB">
        <w:rPr>
          <w:rFonts w:ascii="Times New Roman" w:hAnsi="Times New Roman" w:cs="Times New Roman"/>
          <w:sz w:val="24"/>
          <w:szCs w:val="24"/>
        </w:rPr>
        <w:t>. Having said th</w:t>
      </w:r>
      <w:r w:rsidR="00933302" w:rsidRPr="00774EDB">
        <w:rPr>
          <w:rFonts w:ascii="Times New Roman" w:hAnsi="Times New Roman" w:cs="Times New Roman"/>
          <w:sz w:val="24"/>
          <w:szCs w:val="24"/>
        </w:rPr>
        <w:t>at</w:t>
      </w:r>
      <w:r w:rsidRPr="00774EDB">
        <w:rPr>
          <w:rFonts w:ascii="Times New Roman" w:hAnsi="Times New Roman" w:cs="Times New Roman"/>
          <w:sz w:val="24"/>
          <w:szCs w:val="24"/>
        </w:rPr>
        <w:t xml:space="preserve">, it becomes compelling to examine the ‘gatekeepers’ rather than dominant undertakings, across the layers, embracing </w:t>
      </w:r>
      <w:r w:rsidR="007331A4" w:rsidRPr="00774EDB">
        <w:rPr>
          <w:rFonts w:ascii="Times New Roman" w:hAnsi="Times New Roman" w:cs="Times New Roman"/>
          <w:sz w:val="24"/>
          <w:szCs w:val="24"/>
        </w:rPr>
        <w:t>access and interoperability</w:t>
      </w:r>
      <w:r w:rsidRPr="00774EDB">
        <w:rPr>
          <w:rFonts w:ascii="Times New Roman" w:hAnsi="Times New Roman" w:cs="Times New Roman"/>
          <w:sz w:val="24"/>
          <w:szCs w:val="24"/>
        </w:rPr>
        <w:t xml:space="preserve"> </w:t>
      </w:r>
      <w:r w:rsidR="007331A4" w:rsidRPr="00774EDB">
        <w:rPr>
          <w:rFonts w:ascii="Times New Roman" w:hAnsi="Times New Roman" w:cs="Times New Roman"/>
          <w:sz w:val="24"/>
          <w:szCs w:val="24"/>
        </w:rPr>
        <w:t>restrictions</w:t>
      </w:r>
      <w:r w:rsidRPr="00774EDB">
        <w:rPr>
          <w:rFonts w:ascii="Times New Roman" w:hAnsi="Times New Roman" w:cs="Times New Roman"/>
          <w:sz w:val="24"/>
          <w:szCs w:val="24"/>
        </w:rPr>
        <w:t xml:space="preserve"> and responding to them effectively</w:t>
      </w:r>
      <w:r w:rsidR="00263F19">
        <w:rPr>
          <w:rFonts w:ascii="Times New Roman" w:hAnsi="Times New Roman" w:cs="Times New Roman"/>
          <w:sz w:val="24"/>
          <w:szCs w:val="24"/>
        </w:rPr>
        <w:t xml:space="preserve"> and </w:t>
      </w:r>
      <w:r w:rsidR="00263F19" w:rsidRPr="00774EDB">
        <w:rPr>
          <w:rFonts w:ascii="Times New Roman" w:hAnsi="Times New Roman" w:cs="Times New Roman"/>
          <w:sz w:val="24"/>
          <w:szCs w:val="24"/>
        </w:rPr>
        <w:t>from a broader p</w:t>
      </w:r>
      <w:r w:rsidR="00263F19">
        <w:rPr>
          <w:rFonts w:ascii="Times New Roman" w:hAnsi="Times New Roman" w:cs="Times New Roman"/>
          <w:sz w:val="24"/>
          <w:szCs w:val="24"/>
        </w:rPr>
        <w:t>oint of view</w:t>
      </w:r>
      <w:r w:rsidRPr="00774EDB">
        <w:rPr>
          <w:rFonts w:ascii="Times New Roman" w:hAnsi="Times New Roman" w:cs="Times New Roman"/>
          <w:sz w:val="24"/>
          <w:szCs w:val="24"/>
        </w:rPr>
        <w:t xml:space="preserve">. Given this fact, not a purely transmission-based or SMP-oriented perspective, but rather </w:t>
      </w:r>
      <w:r w:rsidR="007331A4" w:rsidRPr="00774EDB">
        <w:rPr>
          <w:rFonts w:ascii="Times New Roman" w:hAnsi="Times New Roman" w:cs="Times New Roman"/>
          <w:sz w:val="24"/>
          <w:szCs w:val="24"/>
        </w:rPr>
        <w:t>gatekeeping-centric</w:t>
      </w:r>
      <w:r w:rsidRPr="00774EDB">
        <w:rPr>
          <w:rFonts w:ascii="Times New Roman" w:hAnsi="Times New Roman" w:cs="Times New Roman"/>
          <w:sz w:val="24"/>
          <w:szCs w:val="24"/>
        </w:rPr>
        <w:t xml:space="preserve"> </w:t>
      </w:r>
      <w:r w:rsidR="007331A4" w:rsidRPr="00774EDB">
        <w:rPr>
          <w:rFonts w:ascii="Times New Roman" w:hAnsi="Times New Roman" w:cs="Times New Roman"/>
          <w:sz w:val="24"/>
          <w:szCs w:val="24"/>
        </w:rPr>
        <w:t>and</w:t>
      </w:r>
      <w:r w:rsidRPr="00774EDB">
        <w:rPr>
          <w:rFonts w:ascii="Times New Roman" w:hAnsi="Times New Roman" w:cs="Times New Roman"/>
          <w:sz w:val="24"/>
          <w:szCs w:val="24"/>
        </w:rPr>
        <w:t xml:space="preserve"> holistic perspective needs to be upheld in designing the layered regulatory model. </w:t>
      </w:r>
    </w:p>
    <w:p w14:paraId="312E173B" w14:textId="77777777" w:rsidR="002D1EE2" w:rsidRPr="00774EDB" w:rsidRDefault="002B3E9E" w:rsidP="00A70042">
      <w:pPr>
        <w:pStyle w:val="Heading2"/>
        <w:numPr>
          <w:ilvl w:val="1"/>
          <w:numId w:val="33"/>
        </w:numPr>
        <w:tabs>
          <w:tab w:val="left" w:pos="567"/>
        </w:tabs>
        <w:spacing w:before="360"/>
        <w:ind w:left="0" w:firstLine="0"/>
        <w:jc w:val="both"/>
        <w:rPr>
          <w:rFonts w:ascii="Times New Roman" w:eastAsiaTheme="minorHAnsi" w:hAnsi="Times New Roman" w:cs="Times New Roman"/>
          <w:b/>
          <w:sz w:val="24"/>
          <w:szCs w:val="24"/>
          <w:lang w:val="en-US"/>
        </w:rPr>
      </w:pPr>
      <w:bookmarkStart w:id="701" w:name="_Toc17611511"/>
      <w:bookmarkStart w:id="702" w:name="_Toc53576126"/>
      <w:r w:rsidRPr="00774EDB">
        <w:rPr>
          <w:rFonts w:ascii="Times New Roman" w:eastAsiaTheme="minorHAnsi" w:hAnsi="Times New Roman" w:cs="Times New Roman"/>
          <w:b/>
          <w:color w:val="auto"/>
          <w:sz w:val="24"/>
          <w:szCs w:val="24"/>
          <w:lang w:val="en-US"/>
        </w:rPr>
        <w:t xml:space="preserve">Construction of </w:t>
      </w:r>
      <w:r w:rsidR="007C736B" w:rsidRPr="00774EDB">
        <w:rPr>
          <w:rFonts w:ascii="Times New Roman" w:eastAsiaTheme="minorHAnsi" w:hAnsi="Times New Roman" w:cs="Times New Roman"/>
          <w:b/>
          <w:color w:val="auto"/>
          <w:sz w:val="24"/>
          <w:szCs w:val="24"/>
          <w:lang w:val="en-US"/>
        </w:rPr>
        <w:t>the</w:t>
      </w:r>
      <w:r w:rsidRPr="00774EDB">
        <w:rPr>
          <w:rFonts w:ascii="Times New Roman" w:eastAsiaTheme="minorHAnsi" w:hAnsi="Times New Roman" w:cs="Times New Roman"/>
          <w:b/>
          <w:color w:val="auto"/>
          <w:sz w:val="24"/>
          <w:szCs w:val="24"/>
          <w:lang w:val="en-US"/>
        </w:rPr>
        <w:t xml:space="preserve"> </w:t>
      </w:r>
      <w:r w:rsidR="007C736B" w:rsidRPr="00774EDB">
        <w:rPr>
          <w:rFonts w:ascii="Times New Roman" w:eastAsiaTheme="minorHAnsi" w:hAnsi="Times New Roman" w:cs="Times New Roman"/>
          <w:b/>
          <w:color w:val="auto"/>
          <w:sz w:val="24"/>
          <w:szCs w:val="24"/>
          <w:lang w:val="en-US"/>
        </w:rPr>
        <w:t>‘</w:t>
      </w:r>
      <w:r w:rsidRPr="00774EDB">
        <w:rPr>
          <w:rFonts w:ascii="Times New Roman" w:eastAsiaTheme="minorHAnsi" w:hAnsi="Times New Roman" w:cs="Times New Roman"/>
          <w:b/>
          <w:color w:val="auto"/>
          <w:sz w:val="24"/>
          <w:szCs w:val="24"/>
          <w:lang w:val="en-US"/>
        </w:rPr>
        <w:t>layered regulatory model</w:t>
      </w:r>
      <w:r w:rsidR="007C736B" w:rsidRPr="00774EDB">
        <w:rPr>
          <w:rFonts w:ascii="Times New Roman" w:eastAsiaTheme="minorHAnsi" w:hAnsi="Times New Roman" w:cs="Times New Roman"/>
          <w:b/>
          <w:color w:val="auto"/>
          <w:sz w:val="24"/>
          <w:szCs w:val="24"/>
          <w:lang w:val="en-US"/>
        </w:rPr>
        <w:t>’</w:t>
      </w:r>
      <w:bookmarkEnd w:id="701"/>
      <w:bookmarkEnd w:id="702"/>
    </w:p>
    <w:p w14:paraId="73B235E8" w14:textId="77777777" w:rsidR="0085005E" w:rsidRPr="00774EDB" w:rsidRDefault="0085005E" w:rsidP="00A70042">
      <w:pPr>
        <w:pStyle w:val="Heading3"/>
        <w:numPr>
          <w:ilvl w:val="2"/>
          <w:numId w:val="33"/>
        </w:numPr>
        <w:spacing w:before="360"/>
        <w:ind w:left="0" w:firstLine="0"/>
        <w:jc w:val="both"/>
        <w:rPr>
          <w:rFonts w:ascii="Times New Roman" w:hAnsi="Times New Roman" w:cs="Times New Roman"/>
          <w:b/>
          <w:color w:val="auto"/>
        </w:rPr>
      </w:pPr>
      <w:bookmarkStart w:id="703" w:name="_Toc17611512"/>
      <w:bookmarkStart w:id="704" w:name="_Toc17611729"/>
      <w:bookmarkStart w:id="705" w:name="_Toc17611941"/>
      <w:bookmarkStart w:id="706" w:name="_Toc17612155"/>
      <w:bookmarkStart w:id="707" w:name="_Toc17612368"/>
      <w:bookmarkStart w:id="708" w:name="_Toc17611513"/>
      <w:bookmarkStart w:id="709" w:name="_Toc53576127"/>
      <w:bookmarkEnd w:id="703"/>
      <w:bookmarkEnd w:id="704"/>
      <w:bookmarkEnd w:id="705"/>
      <w:bookmarkEnd w:id="706"/>
      <w:bookmarkEnd w:id="707"/>
      <w:r w:rsidRPr="00774EDB">
        <w:rPr>
          <w:rFonts w:ascii="Times New Roman" w:hAnsi="Times New Roman" w:cs="Times New Roman"/>
          <w:b/>
          <w:color w:val="auto"/>
        </w:rPr>
        <w:t xml:space="preserve">Main </w:t>
      </w:r>
      <w:r w:rsidR="00EF6EC4" w:rsidRPr="00774EDB">
        <w:rPr>
          <w:rFonts w:ascii="Times New Roman" w:hAnsi="Times New Roman" w:cs="Times New Roman"/>
          <w:b/>
          <w:color w:val="auto"/>
        </w:rPr>
        <w:t>feature</w:t>
      </w:r>
      <w:r w:rsidRPr="00774EDB">
        <w:rPr>
          <w:rFonts w:ascii="Times New Roman" w:hAnsi="Times New Roman" w:cs="Times New Roman"/>
          <w:b/>
          <w:color w:val="auto"/>
        </w:rPr>
        <w:t>s</w:t>
      </w:r>
      <w:r w:rsidR="00EF6EC4" w:rsidRPr="00774EDB">
        <w:rPr>
          <w:rFonts w:ascii="Times New Roman" w:hAnsi="Times New Roman" w:cs="Times New Roman"/>
          <w:b/>
          <w:color w:val="auto"/>
        </w:rPr>
        <w:t xml:space="preserve"> </w:t>
      </w:r>
      <w:r w:rsidRPr="00774EDB">
        <w:rPr>
          <w:rFonts w:ascii="Times New Roman" w:hAnsi="Times New Roman" w:cs="Times New Roman"/>
          <w:b/>
          <w:color w:val="auto"/>
        </w:rPr>
        <w:t>of the model</w:t>
      </w:r>
      <w:bookmarkEnd w:id="708"/>
      <w:bookmarkEnd w:id="709"/>
    </w:p>
    <w:p w14:paraId="06B6F8BE" w14:textId="6CE3332C" w:rsidR="00BD36C9" w:rsidRDefault="00BF34C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building up a layered regulatory model that is both ‘holistic’ and ‘flexible’, the crucial point is to have a systemic approach along with the functional tools and criteria to be applicable across the layers. In so doing, the first task is designation of the layers. The layers to be adopted need to match </w:t>
      </w:r>
      <w:r w:rsidR="00BD36C9">
        <w:rPr>
          <w:rFonts w:ascii="Times New Roman" w:hAnsi="Times New Roman" w:cs="Times New Roman"/>
          <w:sz w:val="24"/>
          <w:szCs w:val="24"/>
        </w:rPr>
        <w:t xml:space="preserve">and reflect </w:t>
      </w:r>
      <w:r w:rsidRPr="00774EDB">
        <w:rPr>
          <w:rFonts w:ascii="Times New Roman" w:hAnsi="Times New Roman" w:cs="Times New Roman"/>
          <w:sz w:val="24"/>
          <w:szCs w:val="24"/>
        </w:rPr>
        <w:t xml:space="preserve">both the technical and economic realities of the ICT networks and services. </w:t>
      </w:r>
      <w:r w:rsidR="00984A9E">
        <w:rPr>
          <w:rFonts w:ascii="Times New Roman" w:hAnsi="Times New Roman" w:cs="Times New Roman"/>
          <w:sz w:val="24"/>
          <w:szCs w:val="24"/>
        </w:rPr>
        <w:t>Wh</w:t>
      </w:r>
      <w:r w:rsidR="00BD36C9">
        <w:rPr>
          <w:rFonts w:ascii="Times New Roman" w:hAnsi="Times New Roman" w:cs="Times New Roman"/>
          <w:sz w:val="24"/>
          <w:szCs w:val="24"/>
        </w:rPr>
        <w:t>ereas</w:t>
      </w:r>
      <w:r w:rsidR="00984A9E">
        <w:rPr>
          <w:rFonts w:ascii="Times New Roman" w:hAnsi="Times New Roman" w:cs="Times New Roman"/>
          <w:sz w:val="24"/>
          <w:szCs w:val="24"/>
        </w:rPr>
        <w:t xml:space="preserve"> the protocol stacks analysed in the Chapter 2 represent the technical layers that were promulgated by the SSOs e.g. IETF</w:t>
      </w:r>
      <w:r w:rsidR="000B431C">
        <w:rPr>
          <w:rFonts w:ascii="Times New Roman" w:hAnsi="Times New Roman" w:cs="Times New Roman"/>
          <w:sz w:val="24"/>
          <w:szCs w:val="24"/>
        </w:rPr>
        <w:t>, ISO</w:t>
      </w:r>
      <w:r w:rsidR="00984A9E">
        <w:rPr>
          <w:rFonts w:ascii="Times New Roman" w:hAnsi="Times New Roman" w:cs="Times New Roman"/>
          <w:sz w:val="24"/>
          <w:szCs w:val="24"/>
        </w:rPr>
        <w:t xml:space="preserve">, </w:t>
      </w:r>
      <w:r w:rsidR="00BD36C9">
        <w:rPr>
          <w:rFonts w:ascii="Times New Roman" w:hAnsi="Times New Roman" w:cs="Times New Roman"/>
          <w:sz w:val="24"/>
          <w:szCs w:val="24"/>
        </w:rPr>
        <w:t xml:space="preserve">this thesis has not directly </w:t>
      </w:r>
      <w:r w:rsidR="00052A6A">
        <w:rPr>
          <w:rFonts w:ascii="Times New Roman" w:hAnsi="Times New Roman" w:cs="Times New Roman"/>
          <w:sz w:val="24"/>
          <w:szCs w:val="24"/>
        </w:rPr>
        <w:t xml:space="preserve">opted </w:t>
      </w:r>
      <w:r w:rsidR="00BD36C9">
        <w:rPr>
          <w:rFonts w:ascii="Times New Roman" w:hAnsi="Times New Roman" w:cs="Times New Roman"/>
          <w:sz w:val="24"/>
          <w:szCs w:val="24"/>
        </w:rPr>
        <w:t>adopting any of these.</w:t>
      </w:r>
    </w:p>
    <w:p w14:paraId="46107834" w14:textId="550DC178" w:rsidR="0002627A" w:rsidRDefault="0002627A" w:rsidP="00A70042">
      <w:pPr>
        <w:spacing w:before="360"/>
        <w:jc w:val="both"/>
        <w:rPr>
          <w:rFonts w:ascii="Times New Roman" w:hAnsi="Times New Roman" w:cs="Times New Roman"/>
          <w:sz w:val="24"/>
          <w:szCs w:val="24"/>
        </w:rPr>
      </w:pPr>
      <w:r>
        <w:rPr>
          <w:rFonts w:ascii="Times New Roman" w:hAnsi="Times New Roman" w:cs="Times New Roman"/>
          <w:sz w:val="24"/>
          <w:szCs w:val="24"/>
        </w:rPr>
        <w:lastRenderedPageBreak/>
        <w:t>As implied above, scholarly adopted laye</w:t>
      </w:r>
      <w:r w:rsidR="00BD36C9">
        <w:rPr>
          <w:rFonts w:ascii="Times New Roman" w:hAnsi="Times New Roman" w:cs="Times New Roman"/>
          <w:sz w:val="24"/>
          <w:szCs w:val="24"/>
        </w:rPr>
        <w:t>rs, if not the models,</w:t>
      </w:r>
      <w:r>
        <w:rPr>
          <w:rFonts w:ascii="Times New Roman" w:hAnsi="Times New Roman" w:cs="Times New Roman"/>
          <w:sz w:val="24"/>
          <w:szCs w:val="24"/>
        </w:rPr>
        <w:t xml:space="preserve"> were found to better reflect the gatekeeper positions or</w:t>
      </w:r>
      <w:r w:rsidR="00052A6A">
        <w:rPr>
          <w:rFonts w:ascii="Times New Roman" w:hAnsi="Times New Roman" w:cs="Times New Roman"/>
          <w:sz w:val="24"/>
          <w:szCs w:val="24"/>
        </w:rPr>
        <w:t xml:space="preserve"> the</w:t>
      </w:r>
      <w:r>
        <w:rPr>
          <w:rFonts w:ascii="Times New Roman" w:hAnsi="Times New Roman" w:cs="Times New Roman"/>
          <w:sz w:val="24"/>
          <w:szCs w:val="24"/>
        </w:rPr>
        <w:t xml:space="preserve"> so</w:t>
      </w:r>
      <w:r w:rsidR="00052A6A">
        <w:rPr>
          <w:rFonts w:ascii="Times New Roman" w:hAnsi="Times New Roman" w:cs="Times New Roman"/>
          <w:sz w:val="24"/>
          <w:szCs w:val="24"/>
        </w:rPr>
        <w:t xml:space="preserve"> </w:t>
      </w:r>
      <w:r>
        <w:rPr>
          <w:rFonts w:ascii="Times New Roman" w:hAnsi="Times New Roman" w:cs="Times New Roman"/>
          <w:sz w:val="24"/>
          <w:szCs w:val="24"/>
        </w:rPr>
        <w:t>called gateways across the widespread economic value chains</w:t>
      </w:r>
      <w:r w:rsidR="00CB42ED">
        <w:rPr>
          <w:rFonts w:ascii="Times New Roman" w:hAnsi="Times New Roman" w:cs="Times New Roman"/>
          <w:sz w:val="24"/>
          <w:szCs w:val="24"/>
        </w:rPr>
        <w:t>.</w:t>
      </w:r>
      <w:r w:rsidR="00BD36C9">
        <w:rPr>
          <w:rStyle w:val="FootnoteReference"/>
          <w:rFonts w:ascii="Times New Roman" w:hAnsi="Times New Roman" w:cs="Times New Roman"/>
          <w:sz w:val="24"/>
          <w:szCs w:val="24"/>
        </w:rPr>
        <w:footnoteReference w:id="874"/>
      </w:r>
      <w:r w:rsidR="00DE26CD">
        <w:rPr>
          <w:rFonts w:ascii="Times New Roman" w:hAnsi="Times New Roman" w:cs="Times New Roman"/>
          <w:sz w:val="24"/>
          <w:szCs w:val="24"/>
        </w:rPr>
        <w:t xml:space="preserve"> </w:t>
      </w:r>
      <w:r>
        <w:rPr>
          <w:rFonts w:ascii="Times New Roman" w:hAnsi="Times New Roman" w:cs="Times New Roman"/>
          <w:sz w:val="24"/>
          <w:szCs w:val="24"/>
        </w:rPr>
        <w:t xml:space="preserve">Given the need to consider the IP layers that truly represent </w:t>
      </w:r>
      <w:r w:rsidR="00DE26CD">
        <w:rPr>
          <w:rFonts w:ascii="Times New Roman" w:hAnsi="Times New Roman" w:cs="Times New Roman"/>
          <w:sz w:val="24"/>
          <w:szCs w:val="24"/>
        </w:rPr>
        <w:t>such</w:t>
      </w:r>
      <w:r>
        <w:rPr>
          <w:rFonts w:ascii="Times New Roman" w:hAnsi="Times New Roman" w:cs="Times New Roman"/>
          <w:sz w:val="24"/>
          <w:szCs w:val="24"/>
        </w:rPr>
        <w:t xml:space="preserve"> </w:t>
      </w:r>
      <w:r w:rsidR="00052A6A">
        <w:rPr>
          <w:rFonts w:ascii="Times New Roman" w:hAnsi="Times New Roman" w:cs="Times New Roman"/>
          <w:sz w:val="24"/>
          <w:szCs w:val="24"/>
        </w:rPr>
        <w:t xml:space="preserve">interdependent </w:t>
      </w:r>
      <w:r>
        <w:rPr>
          <w:rFonts w:ascii="Times New Roman" w:hAnsi="Times New Roman" w:cs="Times New Roman"/>
          <w:sz w:val="24"/>
          <w:szCs w:val="24"/>
        </w:rPr>
        <w:t>chains a</w:t>
      </w:r>
      <w:r w:rsidR="00CB42ED">
        <w:rPr>
          <w:rFonts w:ascii="Times New Roman" w:hAnsi="Times New Roman" w:cs="Times New Roman"/>
          <w:sz w:val="24"/>
          <w:szCs w:val="24"/>
        </w:rPr>
        <w:t>s well as</w:t>
      </w:r>
      <w:r>
        <w:rPr>
          <w:rFonts w:ascii="Times New Roman" w:hAnsi="Times New Roman" w:cs="Times New Roman"/>
          <w:sz w:val="24"/>
          <w:szCs w:val="24"/>
        </w:rPr>
        <w:t xml:space="preserve"> the prevailing restricti</w:t>
      </w:r>
      <w:r w:rsidR="00CB42ED">
        <w:rPr>
          <w:rFonts w:ascii="Times New Roman" w:hAnsi="Times New Roman" w:cs="Times New Roman"/>
          <w:sz w:val="24"/>
          <w:szCs w:val="24"/>
        </w:rPr>
        <w:t>ve acts</w:t>
      </w:r>
      <w:r>
        <w:rPr>
          <w:rFonts w:ascii="Times New Roman" w:hAnsi="Times New Roman" w:cs="Times New Roman"/>
          <w:sz w:val="24"/>
          <w:szCs w:val="24"/>
        </w:rPr>
        <w:t xml:space="preserve"> across </w:t>
      </w:r>
      <w:r w:rsidR="00330B2E">
        <w:rPr>
          <w:rFonts w:ascii="Times New Roman" w:hAnsi="Times New Roman" w:cs="Times New Roman"/>
          <w:sz w:val="24"/>
          <w:szCs w:val="24"/>
        </w:rPr>
        <w:t>them</w:t>
      </w:r>
      <w:r>
        <w:rPr>
          <w:rFonts w:ascii="Times New Roman" w:hAnsi="Times New Roman" w:cs="Times New Roman"/>
          <w:sz w:val="24"/>
          <w:szCs w:val="24"/>
        </w:rPr>
        <w:t xml:space="preserve">, the layering approach </w:t>
      </w:r>
      <w:r w:rsidR="00DE26CD">
        <w:rPr>
          <w:rFonts w:ascii="Times New Roman" w:hAnsi="Times New Roman" w:cs="Times New Roman"/>
          <w:sz w:val="24"/>
          <w:szCs w:val="24"/>
        </w:rPr>
        <w:t>follow</w:t>
      </w:r>
      <w:r>
        <w:rPr>
          <w:rFonts w:ascii="Times New Roman" w:hAnsi="Times New Roman" w:cs="Times New Roman"/>
          <w:sz w:val="24"/>
          <w:szCs w:val="24"/>
        </w:rPr>
        <w:t xml:space="preserve">ed here </w:t>
      </w:r>
      <w:r w:rsidR="00DE26CD">
        <w:rPr>
          <w:rFonts w:ascii="Times New Roman" w:hAnsi="Times New Roman" w:cs="Times New Roman"/>
          <w:sz w:val="24"/>
          <w:szCs w:val="24"/>
        </w:rPr>
        <w:t>aims to abstain from</w:t>
      </w:r>
      <w:r>
        <w:rPr>
          <w:rFonts w:ascii="Times New Roman" w:hAnsi="Times New Roman" w:cs="Times New Roman"/>
          <w:sz w:val="24"/>
          <w:szCs w:val="24"/>
        </w:rPr>
        <w:t xml:space="preserve"> the technical restraints </w:t>
      </w:r>
      <w:r w:rsidR="00330B2E">
        <w:rPr>
          <w:rFonts w:ascii="Times New Roman" w:hAnsi="Times New Roman" w:cs="Times New Roman"/>
          <w:sz w:val="24"/>
          <w:szCs w:val="24"/>
        </w:rPr>
        <w:t xml:space="preserve">that </w:t>
      </w:r>
      <w:r w:rsidR="00052A6A">
        <w:rPr>
          <w:rFonts w:ascii="Times New Roman" w:hAnsi="Times New Roman" w:cs="Times New Roman"/>
          <w:sz w:val="24"/>
          <w:szCs w:val="24"/>
        </w:rPr>
        <w:t>we</w:t>
      </w:r>
      <w:r w:rsidR="00330B2E">
        <w:rPr>
          <w:rFonts w:ascii="Times New Roman" w:hAnsi="Times New Roman" w:cs="Times New Roman"/>
          <w:sz w:val="24"/>
          <w:szCs w:val="24"/>
        </w:rPr>
        <w:t>re embedded with</w:t>
      </w:r>
      <w:r>
        <w:rPr>
          <w:rFonts w:ascii="Times New Roman" w:hAnsi="Times New Roman" w:cs="Times New Roman"/>
          <w:sz w:val="24"/>
          <w:szCs w:val="24"/>
        </w:rPr>
        <w:t xml:space="preserve"> the formerly adopted </w:t>
      </w:r>
      <w:r w:rsidRPr="00774EDB">
        <w:rPr>
          <w:rFonts w:ascii="Times New Roman" w:hAnsi="Times New Roman" w:cs="Times New Roman"/>
          <w:sz w:val="24"/>
          <w:szCs w:val="24"/>
        </w:rPr>
        <w:t>layer</w:t>
      </w:r>
      <w:r>
        <w:rPr>
          <w:rFonts w:ascii="Times New Roman" w:hAnsi="Times New Roman" w:cs="Times New Roman"/>
          <w:sz w:val="24"/>
          <w:szCs w:val="24"/>
        </w:rPr>
        <w:t xml:space="preserve"> </w:t>
      </w:r>
      <w:r w:rsidRPr="00774EDB">
        <w:rPr>
          <w:rFonts w:ascii="Times New Roman" w:hAnsi="Times New Roman" w:cs="Times New Roman"/>
          <w:sz w:val="24"/>
          <w:szCs w:val="24"/>
        </w:rPr>
        <w:t>stack</w:t>
      </w:r>
      <w:r>
        <w:rPr>
          <w:rFonts w:ascii="Times New Roman" w:hAnsi="Times New Roman" w:cs="Times New Roman"/>
          <w:sz w:val="24"/>
          <w:szCs w:val="24"/>
        </w:rPr>
        <w:t xml:space="preserve">s, particularly those </w:t>
      </w:r>
      <w:r w:rsidR="00DE26CD">
        <w:rPr>
          <w:rFonts w:ascii="Times New Roman" w:hAnsi="Times New Roman" w:cs="Times New Roman"/>
          <w:sz w:val="24"/>
          <w:szCs w:val="24"/>
        </w:rPr>
        <w:t>of</w:t>
      </w:r>
      <w:r>
        <w:rPr>
          <w:rFonts w:ascii="Times New Roman" w:hAnsi="Times New Roman" w:cs="Times New Roman"/>
          <w:sz w:val="24"/>
          <w:szCs w:val="24"/>
        </w:rPr>
        <w:t xml:space="preserve"> the SSOs.</w:t>
      </w:r>
    </w:p>
    <w:p w14:paraId="03007601" w14:textId="7B67C886" w:rsidR="000D549E" w:rsidRPr="00774EDB" w:rsidRDefault="00BF34CB"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th</w:t>
      </w:r>
      <w:r w:rsidR="0011704A">
        <w:rPr>
          <w:rFonts w:ascii="Times New Roman" w:hAnsi="Times New Roman" w:cs="Times New Roman"/>
          <w:sz w:val="24"/>
          <w:szCs w:val="24"/>
        </w:rPr>
        <w:t>e given</w:t>
      </w:r>
      <w:r w:rsidRPr="00774EDB">
        <w:rPr>
          <w:rFonts w:ascii="Times New Roman" w:hAnsi="Times New Roman" w:cs="Times New Roman"/>
          <w:sz w:val="24"/>
          <w:szCs w:val="24"/>
        </w:rPr>
        <w:t xml:space="preserve"> standpoint, this study proposes that the ‘layered regulatory model’ be built on the following four layers: (1) Access Layer, (2) Middleware Layer, (3) Application Layer and (4) Content Layer. The main distinctive features of each proposed layer are explained below:</w:t>
      </w:r>
    </w:p>
    <w:p w14:paraId="43BBC673" w14:textId="77777777" w:rsidR="000D549E" w:rsidRPr="00774EDB" w:rsidRDefault="00BF34CB" w:rsidP="00A70042">
      <w:pPr>
        <w:pStyle w:val="ListParagraph"/>
        <w:numPr>
          <w:ilvl w:val="0"/>
          <w:numId w:val="23"/>
        </w:numPr>
        <w:spacing w:before="240"/>
        <w:contextualSpacing w:val="0"/>
        <w:jc w:val="both"/>
        <w:rPr>
          <w:rFonts w:ascii="Times New Roman" w:hAnsi="Times New Roman" w:cs="Times New Roman"/>
          <w:sz w:val="24"/>
          <w:szCs w:val="24"/>
        </w:rPr>
      </w:pPr>
      <w:r w:rsidRPr="00774EDB">
        <w:rPr>
          <w:rFonts w:ascii="Times New Roman" w:hAnsi="Times New Roman" w:cs="Times New Roman"/>
          <w:sz w:val="24"/>
          <w:szCs w:val="24"/>
        </w:rPr>
        <w:t>Access layer: Includes both passive and active network elements that enable the conduit and the intelligence necessary to provide end-to-end connectivity. By means of the QoS and technical standards, the access layer offers the broadband connectivity which is key to all the other upper layers, including middleware, applications and content.</w:t>
      </w:r>
      <w:r w:rsidR="000631C7" w:rsidRPr="00774EDB">
        <w:rPr>
          <w:rFonts w:ascii="Times New Roman" w:hAnsi="Times New Roman" w:cs="Times New Roman"/>
          <w:sz w:val="24"/>
          <w:szCs w:val="24"/>
        </w:rPr>
        <w:t xml:space="preserve"> </w:t>
      </w:r>
      <w:r w:rsidR="000D549E" w:rsidRPr="00774EDB">
        <w:rPr>
          <w:rFonts w:ascii="Times New Roman" w:hAnsi="Times New Roman" w:cs="Times New Roman"/>
          <w:sz w:val="24"/>
          <w:szCs w:val="24"/>
        </w:rPr>
        <w:t xml:space="preserve">  </w:t>
      </w:r>
    </w:p>
    <w:p w14:paraId="76FD5F5D" w14:textId="5784A8CD" w:rsidR="00BF34CB" w:rsidRPr="00774EDB" w:rsidRDefault="00BF34CB" w:rsidP="00A70042">
      <w:pPr>
        <w:pStyle w:val="ListParagraph"/>
        <w:numPr>
          <w:ilvl w:val="0"/>
          <w:numId w:val="23"/>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 xml:space="preserve">Middleware layer: This denotes the layer where the software infrastructure, including OSs, management tools and data structures, resides and enables running of the applications. Serving as the medium to support the users, software developers, etc., this layer </w:t>
      </w:r>
      <w:r w:rsidR="0055587A">
        <w:rPr>
          <w:rFonts w:ascii="Times New Roman" w:hAnsi="Times New Roman" w:cs="Times New Roman"/>
          <w:sz w:val="24"/>
          <w:szCs w:val="24"/>
        </w:rPr>
        <w:t>is</w:t>
      </w:r>
      <w:r w:rsidRPr="00774EDB">
        <w:rPr>
          <w:rFonts w:ascii="Times New Roman" w:hAnsi="Times New Roman" w:cs="Times New Roman"/>
          <w:sz w:val="24"/>
          <w:szCs w:val="24"/>
        </w:rPr>
        <w:t xml:space="preserve"> employed by the platform owner or the cloud provider, the latter being the increasingly utilised option.      </w:t>
      </w:r>
    </w:p>
    <w:p w14:paraId="4CE1EFC3" w14:textId="77777777" w:rsidR="00BF34CB" w:rsidRPr="00774EDB" w:rsidRDefault="00BF34CB" w:rsidP="00A70042">
      <w:pPr>
        <w:pStyle w:val="ListParagraph"/>
        <w:numPr>
          <w:ilvl w:val="0"/>
          <w:numId w:val="23"/>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lastRenderedPageBreak/>
        <w:t xml:space="preserve">Application layer: Includes apps and web services e.g. e-commerce, e-mail and instant messaging and is used for a variety of purposes such as entertainment, communication, transactions, etc. Often running from the clouds and being displayed on the devices e.g. tablets, laptops and </w:t>
      </w:r>
      <w:r w:rsidR="00E160D3" w:rsidRPr="00774EDB">
        <w:rPr>
          <w:rFonts w:ascii="Times New Roman" w:hAnsi="Times New Roman" w:cs="Times New Roman"/>
          <w:sz w:val="24"/>
          <w:szCs w:val="24"/>
        </w:rPr>
        <w:t>smart</w:t>
      </w:r>
      <w:r w:rsidRPr="00774EDB">
        <w:rPr>
          <w:rFonts w:ascii="Times New Roman" w:hAnsi="Times New Roman" w:cs="Times New Roman"/>
          <w:sz w:val="24"/>
          <w:szCs w:val="24"/>
        </w:rPr>
        <w:t xml:space="preserve"> phones, applications on this layer are highly interdependent with the lower middleware and upper content layers.</w:t>
      </w:r>
    </w:p>
    <w:p w14:paraId="357A044C" w14:textId="174C9E83" w:rsidR="00136DA3" w:rsidRPr="00774EDB" w:rsidRDefault="00BF34CB" w:rsidP="00A70042">
      <w:pPr>
        <w:pStyle w:val="ListParagraph"/>
        <w:numPr>
          <w:ilvl w:val="0"/>
          <w:numId w:val="23"/>
        </w:numPr>
        <w:spacing w:before="240"/>
        <w:ind w:left="714"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 xml:space="preserve">Content layer: This layer comprises the content generated, either by the </w:t>
      </w:r>
      <w:r w:rsidR="0055587A">
        <w:rPr>
          <w:rFonts w:ascii="Times New Roman" w:hAnsi="Times New Roman" w:cs="Times New Roman"/>
          <w:sz w:val="24"/>
          <w:szCs w:val="24"/>
        </w:rPr>
        <w:t>end-</w:t>
      </w:r>
      <w:r w:rsidRPr="00774EDB">
        <w:rPr>
          <w:rFonts w:ascii="Times New Roman" w:hAnsi="Times New Roman" w:cs="Times New Roman"/>
          <w:sz w:val="24"/>
          <w:szCs w:val="24"/>
        </w:rPr>
        <w:t>users or producers and provided in TV channels e.g. Sky</w:t>
      </w:r>
      <w:r w:rsidR="00E160D3" w:rsidRPr="00774EDB">
        <w:rPr>
          <w:rFonts w:ascii="Times New Roman" w:hAnsi="Times New Roman" w:cs="Times New Roman"/>
          <w:sz w:val="24"/>
          <w:szCs w:val="24"/>
        </w:rPr>
        <w:t>,</w:t>
      </w:r>
      <w:r w:rsidRPr="00774EDB">
        <w:rPr>
          <w:rFonts w:ascii="Times New Roman" w:hAnsi="Times New Roman" w:cs="Times New Roman"/>
          <w:sz w:val="24"/>
          <w:szCs w:val="24"/>
        </w:rPr>
        <w:t xml:space="preserve"> </w:t>
      </w:r>
      <w:r w:rsidR="00E160D3" w:rsidRPr="00774EDB">
        <w:rPr>
          <w:rFonts w:ascii="Times New Roman" w:hAnsi="Times New Roman" w:cs="Times New Roman"/>
          <w:sz w:val="24"/>
          <w:szCs w:val="24"/>
        </w:rPr>
        <w:t xml:space="preserve">online platforms e.g. Facebook, websites or </w:t>
      </w:r>
      <w:r w:rsidRPr="00774EDB">
        <w:rPr>
          <w:rFonts w:ascii="Times New Roman" w:hAnsi="Times New Roman" w:cs="Times New Roman"/>
          <w:sz w:val="24"/>
          <w:szCs w:val="24"/>
        </w:rPr>
        <w:t xml:space="preserve">apps e.g. Netflix, </w:t>
      </w:r>
      <w:r w:rsidR="0055587A">
        <w:rPr>
          <w:rFonts w:ascii="Times New Roman" w:hAnsi="Times New Roman" w:cs="Times New Roman"/>
          <w:sz w:val="24"/>
          <w:szCs w:val="24"/>
        </w:rPr>
        <w:t>being subject to</w:t>
      </w:r>
      <w:r w:rsidRPr="00774EDB">
        <w:rPr>
          <w:rFonts w:ascii="Times New Roman" w:hAnsi="Times New Roman" w:cs="Times New Roman"/>
          <w:sz w:val="24"/>
          <w:szCs w:val="24"/>
        </w:rPr>
        <w:t xml:space="preserve"> certain rules and conditions</w:t>
      </w:r>
      <w:r w:rsidR="00E160D3" w:rsidRPr="00774EDB">
        <w:rPr>
          <w:rFonts w:ascii="Times New Roman" w:hAnsi="Times New Roman" w:cs="Times New Roman"/>
          <w:sz w:val="24"/>
          <w:szCs w:val="24"/>
        </w:rPr>
        <w:t xml:space="preserve"> prescribed by state or EU agencies</w:t>
      </w:r>
      <w:r w:rsidRPr="00774EDB">
        <w:rPr>
          <w:rFonts w:ascii="Times New Roman" w:hAnsi="Times New Roman" w:cs="Times New Roman"/>
          <w:sz w:val="24"/>
          <w:szCs w:val="24"/>
        </w:rPr>
        <w:t xml:space="preserve">, </w:t>
      </w:r>
      <w:r w:rsidR="00E160D3" w:rsidRPr="00774EDB">
        <w:rPr>
          <w:rFonts w:ascii="Times New Roman" w:hAnsi="Times New Roman" w:cs="Times New Roman"/>
          <w:sz w:val="24"/>
          <w:szCs w:val="24"/>
        </w:rPr>
        <w:t>as well as</w:t>
      </w:r>
      <w:r w:rsidRPr="00774EDB">
        <w:rPr>
          <w:rFonts w:ascii="Times New Roman" w:hAnsi="Times New Roman" w:cs="Times New Roman"/>
          <w:sz w:val="24"/>
          <w:szCs w:val="24"/>
        </w:rPr>
        <w:t xml:space="preserve"> IPRs. </w:t>
      </w:r>
      <w:r w:rsidR="00632AC4" w:rsidRPr="00774EDB">
        <w:rPr>
          <w:rFonts w:ascii="Times New Roman" w:hAnsi="Times New Roman" w:cs="Times New Roman"/>
          <w:sz w:val="24"/>
          <w:szCs w:val="24"/>
        </w:rPr>
        <w:t xml:space="preserve">  </w:t>
      </w:r>
      <w:r w:rsidR="0010362A" w:rsidRPr="00774EDB">
        <w:rPr>
          <w:rFonts w:ascii="Times New Roman" w:hAnsi="Times New Roman" w:cs="Times New Roman"/>
          <w:sz w:val="24"/>
          <w:szCs w:val="24"/>
        </w:rPr>
        <w:t xml:space="preserve"> </w:t>
      </w:r>
      <w:r w:rsidR="00612014" w:rsidRPr="00774EDB">
        <w:rPr>
          <w:rFonts w:ascii="Times New Roman" w:hAnsi="Times New Roman" w:cs="Times New Roman"/>
          <w:sz w:val="24"/>
          <w:szCs w:val="24"/>
        </w:rPr>
        <w:t xml:space="preserve"> </w:t>
      </w:r>
      <w:r w:rsidR="00E638EF" w:rsidRPr="00774EDB">
        <w:rPr>
          <w:rFonts w:ascii="Times New Roman" w:hAnsi="Times New Roman" w:cs="Times New Roman"/>
          <w:sz w:val="24"/>
          <w:szCs w:val="24"/>
        </w:rPr>
        <w:t xml:space="preserve">   </w:t>
      </w:r>
    </w:p>
    <w:p w14:paraId="16294394" w14:textId="532AAB2A" w:rsidR="009E1B7C" w:rsidRPr="00A70042" w:rsidRDefault="009E1B7C" w:rsidP="00A70042">
      <w:pPr>
        <w:spacing w:before="360"/>
        <w:jc w:val="both"/>
        <w:rPr>
          <w:rFonts w:ascii="Times New Roman" w:hAnsi="Times New Roman" w:cs="Times New Roman"/>
          <w:spacing w:val="-3"/>
          <w:sz w:val="24"/>
          <w:szCs w:val="24"/>
        </w:rPr>
      </w:pPr>
      <w:r w:rsidRPr="00A70042">
        <w:rPr>
          <w:rFonts w:ascii="Times New Roman" w:hAnsi="Times New Roman" w:cs="Times New Roman"/>
          <w:spacing w:val="-3"/>
          <w:sz w:val="24"/>
          <w:szCs w:val="24"/>
        </w:rPr>
        <w:t xml:space="preserve">The layers described above denote not only the transmission paths of IP data but also and even more importantly, the value chains that represent the activities of the ICT players. An ICT player may not operate only in a certain layer and could have different activities matching several </w:t>
      </w:r>
      <w:r w:rsidR="0055587A">
        <w:rPr>
          <w:rFonts w:ascii="Times New Roman" w:hAnsi="Times New Roman" w:cs="Times New Roman"/>
          <w:spacing w:val="-3"/>
          <w:sz w:val="24"/>
          <w:szCs w:val="24"/>
        </w:rPr>
        <w:t>one</w:t>
      </w:r>
      <w:r w:rsidRPr="00A70042">
        <w:rPr>
          <w:rFonts w:ascii="Times New Roman" w:hAnsi="Times New Roman" w:cs="Times New Roman"/>
          <w:spacing w:val="-3"/>
          <w:sz w:val="24"/>
          <w:szCs w:val="24"/>
        </w:rPr>
        <w:t>s. The interdependence between these layers, as analysed in the case studies above, un</w:t>
      </w:r>
      <w:r w:rsidR="0055587A">
        <w:rPr>
          <w:rFonts w:ascii="Times New Roman" w:hAnsi="Times New Roman" w:cs="Times New Roman"/>
          <w:spacing w:val="-3"/>
          <w:sz w:val="24"/>
          <w:szCs w:val="24"/>
        </w:rPr>
        <w:t>ravel</w:t>
      </w:r>
      <w:r w:rsidRPr="00A70042">
        <w:rPr>
          <w:rFonts w:ascii="Times New Roman" w:hAnsi="Times New Roman" w:cs="Times New Roman"/>
          <w:spacing w:val="-3"/>
          <w:sz w:val="24"/>
          <w:szCs w:val="24"/>
        </w:rPr>
        <w:t xml:space="preserve">s the players’ abilities and potential to collaborate and compete with each other. Thereby, symbiotic relationships might take place because of the open and/or interoperable channels across the layers, as are usually represented by the ‘coopetition’ between the players. Such a situation means an ‘ecosystem’ already exists, eliminating </w:t>
      </w:r>
      <w:r w:rsidR="00A24F00">
        <w:rPr>
          <w:rFonts w:ascii="Times New Roman" w:hAnsi="Times New Roman" w:cs="Times New Roman"/>
          <w:spacing w:val="-3"/>
          <w:sz w:val="24"/>
          <w:szCs w:val="24"/>
        </w:rPr>
        <w:t xml:space="preserve">or reducing </w:t>
      </w:r>
      <w:r w:rsidRPr="00A70042">
        <w:rPr>
          <w:rFonts w:ascii="Times New Roman" w:hAnsi="Times New Roman" w:cs="Times New Roman"/>
          <w:spacing w:val="-3"/>
          <w:sz w:val="24"/>
          <w:szCs w:val="24"/>
        </w:rPr>
        <w:t>the need for ex-ante regulation. However, an ecosystem may not be mentioned for the walled garden</w:t>
      </w:r>
      <w:r w:rsidR="006660B5" w:rsidRPr="00A70042">
        <w:rPr>
          <w:rFonts w:ascii="Times New Roman" w:hAnsi="Times New Roman" w:cs="Times New Roman"/>
          <w:spacing w:val="-3"/>
          <w:sz w:val="24"/>
          <w:szCs w:val="24"/>
        </w:rPr>
        <w:t xml:space="preserve"> </w:t>
      </w:r>
      <w:r w:rsidR="00143555">
        <w:rPr>
          <w:rFonts w:ascii="Times New Roman" w:hAnsi="Times New Roman" w:cs="Times New Roman"/>
          <w:spacing w:val="-3"/>
          <w:sz w:val="24"/>
          <w:szCs w:val="24"/>
        </w:rPr>
        <w:t xml:space="preserve">or silo </w:t>
      </w:r>
      <w:r w:rsidR="006660B5" w:rsidRPr="00A70042">
        <w:rPr>
          <w:rFonts w:ascii="Times New Roman" w:hAnsi="Times New Roman" w:cs="Times New Roman"/>
          <w:spacing w:val="-3"/>
          <w:sz w:val="24"/>
          <w:szCs w:val="24"/>
        </w:rPr>
        <w:t>type supply structures</w:t>
      </w:r>
      <w:r w:rsidRPr="00A70042">
        <w:rPr>
          <w:rFonts w:ascii="Times New Roman" w:hAnsi="Times New Roman" w:cs="Times New Roman"/>
          <w:spacing w:val="-3"/>
          <w:sz w:val="24"/>
          <w:szCs w:val="24"/>
        </w:rPr>
        <w:t xml:space="preserve"> </w:t>
      </w:r>
      <w:r w:rsidR="006660B5" w:rsidRPr="00A70042">
        <w:rPr>
          <w:rFonts w:ascii="Times New Roman" w:hAnsi="Times New Roman" w:cs="Times New Roman"/>
          <w:spacing w:val="-3"/>
          <w:sz w:val="24"/>
          <w:szCs w:val="24"/>
        </w:rPr>
        <w:t xml:space="preserve">that are </w:t>
      </w:r>
      <w:r w:rsidRPr="00A70042">
        <w:rPr>
          <w:rFonts w:ascii="Times New Roman" w:hAnsi="Times New Roman" w:cs="Times New Roman"/>
          <w:spacing w:val="-3"/>
          <w:sz w:val="24"/>
          <w:szCs w:val="24"/>
        </w:rPr>
        <w:t>driven by the proprietary protocols</w:t>
      </w:r>
      <w:r w:rsidR="00143555">
        <w:rPr>
          <w:rFonts w:ascii="Times New Roman" w:hAnsi="Times New Roman" w:cs="Times New Roman"/>
          <w:spacing w:val="-3"/>
          <w:sz w:val="24"/>
          <w:szCs w:val="24"/>
        </w:rPr>
        <w:t xml:space="preserve"> and/or</w:t>
      </w:r>
      <w:r w:rsidRPr="00A70042">
        <w:rPr>
          <w:rFonts w:ascii="Times New Roman" w:hAnsi="Times New Roman" w:cs="Times New Roman"/>
          <w:spacing w:val="-3"/>
          <w:sz w:val="24"/>
          <w:szCs w:val="24"/>
        </w:rPr>
        <w:t xml:space="preserve"> standards.  </w:t>
      </w:r>
    </w:p>
    <w:p w14:paraId="7EDEEA5D" w14:textId="349C1248" w:rsidR="007037DF" w:rsidRPr="00774EDB" w:rsidRDefault="009E1B7C"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Given this fact, an ideal strategy for the </w:t>
      </w:r>
      <w:r w:rsidR="00357C79" w:rsidRPr="00774EDB">
        <w:rPr>
          <w:rFonts w:ascii="Times New Roman" w:hAnsi="Times New Roman" w:cs="Times New Roman"/>
          <w:sz w:val="24"/>
          <w:szCs w:val="24"/>
        </w:rPr>
        <w:t>‘</w:t>
      </w:r>
      <w:r w:rsidRPr="00774EDB">
        <w:rPr>
          <w:rFonts w:ascii="Times New Roman" w:hAnsi="Times New Roman" w:cs="Times New Roman"/>
          <w:sz w:val="24"/>
          <w:szCs w:val="24"/>
        </w:rPr>
        <w:t>layered regulat</w:t>
      </w:r>
      <w:r w:rsidR="00357C79" w:rsidRPr="00774EDB">
        <w:rPr>
          <w:rFonts w:ascii="Times New Roman" w:hAnsi="Times New Roman" w:cs="Times New Roman"/>
          <w:sz w:val="24"/>
          <w:szCs w:val="24"/>
        </w:rPr>
        <w:t>ory</w:t>
      </w:r>
      <w:r w:rsidRPr="00774EDB">
        <w:rPr>
          <w:rFonts w:ascii="Times New Roman" w:hAnsi="Times New Roman" w:cs="Times New Roman"/>
          <w:sz w:val="24"/>
          <w:szCs w:val="24"/>
        </w:rPr>
        <w:t xml:space="preserve"> model</w:t>
      </w:r>
      <w:r w:rsidR="00357C79" w:rsidRPr="00774EDB">
        <w:rPr>
          <w:rFonts w:ascii="Times New Roman" w:hAnsi="Times New Roman" w:cs="Times New Roman"/>
          <w:sz w:val="24"/>
          <w:szCs w:val="24"/>
        </w:rPr>
        <w:t>’</w:t>
      </w:r>
      <w:r w:rsidRPr="00774EDB">
        <w:rPr>
          <w:rFonts w:ascii="Times New Roman" w:hAnsi="Times New Roman" w:cs="Times New Roman"/>
          <w:sz w:val="24"/>
          <w:szCs w:val="24"/>
        </w:rPr>
        <w:t xml:space="preserve"> should embrace both settings, namely ecosystems where the players have coopetition along with widespread interoperability and non-ecosystem environments where walled gardens </w:t>
      </w:r>
      <w:r w:rsidR="00143555">
        <w:rPr>
          <w:rFonts w:ascii="Times New Roman" w:hAnsi="Times New Roman" w:cs="Times New Roman"/>
          <w:sz w:val="24"/>
          <w:szCs w:val="24"/>
        </w:rPr>
        <w:lastRenderedPageBreak/>
        <w:t xml:space="preserve">or silos </w:t>
      </w:r>
      <w:r w:rsidRPr="00774EDB">
        <w:rPr>
          <w:rFonts w:ascii="Times New Roman" w:hAnsi="Times New Roman" w:cs="Times New Roman"/>
          <w:sz w:val="24"/>
          <w:szCs w:val="24"/>
        </w:rPr>
        <w:t xml:space="preserve">prevail along with access and interoperability restrictions resulting in lack of coopetition. Considering </w:t>
      </w:r>
      <w:r w:rsidR="00357C79" w:rsidRPr="00774EDB">
        <w:rPr>
          <w:rFonts w:ascii="Times New Roman" w:hAnsi="Times New Roman" w:cs="Times New Roman"/>
          <w:sz w:val="24"/>
          <w:szCs w:val="24"/>
        </w:rPr>
        <w:t xml:space="preserve">the need to </w:t>
      </w:r>
      <w:r w:rsidR="00C2297D">
        <w:rPr>
          <w:rFonts w:ascii="Times New Roman" w:hAnsi="Times New Roman" w:cs="Times New Roman"/>
          <w:sz w:val="24"/>
          <w:szCs w:val="24"/>
        </w:rPr>
        <w:t>embrace</w:t>
      </w:r>
      <w:r w:rsidR="00C2297D" w:rsidRPr="00774EDB">
        <w:rPr>
          <w:rFonts w:ascii="Times New Roman" w:hAnsi="Times New Roman" w:cs="Times New Roman"/>
          <w:sz w:val="24"/>
          <w:szCs w:val="24"/>
        </w:rPr>
        <w:t xml:space="preserve"> </w:t>
      </w:r>
      <w:r w:rsidR="00357C79" w:rsidRPr="00774EDB">
        <w:rPr>
          <w:rFonts w:ascii="Times New Roman" w:hAnsi="Times New Roman" w:cs="Times New Roman"/>
          <w:sz w:val="24"/>
          <w:szCs w:val="24"/>
        </w:rPr>
        <w:t xml:space="preserve">both </w:t>
      </w:r>
      <w:r w:rsidRPr="00774EDB">
        <w:rPr>
          <w:rFonts w:ascii="Times New Roman" w:hAnsi="Times New Roman" w:cs="Times New Roman"/>
          <w:sz w:val="24"/>
          <w:szCs w:val="24"/>
        </w:rPr>
        <w:t xml:space="preserve">type of settings </w:t>
      </w:r>
      <w:r w:rsidR="002748EC" w:rsidRPr="00774EDB">
        <w:rPr>
          <w:rFonts w:ascii="Times New Roman" w:hAnsi="Times New Roman" w:cs="Times New Roman"/>
          <w:sz w:val="24"/>
          <w:szCs w:val="24"/>
        </w:rPr>
        <w:t>since</w:t>
      </w:r>
      <w:r w:rsidR="00357C79" w:rsidRPr="00774EDB">
        <w:rPr>
          <w:rFonts w:ascii="Times New Roman" w:hAnsi="Times New Roman" w:cs="Times New Roman"/>
          <w:sz w:val="24"/>
          <w:szCs w:val="24"/>
        </w:rPr>
        <w:t xml:space="preserve"> they will co-exist</w:t>
      </w:r>
      <w:r w:rsidRPr="00774EDB">
        <w:rPr>
          <w:rFonts w:ascii="Times New Roman" w:hAnsi="Times New Roman" w:cs="Times New Roman"/>
          <w:sz w:val="24"/>
          <w:szCs w:val="24"/>
        </w:rPr>
        <w:t xml:space="preserve">, the regulatory criteria need to be coherent and flexible. To that effect, it is suggested that a neutral and broad concept of ‘gatekeeping’ be integrated into the multi-layered model with </w:t>
      </w:r>
      <w:r w:rsidR="00C2297D">
        <w:rPr>
          <w:rFonts w:ascii="Times New Roman" w:hAnsi="Times New Roman" w:cs="Times New Roman"/>
          <w:sz w:val="24"/>
          <w:szCs w:val="24"/>
        </w:rPr>
        <w:t>a</w:t>
      </w:r>
      <w:r w:rsidRPr="00774EDB">
        <w:rPr>
          <w:rFonts w:ascii="Times New Roman" w:hAnsi="Times New Roman" w:cs="Times New Roman"/>
          <w:sz w:val="24"/>
          <w:szCs w:val="24"/>
        </w:rPr>
        <w:t xml:space="preserve"> view to respond to the access and interoperability restrictions. According to the proposed structure, as </w:t>
      </w:r>
      <w:r w:rsidR="00C2297D">
        <w:rPr>
          <w:rFonts w:ascii="Times New Roman" w:hAnsi="Times New Roman" w:cs="Times New Roman"/>
          <w:sz w:val="24"/>
          <w:szCs w:val="24"/>
        </w:rPr>
        <w:t>depict</w:t>
      </w:r>
      <w:r w:rsidRPr="00774EDB">
        <w:rPr>
          <w:rFonts w:ascii="Times New Roman" w:hAnsi="Times New Roman" w:cs="Times New Roman"/>
          <w:sz w:val="24"/>
          <w:szCs w:val="24"/>
        </w:rPr>
        <w:t xml:space="preserve">ed in Figure </w:t>
      </w:r>
      <w:r w:rsidR="00ED20F4" w:rsidRPr="00774EDB">
        <w:rPr>
          <w:rFonts w:ascii="Times New Roman" w:hAnsi="Times New Roman" w:cs="Times New Roman"/>
          <w:sz w:val="24"/>
          <w:szCs w:val="24"/>
        </w:rPr>
        <w:t>1</w:t>
      </w:r>
      <w:r w:rsidR="00ED20F4">
        <w:rPr>
          <w:rFonts w:ascii="Times New Roman" w:hAnsi="Times New Roman" w:cs="Times New Roman"/>
          <w:sz w:val="24"/>
          <w:szCs w:val="24"/>
        </w:rPr>
        <w:t>4</w:t>
      </w:r>
      <w:r w:rsidRPr="00774EDB">
        <w:rPr>
          <w:rFonts w:ascii="Times New Roman" w:hAnsi="Times New Roman" w:cs="Times New Roman"/>
          <w:sz w:val="24"/>
          <w:szCs w:val="24"/>
        </w:rPr>
        <w:t xml:space="preserve">, gatekeeping roles and functionalities </w:t>
      </w:r>
      <w:r w:rsidR="00C2297D">
        <w:rPr>
          <w:rFonts w:ascii="Times New Roman" w:hAnsi="Times New Roman" w:cs="Times New Roman"/>
          <w:sz w:val="24"/>
          <w:szCs w:val="24"/>
        </w:rPr>
        <w:t>have a key role to play across the layers</w:t>
      </w:r>
      <w:r w:rsidRPr="00774EDB">
        <w:rPr>
          <w:rFonts w:ascii="Times New Roman" w:hAnsi="Times New Roman" w:cs="Times New Roman"/>
          <w:sz w:val="24"/>
          <w:szCs w:val="24"/>
        </w:rPr>
        <w:t>.</w:t>
      </w:r>
    </w:p>
    <w:p w14:paraId="383A944C" w14:textId="77777777" w:rsidR="0057414D" w:rsidRPr="00774EDB" w:rsidRDefault="0057414D" w:rsidP="00A70042">
      <w:pPr>
        <w:spacing w:before="360"/>
        <w:jc w:val="both"/>
        <w:rPr>
          <w:rFonts w:ascii="Times New Roman" w:hAnsi="Times New Roman" w:cs="Times New Roman"/>
          <w:sz w:val="24"/>
          <w:szCs w:val="24"/>
        </w:rPr>
      </w:pPr>
      <w:r w:rsidRPr="00820EF9">
        <w:rPr>
          <w:rFonts w:ascii="Times New Roman" w:hAnsi="Times New Roman" w:cs="Times New Roman"/>
          <w:noProof/>
          <w:sz w:val="24"/>
          <w:szCs w:val="24"/>
        </w:rPr>
        <w:drawing>
          <wp:inline distT="0" distB="0" distL="0" distR="0" wp14:anchorId="448D0F6C" wp14:editId="639E66E2">
            <wp:extent cx="5269944" cy="2480807"/>
            <wp:effectExtent l="0" t="0" r="6985" b="0"/>
            <wp:docPr id="57347" name="Picture 57347" descr="Pyramid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47" name="Picture 57347" descr="Pyramid diagram"/>
                    <pic:cNvPicPr/>
                  </pic:nvPicPr>
                  <pic:blipFill rotWithShape="1">
                    <a:blip r:embed="rId29"/>
                    <a:srcRect t="8851" b="7460"/>
                    <a:stretch/>
                  </pic:blipFill>
                  <pic:spPr bwMode="auto">
                    <a:xfrm>
                      <a:off x="0" y="0"/>
                      <a:ext cx="5288360" cy="2489476"/>
                    </a:xfrm>
                    <a:prstGeom prst="rect">
                      <a:avLst/>
                    </a:prstGeom>
                    <a:ln>
                      <a:noFill/>
                    </a:ln>
                    <a:extLst>
                      <a:ext uri="{53640926-AAD7-44D8-BBD7-CCE9431645EC}">
                        <a14:shadowObscured xmlns:a14="http://schemas.microsoft.com/office/drawing/2010/main"/>
                      </a:ext>
                    </a:extLst>
                  </pic:spPr>
                </pic:pic>
              </a:graphicData>
            </a:graphic>
          </wp:inline>
        </w:drawing>
      </w:r>
    </w:p>
    <w:p w14:paraId="1EFBAD2B" w14:textId="4B5FFE39" w:rsidR="002B46AF" w:rsidRPr="00A70042" w:rsidRDefault="002B46AF" w:rsidP="00A70042">
      <w:pPr>
        <w:outlineLvl w:val="7"/>
        <w:rPr>
          <w:sz w:val="24"/>
          <w:szCs w:val="24"/>
        </w:rPr>
      </w:pPr>
      <w:bookmarkStart w:id="710" w:name="_Toc17612477"/>
      <w:r w:rsidRPr="00A70042">
        <w:rPr>
          <w:rFonts w:ascii="Times New Roman" w:hAnsi="Times New Roman" w:cs="Times New Roman"/>
          <w:b/>
          <w:bCs/>
          <w:sz w:val="24"/>
          <w:szCs w:val="24"/>
        </w:rPr>
        <w:t>Figure</w:t>
      </w:r>
      <w:r w:rsidR="005276CF" w:rsidRPr="00A70042">
        <w:rPr>
          <w:rFonts w:ascii="Times New Roman" w:hAnsi="Times New Roman" w:cs="Times New Roman"/>
          <w:b/>
          <w:bCs/>
          <w:sz w:val="24"/>
          <w:szCs w:val="24"/>
        </w:rPr>
        <w:t xml:space="preserve"> </w:t>
      </w:r>
      <w:r w:rsidRPr="00A70042">
        <w:rPr>
          <w:rFonts w:ascii="Times New Roman" w:hAnsi="Times New Roman" w:cs="Times New Roman"/>
          <w:b/>
          <w:bCs/>
          <w:sz w:val="24"/>
          <w:szCs w:val="24"/>
        </w:rPr>
        <w:t>1</w:t>
      </w:r>
      <w:r w:rsidR="00327E6E">
        <w:rPr>
          <w:rFonts w:ascii="Times New Roman" w:hAnsi="Times New Roman" w:cs="Times New Roman"/>
          <w:b/>
          <w:bCs/>
          <w:sz w:val="24"/>
          <w:szCs w:val="24"/>
        </w:rPr>
        <w:t>4</w:t>
      </w:r>
      <w:r w:rsidRPr="00A70042">
        <w:rPr>
          <w:rFonts w:ascii="Times New Roman" w:hAnsi="Times New Roman" w:cs="Times New Roman"/>
          <w:b/>
          <w:bCs/>
          <w:sz w:val="24"/>
          <w:szCs w:val="24"/>
        </w:rPr>
        <w:t>:</w:t>
      </w:r>
      <w:r w:rsidRPr="00A70042">
        <w:rPr>
          <w:rFonts w:ascii="Times New Roman" w:hAnsi="Times New Roman" w:cs="Times New Roman"/>
          <w:sz w:val="24"/>
          <w:szCs w:val="24"/>
        </w:rPr>
        <w:t xml:space="preserve"> Main features of the layered regulatory model</w:t>
      </w:r>
      <w:bookmarkEnd w:id="710"/>
    </w:p>
    <w:p w14:paraId="3A57FB3B" w14:textId="3A369CD9" w:rsidR="005357CD" w:rsidRPr="00A70042" w:rsidRDefault="007037DF" w:rsidP="00A70042">
      <w:pPr>
        <w:jc w:val="both"/>
        <w:rPr>
          <w:rFonts w:ascii="Times New Roman" w:hAnsi="Times New Roman" w:cs="Times New Roman"/>
          <w:sz w:val="20"/>
          <w:szCs w:val="20"/>
        </w:rPr>
      </w:pPr>
      <w:r w:rsidRPr="00A70042">
        <w:rPr>
          <w:rFonts w:ascii="Times New Roman" w:hAnsi="Times New Roman" w:cs="Times New Roman"/>
          <w:b/>
          <w:bCs/>
          <w:sz w:val="20"/>
          <w:szCs w:val="20"/>
        </w:rPr>
        <w:t>Source:</w:t>
      </w:r>
      <w:r w:rsidRPr="00A70042">
        <w:rPr>
          <w:rFonts w:ascii="Times New Roman" w:hAnsi="Times New Roman" w:cs="Times New Roman"/>
          <w:sz w:val="20"/>
          <w:szCs w:val="20"/>
        </w:rPr>
        <w:t xml:space="preserve"> Constructed by the author</w:t>
      </w:r>
    </w:p>
    <w:p w14:paraId="3F121A04" w14:textId="1708839B" w:rsidR="00F6788C" w:rsidRPr="00774EDB" w:rsidRDefault="0085005E" w:rsidP="00A70042">
      <w:pPr>
        <w:pStyle w:val="Heading3"/>
        <w:numPr>
          <w:ilvl w:val="2"/>
          <w:numId w:val="33"/>
        </w:numPr>
        <w:spacing w:before="360"/>
        <w:ind w:left="0" w:firstLine="0"/>
        <w:jc w:val="both"/>
        <w:rPr>
          <w:rFonts w:ascii="Times New Roman" w:hAnsi="Times New Roman" w:cs="Times New Roman"/>
          <w:b/>
          <w:color w:val="auto"/>
        </w:rPr>
      </w:pPr>
      <w:bookmarkStart w:id="711" w:name="_Toc17611514"/>
      <w:bookmarkStart w:id="712" w:name="_Toc17611731"/>
      <w:bookmarkStart w:id="713" w:name="_Toc17611943"/>
      <w:bookmarkStart w:id="714" w:name="_Toc17612157"/>
      <w:bookmarkStart w:id="715" w:name="_Toc17612370"/>
      <w:bookmarkStart w:id="716" w:name="_Toc17611515"/>
      <w:bookmarkStart w:id="717" w:name="_Toc53576128"/>
      <w:bookmarkStart w:id="718" w:name="_Hlk53567769"/>
      <w:bookmarkEnd w:id="711"/>
      <w:bookmarkEnd w:id="712"/>
      <w:bookmarkEnd w:id="713"/>
      <w:bookmarkEnd w:id="714"/>
      <w:bookmarkEnd w:id="715"/>
      <w:r w:rsidRPr="00774EDB">
        <w:rPr>
          <w:rFonts w:ascii="Times New Roman" w:hAnsi="Times New Roman" w:cs="Times New Roman"/>
          <w:b/>
          <w:color w:val="auto"/>
        </w:rPr>
        <w:t>Re</w:t>
      </w:r>
      <w:r w:rsidR="00451836" w:rsidRPr="00774EDB">
        <w:rPr>
          <w:rFonts w:ascii="Times New Roman" w:hAnsi="Times New Roman" w:cs="Times New Roman"/>
          <w:b/>
          <w:color w:val="auto"/>
        </w:rPr>
        <w:t>vitalis</w:t>
      </w:r>
      <w:r w:rsidRPr="00774EDB">
        <w:rPr>
          <w:rFonts w:ascii="Times New Roman" w:hAnsi="Times New Roman" w:cs="Times New Roman"/>
          <w:b/>
          <w:color w:val="auto"/>
        </w:rPr>
        <w:t xml:space="preserve">ing </w:t>
      </w:r>
      <w:r w:rsidR="00657819" w:rsidRPr="00774EDB">
        <w:rPr>
          <w:rFonts w:ascii="Times New Roman" w:hAnsi="Times New Roman" w:cs="Times New Roman"/>
          <w:b/>
          <w:color w:val="auto"/>
        </w:rPr>
        <w:t>gatekeep</w:t>
      </w:r>
      <w:r w:rsidR="000E28F2" w:rsidRPr="00774EDB">
        <w:rPr>
          <w:rFonts w:ascii="Times New Roman" w:hAnsi="Times New Roman" w:cs="Times New Roman"/>
          <w:b/>
          <w:color w:val="auto"/>
        </w:rPr>
        <w:t>ing</w:t>
      </w:r>
      <w:r w:rsidR="000C4567">
        <w:rPr>
          <w:rFonts w:ascii="Times New Roman" w:hAnsi="Times New Roman" w:cs="Times New Roman"/>
          <w:b/>
          <w:color w:val="auto"/>
        </w:rPr>
        <w:t xml:space="preserve"> </w:t>
      </w:r>
      <w:r w:rsidR="00F56029">
        <w:rPr>
          <w:rFonts w:ascii="Times New Roman" w:hAnsi="Times New Roman" w:cs="Times New Roman"/>
          <w:b/>
          <w:color w:val="auto"/>
        </w:rPr>
        <w:t>and gatekeeping activities</w:t>
      </w:r>
      <w:bookmarkEnd w:id="716"/>
      <w:bookmarkEnd w:id="717"/>
    </w:p>
    <w:bookmarkEnd w:id="718"/>
    <w:p w14:paraId="5A55BD71" w14:textId="1CD8A73E" w:rsidR="0023145F" w:rsidRPr="002456DE" w:rsidRDefault="0000680E" w:rsidP="002456DE">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In a layered </w:t>
      </w:r>
      <w:r w:rsidR="005622A5">
        <w:rPr>
          <w:rFonts w:ascii="Times New Roman" w:hAnsi="Times New Roman" w:cs="Times New Roman"/>
          <w:sz w:val="24"/>
          <w:szCs w:val="24"/>
        </w:rPr>
        <w:t>model</w:t>
      </w:r>
      <w:r w:rsidRPr="00774EDB">
        <w:rPr>
          <w:rFonts w:ascii="Times New Roman" w:hAnsi="Times New Roman" w:cs="Times New Roman"/>
          <w:sz w:val="24"/>
          <w:szCs w:val="24"/>
        </w:rPr>
        <w:t xml:space="preserve">, where the layers are to be dealt with </w:t>
      </w:r>
      <w:r w:rsidR="0023145F">
        <w:rPr>
          <w:rFonts w:ascii="Times New Roman" w:hAnsi="Times New Roman" w:cs="Times New Roman"/>
          <w:sz w:val="24"/>
          <w:szCs w:val="24"/>
        </w:rPr>
        <w:t>on a homogenous basis</w:t>
      </w:r>
      <w:r w:rsidRPr="00774EDB">
        <w:rPr>
          <w:rFonts w:ascii="Times New Roman" w:hAnsi="Times New Roman" w:cs="Times New Roman"/>
          <w:sz w:val="24"/>
          <w:szCs w:val="24"/>
        </w:rPr>
        <w:t xml:space="preserve">, ‘gatekeeping’ </w:t>
      </w:r>
      <w:r w:rsidR="0023145F">
        <w:rPr>
          <w:rFonts w:ascii="Times New Roman" w:hAnsi="Times New Roman" w:cs="Times New Roman"/>
          <w:sz w:val="24"/>
          <w:szCs w:val="24"/>
        </w:rPr>
        <w:t>emerges</w:t>
      </w:r>
      <w:r w:rsidR="005622A5">
        <w:rPr>
          <w:rFonts w:ascii="Times New Roman" w:hAnsi="Times New Roman" w:cs="Times New Roman"/>
          <w:sz w:val="24"/>
          <w:szCs w:val="24"/>
        </w:rPr>
        <w:t xml:space="preserve"> </w:t>
      </w:r>
      <w:r w:rsidR="0023145F">
        <w:rPr>
          <w:rFonts w:ascii="Times New Roman" w:hAnsi="Times New Roman" w:cs="Times New Roman"/>
          <w:sz w:val="24"/>
          <w:szCs w:val="24"/>
        </w:rPr>
        <w:t xml:space="preserve">as </w:t>
      </w:r>
      <w:r w:rsidR="005622A5">
        <w:rPr>
          <w:rFonts w:ascii="Times New Roman" w:hAnsi="Times New Roman" w:cs="Times New Roman"/>
          <w:sz w:val="24"/>
          <w:szCs w:val="24"/>
        </w:rPr>
        <w:t xml:space="preserve">a </w:t>
      </w:r>
      <w:r w:rsidR="0023145F">
        <w:rPr>
          <w:rFonts w:ascii="Times New Roman" w:hAnsi="Times New Roman" w:cs="Times New Roman"/>
          <w:sz w:val="24"/>
          <w:szCs w:val="24"/>
        </w:rPr>
        <w:t>crucial</w:t>
      </w:r>
      <w:r w:rsidR="005622A5">
        <w:rPr>
          <w:rFonts w:ascii="Times New Roman" w:hAnsi="Times New Roman" w:cs="Times New Roman"/>
          <w:sz w:val="24"/>
          <w:szCs w:val="24"/>
        </w:rPr>
        <w:t xml:space="preserve"> </w:t>
      </w:r>
      <w:r w:rsidR="0023145F">
        <w:rPr>
          <w:rFonts w:ascii="Times New Roman" w:hAnsi="Times New Roman" w:cs="Times New Roman"/>
          <w:sz w:val="24"/>
          <w:szCs w:val="24"/>
        </w:rPr>
        <w:t xml:space="preserve">concept </w:t>
      </w:r>
      <w:r w:rsidRPr="00774EDB">
        <w:rPr>
          <w:rFonts w:ascii="Times New Roman" w:hAnsi="Times New Roman" w:cs="Times New Roman"/>
          <w:sz w:val="24"/>
          <w:szCs w:val="24"/>
        </w:rPr>
        <w:t xml:space="preserve">within the </w:t>
      </w:r>
      <w:r w:rsidR="0023145F">
        <w:rPr>
          <w:rFonts w:ascii="Times New Roman" w:hAnsi="Times New Roman" w:cs="Times New Roman"/>
          <w:sz w:val="24"/>
          <w:szCs w:val="24"/>
        </w:rPr>
        <w:t>proposed model</w:t>
      </w:r>
      <w:r w:rsidRPr="00774EDB">
        <w:rPr>
          <w:rFonts w:ascii="Times New Roman" w:hAnsi="Times New Roman" w:cs="Times New Roman"/>
          <w:sz w:val="24"/>
          <w:szCs w:val="24"/>
        </w:rPr>
        <w:t xml:space="preserve">. </w:t>
      </w:r>
      <w:r w:rsidR="002456DE">
        <w:rPr>
          <w:rFonts w:ascii="Times New Roman" w:hAnsi="Times New Roman"/>
          <w:sz w:val="24"/>
          <w:szCs w:val="24"/>
        </w:rPr>
        <w:t xml:space="preserve">While </w:t>
      </w:r>
      <w:r w:rsidR="0027493F">
        <w:rPr>
          <w:rFonts w:ascii="Times New Roman" w:hAnsi="Times New Roman"/>
          <w:sz w:val="24"/>
          <w:szCs w:val="24"/>
        </w:rPr>
        <w:t xml:space="preserve">the above </w:t>
      </w:r>
      <w:r w:rsidR="002456DE">
        <w:rPr>
          <w:rFonts w:ascii="Times New Roman" w:hAnsi="Times New Roman"/>
          <w:sz w:val="24"/>
          <w:szCs w:val="24"/>
        </w:rPr>
        <w:t>layer</w:t>
      </w:r>
      <w:r w:rsidR="0027493F">
        <w:rPr>
          <w:rFonts w:ascii="Times New Roman" w:hAnsi="Times New Roman"/>
          <w:sz w:val="24"/>
          <w:szCs w:val="24"/>
        </w:rPr>
        <w:t>s</w:t>
      </w:r>
      <w:r w:rsidR="002456DE">
        <w:rPr>
          <w:rFonts w:ascii="Times New Roman" w:hAnsi="Times New Roman"/>
          <w:sz w:val="24"/>
          <w:szCs w:val="24"/>
        </w:rPr>
        <w:t xml:space="preserve"> provide the necessary layout for ex ante regulation, the ‘gatekeeping’ refers to the activities that capture ‘competition’ and ‘techno-social’ concerns which need to be addressed </w:t>
      </w:r>
      <w:r w:rsidR="0027493F">
        <w:rPr>
          <w:rFonts w:ascii="Times New Roman" w:hAnsi="Times New Roman"/>
          <w:sz w:val="24"/>
          <w:szCs w:val="24"/>
        </w:rPr>
        <w:t>within</w:t>
      </w:r>
      <w:r w:rsidR="009141DF">
        <w:rPr>
          <w:rFonts w:ascii="Times New Roman" w:hAnsi="Times New Roman"/>
          <w:sz w:val="24"/>
          <w:szCs w:val="24"/>
        </w:rPr>
        <w:t xml:space="preserve"> the </w:t>
      </w:r>
      <w:r w:rsidR="0027493F">
        <w:rPr>
          <w:rFonts w:ascii="Times New Roman" w:hAnsi="Times New Roman"/>
          <w:sz w:val="24"/>
          <w:szCs w:val="24"/>
        </w:rPr>
        <w:t xml:space="preserve">layered regulatory </w:t>
      </w:r>
      <w:r w:rsidR="009141DF">
        <w:rPr>
          <w:rFonts w:ascii="Times New Roman" w:hAnsi="Times New Roman"/>
          <w:sz w:val="24"/>
          <w:szCs w:val="24"/>
        </w:rPr>
        <w:t>model</w:t>
      </w:r>
      <w:r w:rsidR="002456DE">
        <w:rPr>
          <w:rFonts w:ascii="Times New Roman" w:hAnsi="Times New Roman"/>
          <w:sz w:val="24"/>
          <w:szCs w:val="24"/>
        </w:rPr>
        <w:t xml:space="preserve">. </w:t>
      </w:r>
      <w:r w:rsidR="005A4D2F">
        <w:rPr>
          <w:rFonts w:ascii="Times New Roman" w:hAnsi="Times New Roman"/>
          <w:sz w:val="24"/>
          <w:szCs w:val="24"/>
        </w:rPr>
        <w:t xml:space="preserve">At this chosen term and understanding lies its better reflection of the gateways (interfaces) and their </w:t>
      </w:r>
      <w:r w:rsidR="005A4D2F">
        <w:rPr>
          <w:rFonts w:ascii="Times New Roman" w:hAnsi="Times New Roman"/>
          <w:sz w:val="24"/>
          <w:szCs w:val="24"/>
        </w:rPr>
        <w:lastRenderedPageBreak/>
        <w:t xml:space="preserve">exploitation by the ICT players. Thus, </w:t>
      </w:r>
      <w:r w:rsidR="0027493F">
        <w:rPr>
          <w:rFonts w:ascii="Times New Roman" w:hAnsi="Times New Roman"/>
          <w:sz w:val="24"/>
          <w:szCs w:val="24"/>
        </w:rPr>
        <w:t>‘</w:t>
      </w:r>
      <w:r w:rsidR="0027493F">
        <w:rPr>
          <w:rFonts w:ascii="Times New Roman" w:hAnsi="Times New Roman" w:cs="Times New Roman"/>
          <w:sz w:val="24"/>
          <w:szCs w:val="24"/>
        </w:rPr>
        <w:t xml:space="preserve">Gatekeeping’ </w:t>
      </w:r>
      <w:r w:rsidR="0023145F">
        <w:rPr>
          <w:rFonts w:ascii="Times New Roman" w:hAnsi="Times New Roman" w:cs="Times New Roman"/>
          <w:sz w:val="24"/>
          <w:szCs w:val="24"/>
        </w:rPr>
        <w:t xml:space="preserve">morphs into a key technical term under this normative framework, marking a distinction from the </w:t>
      </w:r>
      <w:r w:rsidR="00052A6A" w:rsidRPr="00052A6A">
        <w:rPr>
          <w:rFonts w:ascii="Times New Roman" w:hAnsi="Times New Roman" w:cs="Times New Roman"/>
          <w:sz w:val="24"/>
          <w:szCs w:val="24"/>
        </w:rPr>
        <w:t>rhetorical</w:t>
      </w:r>
      <w:r w:rsidR="003203CF">
        <w:rPr>
          <w:rFonts w:ascii="Times New Roman" w:hAnsi="Times New Roman" w:cs="Times New Roman"/>
          <w:sz w:val="24"/>
          <w:szCs w:val="24"/>
        </w:rPr>
        <w:t xml:space="preserve"> uses of this concept</w:t>
      </w:r>
      <w:r w:rsidR="0027493F">
        <w:rPr>
          <w:rFonts w:ascii="Times New Roman" w:hAnsi="Times New Roman" w:cs="Times New Roman"/>
          <w:sz w:val="24"/>
          <w:szCs w:val="24"/>
        </w:rPr>
        <w:t xml:space="preserve"> in the past</w:t>
      </w:r>
      <w:r w:rsidR="0023145F">
        <w:rPr>
          <w:rFonts w:ascii="Times New Roman" w:hAnsi="Times New Roman" w:cs="Times New Roman"/>
          <w:sz w:val="24"/>
          <w:szCs w:val="24"/>
        </w:rPr>
        <w:t xml:space="preserve">. </w:t>
      </w:r>
    </w:p>
    <w:p w14:paraId="51688769" w14:textId="6AC4D868" w:rsidR="00DA388C" w:rsidRDefault="0000680E" w:rsidP="007F10A6">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While ‘network gatekeeping’ </w:t>
      </w:r>
      <w:r w:rsidR="007F10A6">
        <w:rPr>
          <w:rFonts w:ascii="Times New Roman" w:hAnsi="Times New Roman" w:cs="Times New Roman"/>
          <w:sz w:val="24"/>
          <w:szCs w:val="24"/>
        </w:rPr>
        <w:t>was</w:t>
      </w:r>
      <w:r w:rsidRPr="00774EDB">
        <w:rPr>
          <w:rFonts w:ascii="Times New Roman" w:hAnsi="Times New Roman" w:cs="Times New Roman"/>
          <w:sz w:val="24"/>
          <w:szCs w:val="24"/>
        </w:rPr>
        <w:t xml:space="preserve"> first developed by Barzilai-Nahon to mean “the process of controlling information as it moves through a gate (a network or its sections)”,</w:t>
      </w:r>
      <w:r w:rsidR="007F10A6">
        <w:rPr>
          <w:rFonts w:ascii="Times New Roman" w:hAnsi="Times New Roman" w:cs="Times New Roman"/>
          <w:sz w:val="24"/>
          <w:szCs w:val="24"/>
        </w:rPr>
        <w:t xml:space="preserve"> a functional approach has been followed in which the ‘gated’ meant ‘</w:t>
      </w:r>
      <w:r w:rsidR="007F10A6" w:rsidRPr="007F10A6">
        <w:rPr>
          <w:rFonts w:ascii="Times New Roman" w:hAnsi="Times New Roman" w:cs="Times New Roman"/>
          <w:sz w:val="24"/>
          <w:szCs w:val="24"/>
        </w:rPr>
        <w:t>the entity subjected to gatekeeping</w:t>
      </w:r>
      <w:r w:rsidR="007F10A6">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875"/>
      </w:r>
      <w:r w:rsidR="00C73225">
        <w:rPr>
          <w:rFonts w:ascii="Times New Roman" w:hAnsi="Times New Roman" w:cs="Times New Roman"/>
          <w:sz w:val="24"/>
          <w:szCs w:val="24"/>
        </w:rPr>
        <w:t xml:space="preserve"> </w:t>
      </w:r>
      <w:r w:rsidR="00695657">
        <w:rPr>
          <w:rFonts w:ascii="Times New Roman" w:hAnsi="Times New Roman" w:cs="Times New Roman"/>
          <w:sz w:val="24"/>
          <w:szCs w:val="24"/>
        </w:rPr>
        <w:t xml:space="preserve">This definitional framework </w:t>
      </w:r>
      <w:r w:rsidR="001C7493">
        <w:rPr>
          <w:rFonts w:ascii="Times New Roman" w:hAnsi="Times New Roman" w:cs="Times New Roman"/>
          <w:sz w:val="24"/>
          <w:szCs w:val="24"/>
        </w:rPr>
        <w:t>and the related scholarly work</w:t>
      </w:r>
      <w:r w:rsidR="001C7493">
        <w:rPr>
          <w:rStyle w:val="FootnoteReference"/>
          <w:rFonts w:ascii="Times New Roman" w:hAnsi="Times New Roman" w:cs="Times New Roman"/>
          <w:sz w:val="24"/>
          <w:szCs w:val="24"/>
        </w:rPr>
        <w:footnoteReference w:id="876"/>
      </w:r>
      <w:r w:rsidR="001C7493">
        <w:rPr>
          <w:rFonts w:ascii="Times New Roman" w:hAnsi="Times New Roman" w:cs="Times New Roman"/>
          <w:sz w:val="24"/>
          <w:szCs w:val="24"/>
        </w:rPr>
        <w:t xml:space="preserve"> </w:t>
      </w:r>
      <w:r w:rsidR="00695657">
        <w:rPr>
          <w:rFonts w:ascii="Times New Roman" w:hAnsi="Times New Roman" w:cs="Times New Roman"/>
          <w:sz w:val="24"/>
          <w:szCs w:val="24"/>
        </w:rPr>
        <w:t xml:space="preserve">suggest existence of ‘gatekeeping’ in </w:t>
      </w:r>
      <w:r w:rsidR="00357FE1">
        <w:rPr>
          <w:rFonts w:ascii="Times New Roman" w:hAnsi="Times New Roman" w:cs="Times New Roman"/>
          <w:sz w:val="24"/>
          <w:szCs w:val="24"/>
        </w:rPr>
        <w:t xml:space="preserve">the </w:t>
      </w:r>
      <w:r w:rsidR="00695657">
        <w:rPr>
          <w:rFonts w:ascii="Times New Roman" w:hAnsi="Times New Roman" w:cs="Times New Roman"/>
          <w:sz w:val="24"/>
          <w:szCs w:val="24"/>
        </w:rPr>
        <w:t>case of</w:t>
      </w:r>
      <w:r w:rsidR="00C73225">
        <w:rPr>
          <w:rFonts w:ascii="Times New Roman" w:hAnsi="Times New Roman" w:cs="Times New Roman"/>
          <w:sz w:val="24"/>
          <w:szCs w:val="24"/>
        </w:rPr>
        <w:t xml:space="preserve"> </w:t>
      </w:r>
      <w:r w:rsidR="006346B1">
        <w:rPr>
          <w:rFonts w:ascii="Times New Roman" w:hAnsi="Times New Roman" w:cs="Times New Roman"/>
          <w:sz w:val="24"/>
          <w:szCs w:val="24"/>
        </w:rPr>
        <w:t>directly or indirectly allowing or denying information flow</w:t>
      </w:r>
      <w:r w:rsidR="00695657">
        <w:rPr>
          <w:rFonts w:ascii="Times New Roman" w:hAnsi="Times New Roman" w:cs="Times New Roman"/>
          <w:sz w:val="24"/>
          <w:szCs w:val="24"/>
        </w:rPr>
        <w:t>s</w:t>
      </w:r>
      <w:r w:rsidR="006346B1">
        <w:rPr>
          <w:rFonts w:ascii="Times New Roman" w:hAnsi="Times New Roman" w:cs="Times New Roman"/>
          <w:sz w:val="24"/>
          <w:szCs w:val="24"/>
        </w:rPr>
        <w:t xml:space="preserve"> through a ‘gate’. </w:t>
      </w:r>
      <w:r w:rsidR="00DA388C">
        <w:rPr>
          <w:rFonts w:ascii="Times New Roman" w:hAnsi="Times New Roman" w:cs="Times New Roman"/>
          <w:sz w:val="24"/>
          <w:szCs w:val="24"/>
        </w:rPr>
        <w:t>‘Directly’ s</w:t>
      </w:r>
      <w:r w:rsidR="006346B1">
        <w:rPr>
          <w:rFonts w:ascii="Times New Roman" w:hAnsi="Times New Roman" w:cs="Times New Roman"/>
          <w:sz w:val="24"/>
          <w:szCs w:val="24"/>
        </w:rPr>
        <w:t>electing and</w:t>
      </w:r>
      <w:r w:rsidR="00DA388C">
        <w:rPr>
          <w:rFonts w:ascii="Times New Roman" w:hAnsi="Times New Roman" w:cs="Times New Roman"/>
          <w:sz w:val="24"/>
          <w:szCs w:val="24"/>
        </w:rPr>
        <w:t>/or</w:t>
      </w:r>
      <w:r w:rsidR="006346B1">
        <w:rPr>
          <w:rFonts w:ascii="Times New Roman" w:hAnsi="Times New Roman" w:cs="Times New Roman"/>
          <w:sz w:val="24"/>
          <w:szCs w:val="24"/>
        </w:rPr>
        <w:t xml:space="preserve"> letting the relevant information to flow usually happens in the case journalists and publishers </w:t>
      </w:r>
      <w:r w:rsidR="00DA388C">
        <w:rPr>
          <w:rFonts w:ascii="Times New Roman" w:hAnsi="Times New Roman" w:cs="Times New Roman"/>
          <w:sz w:val="24"/>
          <w:szCs w:val="24"/>
        </w:rPr>
        <w:t>assum</w:t>
      </w:r>
      <w:r w:rsidR="006346B1">
        <w:rPr>
          <w:rFonts w:ascii="Times New Roman" w:hAnsi="Times New Roman" w:cs="Times New Roman"/>
          <w:sz w:val="24"/>
          <w:szCs w:val="24"/>
        </w:rPr>
        <w:t xml:space="preserve">e this role, whereas </w:t>
      </w:r>
      <w:r w:rsidR="00DA388C">
        <w:rPr>
          <w:rFonts w:ascii="Times New Roman" w:hAnsi="Times New Roman" w:cs="Times New Roman"/>
          <w:sz w:val="24"/>
          <w:szCs w:val="24"/>
        </w:rPr>
        <w:t>‘</w:t>
      </w:r>
      <w:r w:rsidR="006346B1">
        <w:rPr>
          <w:rFonts w:ascii="Times New Roman" w:hAnsi="Times New Roman" w:cs="Times New Roman"/>
          <w:sz w:val="24"/>
          <w:szCs w:val="24"/>
        </w:rPr>
        <w:t>indirect</w:t>
      </w:r>
      <w:r w:rsidR="00DA388C">
        <w:rPr>
          <w:rFonts w:ascii="Times New Roman" w:hAnsi="Times New Roman" w:cs="Times New Roman"/>
          <w:sz w:val="24"/>
          <w:szCs w:val="24"/>
        </w:rPr>
        <w:t>’</w:t>
      </w:r>
      <w:r w:rsidR="006346B1">
        <w:rPr>
          <w:rFonts w:ascii="Times New Roman" w:hAnsi="Times New Roman" w:cs="Times New Roman"/>
          <w:sz w:val="24"/>
          <w:szCs w:val="24"/>
        </w:rPr>
        <w:t xml:space="preserve"> gatekeeping usually happens when the gatekeeper acts as ‘innovator, change agent, communication channel, link, intermediary, helper, adapter, opinion leader, broker, and facilitator’</w:t>
      </w:r>
      <w:r w:rsidR="00695657">
        <w:rPr>
          <w:rFonts w:ascii="Times New Roman" w:hAnsi="Times New Roman" w:cs="Times New Roman"/>
          <w:sz w:val="24"/>
          <w:szCs w:val="24"/>
        </w:rPr>
        <w:t>.</w:t>
      </w:r>
      <w:r w:rsidR="006346B1">
        <w:rPr>
          <w:rStyle w:val="FootnoteReference"/>
          <w:rFonts w:ascii="Times New Roman" w:hAnsi="Times New Roman" w:cs="Times New Roman"/>
          <w:sz w:val="24"/>
          <w:szCs w:val="24"/>
        </w:rPr>
        <w:footnoteReference w:id="877"/>
      </w:r>
      <w:r w:rsidR="00DA388C">
        <w:rPr>
          <w:rFonts w:ascii="Times New Roman" w:hAnsi="Times New Roman" w:cs="Times New Roman"/>
          <w:sz w:val="24"/>
          <w:szCs w:val="24"/>
        </w:rPr>
        <w:t xml:space="preserve"> In the latter case, intermediation comes to the fore</w:t>
      </w:r>
      <w:r w:rsidR="00695657">
        <w:rPr>
          <w:rFonts w:ascii="Times New Roman" w:hAnsi="Times New Roman" w:cs="Times New Roman"/>
          <w:sz w:val="24"/>
          <w:szCs w:val="24"/>
        </w:rPr>
        <w:t>,</w:t>
      </w:r>
      <w:r w:rsidR="00DA388C">
        <w:rPr>
          <w:rFonts w:ascii="Times New Roman" w:hAnsi="Times New Roman" w:cs="Times New Roman"/>
          <w:sz w:val="24"/>
          <w:szCs w:val="24"/>
        </w:rPr>
        <w:t xml:space="preserve"> </w:t>
      </w:r>
      <w:r w:rsidR="00695657">
        <w:rPr>
          <w:rFonts w:ascii="Times New Roman" w:hAnsi="Times New Roman" w:cs="Times New Roman"/>
          <w:sz w:val="24"/>
          <w:szCs w:val="24"/>
        </w:rPr>
        <w:t xml:space="preserve">as legally acknowledged </w:t>
      </w:r>
      <w:r w:rsidR="00AE088A">
        <w:rPr>
          <w:rFonts w:ascii="Times New Roman" w:hAnsi="Times New Roman" w:cs="Times New Roman"/>
          <w:sz w:val="24"/>
          <w:szCs w:val="24"/>
        </w:rPr>
        <w:t xml:space="preserve">and reinforced </w:t>
      </w:r>
      <w:r w:rsidR="00695657">
        <w:rPr>
          <w:rFonts w:ascii="Times New Roman" w:hAnsi="Times New Roman" w:cs="Times New Roman"/>
          <w:sz w:val="24"/>
          <w:szCs w:val="24"/>
        </w:rPr>
        <w:t>by</w:t>
      </w:r>
      <w:r w:rsidR="00E16BB5">
        <w:rPr>
          <w:rFonts w:ascii="Times New Roman" w:hAnsi="Times New Roman" w:cs="Times New Roman"/>
          <w:sz w:val="24"/>
          <w:szCs w:val="24"/>
        </w:rPr>
        <w:t xml:space="preserve"> liability exemptions</w:t>
      </w:r>
      <w:r w:rsidR="00695657">
        <w:rPr>
          <w:rFonts w:ascii="Times New Roman" w:hAnsi="Times New Roman" w:cs="Times New Roman"/>
          <w:sz w:val="24"/>
          <w:szCs w:val="24"/>
        </w:rPr>
        <w:t xml:space="preserve"> </w:t>
      </w:r>
      <w:r w:rsidR="00E16BB5">
        <w:rPr>
          <w:rFonts w:ascii="Times New Roman" w:hAnsi="Times New Roman" w:cs="Times New Roman"/>
          <w:sz w:val="24"/>
          <w:szCs w:val="24"/>
        </w:rPr>
        <w:t xml:space="preserve">set out under </w:t>
      </w:r>
      <w:r w:rsidR="00695657">
        <w:rPr>
          <w:rFonts w:ascii="Times New Roman" w:hAnsi="Times New Roman" w:cs="Times New Roman"/>
          <w:sz w:val="24"/>
          <w:szCs w:val="24"/>
        </w:rPr>
        <w:t>DMCA</w:t>
      </w:r>
      <w:r w:rsidR="00B72211">
        <w:rPr>
          <w:rStyle w:val="FootnoteReference"/>
          <w:rFonts w:ascii="Times New Roman" w:hAnsi="Times New Roman" w:cs="Times New Roman"/>
          <w:sz w:val="24"/>
          <w:szCs w:val="24"/>
        </w:rPr>
        <w:footnoteReference w:id="878"/>
      </w:r>
      <w:r w:rsidR="00695657">
        <w:rPr>
          <w:rFonts w:ascii="Times New Roman" w:hAnsi="Times New Roman" w:cs="Times New Roman"/>
          <w:sz w:val="24"/>
          <w:szCs w:val="24"/>
        </w:rPr>
        <w:t xml:space="preserve"> and E-Commerce Directiv</w:t>
      </w:r>
      <w:r w:rsidR="00AE088A">
        <w:rPr>
          <w:rFonts w:ascii="Times New Roman" w:hAnsi="Times New Roman" w:cs="Times New Roman"/>
          <w:sz w:val="24"/>
          <w:szCs w:val="24"/>
        </w:rPr>
        <w:t>e</w:t>
      </w:r>
      <w:r w:rsidR="00B72211">
        <w:rPr>
          <w:rFonts w:ascii="Times New Roman" w:hAnsi="Times New Roman" w:cs="Times New Roman"/>
          <w:sz w:val="24"/>
          <w:szCs w:val="24"/>
        </w:rPr>
        <w:t xml:space="preserve"> of the EU (</w:t>
      </w:r>
      <w:r w:rsidR="00B72211" w:rsidRPr="00B72211">
        <w:rPr>
          <w:rFonts w:ascii="Times New Roman" w:hAnsi="Times New Roman" w:cs="Times New Roman"/>
          <w:sz w:val="24"/>
          <w:szCs w:val="24"/>
        </w:rPr>
        <w:t>Directive 2000/31/EC</w:t>
      </w:r>
      <w:r w:rsidR="00B72211">
        <w:rPr>
          <w:rFonts w:ascii="Times New Roman" w:hAnsi="Times New Roman" w:cs="Times New Roman"/>
          <w:sz w:val="24"/>
          <w:szCs w:val="24"/>
        </w:rPr>
        <w:t>)</w:t>
      </w:r>
      <w:r w:rsidR="00AE088A">
        <w:rPr>
          <w:rFonts w:ascii="Times New Roman" w:hAnsi="Times New Roman" w:cs="Times New Roman"/>
          <w:sz w:val="24"/>
          <w:szCs w:val="24"/>
        </w:rPr>
        <w:t>.</w:t>
      </w:r>
      <w:r w:rsidR="00E16BB5">
        <w:rPr>
          <w:rStyle w:val="FootnoteReference"/>
          <w:rFonts w:ascii="Times New Roman" w:hAnsi="Times New Roman" w:cs="Times New Roman"/>
          <w:sz w:val="24"/>
          <w:szCs w:val="24"/>
        </w:rPr>
        <w:footnoteReference w:id="879"/>
      </w:r>
      <w:r w:rsidR="00695657">
        <w:rPr>
          <w:rFonts w:ascii="Times New Roman" w:hAnsi="Times New Roman" w:cs="Times New Roman"/>
          <w:sz w:val="24"/>
          <w:szCs w:val="24"/>
        </w:rPr>
        <w:t xml:space="preserve"> </w:t>
      </w:r>
    </w:p>
    <w:p w14:paraId="04BECD96" w14:textId="228B8656" w:rsidR="00BC104F" w:rsidRDefault="006346B1" w:rsidP="00A70042">
      <w:pPr>
        <w:spacing w:before="360"/>
        <w:jc w:val="both"/>
        <w:rPr>
          <w:rFonts w:ascii="Times New Roman" w:hAnsi="Times New Roman" w:cs="Times New Roman"/>
          <w:sz w:val="24"/>
          <w:szCs w:val="24"/>
        </w:rPr>
      </w:pPr>
      <w:r>
        <w:rPr>
          <w:rFonts w:ascii="Times New Roman" w:hAnsi="Times New Roman" w:cs="Times New Roman"/>
          <w:sz w:val="24"/>
          <w:szCs w:val="24"/>
        </w:rPr>
        <w:t>T</w:t>
      </w:r>
      <w:r w:rsidR="0000680E" w:rsidRPr="00774EDB">
        <w:rPr>
          <w:rFonts w:ascii="Times New Roman" w:hAnsi="Times New Roman" w:cs="Times New Roman"/>
          <w:sz w:val="24"/>
          <w:szCs w:val="24"/>
        </w:rPr>
        <w:t xml:space="preserve">he pervasiveness of gatekeeping activities should </w:t>
      </w:r>
      <w:r w:rsidR="001C7493">
        <w:rPr>
          <w:rFonts w:ascii="Times New Roman" w:hAnsi="Times New Roman" w:cs="Times New Roman"/>
          <w:sz w:val="24"/>
          <w:szCs w:val="24"/>
        </w:rPr>
        <w:t xml:space="preserve">thus </w:t>
      </w:r>
      <w:r w:rsidR="0000680E" w:rsidRPr="00774EDB">
        <w:rPr>
          <w:rFonts w:ascii="Times New Roman" w:hAnsi="Times New Roman" w:cs="Times New Roman"/>
          <w:sz w:val="24"/>
          <w:szCs w:val="24"/>
        </w:rPr>
        <w:t xml:space="preserve">be noted against the everyday-expanding ICTs and their usage for information gathering and communication. </w:t>
      </w:r>
      <w:r w:rsidR="003C2AC0">
        <w:rPr>
          <w:rFonts w:ascii="Times New Roman" w:hAnsi="Times New Roman" w:cs="Times New Roman"/>
          <w:sz w:val="24"/>
          <w:szCs w:val="24"/>
        </w:rPr>
        <w:t>Usually,</w:t>
      </w:r>
      <w:r w:rsidR="003C2AC0" w:rsidRPr="00774EDB">
        <w:rPr>
          <w:rFonts w:ascii="Times New Roman" w:hAnsi="Times New Roman" w:cs="Times New Roman"/>
          <w:sz w:val="24"/>
          <w:szCs w:val="24"/>
        </w:rPr>
        <w:t xml:space="preserve"> </w:t>
      </w:r>
      <w:r w:rsidR="0000680E" w:rsidRPr="00774EDB">
        <w:rPr>
          <w:rFonts w:ascii="Times New Roman" w:hAnsi="Times New Roman" w:cs="Times New Roman"/>
          <w:sz w:val="24"/>
          <w:szCs w:val="24"/>
        </w:rPr>
        <w:t xml:space="preserve">the potential for ‘gatekeeping’ lies much more in affecting the choices made </w:t>
      </w:r>
      <w:r w:rsidR="0000680E" w:rsidRPr="00774EDB">
        <w:rPr>
          <w:rFonts w:ascii="Times New Roman" w:hAnsi="Times New Roman" w:cs="Times New Roman"/>
          <w:sz w:val="24"/>
          <w:szCs w:val="24"/>
        </w:rPr>
        <w:lastRenderedPageBreak/>
        <w:t>by users who do not yet know what content to consume or where to find it</w:t>
      </w:r>
      <w:r w:rsidR="003C2AC0">
        <w:rPr>
          <w:rFonts w:ascii="Times New Roman" w:hAnsi="Times New Roman" w:cs="Times New Roman"/>
          <w:sz w:val="24"/>
          <w:szCs w:val="24"/>
        </w:rPr>
        <w:t>.</w:t>
      </w:r>
      <w:r w:rsidR="0000680E" w:rsidRPr="00774EDB">
        <w:rPr>
          <w:rStyle w:val="FootnoteReference"/>
          <w:rFonts w:ascii="Times New Roman" w:hAnsi="Times New Roman" w:cs="Times New Roman"/>
          <w:sz w:val="24"/>
          <w:szCs w:val="24"/>
        </w:rPr>
        <w:footnoteReference w:id="880"/>
      </w:r>
      <w:r w:rsidR="0000680E" w:rsidRPr="00774EDB">
        <w:rPr>
          <w:rFonts w:ascii="Times New Roman" w:hAnsi="Times New Roman" w:cs="Times New Roman"/>
          <w:sz w:val="24"/>
          <w:szCs w:val="24"/>
        </w:rPr>
        <w:t xml:space="preserve"> </w:t>
      </w:r>
      <w:r w:rsidR="00152C4D" w:rsidRPr="00774EDB">
        <w:rPr>
          <w:rFonts w:ascii="Times New Roman" w:hAnsi="Times New Roman" w:cs="Times New Roman"/>
          <w:sz w:val="24"/>
          <w:szCs w:val="24"/>
        </w:rPr>
        <w:t>From the perspective of the original theory, it is argued that network gatekeepers “can choose which information they let flow and which information they withhold, and more generally they can choose the extent to which gatekeeping is exercised”.</w:t>
      </w:r>
      <w:r w:rsidR="00152C4D" w:rsidRPr="00774EDB">
        <w:rPr>
          <w:rStyle w:val="FootnoteReference"/>
          <w:rFonts w:ascii="Times New Roman" w:hAnsi="Times New Roman" w:cs="Times New Roman"/>
          <w:sz w:val="24"/>
          <w:szCs w:val="24"/>
        </w:rPr>
        <w:footnoteReference w:id="881"/>
      </w:r>
      <w:r w:rsidR="00152C4D" w:rsidRPr="00774EDB">
        <w:rPr>
          <w:rFonts w:ascii="Times New Roman" w:hAnsi="Times New Roman" w:cs="Times New Roman"/>
          <w:sz w:val="24"/>
          <w:szCs w:val="24"/>
        </w:rPr>
        <w:t xml:space="preserve"> This core aspect of the ‘gatekeeping’ fits not only with the informational sources but also to the infrastructural elements, which </w:t>
      </w:r>
      <w:r w:rsidR="00D36B71" w:rsidRPr="00774EDB">
        <w:rPr>
          <w:rFonts w:ascii="Times New Roman" w:hAnsi="Times New Roman" w:cs="Times New Roman"/>
          <w:sz w:val="24"/>
          <w:szCs w:val="24"/>
        </w:rPr>
        <w:t>enable</w:t>
      </w:r>
      <w:r w:rsidR="00152C4D" w:rsidRPr="00774EDB">
        <w:rPr>
          <w:rFonts w:ascii="Times New Roman" w:hAnsi="Times New Roman" w:cs="Times New Roman"/>
          <w:sz w:val="24"/>
          <w:szCs w:val="24"/>
        </w:rPr>
        <w:t xml:space="preserve"> comparable gatekeeping functionalities</w:t>
      </w:r>
      <w:r w:rsidR="003C2AC0">
        <w:rPr>
          <w:rFonts w:ascii="Times New Roman" w:hAnsi="Times New Roman" w:cs="Times New Roman"/>
          <w:sz w:val="24"/>
          <w:szCs w:val="24"/>
        </w:rPr>
        <w:t>.</w:t>
      </w:r>
      <w:r w:rsidR="00BC104F">
        <w:rPr>
          <w:rFonts w:ascii="Times New Roman" w:hAnsi="Times New Roman" w:cs="Times New Roman"/>
          <w:sz w:val="24"/>
          <w:szCs w:val="24"/>
        </w:rPr>
        <w:t xml:space="preserve">  </w:t>
      </w:r>
    </w:p>
    <w:p w14:paraId="2FBE307F" w14:textId="21AFCAA9" w:rsidR="00A04102" w:rsidRPr="00774EDB" w:rsidRDefault="003C2AC0" w:rsidP="00A70042">
      <w:pPr>
        <w:spacing w:before="360"/>
        <w:jc w:val="both"/>
        <w:rPr>
          <w:rFonts w:ascii="Times New Roman" w:hAnsi="Times New Roman" w:cs="Times New Roman"/>
          <w:sz w:val="24"/>
          <w:szCs w:val="24"/>
        </w:rPr>
      </w:pPr>
      <w:r>
        <w:rPr>
          <w:rFonts w:ascii="Times New Roman" w:hAnsi="Times New Roman" w:cs="Times New Roman"/>
          <w:sz w:val="24"/>
          <w:szCs w:val="24"/>
        </w:rPr>
        <w:t xml:space="preserve">These functionalities need to be considered broadly in view of the ever fast increasing information platforms and </w:t>
      </w:r>
      <w:r w:rsidR="0024480E">
        <w:rPr>
          <w:rFonts w:ascii="Times New Roman" w:hAnsi="Times New Roman" w:cs="Times New Roman"/>
          <w:sz w:val="24"/>
          <w:szCs w:val="24"/>
        </w:rPr>
        <w:t>intermediary service</w:t>
      </w:r>
      <w:r>
        <w:rPr>
          <w:rFonts w:ascii="Times New Roman" w:hAnsi="Times New Roman" w:cs="Times New Roman"/>
          <w:sz w:val="24"/>
          <w:szCs w:val="24"/>
        </w:rPr>
        <w:t xml:space="preserve">s, </w:t>
      </w:r>
      <w:r w:rsidR="001C7493">
        <w:rPr>
          <w:rFonts w:ascii="Times New Roman" w:hAnsi="Times New Roman" w:cs="Times New Roman"/>
          <w:sz w:val="24"/>
          <w:szCs w:val="24"/>
        </w:rPr>
        <w:t>notwithstanding</w:t>
      </w:r>
      <w:r>
        <w:rPr>
          <w:rFonts w:ascii="Times New Roman" w:hAnsi="Times New Roman" w:cs="Times New Roman"/>
          <w:sz w:val="24"/>
          <w:szCs w:val="24"/>
        </w:rPr>
        <w:t xml:space="preserve"> the </w:t>
      </w:r>
      <w:r w:rsidR="00B72211">
        <w:rPr>
          <w:rFonts w:ascii="Times New Roman" w:hAnsi="Times New Roman" w:cs="Times New Roman"/>
          <w:sz w:val="24"/>
          <w:szCs w:val="24"/>
        </w:rPr>
        <w:t xml:space="preserve">limited number of </w:t>
      </w:r>
      <w:r>
        <w:rPr>
          <w:rFonts w:ascii="Times New Roman" w:hAnsi="Times New Roman" w:cs="Times New Roman"/>
          <w:sz w:val="24"/>
          <w:szCs w:val="24"/>
        </w:rPr>
        <w:t xml:space="preserve">examples </w:t>
      </w:r>
      <w:r w:rsidR="00A923C0">
        <w:rPr>
          <w:rFonts w:ascii="Times New Roman" w:hAnsi="Times New Roman" w:cs="Times New Roman"/>
          <w:sz w:val="24"/>
          <w:szCs w:val="24"/>
        </w:rPr>
        <w:t>referred</w:t>
      </w:r>
      <w:r w:rsidR="00B72211">
        <w:rPr>
          <w:rFonts w:ascii="Times New Roman" w:hAnsi="Times New Roman" w:cs="Times New Roman"/>
          <w:sz w:val="24"/>
          <w:szCs w:val="24"/>
        </w:rPr>
        <w:t xml:space="preserve"> to</w:t>
      </w:r>
      <w:r>
        <w:rPr>
          <w:rFonts w:ascii="Times New Roman" w:hAnsi="Times New Roman" w:cs="Times New Roman"/>
          <w:sz w:val="24"/>
          <w:szCs w:val="24"/>
        </w:rPr>
        <w:t xml:space="preserve"> </w:t>
      </w:r>
      <w:r w:rsidR="00A923C0">
        <w:rPr>
          <w:rFonts w:ascii="Times New Roman" w:hAnsi="Times New Roman" w:cs="Times New Roman"/>
          <w:sz w:val="24"/>
          <w:szCs w:val="24"/>
        </w:rPr>
        <w:t>in this thesis</w:t>
      </w:r>
      <w:r w:rsidR="00B72211">
        <w:rPr>
          <w:rFonts w:ascii="Times New Roman" w:hAnsi="Times New Roman" w:cs="Times New Roman"/>
          <w:sz w:val="24"/>
          <w:szCs w:val="24"/>
        </w:rPr>
        <w:t xml:space="preserve"> e.g.</w:t>
      </w:r>
      <w:r w:rsidR="00152C4D" w:rsidRPr="00774EDB">
        <w:rPr>
          <w:rFonts w:ascii="Times New Roman" w:hAnsi="Times New Roman" w:cs="Times New Roman"/>
          <w:sz w:val="24"/>
          <w:szCs w:val="24"/>
        </w:rPr>
        <w:t xml:space="preserve"> the position held by the CAS operators and ISPs. Both of these undertakings are presumed to have gatekeeping positions and are obliged not to block third-party access and interoperability.</w:t>
      </w:r>
      <w:r w:rsidR="004E2EE1">
        <w:rPr>
          <w:rFonts w:ascii="Times New Roman" w:hAnsi="Times New Roman" w:cs="Times New Roman"/>
          <w:sz w:val="24"/>
          <w:szCs w:val="24"/>
        </w:rPr>
        <w:t xml:space="preserve"> Being not limited to these examples, rendering control measures over the information flows or the </w:t>
      </w:r>
      <w:r w:rsidR="004E2EE1" w:rsidRPr="00774EDB">
        <w:rPr>
          <w:rFonts w:ascii="Times New Roman" w:hAnsi="Times New Roman" w:cs="Times New Roman"/>
          <w:sz w:val="24"/>
          <w:szCs w:val="24"/>
        </w:rPr>
        <w:t>critical intermediary resources</w:t>
      </w:r>
      <w:r w:rsidR="004E2EE1">
        <w:rPr>
          <w:rFonts w:ascii="Times New Roman" w:hAnsi="Times New Roman" w:cs="Times New Roman"/>
          <w:sz w:val="24"/>
          <w:szCs w:val="24"/>
        </w:rPr>
        <w:t xml:space="preserve"> that would enable such flows potentially pave the way to gatekeeping activities.</w:t>
      </w:r>
      <w:r w:rsidR="00CE675B">
        <w:rPr>
          <w:rFonts w:ascii="Times New Roman" w:hAnsi="Times New Roman" w:cs="Times New Roman"/>
          <w:sz w:val="24"/>
          <w:szCs w:val="24"/>
        </w:rPr>
        <w:t xml:space="preserve"> While it connotes controlling mechanisms</w:t>
      </w:r>
      <w:r w:rsidR="00206706">
        <w:rPr>
          <w:rFonts w:ascii="Times New Roman" w:hAnsi="Times New Roman" w:cs="Times New Roman"/>
          <w:sz w:val="24"/>
          <w:szCs w:val="24"/>
        </w:rPr>
        <w:t xml:space="preserve"> e.g. TPMs, IPRs</w:t>
      </w:r>
      <w:r w:rsidR="00CE675B">
        <w:rPr>
          <w:rFonts w:ascii="Times New Roman" w:hAnsi="Times New Roman" w:cs="Times New Roman"/>
          <w:sz w:val="24"/>
          <w:szCs w:val="24"/>
        </w:rPr>
        <w:t xml:space="preserve"> and their exploitation over the information flows, the scope and meaning of this key term would expand cutting through </w:t>
      </w:r>
      <w:r w:rsidR="005C646B">
        <w:rPr>
          <w:rFonts w:ascii="Times New Roman" w:hAnsi="Times New Roman" w:cs="Times New Roman"/>
          <w:sz w:val="24"/>
          <w:szCs w:val="24"/>
        </w:rPr>
        <w:t xml:space="preserve">all across </w:t>
      </w:r>
      <w:r w:rsidR="00CE675B">
        <w:rPr>
          <w:rFonts w:ascii="Times New Roman" w:hAnsi="Times New Roman" w:cs="Times New Roman"/>
          <w:sz w:val="24"/>
          <w:szCs w:val="24"/>
        </w:rPr>
        <w:t xml:space="preserve">the </w:t>
      </w:r>
      <w:r w:rsidR="005C646B">
        <w:rPr>
          <w:rFonts w:ascii="Times New Roman" w:hAnsi="Times New Roman" w:cs="Times New Roman"/>
          <w:sz w:val="24"/>
          <w:szCs w:val="24"/>
        </w:rPr>
        <w:t xml:space="preserve">IP </w:t>
      </w:r>
      <w:r w:rsidR="00CE675B">
        <w:rPr>
          <w:rFonts w:ascii="Times New Roman" w:hAnsi="Times New Roman" w:cs="Times New Roman"/>
          <w:sz w:val="24"/>
          <w:szCs w:val="24"/>
        </w:rPr>
        <w:t>layers</w:t>
      </w:r>
      <w:r w:rsidR="0027493F">
        <w:rPr>
          <w:rFonts w:ascii="Times New Roman" w:hAnsi="Times New Roman" w:cs="Times New Roman"/>
          <w:sz w:val="24"/>
          <w:szCs w:val="24"/>
        </w:rPr>
        <w:t xml:space="preserve">, particularly when consumers’ online activities meet up with the AI-based manipulations. </w:t>
      </w:r>
    </w:p>
    <w:p w14:paraId="09A18D28" w14:textId="3BCEB6AC" w:rsidR="009C493F" w:rsidRDefault="00D36B7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From this point of view, ‘gatekeeping’ </w:t>
      </w:r>
      <w:r w:rsidR="005C646B">
        <w:rPr>
          <w:rFonts w:ascii="Times New Roman" w:hAnsi="Times New Roman" w:cs="Times New Roman"/>
          <w:sz w:val="24"/>
          <w:szCs w:val="24"/>
        </w:rPr>
        <w:t xml:space="preserve">would </w:t>
      </w:r>
      <w:r w:rsidRPr="00774EDB">
        <w:rPr>
          <w:rFonts w:ascii="Times New Roman" w:hAnsi="Times New Roman" w:cs="Times New Roman"/>
          <w:sz w:val="24"/>
          <w:szCs w:val="24"/>
        </w:rPr>
        <w:t xml:space="preserve">mean </w:t>
      </w:r>
      <w:r w:rsidR="00206706">
        <w:rPr>
          <w:rFonts w:ascii="Times New Roman" w:hAnsi="Times New Roman" w:cs="Times New Roman"/>
          <w:sz w:val="24"/>
          <w:szCs w:val="24"/>
        </w:rPr>
        <w:t>software-governed</w:t>
      </w:r>
      <w:r w:rsidR="00AE088A">
        <w:rPr>
          <w:rFonts w:ascii="Times New Roman" w:hAnsi="Times New Roman" w:cs="Times New Roman"/>
          <w:sz w:val="24"/>
          <w:szCs w:val="24"/>
        </w:rPr>
        <w:t xml:space="preserve"> </w:t>
      </w:r>
      <w:r w:rsidRPr="00774EDB">
        <w:rPr>
          <w:rFonts w:ascii="Times New Roman" w:hAnsi="Times New Roman" w:cs="Times New Roman"/>
          <w:sz w:val="24"/>
          <w:szCs w:val="24"/>
        </w:rPr>
        <w:t xml:space="preserve">architectural </w:t>
      </w:r>
      <w:r w:rsidR="0027493F">
        <w:rPr>
          <w:rFonts w:ascii="Times New Roman" w:hAnsi="Times New Roman" w:cs="Times New Roman"/>
          <w:sz w:val="24"/>
          <w:szCs w:val="24"/>
        </w:rPr>
        <w:t xml:space="preserve">codes </w:t>
      </w:r>
      <w:r w:rsidR="00AE088A">
        <w:rPr>
          <w:rFonts w:ascii="Times New Roman" w:hAnsi="Times New Roman" w:cs="Times New Roman"/>
          <w:sz w:val="24"/>
          <w:szCs w:val="24"/>
        </w:rPr>
        <w:t>enabling control over access and interoperability</w:t>
      </w:r>
      <w:r w:rsidRPr="00774EDB">
        <w:rPr>
          <w:rFonts w:ascii="Times New Roman" w:hAnsi="Times New Roman" w:cs="Times New Roman"/>
          <w:sz w:val="24"/>
          <w:szCs w:val="24"/>
        </w:rPr>
        <w:t xml:space="preserve">, from the bottom to the top layer. Such </w:t>
      </w:r>
      <w:r w:rsidR="0027493F">
        <w:rPr>
          <w:rFonts w:ascii="Times New Roman" w:hAnsi="Times New Roman" w:cs="Times New Roman"/>
          <w:sz w:val="24"/>
          <w:szCs w:val="24"/>
        </w:rPr>
        <w:t>a</w:t>
      </w:r>
      <w:r w:rsidR="00330B2E">
        <w:rPr>
          <w:rFonts w:ascii="Times New Roman" w:hAnsi="Times New Roman" w:cs="Times New Roman"/>
          <w:sz w:val="24"/>
          <w:szCs w:val="24"/>
        </w:rPr>
        <w:t xml:space="preserve"> </w:t>
      </w:r>
      <w:r w:rsidR="0027493F">
        <w:rPr>
          <w:rFonts w:ascii="Times New Roman" w:hAnsi="Times New Roman" w:cs="Times New Roman"/>
          <w:sz w:val="24"/>
          <w:szCs w:val="24"/>
        </w:rPr>
        <w:t>key</w:t>
      </w:r>
      <w:r w:rsidR="0027493F" w:rsidRPr="00774EDB">
        <w:rPr>
          <w:rFonts w:ascii="Times New Roman" w:hAnsi="Times New Roman" w:cs="Times New Roman"/>
          <w:sz w:val="24"/>
          <w:szCs w:val="24"/>
        </w:rPr>
        <w:t xml:space="preserve"> </w:t>
      </w:r>
      <w:r w:rsidR="0027493F">
        <w:rPr>
          <w:rFonts w:ascii="Times New Roman" w:hAnsi="Times New Roman" w:cs="Times New Roman"/>
          <w:sz w:val="24"/>
          <w:szCs w:val="24"/>
        </w:rPr>
        <w:t>node or gateway</w:t>
      </w:r>
      <w:r w:rsidRPr="00774EDB">
        <w:rPr>
          <w:rFonts w:ascii="Times New Roman" w:hAnsi="Times New Roman" w:cs="Times New Roman"/>
          <w:sz w:val="24"/>
          <w:szCs w:val="24"/>
        </w:rPr>
        <w:t xml:space="preserve"> do</w:t>
      </w:r>
      <w:r w:rsidR="00330B2E">
        <w:rPr>
          <w:rFonts w:ascii="Times New Roman" w:hAnsi="Times New Roman" w:cs="Times New Roman"/>
          <w:sz w:val="24"/>
          <w:szCs w:val="24"/>
        </w:rPr>
        <w:t>es</w:t>
      </w:r>
      <w:r w:rsidRPr="00774EDB">
        <w:rPr>
          <w:rFonts w:ascii="Times New Roman" w:hAnsi="Times New Roman" w:cs="Times New Roman"/>
          <w:sz w:val="24"/>
          <w:szCs w:val="24"/>
        </w:rPr>
        <w:t xml:space="preserve"> not mean holding an essential facility and/or </w:t>
      </w:r>
      <w:r w:rsidRPr="00774EDB">
        <w:rPr>
          <w:rFonts w:ascii="Times New Roman" w:hAnsi="Times New Roman" w:cs="Times New Roman"/>
          <w:sz w:val="24"/>
          <w:szCs w:val="24"/>
        </w:rPr>
        <w:lastRenderedPageBreak/>
        <w:t>an accompanying market power,</w:t>
      </w:r>
      <w:r w:rsidRPr="00774EDB">
        <w:rPr>
          <w:rStyle w:val="FootnoteReference"/>
          <w:rFonts w:ascii="Times New Roman" w:hAnsi="Times New Roman" w:cs="Times New Roman"/>
          <w:sz w:val="24"/>
          <w:szCs w:val="24"/>
        </w:rPr>
        <w:footnoteReference w:id="882"/>
      </w:r>
      <w:r w:rsidRPr="00774EDB">
        <w:rPr>
          <w:rFonts w:ascii="Times New Roman" w:hAnsi="Times New Roman" w:cs="Times New Roman"/>
          <w:sz w:val="24"/>
          <w:szCs w:val="24"/>
        </w:rPr>
        <w:t xml:space="preserve"> rather it implicates various means to control consumer activities via prevention, manipulation</w:t>
      </w:r>
      <w:r w:rsidR="0024480E">
        <w:rPr>
          <w:rFonts w:ascii="Times New Roman" w:hAnsi="Times New Roman" w:cs="Times New Roman"/>
          <w:sz w:val="24"/>
          <w:szCs w:val="24"/>
        </w:rPr>
        <w:t>, prioritisation</w:t>
      </w:r>
      <w:r w:rsidRPr="00774EDB">
        <w:rPr>
          <w:rFonts w:ascii="Times New Roman" w:hAnsi="Times New Roman" w:cs="Times New Roman"/>
          <w:sz w:val="24"/>
          <w:szCs w:val="24"/>
        </w:rPr>
        <w:t xml:space="preserve"> or discrimination. At the infrastructural </w:t>
      </w:r>
      <w:r w:rsidR="00843791" w:rsidRPr="00774EDB">
        <w:rPr>
          <w:rFonts w:ascii="Times New Roman" w:hAnsi="Times New Roman" w:cs="Times New Roman"/>
          <w:sz w:val="24"/>
          <w:szCs w:val="24"/>
        </w:rPr>
        <w:t xml:space="preserve">or bottom </w:t>
      </w:r>
      <w:r w:rsidRPr="00774EDB">
        <w:rPr>
          <w:rFonts w:ascii="Times New Roman" w:hAnsi="Times New Roman" w:cs="Times New Roman"/>
          <w:sz w:val="24"/>
          <w:szCs w:val="24"/>
        </w:rPr>
        <w:t xml:space="preserve">layer </w:t>
      </w:r>
      <w:r w:rsidR="00843791" w:rsidRPr="00774EDB">
        <w:rPr>
          <w:rFonts w:ascii="Times New Roman" w:hAnsi="Times New Roman" w:cs="Times New Roman"/>
          <w:sz w:val="24"/>
          <w:szCs w:val="24"/>
        </w:rPr>
        <w:t>can</w:t>
      </w:r>
      <w:r w:rsidRPr="00774EDB">
        <w:rPr>
          <w:rFonts w:ascii="Times New Roman" w:hAnsi="Times New Roman" w:cs="Times New Roman"/>
          <w:sz w:val="24"/>
          <w:szCs w:val="24"/>
        </w:rPr>
        <w:t xml:space="preserve"> exist non-neutral activities that target third parties’ non-subsidiary content, which might face delaying, blocking or throttling by the ISPs. Going to the upper layers, such activities would change their form, often obscured behind hidden and algorithmic ways, although having </w:t>
      </w:r>
      <w:r w:rsidR="009312D4" w:rsidRPr="00774EDB">
        <w:rPr>
          <w:rFonts w:ascii="Times New Roman" w:hAnsi="Times New Roman" w:cs="Times New Roman"/>
          <w:sz w:val="24"/>
          <w:szCs w:val="24"/>
        </w:rPr>
        <w:t>s</w:t>
      </w:r>
      <w:r w:rsidR="009312D4">
        <w:rPr>
          <w:rFonts w:ascii="Times New Roman" w:hAnsi="Times New Roman" w:cs="Times New Roman"/>
          <w:sz w:val="24"/>
          <w:szCs w:val="24"/>
        </w:rPr>
        <w:t>ame</w:t>
      </w:r>
      <w:r w:rsidR="009312D4" w:rsidRPr="00774EDB">
        <w:rPr>
          <w:rFonts w:ascii="Times New Roman" w:hAnsi="Times New Roman" w:cs="Times New Roman"/>
          <w:sz w:val="24"/>
          <w:szCs w:val="24"/>
        </w:rPr>
        <w:t xml:space="preserve"> </w:t>
      </w:r>
      <w:r w:rsidR="0027493F">
        <w:rPr>
          <w:rFonts w:ascii="Times New Roman" w:hAnsi="Times New Roman" w:cs="Times New Roman"/>
          <w:sz w:val="24"/>
          <w:szCs w:val="24"/>
        </w:rPr>
        <w:t>or comparable restrictive aims</w:t>
      </w:r>
      <w:r w:rsidRPr="00774EDB">
        <w:rPr>
          <w:rFonts w:ascii="Times New Roman" w:hAnsi="Times New Roman" w:cs="Times New Roman"/>
          <w:sz w:val="24"/>
          <w:szCs w:val="24"/>
        </w:rPr>
        <w:t xml:space="preserve">. </w:t>
      </w:r>
      <w:r w:rsidR="00125DB7">
        <w:rPr>
          <w:rFonts w:ascii="Times New Roman" w:hAnsi="Times New Roman" w:cs="Times New Roman"/>
          <w:sz w:val="24"/>
          <w:szCs w:val="24"/>
        </w:rPr>
        <w:t>Remarkably</w:t>
      </w:r>
      <w:r w:rsidR="009C493F">
        <w:rPr>
          <w:rFonts w:ascii="Times New Roman" w:hAnsi="Times New Roman" w:cs="Times New Roman"/>
          <w:sz w:val="24"/>
          <w:szCs w:val="24"/>
        </w:rPr>
        <w:t>, this way of data and operation management might have further consequences as it takes place in the upper layers</w:t>
      </w:r>
      <w:r w:rsidR="00D41560">
        <w:rPr>
          <w:rFonts w:ascii="Times New Roman" w:hAnsi="Times New Roman" w:cs="Times New Roman"/>
          <w:sz w:val="24"/>
          <w:szCs w:val="24"/>
        </w:rPr>
        <w:t xml:space="preserve"> addressing the content dissemination and consumption by the consumers.</w:t>
      </w:r>
    </w:p>
    <w:p w14:paraId="74231FAB" w14:textId="062FFF47" w:rsidR="00480002" w:rsidRDefault="00D36B7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Importantly, such upper</w:t>
      </w:r>
      <w:r w:rsidR="00843791"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layer activities reach out to the consumers in ways they would not realise, </w:t>
      </w:r>
      <w:r w:rsidR="00843791" w:rsidRPr="00774EDB">
        <w:rPr>
          <w:rFonts w:ascii="Times New Roman" w:hAnsi="Times New Roman" w:cs="Times New Roman"/>
          <w:sz w:val="24"/>
          <w:szCs w:val="24"/>
        </w:rPr>
        <w:t>like</w:t>
      </w:r>
      <w:r w:rsidRPr="00774EDB">
        <w:rPr>
          <w:rFonts w:ascii="Times New Roman" w:hAnsi="Times New Roman" w:cs="Times New Roman"/>
          <w:sz w:val="24"/>
          <w:szCs w:val="24"/>
        </w:rPr>
        <w:t xml:space="preserve"> in the way they would </w:t>
      </w:r>
      <w:r w:rsidR="00843791" w:rsidRPr="00774EDB">
        <w:rPr>
          <w:rFonts w:ascii="Times New Roman" w:hAnsi="Times New Roman" w:cs="Times New Roman"/>
          <w:sz w:val="24"/>
          <w:szCs w:val="24"/>
        </w:rPr>
        <w:t>be captured via</w:t>
      </w:r>
      <w:r w:rsidRPr="00774EDB">
        <w:rPr>
          <w:rFonts w:ascii="Times New Roman" w:hAnsi="Times New Roman" w:cs="Times New Roman"/>
          <w:sz w:val="24"/>
          <w:szCs w:val="24"/>
        </w:rPr>
        <w:t xml:space="preserve"> personalised recommendations, prices, </w:t>
      </w:r>
      <w:r w:rsidR="008B749D" w:rsidRPr="00774EDB">
        <w:rPr>
          <w:rFonts w:ascii="Times New Roman" w:hAnsi="Times New Roman" w:cs="Times New Roman"/>
          <w:sz w:val="24"/>
          <w:szCs w:val="24"/>
        </w:rPr>
        <w:t xml:space="preserve">customised products, </w:t>
      </w:r>
      <w:r w:rsidRPr="00774EDB">
        <w:rPr>
          <w:rFonts w:ascii="Times New Roman" w:hAnsi="Times New Roman" w:cs="Times New Roman"/>
          <w:sz w:val="24"/>
          <w:szCs w:val="24"/>
        </w:rPr>
        <w:t xml:space="preserve">etc. </w:t>
      </w:r>
      <w:r w:rsidR="00D813A0">
        <w:rPr>
          <w:rFonts w:ascii="Times New Roman" w:hAnsi="Times New Roman"/>
          <w:sz w:val="24"/>
          <w:szCs w:val="24"/>
        </w:rPr>
        <w:t>Likewise</w:t>
      </w:r>
      <w:r w:rsidR="00D813A0">
        <w:rPr>
          <w:rFonts w:ascii="Times New Roman" w:hAnsi="Times New Roman" w:cs="Times New Roman"/>
          <w:sz w:val="24"/>
          <w:szCs w:val="24"/>
        </w:rPr>
        <w:t xml:space="preserve">, individuals’ participation on the social media and other information platforms </w:t>
      </w:r>
      <w:r w:rsidR="00206706">
        <w:rPr>
          <w:rFonts w:ascii="Times New Roman" w:hAnsi="Times New Roman" w:cs="Times New Roman"/>
          <w:sz w:val="24"/>
          <w:szCs w:val="24"/>
        </w:rPr>
        <w:t>w</w:t>
      </w:r>
      <w:r w:rsidR="00D813A0">
        <w:rPr>
          <w:rFonts w:ascii="Times New Roman" w:hAnsi="Times New Roman" w:cs="Times New Roman"/>
          <w:sz w:val="24"/>
          <w:szCs w:val="24"/>
        </w:rPr>
        <w:t xml:space="preserve">ould be captured and affected by the gatekeeping roles and functionalities </w:t>
      </w:r>
      <w:r w:rsidR="00125DB7">
        <w:rPr>
          <w:rFonts w:ascii="Times New Roman" w:hAnsi="Times New Roman" w:cs="Times New Roman"/>
          <w:sz w:val="24"/>
          <w:szCs w:val="24"/>
        </w:rPr>
        <w:t>as they</w:t>
      </w:r>
      <w:r w:rsidR="00D813A0">
        <w:rPr>
          <w:rFonts w:ascii="Times New Roman" w:hAnsi="Times New Roman" w:cs="Times New Roman"/>
          <w:sz w:val="24"/>
          <w:szCs w:val="24"/>
        </w:rPr>
        <w:t xml:space="preserve"> are driven by AI and related algorithms. </w:t>
      </w:r>
      <w:r w:rsidR="00125DB7">
        <w:rPr>
          <w:rFonts w:ascii="Times New Roman" w:hAnsi="Times New Roman" w:cs="Times New Roman"/>
          <w:sz w:val="24"/>
          <w:szCs w:val="24"/>
        </w:rPr>
        <w:t>Furthermore</w:t>
      </w:r>
      <w:r w:rsidR="00480002">
        <w:rPr>
          <w:rFonts w:ascii="Times New Roman" w:hAnsi="Times New Roman" w:cs="Times New Roman"/>
          <w:sz w:val="24"/>
          <w:szCs w:val="24"/>
        </w:rPr>
        <w:t>, the democratic culture that is expected to</w:t>
      </w:r>
      <w:r w:rsidR="00722328">
        <w:rPr>
          <w:rFonts w:ascii="Times New Roman" w:hAnsi="Times New Roman" w:cs="Times New Roman"/>
          <w:sz w:val="24"/>
          <w:szCs w:val="24"/>
        </w:rPr>
        <w:t xml:space="preserve"> be infused by the society</w:t>
      </w:r>
      <w:r w:rsidR="00480002">
        <w:rPr>
          <w:rFonts w:ascii="Times New Roman" w:hAnsi="Times New Roman" w:cs="Times New Roman"/>
          <w:sz w:val="24"/>
          <w:szCs w:val="24"/>
        </w:rPr>
        <w:t xml:space="preserve"> through </w:t>
      </w:r>
      <w:r w:rsidR="00206706">
        <w:rPr>
          <w:rFonts w:ascii="Times New Roman" w:hAnsi="Times New Roman" w:cs="Times New Roman"/>
          <w:sz w:val="24"/>
          <w:szCs w:val="24"/>
        </w:rPr>
        <w:t>individuals’</w:t>
      </w:r>
      <w:r w:rsidR="00480002">
        <w:rPr>
          <w:rFonts w:ascii="Times New Roman" w:hAnsi="Times New Roman" w:cs="Times New Roman"/>
          <w:sz w:val="24"/>
          <w:szCs w:val="24"/>
        </w:rPr>
        <w:t xml:space="preserve"> participation</w:t>
      </w:r>
      <w:r w:rsidR="00722328">
        <w:rPr>
          <w:rFonts w:ascii="Times New Roman" w:hAnsi="Times New Roman" w:cs="Times New Roman"/>
          <w:sz w:val="24"/>
          <w:szCs w:val="24"/>
        </w:rPr>
        <w:t xml:space="preserve"> to </w:t>
      </w:r>
      <w:r w:rsidR="00722328" w:rsidRPr="000527AA">
        <w:rPr>
          <w:rFonts w:ascii="Times New Roman" w:hAnsi="Times New Roman" w:cs="Times New Roman"/>
          <w:sz w:val="24"/>
          <w:szCs w:val="24"/>
        </w:rPr>
        <w:t xml:space="preserve">the information </w:t>
      </w:r>
      <w:r w:rsidR="00125DB7" w:rsidRPr="00692824">
        <w:rPr>
          <w:rFonts w:ascii="Times New Roman" w:hAnsi="Times New Roman" w:cs="Times New Roman"/>
          <w:sz w:val="24"/>
          <w:szCs w:val="24"/>
        </w:rPr>
        <w:t xml:space="preserve">platforms and </w:t>
      </w:r>
      <w:r w:rsidR="00722328" w:rsidRPr="000527AA">
        <w:rPr>
          <w:rFonts w:ascii="Times New Roman" w:hAnsi="Times New Roman" w:cs="Times New Roman"/>
          <w:sz w:val="24"/>
          <w:szCs w:val="24"/>
        </w:rPr>
        <w:t>channels</w:t>
      </w:r>
      <w:r w:rsidR="00480002" w:rsidRPr="00B653B4">
        <w:rPr>
          <w:rFonts w:ascii="Times New Roman" w:hAnsi="Times New Roman" w:cs="Times New Roman"/>
          <w:sz w:val="24"/>
          <w:szCs w:val="24"/>
        </w:rPr>
        <w:t xml:space="preserve"> </w:t>
      </w:r>
      <w:r w:rsidR="00D813A0" w:rsidRPr="005A2065">
        <w:rPr>
          <w:rFonts w:ascii="Times New Roman" w:hAnsi="Times New Roman" w:cs="Times New Roman"/>
          <w:sz w:val="24"/>
          <w:szCs w:val="24"/>
        </w:rPr>
        <w:t xml:space="preserve">would </w:t>
      </w:r>
      <w:r w:rsidR="0015790E">
        <w:rPr>
          <w:rFonts w:ascii="Times New Roman" w:hAnsi="Times New Roman" w:cs="Times New Roman"/>
          <w:sz w:val="24"/>
          <w:szCs w:val="24"/>
        </w:rPr>
        <w:t xml:space="preserve">also </w:t>
      </w:r>
      <w:r w:rsidR="00722328">
        <w:rPr>
          <w:rFonts w:ascii="Times New Roman" w:hAnsi="Times New Roman" w:cs="Times New Roman"/>
          <w:sz w:val="24"/>
          <w:szCs w:val="24"/>
        </w:rPr>
        <w:t>be</w:t>
      </w:r>
      <w:r w:rsidR="00480002">
        <w:rPr>
          <w:rFonts w:ascii="Times New Roman" w:hAnsi="Times New Roman" w:cs="Times New Roman"/>
          <w:sz w:val="24"/>
          <w:szCs w:val="24"/>
        </w:rPr>
        <w:t xml:space="preserve"> </w:t>
      </w:r>
      <w:r w:rsidR="00722328">
        <w:rPr>
          <w:rFonts w:ascii="Times New Roman" w:hAnsi="Times New Roman" w:cs="Times New Roman"/>
          <w:sz w:val="24"/>
          <w:szCs w:val="24"/>
        </w:rPr>
        <w:t>affec</w:t>
      </w:r>
      <w:r w:rsidR="00480002">
        <w:rPr>
          <w:rFonts w:ascii="Times New Roman" w:hAnsi="Times New Roman" w:cs="Times New Roman"/>
          <w:sz w:val="24"/>
          <w:szCs w:val="24"/>
        </w:rPr>
        <w:t>ted</w:t>
      </w:r>
      <w:r w:rsidR="00EA71A4">
        <w:rPr>
          <w:rFonts w:ascii="Times New Roman" w:hAnsi="Times New Roman" w:cs="Times New Roman"/>
          <w:sz w:val="24"/>
          <w:szCs w:val="24"/>
        </w:rPr>
        <w:t xml:space="preserve"> as opposed to what the </w:t>
      </w:r>
      <w:r w:rsidR="0015790E">
        <w:rPr>
          <w:rFonts w:ascii="Times New Roman" w:hAnsi="Times New Roman" w:cs="Times New Roman"/>
          <w:sz w:val="24"/>
          <w:szCs w:val="24"/>
        </w:rPr>
        <w:t>digital platforms</w:t>
      </w:r>
      <w:r w:rsidR="00EA71A4">
        <w:rPr>
          <w:rFonts w:ascii="Times New Roman" w:hAnsi="Times New Roman" w:cs="Times New Roman"/>
          <w:sz w:val="24"/>
          <w:szCs w:val="24"/>
        </w:rPr>
        <w:t xml:space="preserve"> would suggest</w:t>
      </w:r>
      <w:r w:rsidR="00480002">
        <w:rPr>
          <w:rFonts w:ascii="Times New Roman" w:hAnsi="Times New Roman" w:cs="Times New Roman"/>
          <w:sz w:val="24"/>
          <w:szCs w:val="24"/>
        </w:rPr>
        <w:t>.</w:t>
      </w:r>
      <w:r w:rsidR="00206706">
        <w:rPr>
          <w:rStyle w:val="FootnoteReference"/>
          <w:rFonts w:ascii="Times New Roman" w:hAnsi="Times New Roman" w:cs="Times New Roman"/>
          <w:sz w:val="24"/>
          <w:szCs w:val="24"/>
        </w:rPr>
        <w:footnoteReference w:id="883"/>
      </w:r>
      <w:r w:rsidR="00480002">
        <w:rPr>
          <w:rFonts w:ascii="Times New Roman" w:hAnsi="Times New Roman" w:cs="Times New Roman"/>
          <w:sz w:val="24"/>
          <w:szCs w:val="24"/>
        </w:rPr>
        <w:t xml:space="preserve"> </w:t>
      </w:r>
      <w:r w:rsidR="00722328">
        <w:rPr>
          <w:rFonts w:ascii="Times New Roman" w:hAnsi="Times New Roman" w:cs="Times New Roman"/>
          <w:sz w:val="24"/>
          <w:szCs w:val="24"/>
        </w:rPr>
        <w:t>He</w:t>
      </w:r>
      <w:r w:rsidR="00125DB7">
        <w:rPr>
          <w:rFonts w:ascii="Times New Roman" w:hAnsi="Times New Roman" w:cs="Times New Roman"/>
          <w:sz w:val="24"/>
          <w:szCs w:val="24"/>
        </w:rPr>
        <w:t>nce</w:t>
      </w:r>
      <w:r w:rsidR="00722328">
        <w:rPr>
          <w:rFonts w:ascii="Times New Roman" w:hAnsi="Times New Roman" w:cs="Times New Roman"/>
          <w:sz w:val="24"/>
          <w:szCs w:val="24"/>
        </w:rPr>
        <w:t>, i</w:t>
      </w:r>
      <w:r w:rsidR="00480002" w:rsidRPr="00480002">
        <w:rPr>
          <w:rFonts w:ascii="Times New Roman" w:hAnsi="Times New Roman" w:cs="Times New Roman"/>
          <w:sz w:val="24"/>
          <w:szCs w:val="24"/>
        </w:rPr>
        <w:t xml:space="preserve">t is </w:t>
      </w:r>
      <w:r w:rsidR="00480002">
        <w:rPr>
          <w:rFonts w:ascii="Times New Roman" w:hAnsi="Times New Roman" w:cs="Times New Roman"/>
          <w:sz w:val="24"/>
          <w:szCs w:val="24"/>
        </w:rPr>
        <w:t xml:space="preserve">right </w:t>
      </w:r>
      <w:r w:rsidR="00722328">
        <w:rPr>
          <w:rFonts w:ascii="Times New Roman" w:hAnsi="Times New Roman" w:cs="Times New Roman"/>
          <w:sz w:val="24"/>
          <w:szCs w:val="24"/>
        </w:rPr>
        <w:t>to assert</w:t>
      </w:r>
      <w:r w:rsidR="00480002" w:rsidRPr="00480002">
        <w:rPr>
          <w:rFonts w:ascii="Times New Roman" w:hAnsi="Times New Roman" w:cs="Times New Roman"/>
          <w:sz w:val="24"/>
          <w:szCs w:val="24"/>
        </w:rPr>
        <w:t xml:space="preserve"> that gatekeepers not only filter and select information but also qualitatively alter the informational content, for better or for worse, through active accumulation, processing and packaging i.e. the gatekeeper adds ‘value’</w:t>
      </w:r>
      <w:r w:rsidR="00480002">
        <w:rPr>
          <w:rFonts w:ascii="Times New Roman" w:hAnsi="Times New Roman" w:cs="Times New Roman"/>
          <w:sz w:val="24"/>
          <w:szCs w:val="24"/>
        </w:rPr>
        <w:t>.</w:t>
      </w:r>
      <w:r w:rsidR="00480002">
        <w:rPr>
          <w:rStyle w:val="FootnoteReference"/>
          <w:rFonts w:ascii="Times New Roman" w:hAnsi="Times New Roman" w:cs="Times New Roman"/>
          <w:sz w:val="24"/>
          <w:szCs w:val="24"/>
        </w:rPr>
        <w:footnoteReference w:id="884"/>
      </w:r>
      <w:r w:rsidR="00480002">
        <w:rPr>
          <w:rFonts w:ascii="Times New Roman" w:hAnsi="Times New Roman" w:cs="Times New Roman"/>
          <w:sz w:val="24"/>
          <w:szCs w:val="24"/>
        </w:rPr>
        <w:t xml:space="preserve"> </w:t>
      </w:r>
    </w:p>
    <w:p w14:paraId="64F10C83" w14:textId="2AF936EA" w:rsidR="00737B38" w:rsidRPr="00774EDB" w:rsidRDefault="00D813A0" w:rsidP="00A70042">
      <w:pPr>
        <w:spacing w:before="360"/>
        <w:jc w:val="both"/>
        <w:rPr>
          <w:rFonts w:ascii="Times New Roman" w:hAnsi="Times New Roman" w:cs="Times New Roman"/>
          <w:sz w:val="24"/>
          <w:szCs w:val="24"/>
        </w:rPr>
      </w:pPr>
      <w:r>
        <w:rPr>
          <w:rFonts w:ascii="Times New Roman" w:hAnsi="Times New Roman" w:cs="Times New Roman"/>
          <w:sz w:val="24"/>
          <w:szCs w:val="24"/>
        </w:rPr>
        <w:lastRenderedPageBreak/>
        <w:t>Against this background</w:t>
      </w:r>
      <w:r w:rsidR="00D36B71" w:rsidRPr="00774EDB">
        <w:rPr>
          <w:rFonts w:ascii="Times New Roman" w:hAnsi="Times New Roman" w:cs="Times New Roman"/>
          <w:sz w:val="24"/>
          <w:szCs w:val="24"/>
        </w:rPr>
        <w:t xml:space="preserve">, ‘consumer welfare’ seems unharmed, whereas the access and interoperability channels get restricted </w:t>
      </w:r>
      <w:r w:rsidR="000B0A4E" w:rsidRPr="00774EDB">
        <w:rPr>
          <w:rFonts w:ascii="Times New Roman" w:hAnsi="Times New Roman" w:cs="Times New Roman"/>
          <w:sz w:val="24"/>
          <w:szCs w:val="24"/>
        </w:rPr>
        <w:t>and</w:t>
      </w:r>
      <w:r w:rsidR="008B749D" w:rsidRPr="00774EDB">
        <w:rPr>
          <w:rFonts w:ascii="Times New Roman" w:hAnsi="Times New Roman" w:cs="Times New Roman"/>
          <w:sz w:val="24"/>
          <w:szCs w:val="24"/>
        </w:rPr>
        <w:t xml:space="preserve"> the</w:t>
      </w:r>
      <w:r w:rsidR="00D36B71" w:rsidRPr="00774EDB">
        <w:rPr>
          <w:rFonts w:ascii="Times New Roman" w:hAnsi="Times New Roman" w:cs="Times New Roman"/>
          <w:sz w:val="24"/>
          <w:szCs w:val="24"/>
        </w:rPr>
        <w:t xml:space="preserve"> consumer choices</w:t>
      </w:r>
      <w:r w:rsidR="008B749D" w:rsidRPr="00774EDB">
        <w:rPr>
          <w:rFonts w:ascii="Times New Roman" w:hAnsi="Times New Roman" w:cs="Times New Roman"/>
          <w:sz w:val="24"/>
          <w:szCs w:val="24"/>
        </w:rPr>
        <w:t xml:space="preserve"> </w:t>
      </w:r>
      <w:r w:rsidR="000B0A4E" w:rsidRPr="00774EDB">
        <w:rPr>
          <w:rFonts w:ascii="Times New Roman" w:hAnsi="Times New Roman" w:cs="Times New Roman"/>
          <w:sz w:val="24"/>
          <w:szCs w:val="24"/>
        </w:rPr>
        <w:t>are</w:t>
      </w:r>
      <w:r w:rsidR="008B749D" w:rsidRPr="00774EDB">
        <w:rPr>
          <w:rFonts w:ascii="Times New Roman" w:hAnsi="Times New Roman" w:cs="Times New Roman"/>
          <w:sz w:val="24"/>
          <w:szCs w:val="24"/>
        </w:rPr>
        <w:t xml:space="preserve"> affected</w:t>
      </w:r>
      <w:r w:rsidR="0015790E">
        <w:rPr>
          <w:rFonts w:ascii="Times New Roman" w:hAnsi="Times New Roman" w:cs="Times New Roman"/>
          <w:sz w:val="24"/>
          <w:szCs w:val="24"/>
        </w:rPr>
        <w:t>,</w:t>
      </w:r>
      <w:r w:rsidR="00722328">
        <w:rPr>
          <w:rFonts w:ascii="Times New Roman" w:hAnsi="Times New Roman" w:cs="Times New Roman"/>
          <w:sz w:val="24"/>
          <w:szCs w:val="24"/>
        </w:rPr>
        <w:t xml:space="preserve"> </w:t>
      </w:r>
      <w:r w:rsidR="00D86434">
        <w:rPr>
          <w:rFonts w:ascii="Times New Roman" w:hAnsi="Times New Roman" w:cs="Times New Roman"/>
          <w:sz w:val="24"/>
          <w:szCs w:val="24"/>
        </w:rPr>
        <w:t>along with far-</w:t>
      </w:r>
      <w:r w:rsidR="00722328">
        <w:rPr>
          <w:rFonts w:ascii="Times New Roman" w:hAnsi="Times New Roman" w:cs="Times New Roman"/>
          <w:sz w:val="24"/>
          <w:szCs w:val="24"/>
        </w:rPr>
        <w:t xml:space="preserve">reaching </w:t>
      </w:r>
      <w:r w:rsidR="0015790E">
        <w:rPr>
          <w:rFonts w:ascii="Times New Roman" w:hAnsi="Times New Roman" w:cs="Times New Roman"/>
          <w:sz w:val="24"/>
          <w:szCs w:val="24"/>
        </w:rPr>
        <w:t>consequences towards</w:t>
      </w:r>
      <w:r w:rsidR="00722328">
        <w:rPr>
          <w:rFonts w:ascii="Times New Roman" w:hAnsi="Times New Roman" w:cs="Times New Roman"/>
          <w:sz w:val="24"/>
          <w:szCs w:val="24"/>
        </w:rPr>
        <w:t xml:space="preserve"> the democratic culture </w:t>
      </w:r>
      <w:r w:rsidR="00D86434">
        <w:rPr>
          <w:rFonts w:ascii="Times New Roman" w:hAnsi="Times New Roman" w:cs="Times New Roman"/>
          <w:sz w:val="24"/>
          <w:szCs w:val="24"/>
        </w:rPr>
        <w:t>within</w:t>
      </w:r>
      <w:r w:rsidR="00722328">
        <w:rPr>
          <w:rFonts w:ascii="Times New Roman" w:hAnsi="Times New Roman" w:cs="Times New Roman"/>
          <w:sz w:val="24"/>
          <w:szCs w:val="24"/>
        </w:rPr>
        <w:t xml:space="preserve"> the society</w:t>
      </w:r>
      <w:r w:rsidR="00D36B71" w:rsidRPr="00774EDB">
        <w:rPr>
          <w:rFonts w:ascii="Times New Roman" w:hAnsi="Times New Roman" w:cs="Times New Roman"/>
          <w:sz w:val="24"/>
          <w:szCs w:val="24"/>
        </w:rPr>
        <w:t>.</w:t>
      </w:r>
      <w:r w:rsidR="0015790E">
        <w:rPr>
          <w:rStyle w:val="FootnoteReference"/>
          <w:rFonts w:ascii="Times New Roman" w:hAnsi="Times New Roman" w:cs="Times New Roman"/>
          <w:sz w:val="24"/>
          <w:szCs w:val="24"/>
        </w:rPr>
        <w:footnoteReference w:id="885"/>
      </w:r>
      <w:r w:rsidR="00D36B71" w:rsidRPr="00774EDB">
        <w:rPr>
          <w:rFonts w:ascii="Times New Roman" w:hAnsi="Times New Roman" w:cs="Times New Roman"/>
          <w:sz w:val="24"/>
          <w:szCs w:val="24"/>
        </w:rPr>
        <w:t xml:space="preserve"> </w:t>
      </w:r>
      <w:r w:rsidR="00E54451" w:rsidRPr="00774EDB">
        <w:rPr>
          <w:rFonts w:ascii="Times New Roman" w:hAnsi="Times New Roman" w:cs="Times New Roman"/>
          <w:sz w:val="24"/>
          <w:szCs w:val="24"/>
        </w:rPr>
        <w:t>Remarkably, i</w:t>
      </w:r>
      <w:r w:rsidR="00D36B71" w:rsidRPr="00774EDB">
        <w:rPr>
          <w:rFonts w:ascii="Times New Roman" w:hAnsi="Times New Roman" w:cs="Times New Roman"/>
          <w:sz w:val="24"/>
          <w:szCs w:val="24"/>
        </w:rPr>
        <w:t xml:space="preserve">n contrast to the legacy understanding of </w:t>
      </w:r>
      <w:r w:rsidR="00925CA2">
        <w:rPr>
          <w:rFonts w:ascii="Times New Roman" w:hAnsi="Times New Roman" w:cs="Times New Roman"/>
          <w:sz w:val="24"/>
          <w:szCs w:val="24"/>
        </w:rPr>
        <w:t xml:space="preserve">the </w:t>
      </w:r>
      <w:r w:rsidR="00D36B71" w:rsidRPr="00774EDB">
        <w:rPr>
          <w:rFonts w:ascii="Times New Roman" w:hAnsi="Times New Roman" w:cs="Times New Roman"/>
          <w:sz w:val="24"/>
          <w:szCs w:val="24"/>
        </w:rPr>
        <w:t>abusive practices</w:t>
      </w:r>
      <w:r w:rsidR="0015790E">
        <w:rPr>
          <w:rFonts w:ascii="Times New Roman" w:hAnsi="Times New Roman" w:cs="Times New Roman"/>
          <w:sz w:val="24"/>
          <w:szCs w:val="24"/>
        </w:rPr>
        <w:t xml:space="preserve"> </w:t>
      </w:r>
      <w:r w:rsidR="00925CA2">
        <w:rPr>
          <w:rFonts w:ascii="Times New Roman" w:hAnsi="Times New Roman" w:cs="Times New Roman"/>
          <w:sz w:val="24"/>
          <w:szCs w:val="24"/>
        </w:rPr>
        <w:t>echoed with</w:t>
      </w:r>
      <w:r w:rsidR="0015790E">
        <w:rPr>
          <w:rFonts w:ascii="Times New Roman" w:hAnsi="Times New Roman" w:cs="Times New Roman"/>
          <w:sz w:val="24"/>
          <w:szCs w:val="24"/>
        </w:rPr>
        <w:t xml:space="preserve"> narrow-minded gatekeeping activities</w:t>
      </w:r>
      <w:r w:rsidR="00D36B71" w:rsidRPr="00774EDB">
        <w:rPr>
          <w:rFonts w:ascii="Times New Roman" w:hAnsi="Times New Roman" w:cs="Times New Roman"/>
          <w:sz w:val="24"/>
          <w:szCs w:val="24"/>
        </w:rPr>
        <w:t xml:space="preserve">, </w:t>
      </w:r>
      <w:r w:rsidR="00722328">
        <w:rPr>
          <w:rFonts w:ascii="Times New Roman" w:hAnsi="Times New Roman" w:cs="Times New Roman"/>
          <w:sz w:val="24"/>
          <w:szCs w:val="24"/>
        </w:rPr>
        <w:t>‘</w:t>
      </w:r>
      <w:r w:rsidR="00D36B71" w:rsidRPr="00774EDB">
        <w:rPr>
          <w:rFonts w:ascii="Times New Roman" w:hAnsi="Times New Roman" w:cs="Times New Roman"/>
          <w:sz w:val="24"/>
          <w:szCs w:val="24"/>
        </w:rPr>
        <w:t>gatekeeping</w:t>
      </w:r>
      <w:r w:rsidR="00722328">
        <w:rPr>
          <w:rFonts w:ascii="Times New Roman" w:hAnsi="Times New Roman" w:cs="Times New Roman"/>
          <w:sz w:val="24"/>
          <w:szCs w:val="24"/>
        </w:rPr>
        <w:t>’</w:t>
      </w:r>
      <w:r w:rsidR="00D36B71" w:rsidRPr="00774EDB">
        <w:rPr>
          <w:rFonts w:ascii="Times New Roman" w:hAnsi="Times New Roman" w:cs="Times New Roman"/>
          <w:sz w:val="24"/>
          <w:szCs w:val="24"/>
        </w:rPr>
        <w:t xml:space="preserve"> roles and functionalities have </w:t>
      </w:r>
      <w:r w:rsidR="00330B2E">
        <w:rPr>
          <w:rFonts w:ascii="Times New Roman" w:hAnsi="Times New Roman" w:cs="Times New Roman"/>
          <w:sz w:val="24"/>
          <w:szCs w:val="24"/>
        </w:rPr>
        <w:t xml:space="preserve">both </w:t>
      </w:r>
      <w:r w:rsidR="00D36B71" w:rsidRPr="00774EDB">
        <w:rPr>
          <w:rFonts w:ascii="Times New Roman" w:hAnsi="Times New Roman" w:cs="Times New Roman"/>
          <w:sz w:val="24"/>
          <w:szCs w:val="24"/>
        </w:rPr>
        <w:t>an economics-based nature</w:t>
      </w:r>
      <w:r w:rsidR="00E15588">
        <w:rPr>
          <w:rFonts w:ascii="Times New Roman" w:hAnsi="Times New Roman" w:cs="Times New Roman"/>
          <w:sz w:val="24"/>
          <w:szCs w:val="24"/>
        </w:rPr>
        <w:t xml:space="preserve"> and </w:t>
      </w:r>
      <w:r w:rsidR="00E15588" w:rsidRPr="00774EDB">
        <w:rPr>
          <w:rFonts w:ascii="Times New Roman" w:hAnsi="Times New Roman" w:cs="Times New Roman"/>
          <w:sz w:val="24"/>
          <w:szCs w:val="24"/>
        </w:rPr>
        <w:t>a techno-social character</w:t>
      </w:r>
      <w:r w:rsidR="00B92E34">
        <w:rPr>
          <w:rFonts w:ascii="Times New Roman" w:hAnsi="Times New Roman" w:cs="Times New Roman"/>
          <w:sz w:val="24"/>
          <w:szCs w:val="24"/>
        </w:rPr>
        <w:t>;</w:t>
      </w:r>
      <w:r w:rsidR="00C516BC">
        <w:rPr>
          <w:rFonts w:ascii="Times New Roman" w:hAnsi="Times New Roman" w:cs="Times New Roman"/>
          <w:sz w:val="24"/>
          <w:szCs w:val="24"/>
        </w:rPr>
        <w:t xml:space="preserve"> the </w:t>
      </w:r>
      <w:r w:rsidR="00E15588">
        <w:rPr>
          <w:rFonts w:ascii="Times New Roman" w:hAnsi="Times New Roman" w:cs="Times New Roman"/>
          <w:sz w:val="24"/>
          <w:szCs w:val="24"/>
        </w:rPr>
        <w:t>form</w:t>
      </w:r>
      <w:r w:rsidR="00C516BC">
        <w:rPr>
          <w:rFonts w:ascii="Times New Roman" w:hAnsi="Times New Roman" w:cs="Times New Roman"/>
          <w:sz w:val="24"/>
          <w:szCs w:val="24"/>
        </w:rPr>
        <w:t xml:space="preserve">er </w:t>
      </w:r>
      <w:r w:rsidR="00C6626C">
        <w:rPr>
          <w:rFonts w:ascii="Times New Roman" w:hAnsi="Times New Roman" w:cs="Times New Roman"/>
          <w:sz w:val="24"/>
          <w:szCs w:val="24"/>
        </w:rPr>
        <w:t xml:space="preserve">usually </w:t>
      </w:r>
      <w:r w:rsidR="009260AF">
        <w:rPr>
          <w:rFonts w:ascii="Times New Roman" w:hAnsi="Times New Roman" w:cs="Times New Roman"/>
          <w:sz w:val="24"/>
          <w:szCs w:val="24"/>
        </w:rPr>
        <w:t>surfacing wh</w:t>
      </w:r>
      <w:r w:rsidR="00E15588">
        <w:rPr>
          <w:rFonts w:ascii="Times New Roman" w:hAnsi="Times New Roman" w:cs="Times New Roman"/>
          <w:sz w:val="24"/>
          <w:szCs w:val="24"/>
        </w:rPr>
        <w:t>en</w:t>
      </w:r>
      <w:r w:rsidR="009260AF">
        <w:rPr>
          <w:rFonts w:ascii="Times New Roman" w:hAnsi="Times New Roman" w:cs="Times New Roman"/>
          <w:sz w:val="24"/>
          <w:szCs w:val="24"/>
        </w:rPr>
        <w:t xml:space="preserve"> </w:t>
      </w:r>
      <w:r w:rsidR="00B92E34">
        <w:rPr>
          <w:rFonts w:ascii="Times New Roman" w:hAnsi="Times New Roman" w:cs="Times New Roman"/>
          <w:sz w:val="24"/>
          <w:szCs w:val="24"/>
        </w:rPr>
        <w:t>effective</w:t>
      </w:r>
      <w:r w:rsidR="007A353E">
        <w:rPr>
          <w:rFonts w:ascii="Times New Roman" w:hAnsi="Times New Roman" w:cs="Times New Roman"/>
          <w:sz w:val="24"/>
          <w:szCs w:val="24"/>
        </w:rPr>
        <w:t xml:space="preserve"> competition </w:t>
      </w:r>
      <w:r w:rsidR="009260AF">
        <w:rPr>
          <w:rFonts w:ascii="Times New Roman" w:hAnsi="Times New Roman" w:cs="Times New Roman"/>
          <w:sz w:val="24"/>
          <w:szCs w:val="24"/>
        </w:rPr>
        <w:t>is deteriorated</w:t>
      </w:r>
      <w:r w:rsidR="00C6626C">
        <w:rPr>
          <w:rFonts w:ascii="Times New Roman" w:hAnsi="Times New Roman" w:cs="Times New Roman"/>
          <w:sz w:val="24"/>
          <w:szCs w:val="24"/>
        </w:rPr>
        <w:t xml:space="preserve"> </w:t>
      </w:r>
      <w:r w:rsidR="00AC545A">
        <w:rPr>
          <w:rFonts w:ascii="Times New Roman" w:hAnsi="Times New Roman" w:cs="Times New Roman"/>
          <w:sz w:val="24"/>
          <w:szCs w:val="24"/>
        </w:rPr>
        <w:t xml:space="preserve">and </w:t>
      </w:r>
      <w:r w:rsidR="00C6626C">
        <w:rPr>
          <w:rFonts w:ascii="Times New Roman" w:hAnsi="Times New Roman" w:cs="Times New Roman"/>
          <w:sz w:val="24"/>
          <w:szCs w:val="24"/>
        </w:rPr>
        <w:t xml:space="preserve">the </w:t>
      </w:r>
      <w:r w:rsidR="00E15588">
        <w:rPr>
          <w:rFonts w:ascii="Times New Roman" w:hAnsi="Times New Roman" w:cs="Times New Roman"/>
          <w:sz w:val="24"/>
          <w:szCs w:val="24"/>
        </w:rPr>
        <w:t>latt</w:t>
      </w:r>
      <w:r w:rsidR="00C6626C">
        <w:rPr>
          <w:rFonts w:ascii="Times New Roman" w:hAnsi="Times New Roman" w:cs="Times New Roman"/>
          <w:sz w:val="24"/>
          <w:szCs w:val="24"/>
        </w:rPr>
        <w:t xml:space="preserve">er </w:t>
      </w:r>
      <w:r w:rsidR="00B92E34">
        <w:rPr>
          <w:rFonts w:ascii="Times New Roman" w:hAnsi="Times New Roman" w:cs="Times New Roman"/>
          <w:sz w:val="24"/>
          <w:szCs w:val="24"/>
        </w:rPr>
        <w:t>in case of</w:t>
      </w:r>
      <w:r w:rsidR="0015790E">
        <w:rPr>
          <w:rFonts w:ascii="Times New Roman" w:hAnsi="Times New Roman" w:cs="Times New Roman"/>
          <w:sz w:val="24"/>
          <w:szCs w:val="24"/>
        </w:rPr>
        <w:t xml:space="preserve"> AI manipulations</w:t>
      </w:r>
      <w:r w:rsidR="00C6626C">
        <w:rPr>
          <w:rFonts w:ascii="Times New Roman" w:hAnsi="Times New Roman" w:cs="Times New Roman"/>
          <w:sz w:val="24"/>
          <w:szCs w:val="24"/>
        </w:rPr>
        <w:t xml:space="preserve"> across the cross-layer activities</w:t>
      </w:r>
      <w:r w:rsidR="00D36B71" w:rsidRPr="00774EDB">
        <w:rPr>
          <w:rFonts w:ascii="Times New Roman" w:hAnsi="Times New Roman" w:cs="Times New Roman"/>
          <w:sz w:val="24"/>
          <w:szCs w:val="24"/>
        </w:rPr>
        <w:t>.</w:t>
      </w:r>
      <w:r w:rsidR="005111EB">
        <w:rPr>
          <w:rStyle w:val="FootnoteReference"/>
          <w:rFonts w:ascii="Times New Roman" w:hAnsi="Times New Roman" w:cs="Times New Roman"/>
          <w:sz w:val="24"/>
          <w:szCs w:val="24"/>
        </w:rPr>
        <w:footnoteReference w:id="886"/>
      </w:r>
      <w:r w:rsidR="00737B38" w:rsidRPr="00774EDB">
        <w:rPr>
          <w:rFonts w:ascii="Times New Roman" w:hAnsi="Times New Roman" w:cs="Times New Roman"/>
          <w:sz w:val="24"/>
          <w:szCs w:val="24"/>
        </w:rPr>
        <w:t xml:space="preserve"> </w:t>
      </w:r>
    </w:p>
    <w:p w14:paraId="73EB6163" w14:textId="04534CB3" w:rsidR="00367E41" w:rsidRPr="00774EDB" w:rsidRDefault="00125DB7" w:rsidP="003D1726">
      <w:pPr>
        <w:spacing w:before="360"/>
        <w:jc w:val="both"/>
        <w:rPr>
          <w:rFonts w:ascii="Times New Roman" w:hAnsi="Times New Roman" w:cs="Times New Roman"/>
          <w:sz w:val="24"/>
          <w:szCs w:val="24"/>
        </w:rPr>
      </w:pPr>
      <w:r>
        <w:rPr>
          <w:rFonts w:ascii="Times New Roman" w:hAnsi="Times New Roman" w:cs="Times New Roman"/>
          <w:sz w:val="24"/>
          <w:szCs w:val="24"/>
        </w:rPr>
        <w:t>C</w:t>
      </w:r>
      <w:r w:rsidR="0014127C" w:rsidRPr="00774EDB">
        <w:rPr>
          <w:rFonts w:ascii="Times New Roman" w:hAnsi="Times New Roman" w:cs="Times New Roman"/>
          <w:sz w:val="24"/>
          <w:szCs w:val="24"/>
        </w:rPr>
        <w:t xml:space="preserve">onventional regulatory focus would overlook </w:t>
      </w:r>
      <w:r w:rsidR="00C87319">
        <w:rPr>
          <w:rFonts w:ascii="Times New Roman" w:hAnsi="Times New Roman" w:cs="Times New Roman"/>
          <w:sz w:val="24"/>
          <w:szCs w:val="24"/>
        </w:rPr>
        <w:t>these</w:t>
      </w:r>
      <w:r w:rsidR="00C87319" w:rsidRPr="00774EDB">
        <w:rPr>
          <w:rFonts w:ascii="Times New Roman" w:hAnsi="Times New Roman" w:cs="Times New Roman"/>
          <w:sz w:val="24"/>
          <w:szCs w:val="24"/>
        </w:rPr>
        <w:t xml:space="preserve"> </w:t>
      </w:r>
      <w:r w:rsidR="0014127C" w:rsidRPr="00774EDB">
        <w:rPr>
          <w:rFonts w:ascii="Times New Roman" w:hAnsi="Times New Roman" w:cs="Times New Roman"/>
          <w:sz w:val="24"/>
          <w:szCs w:val="24"/>
        </w:rPr>
        <w:t xml:space="preserve">restrictive behaviours that would </w:t>
      </w:r>
      <w:r w:rsidR="006959AE">
        <w:rPr>
          <w:rFonts w:ascii="Times New Roman" w:hAnsi="Times New Roman" w:cs="Times New Roman"/>
          <w:sz w:val="24"/>
          <w:szCs w:val="24"/>
        </w:rPr>
        <w:t>take place</w:t>
      </w:r>
      <w:r w:rsidR="006959AE" w:rsidRPr="00774EDB">
        <w:rPr>
          <w:rFonts w:ascii="Times New Roman" w:hAnsi="Times New Roman" w:cs="Times New Roman"/>
          <w:sz w:val="24"/>
          <w:szCs w:val="24"/>
        </w:rPr>
        <w:t xml:space="preserve"> </w:t>
      </w:r>
      <w:r w:rsidR="0014127C" w:rsidRPr="00774EDB">
        <w:rPr>
          <w:rFonts w:ascii="Times New Roman" w:hAnsi="Times New Roman" w:cs="Times New Roman"/>
          <w:sz w:val="24"/>
          <w:szCs w:val="24"/>
        </w:rPr>
        <w:t xml:space="preserve">across the </w:t>
      </w:r>
      <w:r w:rsidR="00B92E34">
        <w:rPr>
          <w:rFonts w:ascii="Times New Roman" w:hAnsi="Times New Roman" w:cs="Times New Roman"/>
          <w:sz w:val="24"/>
          <w:szCs w:val="24"/>
        </w:rPr>
        <w:t>technological</w:t>
      </w:r>
      <w:r w:rsidR="00B92E34" w:rsidRPr="00774EDB">
        <w:rPr>
          <w:rFonts w:ascii="Times New Roman" w:hAnsi="Times New Roman" w:cs="Times New Roman"/>
          <w:sz w:val="24"/>
          <w:szCs w:val="24"/>
        </w:rPr>
        <w:t xml:space="preserve"> </w:t>
      </w:r>
      <w:r w:rsidR="0014127C" w:rsidRPr="00774EDB">
        <w:rPr>
          <w:rFonts w:ascii="Times New Roman" w:hAnsi="Times New Roman" w:cs="Times New Roman"/>
          <w:sz w:val="24"/>
          <w:szCs w:val="24"/>
        </w:rPr>
        <w:t xml:space="preserve">layers. </w:t>
      </w:r>
      <w:r w:rsidR="00367E41" w:rsidRPr="00774EDB">
        <w:rPr>
          <w:rFonts w:ascii="Times New Roman" w:hAnsi="Times New Roman" w:cs="Times New Roman"/>
          <w:sz w:val="24"/>
          <w:szCs w:val="24"/>
        </w:rPr>
        <w:t>In an era of far-reaching platformisation of the ICT markets,</w:t>
      </w:r>
      <w:r w:rsidR="00367E41" w:rsidRPr="00774EDB">
        <w:rPr>
          <w:rStyle w:val="FootnoteReference"/>
          <w:rFonts w:ascii="Times New Roman" w:hAnsi="Times New Roman" w:cs="Times New Roman"/>
          <w:sz w:val="24"/>
          <w:szCs w:val="24"/>
        </w:rPr>
        <w:footnoteReference w:id="887"/>
      </w:r>
      <w:r w:rsidR="0014127C" w:rsidRPr="00774EDB">
        <w:rPr>
          <w:rFonts w:ascii="Times New Roman" w:hAnsi="Times New Roman" w:cs="Times New Roman"/>
          <w:sz w:val="24"/>
          <w:szCs w:val="24"/>
        </w:rPr>
        <w:t xml:space="preserve"> abusive behaviours and underlying markets </w:t>
      </w:r>
      <w:r w:rsidR="00927F9B" w:rsidRPr="00774EDB">
        <w:rPr>
          <w:rFonts w:ascii="Times New Roman" w:hAnsi="Times New Roman" w:cs="Times New Roman"/>
          <w:sz w:val="24"/>
          <w:szCs w:val="24"/>
        </w:rPr>
        <w:t xml:space="preserve">need to be </w:t>
      </w:r>
      <w:r w:rsidR="006959AE">
        <w:rPr>
          <w:rFonts w:ascii="Times New Roman" w:hAnsi="Times New Roman" w:cs="Times New Roman"/>
          <w:sz w:val="24"/>
          <w:szCs w:val="24"/>
        </w:rPr>
        <w:t>revitalised following</w:t>
      </w:r>
      <w:r w:rsidR="00927F9B" w:rsidRPr="00774EDB">
        <w:rPr>
          <w:rFonts w:ascii="Times New Roman" w:hAnsi="Times New Roman" w:cs="Times New Roman"/>
          <w:sz w:val="24"/>
          <w:szCs w:val="24"/>
        </w:rPr>
        <w:t xml:space="preserve"> the </w:t>
      </w:r>
      <w:r w:rsidR="006959AE">
        <w:rPr>
          <w:rFonts w:ascii="Times New Roman" w:hAnsi="Times New Roman" w:cs="Times New Roman"/>
          <w:sz w:val="24"/>
          <w:szCs w:val="24"/>
        </w:rPr>
        <w:t xml:space="preserve">premise of gatekeeping and </w:t>
      </w:r>
      <w:r w:rsidR="00927F9B" w:rsidRPr="00774EDB">
        <w:rPr>
          <w:rFonts w:ascii="Times New Roman" w:hAnsi="Times New Roman" w:cs="Times New Roman"/>
          <w:sz w:val="24"/>
          <w:szCs w:val="24"/>
        </w:rPr>
        <w:t>cross-layer gatekeeping activities</w:t>
      </w:r>
      <w:r w:rsidR="006959AE">
        <w:rPr>
          <w:rFonts w:ascii="Times New Roman" w:hAnsi="Times New Roman" w:cs="Times New Roman"/>
          <w:sz w:val="24"/>
          <w:szCs w:val="24"/>
        </w:rPr>
        <w:t>. P</w:t>
      </w:r>
      <w:r w:rsidR="00367E41" w:rsidRPr="00774EDB">
        <w:rPr>
          <w:rFonts w:ascii="Times New Roman" w:hAnsi="Times New Roman" w:cs="Times New Roman"/>
          <w:sz w:val="24"/>
          <w:szCs w:val="24"/>
        </w:rPr>
        <w:t>latform leaders build up a business model around a set of crucial gatekeeper functionalities and roles that help them to exercise a form of control over the wider value network, and to add and capture significant value in the process.</w:t>
      </w:r>
      <w:r w:rsidR="00367E41" w:rsidRPr="00774EDB">
        <w:rPr>
          <w:rStyle w:val="FootnoteReference"/>
          <w:rFonts w:ascii="Times New Roman" w:hAnsi="Times New Roman" w:cs="Times New Roman"/>
          <w:sz w:val="24"/>
          <w:szCs w:val="24"/>
        </w:rPr>
        <w:footnoteReference w:id="888"/>
      </w:r>
      <w:r w:rsidR="00367E41" w:rsidRPr="00774EDB">
        <w:rPr>
          <w:rFonts w:ascii="Times New Roman" w:hAnsi="Times New Roman" w:cs="Times New Roman"/>
          <w:sz w:val="24"/>
          <w:szCs w:val="24"/>
        </w:rPr>
        <w:t xml:space="preserve"> While </w:t>
      </w:r>
      <w:r w:rsidR="006959AE">
        <w:rPr>
          <w:rFonts w:ascii="Times New Roman" w:hAnsi="Times New Roman" w:cs="Times New Roman"/>
          <w:sz w:val="24"/>
          <w:szCs w:val="24"/>
        </w:rPr>
        <w:t>controlling mechanisms</w:t>
      </w:r>
      <w:r w:rsidR="006959AE" w:rsidRPr="00774EDB">
        <w:rPr>
          <w:rFonts w:ascii="Times New Roman" w:hAnsi="Times New Roman" w:cs="Times New Roman"/>
          <w:sz w:val="24"/>
          <w:szCs w:val="24"/>
        </w:rPr>
        <w:t xml:space="preserve"> </w:t>
      </w:r>
      <w:r w:rsidR="006B6842">
        <w:rPr>
          <w:rFonts w:ascii="Times New Roman" w:hAnsi="Times New Roman" w:cs="Times New Roman"/>
          <w:sz w:val="24"/>
          <w:szCs w:val="24"/>
        </w:rPr>
        <w:t>underlying such functionalities should</w:t>
      </w:r>
      <w:r w:rsidR="006B6842" w:rsidRPr="00774EDB">
        <w:rPr>
          <w:rFonts w:ascii="Times New Roman" w:hAnsi="Times New Roman" w:cs="Times New Roman"/>
          <w:sz w:val="24"/>
          <w:szCs w:val="24"/>
        </w:rPr>
        <w:t xml:space="preserve"> </w:t>
      </w:r>
      <w:r w:rsidR="00367E41" w:rsidRPr="00774EDB">
        <w:rPr>
          <w:rFonts w:ascii="Times New Roman" w:hAnsi="Times New Roman" w:cs="Times New Roman"/>
          <w:sz w:val="24"/>
          <w:szCs w:val="24"/>
        </w:rPr>
        <w:t xml:space="preserve">not </w:t>
      </w:r>
      <w:r w:rsidR="006B6842">
        <w:rPr>
          <w:rFonts w:ascii="Times New Roman" w:hAnsi="Times New Roman" w:cs="Times New Roman"/>
          <w:sz w:val="24"/>
          <w:szCs w:val="24"/>
        </w:rPr>
        <w:t xml:space="preserve">necessarily </w:t>
      </w:r>
      <w:r w:rsidR="00367E41" w:rsidRPr="00774EDB">
        <w:rPr>
          <w:rFonts w:ascii="Times New Roman" w:hAnsi="Times New Roman" w:cs="Times New Roman"/>
          <w:sz w:val="24"/>
          <w:szCs w:val="24"/>
        </w:rPr>
        <w:t xml:space="preserve">be deemed abusive or illegal by </w:t>
      </w:r>
      <w:r w:rsidR="004E2EE1">
        <w:rPr>
          <w:rFonts w:ascii="Times New Roman" w:hAnsi="Times New Roman" w:cs="Times New Roman"/>
          <w:sz w:val="24"/>
          <w:szCs w:val="24"/>
        </w:rPr>
        <w:t>them</w:t>
      </w:r>
      <w:r w:rsidR="00367E41" w:rsidRPr="00774EDB">
        <w:rPr>
          <w:rFonts w:ascii="Times New Roman" w:hAnsi="Times New Roman" w:cs="Times New Roman"/>
          <w:sz w:val="24"/>
          <w:szCs w:val="24"/>
        </w:rPr>
        <w:t>sel</w:t>
      </w:r>
      <w:r w:rsidR="004E2EE1">
        <w:rPr>
          <w:rFonts w:ascii="Times New Roman" w:hAnsi="Times New Roman" w:cs="Times New Roman"/>
          <w:sz w:val="24"/>
          <w:szCs w:val="24"/>
        </w:rPr>
        <w:t>ves</w:t>
      </w:r>
      <w:r w:rsidR="00367E41" w:rsidRPr="00774EDB">
        <w:rPr>
          <w:rFonts w:ascii="Times New Roman" w:hAnsi="Times New Roman" w:cs="Times New Roman"/>
          <w:sz w:val="24"/>
          <w:szCs w:val="24"/>
        </w:rPr>
        <w:t xml:space="preserve">, access and interoperability restrictions need to be spotted </w:t>
      </w:r>
      <w:r w:rsidR="00B92E34">
        <w:rPr>
          <w:rFonts w:ascii="Times New Roman" w:hAnsi="Times New Roman" w:cs="Times New Roman"/>
          <w:sz w:val="24"/>
          <w:szCs w:val="24"/>
        </w:rPr>
        <w:t xml:space="preserve">as they widely capture </w:t>
      </w:r>
      <w:r w:rsidR="00367E41" w:rsidRPr="00774EDB">
        <w:rPr>
          <w:rFonts w:ascii="Times New Roman" w:hAnsi="Times New Roman" w:cs="Times New Roman"/>
          <w:sz w:val="24"/>
          <w:szCs w:val="24"/>
        </w:rPr>
        <w:t>gatekeep</w:t>
      </w:r>
      <w:r w:rsidR="00925CA2">
        <w:rPr>
          <w:rFonts w:ascii="Times New Roman" w:hAnsi="Times New Roman" w:cs="Times New Roman"/>
          <w:sz w:val="24"/>
          <w:szCs w:val="24"/>
        </w:rPr>
        <w:t>ing</w:t>
      </w:r>
      <w:r w:rsidR="00367E41" w:rsidRPr="00774EDB">
        <w:rPr>
          <w:rFonts w:ascii="Times New Roman" w:hAnsi="Times New Roman" w:cs="Times New Roman"/>
          <w:sz w:val="24"/>
          <w:szCs w:val="24"/>
        </w:rPr>
        <w:t xml:space="preserve"> activities. </w:t>
      </w:r>
    </w:p>
    <w:p w14:paraId="56205B31" w14:textId="6527D58F" w:rsidR="006959AE" w:rsidRDefault="00153FCD" w:rsidP="00A70042">
      <w:pPr>
        <w:spacing w:before="360"/>
        <w:jc w:val="both"/>
        <w:rPr>
          <w:rFonts w:ascii="Times New Roman" w:hAnsi="Times New Roman" w:cs="Times New Roman"/>
          <w:sz w:val="24"/>
          <w:szCs w:val="24"/>
        </w:rPr>
      </w:pPr>
      <w:r>
        <w:rPr>
          <w:rFonts w:ascii="Times New Roman" w:hAnsi="Times New Roman" w:cs="Times New Roman"/>
          <w:sz w:val="24"/>
          <w:szCs w:val="24"/>
        </w:rPr>
        <w:t xml:space="preserve">Within the framework of proposed model, </w:t>
      </w:r>
      <w:r w:rsidR="00367E41" w:rsidRPr="00774EDB">
        <w:rPr>
          <w:rFonts w:ascii="Times New Roman" w:hAnsi="Times New Roman" w:cs="Times New Roman"/>
          <w:sz w:val="24"/>
          <w:szCs w:val="24"/>
        </w:rPr>
        <w:t xml:space="preserve">it needs to be </w:t>
      </w:r>
      <w:r w:rsidR="00125DB7">
        <w:rPr>
          <w:rFonts w:ascii="Times New Roman" w:hAnsi="Times New Roman" w:cs="Times New Roman"/>
          <w:sz w:val="24"/>
          <w:szCs w:val="24"/>
        </w:rPr>
        <w:t>re-emphasiz</w:t>
      </w:r>
      <w:r w:rsidR="00367E41" w:rsidRPr="00774EDB">
        <w:rPr>
          <w:rFonts w:ascii="Times New Roman" w:hAnsi="Times New Roman" w:cs="Times New Roman"/>
          <w:sz w:val="24"/>
          <w:szCs w:val="24"/>
        </w:rPr>
        <w:t xml:space="preserve">ed that </w:t>
      </w:r>
      <w:r w:rsidR="004E2EE1">
        <w:rPr>
          <w:rFonts w:ascii="Times New Roman" w:hAnsi="Times New Roman" w:cs="Times New Roman"/>
          <w:sz w:val="24"/>
          <w:szCs w:val="24"/>
        </w:rPr>
        <w:t>‘</w:t>
      </w:r>
      <w:r w:rsidR="00367E41" w:rsidRPr="00774EDB">
        <w:rPr>
          <w:rFonts w:ascii="Times New Roman" w:hAnsi="Times New Roman" w:cs="Times New Roman"/>
          <w:sz w:val="24"/>
          <w:szCs w:val="24"/>
        </w:rPr>
        <w:t>gatekeeping</w:t>
      </w:r>
      <w:r w:rsidR="004E2EE1">
        <w:rPr>
          <w:rFonts w:ascii="Times New Roman" w:hAnsi="Times New Roman" w:cs="Times New Roman"/>
          <w:sz w:val="24"/>
          <w:szCs w:val="24"/>
        </w:rPr>
        <w:t>’</w:t>
      </w:r>
      <w:r w:rsidR="00367E41" w:rsidRPr="00774EDB">
        <w:rPr>
          <w:rFonts w:ascii="Times New Roman" w:hAnsi="Times New Roman" w:cs="Times New Roman"/>
          <w:sz w:val="24"/>
          <w:szCs w:val="24"/>
        </w:rPr>
        <w:t xml:space="preserve"> entails not only controlling the media and information flow, but also access to infrastructural</w:t>
      </w:r>
      <w:r w:rsidR="00DF295F" w:rsidRPr="00774EDB">
        <w:rPr>
          <w:rFonts w:ascii="Times New Roman" w:hAnsi="Times New Roman" w:cs="Times New Roman"/>
          <w:sz w:val="24"/>
          <w:szCs w:val="24"/>
        </w:rPr>
        <w:t>,</w:t>
      </w:r>
      <w:r w:rsidR="00367E41" w:rsidRPr="00774EDB">
        <w:rPr>
          <w:rFonts w:ascii="Times New Roman" w:hAnsi="Times New Roman" w:cs="Times New Roman"/>
          <w:sz w:val="24"/>
          <w:szCs w:val="24"/>
        </w:rPr>
        <w:t xml:space="preserve"> physical </w:t>
      </w:r>
      <w:r w:rsidR="00DF295F" w:rsidRPr="00774EDB">
        <w:rPr>
          <w:rFonts w:ascii="Times New Roman" w:hAnsi="Times New Roman" w:cs="Times New Roman"/>
          <w:sz w:val="24"/>
          <w:szCs w:val="24"/>
        </w:rPr>
        <w:t xml:space="preserve">and software </w:t>
      </w:r>
      <w:r w:rsidR="0020164E" w:rsidRPr="00774EDB">
        <w:rPr>
          <w:rFonts w:ascii="Times New Roman" w:hAnsi="Times New Roman" w:cs="Times New Roman"/>
          <w:sz w:val="24"/>
          <w:szCs w:val="24"/>
        </w:rPr>
        <w:t>interfaces</w:t>
      </w:r>
      <w:r w:rsidR="00367E41" w:rsidRPr="00774EDB">
        <w:rPr>
          <w:rFonts w:ascii="Times New Roman" w:hAnsi="Times New Roman" w:cs="Times New Roman"/>
          <w:sz w:val="24"/>
          <w:szCs w:val="24"/>
        </w:rPr>
        <w:t xml:space="preserve">. </w:t>
      </w:r>
      <w:r w:rsidR="006959AE">
        <w:rPr>
          <w:rFonts w:ascii="Times New Roman" w:hAnsi="Times New Roman" w:cs="Times New Roman"/>
          <w:sz w:val="24"/>
          <w:szCs w:val="24"/>
        </w:rPr>
        <w:t>In understanding both</w:t>
      </w:r>
      <w:r w:rsidR="006B6842">
        <w:rPr>
          <w:rFonts w:ascii="Times New Roman" w:hAnsi="Times New Roman" w:cs="Times New Roman"/>
          <w:sz w:val="24"/>
          <w:szCs w:val="24"/>
        </w:rPr>
        <w:t xml:space="preserve"> </w:t>
      </w:r>
      <w:r w:rsidR="006B6842">
        <w:rPr>
          <w:rFonts w:ascii="Times New Roman" w:hAnsi="Times New Roman" w:cs="Times New Roman"/>
          <w:sz w:val="24"/>
          <w:szCs w:val="24"/>
        </w:rPr>
        <w:lastRenderedPageBreak/>
        <w:t>aspects</w:t>
      </w:r>
      <w:r w:rsidR="00C75228">
        <w:rPr>
          <w:rFonts w:ascii="Times New Roman" w:hAnsi="Times New Roman" w:cs="Times New Roman"/>
          <w:sz w:val="24"/>
          <w:szCs w:val="24"/>
        </w:rPr>
        <w:t>,</w:t>
      </w:r>
      <w:r w:rsidR="006959AE">
        <w:rPr>
          <w:rFonts w:ascii="Times New Roman" w:hAnsi="Times New Roman" w:cs="Times New Roman"/>
          <w:sz w:val="24"/>
          <w:szCs w:val="24"/>
        </w:rPr>
        <w:t xml:space="preserve"> it is crucial to put the ‘consumers’ at the centre, before considering the potential harm</w:t>
      </w:r>
      <w:r w:rsidR="00C75228">
        <w:rPr>
          <w:rFonts w:ascii="Times New Roman" w:hAnsi="Times New Roman" w:cs="Times New Roman"/>
          <w:sz w:val="24"/>
          <w:szCs w:val="24"/>
        </w:rPr>
        <w:t>s</w:t>
      </w:r>
      <w:r w:rsidR="006959AE">
        <w:rPr>
          <w:rFonts w:ascii="Times New Roman" w:hAnsi="Times New Roman" w:cs="Times New Roman"/>
          <w:sz w:val="24"/>
          <w:szCs w:val="24"/>
        </w:rPr>
        <w:t xml:space="preserve"> they are exposed. The so-called exposure does not </w:t>
      </w:r>
      <w:r w:rsidR="006B6842">
        <w:rPr>
          <w:rFonts w:ascii="Times New Roman" w:hAnsi="Times New Roman" w:cs="Times New Roman"/>
          <w:sz w:val="24"/>
          <w:szCs w:val="24"/>
        </w:rPr>
        <w:t>on</w:t>
      </w:r>
      <w:r w:rsidR="006959AE">
        <w:rPr>
          <w:rFonts w:ascii="Times New Roman" w:hAnsi="Times New Roman" w:cs="Times New Roman"/>
          <w:sz w:val="24"/>
          <w:szCs w:val="24"/>
        </w:rPr>
        <w:t xml:space="preserve">ly </w:t>
      </w:r>
      <w:r w:rsidR="00584E0B">
        <w:rPr>
          <w:rFonts w:ascii="Times New Roman" w:hAnsi="Times New Roman" w:cs="Times New Roman"/>
          <w:sz w:val="24"/>
          <w:szCs w:val="24"/>
        </w:rPr>
        <w:t>relate to</w:t>
      </w:r>
      <w:r w:rsidR="006959AE">
        <w:rPr>
          <w:rFonts w:ascii="Times New Roman" w:hAnsi="Times New Roman" w:cs="Times New Roman"/>
          <w:sz w:val="24"/>
          <w:szCs w:val="24"/>
        </w:rPr>
        <w:t xml:space="preserve"> the </w:t>
      </w:r>
      <w:r w:rsidR="00C75228">
        <w:rPr>
          <w:rFonts w:ascii="Times New Roman" w:hAnsi="Times New Roman" w:cs="Times New Roman"/>
          <w:sz w:val="24"/>
          <w:szCs w:val="24"/>
        </w:rPr>
        <w:t>lessen</w:t>
      </w:r>
      <w:r w:rsidR="006959AE">
        <w:rPr>
          <w:rFonts w:ascii="Times New Roman" w:hAnsi="Times New Roman" w:cs="Times New Roman"/>
          <w:sz w:val="24"/>
          <w:szCs w:val="24"/>
        </w:rPr>
        <w:t xml:space="preserve">ed consumer surplus </w:t>
      </w:r>
      <w:r w:rsidR="006B6842">
        <w:rPr>
          <w:rFonts w:ascii="Times New Roman" w:hAnsi="Times New Roman" w:cs="Times New Roman"/>
          <w:sz w:val="24"/>
          <w:szCs w:val="24"/>
        </w:rPr>
        <w:t>resulted</w:t>
      </w:r>
      <w:r w:rsidR="006959AE">
        <w:rPr>
          <w:rFonts w:ascii="Times New Roman" w:hAnsi="Times New Roman" w:cs="Times New Roman"/>
          <w:sz w:val="24"/>
          <w:szCs w:val="24"/>
        </w:rPr>
        <w:t xml:space="preserve"> from the </w:t>
      </w:r>
      <w:r w:rsidR="00C75228">
        <w:rPr>
          <w:rFonts w:ascii="Times New Roman" w:hAnsi="Times New Roman" w:cs="Times New Roman"/>
          <w:sz w:val="24"/>
          <w:szCs w:val="24"/>
        </w:rPr>
        <w:t>reduced price and quality choices</w:t>
      </w:r>
      <w:r w:rsidR="006B6842">
        <w:rPr>
          <w:rFonts w:ascii="Times New Roman" w:hAnsi="Times New Roman" w:cs="Times New Roman"/>
          <w:sz w:val="24"/>
          <w:szCs w:val="24"/>
        </w:rPr>
        <w:t>,</w:t>
      </w:r>
      <w:r w:rsidR="00C75228">
        <w:rPr>
          <w:rFonts w:ascii="Times New Roman" w:hAnsi="Times New Roman" w:cs="Times New Roman"/>
          <w:sz w:val="24"/>
          <w:szCs w:val="24"/>
        </w:rPr>
        <w:t xml:space="preserve"> but also </w:t>
      </w:r>
      <w:r w:rsidR="006B6842">
        <w:rPr>
          <w:rFonts w:ascii="Times New Roman" w:hAnsi="Times New Roman" w:cs="Times New Roman"/>
          <w:sz w:val="24"/>
          <w:szCs w:val="24"/>
        </w:rPr>
        <w:t xml:space="preserve">to </w:t>
      </w:r>
      <w:r w:rsidR="00C75228">
        <w:rPr>
          <w:rFonts w:ascii="Times New Roman" w:hAnsi="Times New Roman" w:cs="Times New Roman"/>
          <w:sz w:val="24"/>
          <w:szCs w:val="24"/>
        </w:rPr>
        <w:t xml:space="preserve">the </w:t>
      </w:r>
      <w:r w:rsidR="00384DDE">
        <w:rPr>
          <w:rFonts w:ascii="Times New Roman" w:hAnsi="Times New Roman" w:cs="Times New Roman"/>
          <w:sz w:val="24"/>
          <w:szCs w:val="24"/>
        </w:rPr>
        <w:t>reduc</w:t>
      </w:r>
      <w:r w:rsidR="00C75228">
        <w:rPr>
          <w:rFonts w:ascii="Times New Roman" w:hAnsi="Times New Roman" w:cs="Times New Roman"/>
          <w:sz w:val="24"/>
          <w:szCs w:val="24"/>
        </w:rPr>
        <w:t xml:space="preserve">ed opportunities of </w:t>
      </w:r>
      <w:r w:rsidR="00996E1C">
        <w:rPr>
          <w:rFonts w:ascii="Times New Roman" w:hAnsi="Times New Roman" w:cs="Times New Roman"/>
          <w:sz w:val="24"/>
          <w:szCs w:val="24"/>
        </w:rPr>
        <w:t xml:space="preserve">cultural </w:t>
      </w:r>
      <w:r w:rsidR="00C75228">
        <w:rPr>
          <w:rFonts w:ascii="Times New Roman" w:hAnsi="Times New Roman" w:cs="Times New Roman"/>
          <w:sz w:val="24"/>
          <w:szCs w:val="24"/>
        </w:rPr>
        <w:t>production and democratic participation that are generated through information flows.</w:t>
      </w:r>
      <w:r w:rsidR="00E15588">
        <w:rPr>
          <w:rStyle w:val="FootnoteReference"/>
          <w:rFonts w:ascii="Times New Roman" w:hAnsi="Times New Roman" w:cs="Times New Roman"/>
          <w:sz w:val="24"/>
          <w:szCs w:val="24"/>
        </w:rPr>
        <w:footnoteReference w:id="889"/>
      </w:r>
      <w:r w:rsidR="00C75228">
        <w:rPr>
          <w:rFonts w:ascii="Times New Roman" w:hAnsi="Times New Roman" w:cs="Times New Roman"/>
          <w:sz w:val="24"/>
          <w:szCs w:val="24"/>
        </w:rPr>
        <w:t xml:space="preserve"> </w:t>
      </w:r>
      <w:r w:rsidR="0019010F">
        <w:rPr>
          <w:rFonts w:ascii="Times New Roman" w:hAnsi="Times New Roman" w:cs="Times New Roman"/>
          <w:sz w:val="24"/>
          <w:szCs w:val="24"/>
        </w:rPr>
        <w:t>I</w:t>
      </w:r>
      <w:r w:rsidR="00C75228">
        <w:rPr>
          <w:rFonts w:ascii="Times New Roman" w:hAnsi="Times New Roman" w:cs="Times New Roman"/>
          <w:sz w:val="24"/>
          <w:szCs w:val="24"/>
        </w:rPr>
        <w:t xml:space="preserve">nfrastructural </w:t>
      </w:r>
      <w:r w:rsidR="00E15588">
        <w:rPr>
          <w:rFonts w:ascii="Times New Roman" w:hAnsi="Times New Roman" w:cs="Times New Roman"/>
          <w:sz w:val="24"/>
          <w:szCs w:val="24"/>
        </w:rPr>
        <w:t>elements</w:t>
      </w:r>
      <w:r w:rsidR="00384DDE">
        <w:rPr>
          <w:rFonts w:ascii="Times New Roman" w:hAnsi="Times New Roman" w:cs="Times New Roman"/>
          <w:sz w:val="24"/>
          <w:szCs w:val="24"/>
        </w:rPr>
        <w:t xml:space="preserve"> are not featured for </w:t>
      </w:r>
      <w:r w:rsidR="0019010F">
        <w:rPr>
          <w:rFonts w:ascii="Times New Roman" w:hAnsi="Times New Roman" w:cs="Times New Roman"/>
          <w:sz w:val="24"/>
          <w:szCs w:val="24"/>
        </w:rPr>
        <w:t xml:space="preserve">directly </w:t>
      </w:r>
      <w:r w:rsidR="00384DDE">
        <w:rPr>
          <w:rFonts w:ascii="Times New Roman" w:hAnsi="Times New Roman" w:cs="Times New Roman"/>
          <w:sz w:val="24"/>
          <w:szCs w:val="24"/>
        </w:rPr>
        <w:t xml:space="preserve">restricting free flows information; however, their role of mere conduit for the </w:t>
      </w:r>
      <w:r w:rsidR="00C75228">
        <w:rPr>
          <w:rFonts w:ascii="Times New Roman" w:hAnsi="Times New Roman" w:cs="Times New Roman"/>
          <w:sz w:val="24"/>
          <w:szCs w:val="24"/>
        </w:rPr>
        <w:t xml:space="preserve">information platforms </w:t>
      </w:r>
      <w:r w:rsidR="009A19E8">
        <w:rPr>
          <w:rFonts w:ascii="Times New Roman" w:hAnsi="Times New Roman" w:cs="Times New Roman"/>
          <w:sz w:val="24"/>
          <w:szCs w:val="24"/>
        </w:rPr>
        <w:t xml:space="preserve">alike </w:t>
      </w:r>
      <w:r w:rsidR="00384DDE">
        <w:rPr>
          <w:rFonts w:ascii="Times New Roman" w:hAnsi="Times New Roman" w:cs="Times New Roman"/>
          <w:sz w:val="24"/>
          <w:szCs w:val="24"/>
        </w:rPr>
        <w:t>is</w:t>
      </w:r>
      <w:r w:rsidR="00C75228">
        <w:rPr>
          <w:rFonts w:ascii="Times New Roman" w:hAnsi="Times New Roman" w:cs="Times New Roman"/>
          <w:sz w:val="24"/>
          <w:szCs w:val="24"/>
        </w:rPr>
        <w:t xml:space="preserve"> </w:t>
      </w:r>
      <w:r w:rsidR="009A19E8">
        <w:rPr>
          <w:rFonts w:ascii="Times New Roman" w:hAnsi="Times New Roman" w:cs="Times New Roman"/>
          <w:sz w:val="24"/>
          <w:szCs w:val="24"/>
        </w:rPr>
        <w:t xml:space="preserve">most likely to </w:t>
      </w:r>
      <w:r w:rsidR="00384DDE">
        <w:rPr>
          <w:rFonts w:ascii="Times New Roman" w:hAnsi="Times New Roman" w:cs="Times New Roman"/>
          <w:sz w:val="24"/>
          <w:szCs w:val="24"/>
        </w:rPr>
        <w:t>capture</w:t>
      </w:r>
      <w:r w:rsidR="00C75228">
        <w:rPr>
          <w:rFonts w:ascii="Times New Roman" w:hAnsi="Times New Roman" w:cs="Times New Roman"/>
          <w:sz w:val="24"/>
          <w:szCs w:val="24"/>
        </w:rPr>
        <w:t xml:space="preserve"> interoperability</w:t>
      </w:r>
      <w:r w:rsidR="00384DDE">
        <w:rPr>
          <w:rFonts w:ascii="Times New Roman" w:hAnsi="Times New Roman" w:cs="Times New Roman"/>
          <w:sz w:val="24"/>
          <w:szCs w:val="24"/>
        </w:rPr>
        <w:t xml:space="preserve"> </w:t>
      </w:r>
      <w:r w:rsidR="00C75228">
        <w:rPr>
          <w:rFonts w:ascii="Times New Roman" w:hAnsi="Times New Roman" w:cs="Times New Roman"/>
          <w:sz w:val="24"/>
          <w:szCs w:val="24"/>
        </w:rPr>
        <w:t xml:space="preserve">related </w:t>
      </w:r>
      <w:r w:rsidR="009A19E8">
        <w:rPr>
          <w:rFonts w:ascii="Times New Roman" w:hAnsi="Times New Roman" w:cs="Times New Roman"/>
          <w:sz w:val="24"/>
          <w:szCs w:val="24"/>
        </w:rPr>
        <w:t>restriction</w:t>
      </w:r>
      <w:r w:rsidR="00C75228">
        <w:rPr>
          <w:rFonts w:ascii="Times New Roman" w:hAnsi="Times New Roman" w:cs="Times New Roman"/>
          <w:sz w:val="24"/>
          <w:szCs w:val="24"/>
        </w:rPr>
        <w:t>s</w:t>
      </w:r>
      <w:r w:rsidR="009A19E8">
        <w:rPr>
          <w:rFonts w:ascii="Times New Roman" w:hAnsi="Times New Roman" w:cs="Times New Roman"/>
          <w:sz w:val="24"/>
          <w:szCs w:val="24"/>
        </w:rPr>
        <w:t>,</w:t>
      </w:r>
      <w:r w:rsidR="00C75228">
        <w:rPr>
          <w:rFonts w:ascii="Times New Roman" w:hAnsi="Times New Roman" w:cs="Times New Roman"/>
          <w:sz w:val="24"/>
          <w:szCs w:val="24"/>
        </w:rPr>
        <w:t xml:space="preserve"> and </w:t>
      </w:r>
      <w:r w:rsidR="00DC032E">
        <w:rPr>
          <w:rFonts w:ascii="Times New Roman" w:hAnsi="Times New Roman" w:cs="Times New Roman"/>
          <w:sz w:val="24"/>
          <w:szCs w:val="24"/>
        </w:rPr>
        <w:t xml:space="preserve">unlocking </w:t>
      </w:r>
      <w:r w:rsidR="00C75228">
        <w:rPr>
          <w:rFonts w:ascii="Times New Roman" w:hAnsi="Times New Roman" w:cs="Times New Roman"/>
          <w:sz w:val="24"/>
          <w:szCs w:val="24"/>
        </w:rPr>
        <w:t xml:space="preserve">the </w:t>
      </w:r>
      <w:r w:rsidR="00384DDE">
        <w:rPr>
          <w:rFonts w:ascii="Times New Roman" w:hAnsi="Times New Roman" w:cs="Times New Roman"/>
          <w:sz w:val="24"/>
          <w:szCs w:val="24"/>
        </w:rPr>
        <w:t xml:space="preserve">underlying </w:t>
      </w:r>
      <w:r w:rsidR="00C75228">
        <w:rPr>
          <w:rFonts w:ascii="Times New Roman" w:hAnsi="Times New Roman" w:cs="Times New Roman"/>
          <w:sz w:val="24"/>
          <w:szCs w:val="24"/>
        </w:rPr>
        <w:t xml:space="preserve">gateways </w:t>
      </w:r>
      <w:r w:rsidR="00DC032E">
        <w:rPr>
          <w:rFonts w:ascii="Times New Roman" w:hAnsi="Times New Roman" w:cs="Times New Roman"/>
          <w:sz w:val="24"/>
          <w:szCs w:val="24"/>
        </w:rPr>
        <w:t>is</w:t>
      </w:r>
      <w:r w:rsidR="00C75228">
        <w:rPr>
          <w:rFonts w:ascii="Times New Roman" w:hAnsi="Times New Roman" w:cs="Times New Roman"/>
          <w:sz w:val="24"/>
          <w:szCs w:val="24"/>
        </w:rPr>
        <w:t xml:space="preserve"> key to resolve </w:t>
      </w:r>
      <w:r w:rsidR="00384DDE">
        <w:rPr>
          <w:rFonts w:ascii="Times New Roman" w:hAnsi="Times New Roman" w:cs="Times New Roman"/>
          <w:sz w:val="24"/>
          <w:szCs w:val="24"/>
        </w:rPr>
        <w:t>would-be gatekeeping</w:t>
      </w:r>
      <w:r w:rsidR="00DC032E">
        <w:rPr>
          <w:rFonts w:ascii="Times New Roman" w:hAnsi="Times New Roman" w:cs="Times New Roman"/>
          <w:sz w:val="24"/>
          <w:szCs w:val="24"/>
        </w:rPr>
        <w:t xml:space="preserve"> </w:t>
      </w:r>
      <w:r w:rsidR="00925CA2">
        <w:rPr>
          <w:rFonts w:ascii="Times New Roman" w:hAnsi="Times New Roman" w:cs="Times New Roman"/>
          <w:sz w:val="24"/>
          <w:szCs w:val="24"/>
        </w:rPr>
        <w:t>activities</w:t>
      </w:r>
      <w:r w:rsidR="00C75228">
        <w:rPr>
          <w:rFonts w:ascii="Times New Roman" w:hAnsi="Times New Roman" w:cs="Times New Roman"/>
          <w:sz w:val="24"/>
          <w:szCs w:val="24"/>
        </w:rPr>
        <w:t xml:space="preserve">.   </w:t>
      </w:r>
    </w:p>
    <w:p w14:paraId="3F37EC2E" w14:textId="1C8AB718" w:rsidR="00367E41" w:rsidRPr="00774EDB" w:rsidRDefault="009A19E8" w:rsidP="00A70042">
      <w:pPr>
        <w:spacing w:before="360"/>
        <w:jc w:val="both"/>
        <w:rPr>
          <w:rFonts w:ascii="Times New Roman" w:hAnsi="Times New Roman" w:cs="Times New Roman"/>
          <w:sz w:val="24"/>
          <w:szCs w:val="24"/>
        </w:rPr>
      </w:pPr>
      <w:r>
        <w:rPr>
          <w:rFonts w:ascii="Times New Roman" w:hAnsi="Times New Roman" w:cs="Times New Roman"/>
          <w:sz w:val="24"/>
          <w:szCs w:val="24"/>
        </w:rPr>
        <w:t>Since</w:t>
      </w:r>
      <w:r w:rsidR="00367E41" w:rsidRPr="00774EDB">
        <w:rPr>
          <w:rFonts w:ascii="Times New Roman" w:hAnsi="Times New Roman" w:cs="Times New Roman"/>
          <w:sz w:val="24"/>
          <w:szCs w:val="24"/>
        </w:rPr>
        <w:t xml:space="preserve"> </w:t>
      </w:r>
      <w:r w:rsidR="00394AF9">
        <w:rPr>
          <w:rFonts w:ascii="Times New Roman" w:hAnsi="Times New Roman" w:cs="Times New Roman"/>
          <w:sz w:val="24"/>
          <w:szCs w:val="24"/>
        </w:rPr>
        <w:t>‘</w:t>
      </w:r>
      <w:r w:rsidR="00367E41" w:rsidRPr="00774EDB">
        <w:rPr>
          <w:rFonts w:ascii="Times New Roman" w:hAnsi="Times New Roman" w:cs="Times New Roman"/>
          <w:sz w:val="24"/>
          <w:szCs w:val="24"/>
        </w:rPr>
        <w:t>gatekeeping</w:t>
      </w:r>
      <w:r w:rsidR="00394AF9">
        <w:rPr>
          <w:rFonts w:ascii="Times New Roman" w:hAnsi="Times New Roman" w:cs="Times New Roman"/>
          <w:sz w:val="24"/>
          <w:szCs w:val="24"/>
        </w:rPr>
        <w:t>’</w:t>
      </w:r>
      <w:r w:rsidR="00367E41" w:rsidRPr="00774EDB">
        <w:rPr>
          <w:rFonts w:ascii="Times New Roman" w:hAnsi="Times New Roman" w:cs="Times New Roman"/>
          <w:sz w:val="24"/>
          <w:szCs w:val="24"/>
        </w:rPr>
        <w:t xml:space="preserve"> </w:t>
      </w:r>
      <w:r>
        <w:rPr>
          <w:rFonts w:ascii="Times New Roman" w:hAnsi="Times New Roman" w:cs="Times New Roman"/>
          <w:sz w:val="24"/>
          <w:szCs w:val="24"/>
        </w:rPr>
        <w:t>first and foremost</w:t>
      </w:r>
      <w:r w:rsidRPr="00774EDB">
        <w:rPr>
          <w:rFonts w:ascii="Times New Roman" w:hAnsi="Times New Roman" w:cs="Times New Roman"/>
          <w:sz w:val="24"/>
          <w:szCs w:val="24"/>
        </w:rPr>
        <w:t xml:space="preserve"> </w:t>
      </w:r>
      <w:r w:rsidR="00367E41" w:rsidRPr="00774EDB">
        <w:rPr>
          <w:rFonts w:ascii="Times New Roman" w:hAnsi="Times New Roman" w:cs="Times New Roman"/>
          <w:sz w:val="24"/>
          <w:szCs w:val="24"/>
        </w:rPr>
        <w:t>means controlling access and interoperability through these gateways</w:t>
      </w:r>
      <w:r w:rsidR="00DC032E">
        <w:rPr>
          <w:rFonts w:ascii="Times New Roman" w:hAnsi="Times New Roman" w:cs="Times New Roman"/>
          <w:sz w:val="24"/>
          <w:szCs w:val="24"/>
        </w:rPr>
        <w:t xml:space="preserve"> e.g. architectural codes</w:t>
      </w:r>
      <w:r w:rsidR="00367E41" w:rsidRPr="00774EDB">
        <w:rPr>
          <w:rFonts w:ascii="Times New Roman" w:hAnsi="Times New Roman" w:cs="Times New Roman"/>
          <w:sz w:val="24"/>
          <w:szCs w:val="24"/>
        </w:rPr>
        <w:t xml:space="preserve">, </w:t>
      </w:r>
      <w:r w:rsidR="00367E41" w:rsidRPr="00692824">
        <w:rPr>
          <w:rFonts w:ascii="Times New Roman" w:hAnsi="Times New Roman" w:cs="Times New Roman"/>
          <w:i/>
          <w:iCs/>
          <w:sz w:val="24"/>
          <w:szCs w:val="24"/>
        </w:rPr>
        <w:t>restrictive acts</w:t>
      </w:r>
      <w:r w:rsidR="00367E41" w:rsidRPr="00774EDB">
        <w:rPr>
          <w:rFonts w:ascii="Times New Roman" w:hAnsi="Times New Roman" w:cs="Times New Roman"/>
          <w:sz w:val="24"/>
          <w:szCs w:val="24"/>
        </w:rPr>
        <w:t xml:space="preserve"> in granting third party access and interoperability should be deemed unacceptable. Whether relat</w:t>
      </w:r>
      <w:r>
        <w:rPr>
          <w:rFonts w:ascii="Times New Roman" w:hAnsi="Times New Roman" w:cs="Times New Roman"/>
          <w:sz w:val="24"/>
          <w:szCs w:val="24"/>
        </w:rPr>
        <w:t>ing</w:t>
      </w:r>
      <w:r w:rsidR="00367E41" w:rsidRPr="00774EDB">
        <w:rPr>
          <w:rFonts w:ascii="Times New Roman" w:hAnsi="Times New Roman" w:cs="Times New Roman"/>
          <w:sz w:val="24"/>
          <w:szCs w:val="24"/>
        </w:rPr>
        <w:t xml:space="preserve"> to software sources e.g. middleware, including search engines, application stores and browsers, or to infrastructural elements e.g. network</w:t>
      </w:r>
      <w:r w:rsidR="0020164E" w:rsidRPr="00774EDB">
        <w:rPr>
          <w:rFonts w:ascii="Times New Roman" w:hAnsi="Times New Roman" w:cs="Times New Roman"/>
          <w:sz w:val="24"/>
          <w:szCs w:val="24"/>
        </w:rPr>
        <w:t xml:space="preserve"> interfaces</w:t>
      </w:r>
      <w:r w:rsidR="00367E41" w:rsidRPr="00774EDB">
        <w:rPr>
          <w:rFonts w:ascii="Times New Roman" w:hAnsi="Times New Roman" w:cs="Times New Roman"/>
          <w:sz w:val="24"/>
          <w:szCs w:val="24"/>
        </w:rPr>
        <w:t>, the same criterion of ‘restriction of access</w:t>
      </w:r>
      <w:r w:rsidR="00384DDE">
        <w:rPr>
          <w:rFonts w:ascii="Times New Roman" w:hAnsi="Times New Roman" w:cs="Times New Roman"/>
          <w:sz w:val="24"/>
          <w:szCs w:val="24"/>
        </w:rPr>
        <w:t xml:space="preserve"> and interoperability</w:t>
      </w:r>
      <w:r w:rsidR="00367E41" w:rsidRPr="00774EDB">
        <w:rPr>
          <w:rFonts w:ascii="Times New Roman" w:hAnsi="Times New Roman" w:cs="Times New Roman"/>
          <w:sz w:val="24"/>
          <w:szCs w:val="24"/>
        </w:rPr>
        <w:t xml:space="preserve">’ should be followed </w:t>
      </w:r>
      <w:r>
        <w:rPr>
          <w:rFonts w:ascii="Times New Roman" w:hAnsi="Times New Roman" w:cs="Times New Roman"/>
          <w:sz w:val="24"/>
          <w:szCs w:val="24"/>
        </w:rPr>
        <w:t>with regards to these gateways or technically speaking ‘interfaces’. F</w:t>
      </w:r>
      <w:r w:rsidR="00584E0B">
        <w:rPr>
          <w:rFonts w:ascii="Times New Roman" w:hAnsi="Times New Roman" w:cs="Times New Roman"/>
          <w:sz w:val="24"/>
          <w:szCs w:val="24"/>
        </w:rPr>
        <w:t>rom</w:t>
      </w:r>
      <w:r w:rsidR="00367E41" w:rsidRPr="00774EDB">
        <w:rPr>
          <w:rFonts w:ascii="Times New Roman" w:hAnsi="Times New Roman" w:cs="Times New Roman"/>
          <w:sz w:val="24"/>
          <w:szCs w:val="24"/>
        </w:rPr>
        <w:t xml:space="preserve"> the regulator</w:t>
      </w:r>
      <w:r w:rsidR="00584E0B">
        <w:rPr>
          <w:rFonts w:ascii="Times New Roman" w:hAnsi="Times New Roman" w:cs="Times New Roman"/>
          <w:sz w:val="24"/>
          <w:szCs w:val="24"/>
        </w:rPr>
        <w:t>y perspective</w:t>
      </w:r>
      <w:r>
        <w:rPr>
          <w:rFonts w:ascii="Times New Roman" w:hAnsi="Times New Roman" w:cs="Times New Roman"/>
          <w:sz w:val="24"/>
          <w:szCs w:val="24"/>
        </w:rPr>
        <w:t>,</w:t>
      </w:r>
      <w:r w:rsidR="00367E41" w:rsidRPr="00774EDB">
        <w:rPr>
          <w:rFonts w:ascii="Times New Roman" w:hAnsi="Times New Roman" w:cs="Times New Roman"/>
          <w:sz w:val="24"/>
          <w:szCs w:val="24"/>
        </w:rPr>
        <w:t xml:space="preserve"> </w:t>
      </w:r>
      <w:r>
        <w:rPr>
          <w:rFonts w:ascii="Times New Roman" w:hAnsi="Times New Roman" w:cs="Times New Roman"/>
          <w:sz w:val="24"/>
          <w:szCs w:val="24"/>
        </w:rPr>
        <w:t>a</w:t>
      </w:r>
      <w:r w:rsidR="00367E41" w:rsidRPr="00774EDB">
        <w:rPr>
          <w:rFonts w:ascii="Times New Roman" w:hAnsi="Times New Roman" w:cs="Times New Roman"/>
          <w:sz w:val="24"/>
          <w:szCs w:val="24"/>
        </w:rPr>
        <w:t xml:space="preserve"> wide spectrum of </w:t>
      </w:r>
      <w:r>
        <w:rPr>
          <w:rFonts w:ascii="Times New Roman" w:hAnsi="Times New Roman" w:cs="Times New Roman"/>
          <w:sz w:val="24"/>
          <w:szCs w:val="24"/>
        </w:rPr>
        <w:t xml:space="preserve">restrictive </w:t>
      </w:r>
      <w:r w:rsidR="00367E41" w:rsidRPr="00774EDB">
        <w:rPr>
          <w:rFonts w:ascii="Times New Roman" w:hAnsi="Times New Roman" w:cs="Times New Roman"/>
          <w:sz w:val="24"/>
          <w:szCs w:val="24"/>
        </w:rPr>
        <w:t xml:space="preserve">activities </w:t>
      </w:r>
      <w:r>
        <w:rPr>
          <w:rFonts w:ascii="Times New Roman" w:hAnsi="Times New Roman" w:cs="Times New Roman"/>
          <w:sz w:val="24"/>
          <w:szCs w:val="24"/>
        </w:rPr>
        <w:t>need</w:t>
      </w:r>
      <w:r w:rsidRPr="00774EDB">
        <w:rPr>
          <w:rFonts w:ascii="Times New Roman" w:hAnsi="Times New Roman" w:cs="Times New Roman"/>
          <w:sz w:val="24"/>
          <w:szCs w:val="24"/>
        </w:rPr>
        <w:t xml:space="preserve"> </w:t>
      </w:r>
      <w:r>
        <w:rPr>
          <w:rFonts w:ascii="Times New Roman" w:hAnsi="Times New Roman" w:cs="Times New Roman"/>
          <w:sz w:val="24"/>
          <w:szCs w:val="24"/>
        </w:rPr>
        <w:t xml:space="preserve">to </w:t>
      </w:r>
      <w:r w:rsidR="00367E41" w:rsidRPr="00774EDB">
        <w:rPr>
          <w:rFonts w:ascii="Times New Roman" w:hAnsi="Times New Roman" w:cs="Times New Roman"/>
          <w:sz w:val="24"/>
          <w:szCs w:val="24"/>
        </w:rPr>
        <w:t xml:space="preserve">be comprehended within this context, incorporating discrimination, </w:t>
      </w:r>
      <w:r w:rsidR="00DC032E">
        <w:rPr>
          <w:rFonts w:ascii="Times New Roman" w:hAnsi="Times New Roman" w:cs="Times New Roman"/>
          <w:sz w:val="24"/>
          <w:szCs w:val="24"/>
        </w:rPr>
        <w:t xml:space="preserve">manipulation, </w:t>
      </w:r>
      <w:r w:rsidR="00422CA0">
        <w:rPr>
          <w:rFonts w:ascii="Times New Roman" w:hAnsi="Times New Roman" w:cs="Times New Roman"/>
          <w:sz w:val="24"/>
          <w:szCs w:val="24"/>
        </w:rPr>
        <w:t>prioritisation</w:t>
      </w:r>
      <w:r w:rsidR="00367E41" w:rsidRPr="00774EDB">
        <w:rPr>
          <w:rFonts w:ascii="Times New Roman" w:hAnsi="Times New Roman" w:cs="Times New Roman"/>
          <w:sz w:val="24"/>
          <w:szCs w:val="24"/>
        </w:rPr>
        <w:t xml:space="preserve"> and quality deterioration, </w:t>
      </w:r>
      <w:r>
        <w:rPr>
          <w:rFonts w:ascii="Times New Roman" w:hAnsi="Times New Roman" w:cs="Times New Roman"/>
          <w:sz w:val="24"/>
          <w:szCs w:val="24"/>
        </w:rPr>
        <w:t xml:space="preserve">considering their </w:t>
      </w:r>
      <w:r w:rsidR="00367E41" w:rsidRPr="00774EDB">
        <w:rPr>
          <w:rFonts w:ascii="Times New Roman" w:hAnsi="Times New Roman" w:cs="Times New Roman"/>
          <w:sz w:val="24"/>
          <w:szCs w:val="24"/>
        </w:rPr>
        <w:t xml:space="preserve">restrictive nature over the consumers’ freedom to choose from across the alternative </w:t>
      </w:r>
      <w:r>
        <w:rPr>
          <w:rFonts w:ascii="Times New Roman" w:hAnsi="Times New Roman" w:cs="Times New Roman"/>
          <w:sz w:val="24"/>
          <w:szCs w:val="24"/>
        </w:rPr>
        <w:t xml:space="preserve">networks, platforms, </w:t>
      </w:r>
      <w:r w:rsidR="00367E41" w:rsidRPr="00774EDB">
        <w:rPr>
          <w:rFonts w:ascii="Times New Roman" w:hAnsi="Times New Roman" w:cs="Times New Roman"/>
          <w:sz w:val="24"/>
          <w:szCs w:val="24"/>
        </w:rPr>
        <w:t>apps,</w:t>
      </w:r>
      <w:r w:rsidR="0020164E" w:rsidRPr="00774EDB">
        <w:rPr>
          <w:rFonts w:ascii="Times New Roman" w:hAnsi="Times New Roman" w:cs="Times New Roman"/>
          <w:sz w:val="24"/>
          <w:szCs w:val="24"/>
        </w:rPr>
        <w:t xml:space="preserve"> </w:t>
      </w:r>
      <w:r w:rsidR="00367E41" w:rsidRPr="00774EDB">
        <w:rPr>
          <w:rFonts w:ascii="Times New Roman" w:hAnsi="Times New Roman" w:cs="Times New Roman"/>
          <w:sz w:val="24"/>
          <w:szCs w:val="24"/>
        </w:rPr>
        <w:t>services or products.</w:t>
      </w:r>
    </w:p>
    <w:p w14:paraId="5DC63A7E" w14:textId="4EBE896F" w:rsidR="00367E41" w:rsidRPr="00774EDB" w:rsidRDefault="009A19E8" w:rsidP="00A70042">
      <w:pPr>
        <w:spacing w:before="360"/>
        <w:jc w:val="both"/>
        <w:rPr>
          <w:rFonts w:ascii="Times New Roman" w:hAnsi="Times New Roman" w:cs="Times New Roman"/>
          <w:sz w:val="24"/>
          <w:szCs w:val="24"/>
        </w:rPr>
      </w:pPr>
      <w:r>
        <w:rPr>
          <w:rFonts w:ascii="Times New Roman" w:hAnsi="Times New Roman" w:cs="Times New Roman"/>
          <w:sz w:val="24"/>
          <w:szCs w:val="24"/>
        </w:rPr>
        <w:t xml:space="preserve">Against this background, </w:t>
      </w:r>
      <w:r w:rsidR="00367E41" w:rsidRPr="00774EDB">
        <w:rPr>
          <w:rFonts w:ascii="Times New Roman" w:hAnsi="Times New Roman" w:cs="Times New Roman"/>
          <w:sz w:val="24"/>
          <w:szCs w:val="24"/>
        </w:rPr>
        <w:t>‘</w:t>
      </w:r>
      <w:r>
        <w:rPr>
          <w:rFonts w:ascii="Times New Roman" w:hAnsi="Times New Roman" w:cs="Times New Roman"/>
          <w:sz w:val="24"/>
          <w:szCs w:val="24"/>
        </w:rPr>
        <w:t>r</w:t>
      </w:r>
      <w:r w:rsidR="00367E41" w:rsidRPr="00774EDB">
        <w:rPr>
          <w:rFonts w:ascii="Times New Roman" w:hAnsi="Times New Roman" w:cs="Times New Roman"/>
          <w:sz w:val="24"/>
          <w:szCs w:val="24"/>
        </w:rPr>
        <w:t>estriction of access</w:t>
      </w:r>
      <w:r w:rsidR="00790F0B">
        <w:rPr>
          <w:rFonts w:ascii="Times New Roman" w:hAnsi="Times New Roman" w:cs="Times New Roman"/>
          <w:sz w:val="24"/>
          <w:szCs w:val="24"/>
        </w:rPr>
        <w:t xml:space="preserve"> and interoperability</w:t>
      </w:r>
      <w:r w:rsidR="00367E41" w:rsidRPr="00774EDB">
        <w:rPr>
          <w:rFonts w:ascii="Times New Roman" w:hAnsi="Times New Roman" w:cs="Times New Roman"/>
          <w:sz w:val="24"/>
          <w:szCs w:val="24"/>
        </w:rPr>
        <w:t xml:space="preserve">’ </w:t>
      </w:r>
      <w:r>
        <w:rPr>
          <w:rFonts w:ascii="Times New Roman" w:hAnsi="Times New Roman" w:cs="Times New Roman"/>
          <w:sz w:val="24"/>
          <w:szCs w:val="24"/>
        </w:rPr>
        <w:t>should be acknowledged</w:t>
      </w:r>
      <w:r w:rsidR="00367E41" w:rsidRPr="00774EDB">
        <w:rPr>
          <w:rFonts w:ascii="Times New Roman" w:hAnsi="Times New Roman" w:cs="Times New Roman"/>
          <w:sz w:val="24"/>
          <w:szCs w:val="24"/>
        </w:rPr>
        <w:t xml:space="preserve"> </w:t>
      </w:r>
      <w:r w:rsidR="00790F0B">
        <w:rPr>
          <w:rFonts w:ascii="Times New Roman" w:hAnsi="Times New Roman" w:cs="Times New Roman"/>
          <w:sz w:val="24"/>
          <w:szCs w:val="24"/>
        </w:rPr>
        <w:t xml:space="preserve">to happen </w:t>
      </w:r>
      <w:r w:rsidR="00367E41" w:rsidRPr="00774EDB">
        <w:rPr>
          <w:rFonts w:ascii="Times New Roman" w:hAnsi="Times New Roman" w:cs="Times New Roman"/>
          <w:sz w:val="24"/>
          <w:szCs w:val="24"/>
        </w:rPr>
        <w:t xml:space="preserve">regardless of the market power. All the layers would be </w:t>
      </w:r>
      <w:r w:rsidR="00367E41" w:rsidRPr="00774EDB">
        <w:rPr>
          <w:rFonts w:ascii="Times New Roman" w:hAnsi="Times New Roman" w:cs="Times New Roman"/>
          <w:sz w:val="24"/>
          <w:szCs w:val="24"/>
        </w:rPr>
        <w:lastRenderedPageBreak/>
        <w:t>exposed to gatekeepers and their restrictive activities</w:t>
      </w:r>
      <w:r w:rsidR="00DC032E">
        <w:rPr>
          <w:rFonts w:ascii="Times New Roman" w:hAnsi="Times New Roman" w:cs="Times New Roman"/>
          <w:sz w:val="24"/>
          <w:szCs w:val="24"/>
        </w:rPr>
        <w:t xml:space="preserve"> </w:t>
      </w:r>
      <w:r w:rsidR="00790F0B">
        <w:rPr>
          <w:rFonts w:ascii="Times New Roman" w:hAnsi="Times New Roman" w:cs="Times New Roman"/>
          <w:sz w:val="24"/>
          <w:szCs w:val="24"/>
        </w:rPr>
        <w:t>wi</w:t>
      </w:r>
      <w:r w:rsidR="00DC032E">
        <w:rPr>
          <w:rFonts w:ascii="Times New Roman" w:hAnsi="Times New Roman" w:cs="Times New Roman"/>
          <w:sz w:val="24"/>
          <w:szCs w:val="24"/>
        </w:rPr>
        <w:t>thin the meaning</w:t>
      </w:r>
      <w:r w:rsidR="00367E41" w:rsidRPr="00774EDB">
        <w:rPr>
          <w:rFonts w:ascii="Times New Roman" w:hAnsi="Times New Roman" w:cs="Times New Roman"/>
          <w:sz w:val="24"/>
          <w:szCs w:val="24"/>
        </w:rPr>
        <w:t xml:space="preserve"> of the proposed ‘layered regulatory model’. As a matter of fact, every ICT player that operates in one or more of the layers would potentially have a gatekeeper role </w:t>
      </w:r>
      <w:r w:rsidR="00FB5EF3" w:rsidRPr="00774EDB">
        <w:rPr>
          <w:rFonts w:ascii="Times New Roman" w:hAnsi="Times New Roman" w:cs="Times New Roman"/>
          <w:sz w:val="24"/>
          <w:szCs w:val="24"/>
        </w:rPr>
        <w:t>insofar as</w:t>
      </w:r>
      <w:r w:rsidR="00367E41" w:rsidRPr="00774EDB">
        <w:rPr>
          <w:rFonts w:ascii="Times New Roman" w:hAnsi="Times New Roman" w:cs="Times New Roman"/>
          <w:sz w:val="24"/>
          <w:szCs w:val="24"/>
        </w:rPr>
        <w:t xml:space="preserve"> they </w:t>
      </w:r>
      <w:r w:rsidR="00FB5EF3" w:rsidRPr="00774EDB">
        <w:rPr>
          <w:rFonts w:ascii="Times New Roman" w:hAnsi="Times New Roman" w:cs="Times New Roman"/>
          <w:sz w:val="24"/>
          <w:szCs w:val="24"/>
        </w:rPr>
        <w:t>ar</w:t>
      </w:r>
      <w:r w:rsidR="00367E41" w:rsidRPr="00774EDB">
        <w:rPr>
          <w:rFonts w:ascii="Times New Roman" w:hAnsi="Times New Roman" w:cs="Times New Roman"/>
          <w:sz w:val="24"/>
          <w:szCs w:val="24"/>
        </w:rPr>
        <w:t xml:space="preserve">e positioned to be able to restrict the consumer choices via </w:t>
      </w:r>
      <w:r w:rsidR="008278FA">
        <w:rPr>
          <w:rFonts w:ascii="Times New Roman" w:hAnsi="Times New Roman" w:cs="Times New Roman"/>
          <w:sz w:val="24"/>
          <w:szCs w:val="24"/>
        </w:rPr>
        <w:t>control over access and interoperability</w:t>
      </w:r>
      <w:r w:rsidR="00367E41" w:rsidRPr="00774EDB">
        <w:rPr>
          <w:rFonts w:ascii="Times New Roman" w:hAnsi="Times New Roman" w:cs="Times New Roman"/>
          <w:sz w:val="24"/>
          <w:szCs w:val="24"/>
        </w:rPr>
        <w:t xml:space="preserve">. </w:t>
      </w:r>
      <w:r w:rsidR="00F56029">
        <w:rPr>
          <w:rFonts w:ascii="Times New Roman" w:hAnsi="Times New Roman" w:cs="Times New Roman"/>
          <w:sz w:val="24"/>
          <w:szCs w:val="24"/>
        </w:rPr>
        <w:t>In many cases, t</w:t>
      </w:r>
      <w:r w:rsidR="00367E41" w:rsidRPr="00774EDB">
        <w:rPr>
          <w:rFonts w:ascii="Times New Roman" w:hAnsi="Times New Roman" w:cs="Times New Roman"/>
          <w:sz w:val="24"/>
          <w:szCs w:val="24"/>
        </w:rPr>
        <w:t>his role would allow the gatekeeper to leverage their gatekeeping position to favour their own activities in other layers. This</w:t>
      </w:r>
      <w:r w:rsidR="00FB5EF3" w:rsidRPr="00774EDB">
        <w:rPr>
          <w:rFonts w:ascii="Times New Roman" w:hAnsi="Times New Roman" w:cs="Times New Roman"/>
          <w:sz w:val="24"/>
          <w:szCs w:val="24"/>
        </w:rPr>
        <w:t xml:space="preserve"> </w:t>
      </w:r>
      <w:r w:rsidR="00367E41" w:rsidRPr="00774EDB">
        <w:rPr>
          <w:rFonts w:ascii="Times New Roman" w:hAnsi="Times New Roman" w:cs="Times New Roman"/>
          <w:sz w:val="24"/>
          <w:szCs w:val="24"/>
        </w:rPr>
        <w:t xml:space="preserve">means applying restrictions on the consumers that </w:t>
      </w:r>
      <w:r w:rsidR="00790F0B">
        <w:rPr>
          <w:rFonts w:ascii="Times New Roman" w:hAnsi="Times New Roman" w:cs="Times New Roman"/>
          <w:sz w:val="24"/>
          <w:szCs w:val="24"/>
        </w:rPr>
        <w:t xml:space="preserve">seek access to the gateways from </w:t>
      </w:r>
      <w:r w:rsidR="00367E41" w:rsidRPr="00774EDB">
        <w:rPr>
          <w:rFonts w:ascii="Times New Roman" w:hAnsi="Times New Roman" w:cs="Times New Roman"/>
          <w:sz w:val="24"/>
          <w:szCs w:val="24"/>
        </w:rPr>
        <w:t xml:space="preserve">other layers. The strong likelihood of the so-called access and interoperability restrictions </w:t>
      </w:r>
      <w:r w:rsidR="00DC032E">
        <w:rPr>
          <w:rFonts w:ascii="Times New Roman" w:hAnsi="Times New Roman" w:cs="Times New Roman"/>
          <w:sz w:val="24"/>
          <w:szCs w:val="24"/>
        </w:rPr>
        <w:t>sh</w:t>
      </w:r>
      <w:r w:rsidR="00367E41" w:rsidRPr="00774EDB">
        <w:rPr>
          <w:rFonts w:ascii="Times New Roman" w:hAnsi="Times New Roman" w:cs="Times New Roman"/>
          <w:sz w:val="24"/>
          <w:szCs w:val="24"/>
        </w:rPr>
        <w:t xml:space="preserve">ould </w:t>
      </w:r>
      <w:r w:rsidR="00DC032E">
        <w:rPr>
          <w:rFonts w:ascii="Times New Roman" w:hAnsi="Times New Roman" w:cs="Times New Roman"/>
          <w:sz w:val="24"/>
          <w:szCs w:val="24"/>
        </w:rPr>
        <w:t xml:space="preserve">be deemed </w:t>
      </w:r>
      <w:r w:rsidR="00367E41" w:rsidRPr="00774EDB">
        <w:rPr>
          <w:rFonts w:ascii="Times New Roman" w:hAnsi="Times New Roman" w:cs="Times New Roman"/>
          <w:sz w:val="24"/>
          <w:szCs w:val="24"/>
        </w:rPr>
        <w:t>suffic</w:t>
      </w:r>
      <w:r w:rsidR="00DC032E">
        <w:rPr>
          <w:rFonts w:ascii="Times New Roman" w:hAnsi="Times New Roman" w:cs="Times New Roman"/>
          <w:sz w:val="24"/>
          <w:szCs w:val="24"/>
        </w:rPr>
        <w:t>i</w:t>
      </w:r>
      <w:r w:rsidR="00367E41" w:rsidRPr="00774EDB">
        <w:rPr>
          <w:rFonts w:ascii="Times New Roman" w:hAnsi="Times New Roman" w:cs="Times New Roman"/>
          <w:sz w:val="24"/>
          <w:szCs w:val="24"/>
        </w:rPr>
        <w:t>e</w:t>
      </w:r>
      <w:r w:rsidR="00DC032E">
        <w:rPr>
          <w:rFonts w:ascii="Times New Roman" w:hAnsi="Times New Roman" w:cs="Times New Roman"/>
          <w:sz w:val="24"/>
          <w:szCs w:val="24"/>
        </w:rPr>
        <w:t>nt</w:t>
      </w:r>
      <w:r w:rsidR="00367E41" w:rsidRPr="00774EDB">
        <w:rPr>
          <w:rFonts w:ascii="Times New Roman" w:hAnsi="Times New Roman" w:cs="Times New Roman"/>
          <w:sz w:val="24"/>
          <w:szCs w:val="24"/>
        </w:rPr>
        <w:t xml:space="preserve"> for the application of ex-ante regulation</w:t>
      </w:r>
      <w:r w:rsidR="00F56029">
        <w:rPr>
          <w:rFonts w:ascii="Times New Roman" w:hAnsi="Times New Roman" w:cs="Times New Roman"/>
          <w:sz w:val="24"/>
          <w:szCs w:val="24"/>
        </w:rPr>
        <w:t xml:space="preserve"> within the meaning of proposed model</w:t>
      </w:r>
      <w:r w:rsidR="00367E41" w:rsidRPr="00774EDB">
        <w:rPr>
          <w:rFonts w:ascii="Times New Roman" w:hAnsi="Times New Roman" w:cs="Times New Roman"/>
          <w:sz w:val="24"/>
          <w:szCs w:val="24"/>
        </w:rPr>
        <w:t xml:space="preserve">, along the same lines </w:t>
      </w:r>
      <w:r w:rsidR="00E32CC8">
        <w:rPr>
          <w:rFonts w:ascii="Times New Roman" w:hAnsi="Times New Roman" w:cs="Times New Roman"/>
          <w:sz w:val="24"/>
          <w:szCs w:val="24"/>
        </w:rPr>
        <w:t>with</w:t>
      </w:r>
      <w:r w:rsidR="00367E41" w:rsidRPr="00774EDB">
        <w:rPr>
          <w:rFonts w:ascii="Times New Roman" w:hAnsi="Times New Roman" w:cs="Times New Roman"/>
          <w:sz w:val="24"/>
          <w:szCs w:val="24"/>
        </w:rPr>
        <w:t xml:space="preserve"> the ECRF</w:t>
      </w:r>
      <w:r w:rsidR="00E32CC8">
        <w:rPr>
          <w:rFonts w:ascii="Times New Roman" w:hAnsi="Times New Roman" w:cs="Times New Roman"/>
          <w:sz w:val="24"/>
          <w:szCs w:val="24"/>
        </w:rPr>
        <w:t xml:space="preserve"> and its consumer-oriented perspective</w:t>
      </w:r>
      <w:r w:rsidR="00367E41" w:rsidRPr="00774EDB">
        <w:rPr>
          <w:rFonts w:ascii="Times New Roman" w:hAnsi="Times New Roman" w:cs="Times New Roman"/>
          <w:sz w:val="24"/>
          <w:szCs w:val="24"/>
        </w:rPr>
        <w:t>.</w:t>
      </w:r>
    </w:p>
    <w:p w14:paraId="18BECAD8" w14:textId="47EC8F3B" w:rsidR="001743E8" w:rsidRPr="00774EDB" w:rsidRDefault="00367E4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In the table below could be seen several examples regarding gatekeeping activities which have a restrictive nature.</w:t>
      </w:r>
    </w:p>
    <w:p w14:paraId="7118145F" w14:textId="77777777" w:rsidR="007418B1" w:rsidRDefault="007418B1">
      <w:pPr>
        <w:rPr>
          <w:rFonts w:ascii="Times New Roman" w:hAnsi="Times New Roman" w:cs="Times New Roman"/>
          <w:b/>
          <w:bCs/>
          <w:sz w:val="24"/>
          <w:szCs w:val="24"/>
        </w:rPr>
      </w:pPr>
      <w:r>
        <w:rPr>
          <w:rFonts w:ascii="Times New Roman" w:hAnsi="Times New Roman" w:cs="Times New Roman"/>
          <w:b/>
          <w:bCs/>
          <w:sz w:val="24"/>
          <w:szCs w:val="24"/>
        </w:rPr>
        <w:br w:type="page"/>
      </w:r>
    </w:p>
    <w:p w14:paraId="6A78767D" w14:textId="1B54DCAD" w:rsidR="00E93324" w:rsidRPr="00A70042" w:rsidRDefault="00E36D33" w:rsidP="00A70042">
      <w:pPr>
        <w:spacing w:before="360"/>
        <w:jc w:val="both"/>
        <w:outlineLvl w:val="8"/>
        <w:rPr>
          <w:rFonts w:ascii="Times New Roman" w:hAnsi="Times New Roman" w:cs="Times New Roman"/>
          <w:sz w:val="24"/>
          <w:szCs w:val="24"/>
        </w:rPr>
      </w:pPr>
      <w:bookmarkStart w:id="720" w:name="_Toc17613623"/>
      <w:r w:rsidRPr="00A70042">
        <w:rPr>
          <w:rFonts w:ascii="Times New Roman" w:hAnsi="Times New Roman" w:cs="Times New Roman"/>
          <w:b/>
          <w:bCs/>
          <w:sz w:val="24"/>
          <w:szCs w:val="24"/>
        </w:rPr>
        <w:lastRenderedPageBreak/>
        <w:t>Tabl</w:t>
      </w:r>
      <w:r w:rsidR="00294513" w:rsidRPr="00A70042">
        <w:rPr>
          <w:rFonts w:ascii="Times New Roman" w:hAnsi="Times New Roman" w:cs="Times New Roman"/>
          <w:b/>
          <w:bCs/>
          <w:sz w:val="24"/>
          <w:szCs w:val="24"/>
        </w:rPr>
        <w:t>e</w:t>
      </w:r>
      <w:r w:rsidR="005276CF" w:rsidRPr="00A70042">
        <w:rPr>
          <w:rFonts w:ascii="Times New Roman" w:hAnsi="Times New Roman" w:cs="Times New Roman"/>
          <w:b/>
          <w:bCs/>
          <w:sz w:val="24"/>
          <w:szCs w:val="24"/>
        </w:rPr>
        <w:t xml:space="preserve"> </w:t>
      </w:r>
      <w:r w:rsidRPr="00A70042">
        <w:rPr>
          <w:rFonts w:ascii="Times New Roman" w:hAnsi="Times New Roman" w:cs="Times New Roman"/>
          <w:b/>
          <w:bCs/>
          <w:sz w:val="24"/>
          <w:szCs w:val="24"/>
        </w:rPr>
        <w:t>2</w:t>
      </w:r>
      <w:r w:rsidR="00294513" w:rsidRPr="00A70042">
        <w:rPr>
          <w:rFonts w:ascii="Times New Roman" w:hAnsi="Times New Roman" w:cs="Times New Roman"/>
          <w:b/>
          <w:bCs/>
          <w:sz w:val="24"/>
          <w:szCs w:val="24"/>
        </w:rPr>
        <w:t>:</w:t>
      </w:r>
      <w:r w:rsidR="00294513" w:rsidRPr="00A70042">
        <w:rPr>
          <w:rFonts w:ascii="Times New Roman" w:hAnsi="Times New Roman" w:cs="Times New Roman"/>
          <w:sz w:val="24"/>
          <w:szCs w:val="24"/>
        </w:rPr>
        <w:t xml:space="preserve"> </w:t>
      </w:r>
      <w:r w:rsidR="006A78A3" w:rsidRPr="00A70042">
        <w:rPr>
          <w:rFonts w:ascii="Times New Roman" w:hAnsi="Times New Roman" w:cs="Times New Roman"/>
          <w:sz w:val="24"/>
          <w:szCs w:val="24"/>
        </w:rPr>
        <w:t>Potential g</w:t>
      </w:r>
      <w:r w:rsidR="00294513" w:rsidRPr="00A70042">
        <w:rPr>
          <w:rFonts w:ascii="Times New Roman" w:hAnsi="Times New Roman" w:cs="Times New Roman"/>
          <w:sz w:val="24"/>
          <w:szCs w:val="24"/>
        </w:rPr>
        <w:t xml:space="preserve">atekeepers and </w:t>
      </w:r>
      <w:r w:rsidR="00D46643" w:rsidRPr="00A70042">
        <w:rPr>
          <w:rFonts w:ascii="Times New Roman" w:hAnsi="Times New Roman" w:cs="Times New Roman"/>
          <w:sz w:val="24"/>
          <w:szCs w:val="24"/>
        </w:rPr>
        <w:t xml:space="preserve">gatekeeping </w:t>
      </w:r>
      <w:r w:rsidR="00294513" w:rsidRPr="00A70042">
        <w:rPr>
          <w:rFonts w:ascii="Times New Roman" w:hAnsi="Times New Roman" w:cs="Times New Roman"/>
          <w:sz w:val="24"/>
          <w:szCs w:val="24"/>
        </w:rPr>
        <w:t>activities across the layers</w:t>
      </w:r>
      <w:bookmarkEnd w:id="720"/>
    </w:p>
    <w:tbl>
      <w:tblPr>
        <w:tblStyle w:val="TableGrid"/>
        <w:tblW w:w="5000" w:type="pct"/>
        <w:tblLook w:val="04A0" w:firstRow="1" w:lastRow="0" w:firstColumn="1" w:lastColumn="0" w:noHBand="0" w:noVBand="1"/>
      </w:tblPr>
      <w:tblGrid>
        <w:gridCol w:w="1629"/>
        <w:gridCol w:w="1629"/>
        <w:gridCol w:w="4952"/>
      </w:tblGrid>
      <w:tr w:rsidR="00CC6612" w:rsidRPr="00774EDB" w14:paraId="0BEDEFD1" w14:textId="77777777" w:rsidTr="00A70042">
        <w:tc>
          <w:tcPr>
            <w:tcW w:w="992" w:type="pct"/>
          </w:tcPr>
          <w:p w14:paraId="2A669831" w14:textId="77777777" w:rsidR="00CC6612" w:rsidRPr="00774EDB" w:rsidRDefault="00CC6612" w:rsidP="00A70042">
            <w:pPr>
              <w:spacing w:before="120"/>
              <w:jc w:val="both"/>
              <w:rPr>
                <w:rFonts w:ascii="Times New Roman" w:hAnsi="Times New Roman" w:cs="Times New Roman"/>
                <w:b/>
                <w:bCs/>
                <w:sz w:val="24"/>
                <w:szCs w:val="24"/>
              </w:rPr>
            </w:pPr>
            <w:r w:rsidRPr="00774EDB">
              <w:rPr>
                <w:rFonts w:ascii="Times New Roman" w:hAnsi="Times New Roman" w:cs="Times New Roman"/>
                <w:b/>
                <w:bCs/>
                <w:sz w:val="24"/>
                <w:szCs w:val="24"/>
              </w:rPr>
              <w:t>Layers</w:t>
            </w:r>
          </w:p>
        </w:tc>
        <w:tc>
          <w:tcPr>
            <w:tcW w:w="992" w:type="pct"/>
          </w:tcPr>
          <w:p w14:paraId="3CE9502A" w14:textId="77777777" w:rsidR="00CC6612" w:rsidRPr="00774EDB" w:rsidRDefault="006A78A3" w:rsidP="00A70042">
            <w:pPr>
              <w:spacing w:before="120"/>
              <w:jc w:val="both"/>
              <w:rPr>
                <w:rFonts w:ascii="Times New Roman" w:hAnsi="Times New Roman" w:cs="Times New Roman"/>
                <w:b/>
                <w:bCs/>
                <w:sz w:val="24"/>
                <w:szCs w:val="24"/>
              </w:rPr>
            </w:pPr>
            <w:r w:rsidRPr="00774EDB">
              <w:rPr>
                <w:rFonts w:ascii="Times New Roman" w:hAnsi="Times New Roman" w:cs="Times New Roman"/>
                <w:b/>
                <w:bCs/>
                <w:sz w:val="24"/>
                <w:szCs w:val="24"/>
              </w:rPr>
              <w:t xml:space="preserve">Potential </w:t>
            </w:r>
            <w:r w:rsidR="00005715" w:rsidRPr="00774EDB">
              <w:rPr>
                <w:rFonts w:ascii="Times New Roman" w:hAnsi="Times New Roman" w:cs="Times New Roman"/>
                <w:b/>
                <w:bCs/>
                <w:sz w:val="24"/>
                <w:szCs w:val="24"/>
              </w:rPr>
              <w:t>g</w:t>
            </w:r>
            <w:r w:rsidR="00CC6612" w:rsidRPr="00774EDB">
              <w:rPr>
                <w:rFonts w:ascii="Times New Roman" w:hAnsi="Times New Roman" w:cs="Times New Roman"/>
                <w:b/>
                <w:bCs/>
                <w:sz w:val="24"/>
                <w:szCs w:val="24"/>
              </w:rPr>
              <w:t>atekeepers</w:t>
            </w:r>
          </w:p>
        </w:tc>
        <w:tc>
          <w:tcPr>
            <w:tcW w:w="3015" w:type="pct"/>
          </w:tcPr>
          <w:p w14:paraId="5DB53638" w14:textId="77777777" w:rsidR="00CC6612" w:rsidRPr="00774EDB" w:rsidRDefault="00005715" w:rsidP="00A70042">
            <w:pPr>
              <w:spacing w:before="120"/>
              <w:jc w:val="both"/>
              <w:rPr>
                <w:rFonts w:ascii="Times New Roman" w:hAnsi="Times New Roman" w:cs="Times New Roman"/>
                <w:b/>
                <w:bCs/>
                <w:sz w:val="24"/>
                <w:szCs w:val="24"/>
              </w:rPr>
            </w:pPr>
            <w:r w:rsidRPr="00774EDB">
              <w:rPr>
                <w:rFonts w:ascii="Times New Roman" w:hAnsi="Times New Roman" w:cs="Times New Roman"/>
                <w:b/>
                <w:bCs/>
                <w:sz w:val="24"/>
                <w:szCs w:val="24"/>
              </w:rPr>
              <w:t>Potential g</w:t>
            </w:r>
            <w:r w:rsidR="00CC6612" w:rsidRPr="00774EDB">
              <w:rPr>
                <w:rFonts w:ascii="Times New Roman" w:hAnsi="Times New Roman" w:cs="Times New Roman"/>
                <w:b/>
                <w:bCs/>
                <w:sz w:val="24"/>
                <w:szCs w:val="24"/>
              </w:rPr>
              <w:t>atekeeping activities</w:t>
            </w:r>
          </w:p>
        </w:tc>
      </w:tr>
      <w:tr w:rsidR="0004158E" w:rsidRPr="00774EDB" w14:paraId="5F1864BF" w14:textId="77777777" w:rsidTr="00A70042">
        <w:tc>
          <w:tcPr>
            <w:tcW w:w="992" w:type="pct"/>
          </w:tcPr>
          <w:p w14:paraId="4215E6DD"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Content</w:t>
            </w:r>
          </w:p>
        </w:tc>
        <w:tc>
          <w:tcPr>
            <w:tcW w:w="992" w:type="pct"/>
          </w:tcPr>
          <w:p w14:paraId="5D468021"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Content providers</w:t>
            </w:r>
          </w:p>
        </w:tc>
        <w:tc>
          <w:tcPr>
            <w:tcW w:w="3015" w:type="pct"/>
          </w:tcPr>
          <w:p w14:paraId="74AE55A4"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Providing premium content to affiliated ISPs, CAS or platform providers e.g. in exchange for priority placement.</w:t>
            </w:r>
          </w:p>
        </w:tc>
      </w:tr>
      <w:tr w:rsidR="0004158E" w:rsidRPr="00774EDB" w14:paraId="50206537" w14:textId="77777777" w:rsidTr="00A70042">
        <w:tc>
          <w:tcPr>
            <w:tcW w:w="992" w:type="pct"/>
          </w:tcPr>
          <w:p w14:paraId="45DDCA14"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Application</w:t>
            </w:r>
          </w:p>
        </w:tc>
        <w:tc>
          <w:tcPr>
            <w:tcW w:w="992" w:type="pct"/>
          </w:tcPr>
          <w:p w14:paraId="689E412C"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App providers</w:t>
            </w:r>
          </w:p>
        </w:tc>
        <w:tc>
          <w:tcPr>
            <w:tcW w:w="3015" w:type="pct"/>
          </w:tcPr>
          <w:p w14:paraId="1A372202"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 xml:space="preserve">Developing apps </w:t>
            </w:r>
            <w:r w:rsidR="00C97547" w:rsidRPr="00774EDB">
              <w:rPr>
                <w:rFonts w:ascii="Times New Roman" w:hAnsi="Times New Roman" w:cs="Times New Roman"/>
                <w:sz w:val="24"/>
                <w:szCs w:val="24"/>
              </w:rPr>
              <w:t xml:space="preserve">so </w:t>
            </w:r>
            <w:r w:rsidRPr="00774EDB">
              <w:rPr>
                <w:rFonts w:ascii="Times New Roman" w:hAnsi="Times New Roman" w:cs="Times New Roman"/>
                <w:sz w:val="24"/>
                <w:szCs w:val="24"/>
              </w:rPr>
              <w:t>as to interoperate only with the affiliated OSs, browsers, search engines, etc.</w:t>
            </w:r>
          </w:p>
        </w:tc>
      </w:tr>
      <w:tr w:rsidR="0004158E" w:rsidRPr="00774EDB" w14:paraId="1DE48A65" w14:textId="77777777" w:rsidTr="00A70042">
        <w:tc>
          <w:tcPr>
            <w:tcW w:w="992" w:type="pct"/>
          </w:tcPr>
          <w:p w14:paraId="05D7DB8E"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Middleware</w:t>
            </w:r>
          </w:p>
        </w:tc>
        <w:tc>
          <w:tcPr>
            <w:tcW w:w="992" w:type="pct"/>
          </w:tcPr>
          <w:p w14:paraId="450E91A1"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Search engine providers</w:t>
            </w:r>
          </w:p>
        </w:tc>
        <w:tc>
          <w:tcPr>
            <w:tcW w:w="3015" w:type="pct"/>
          </w:tcPr>
          <w:p w14:paraId="5AF5AC6C"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Selective ranking favouring certain content, apps and web services.</w:t>
            </w:r>
          </w:p>
        </w:tc>
      </w:tr>
      <w:tr w:rsidR="0004158E" w:rsidRPr="00774EDB" w14:paraId="43EB5369" w14:textId="77777777" w:rsidTr="00A70042">
        <w:tc>
          <w:tcPr>
            <w:tcW w:w="992" w:type="pct"/>
          </w:tcPr>
          <w:p w14:paraId="639E1264" w14:textId="77777777" w:rsidR="0004158E" w:rsidRPr="00774EDB" w:rsidRDefault="0004158E" w:rsidP="00A70042">
            <w:pPr>
              <w:spacing w:before="120"/>
              <w:jc w:val="both"/>
              <w:rPr>
                <w:rFonts w:ascii="Times New Roman" w:hAnsi="Times New Roman" w:cs="Times New Roman"/>
                <w:sz w:val="24"/>
                <w:szCs w:val="24"/>
              </w:rPr>
            </w:pPr>
          </w:p>
        </w:tc>
        <w:tc>
          <w:tcPr>
            <w:tcW w:w="992" w:type="pct"/>
          </w:tcPr>
          <w:p w14:paraId="42346E07"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OS providers</w:t>
            </w:r>
          </w:p>
        </w:tc>
        <w:tc>
          <w:tcPr>
            <w:tcW w:w="3015" w:type="pct"/>
          </w:tcPr>
          <w:p w14:paraId="706DEB5D" w14:textId="7EAB34CC"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 xml:space="preserve">Discriminatory supply of the functionalities </w:t>
            </w:r>
            <w:r w:rsidR="00885B1D" w:rsidRPr="003D1726">
              <w:rPr>
                <w:rFonts w:ascii="Times New Roman" w:hAnsi="Times New Roman" w:cs="Times New Roman"/>
                <w:sz w:val="24"/>
                <w:szCs w:val="24"/>
              </w:rPr>
              <w:t>t</w:t>
            </w:r>
            <w:r w:rsidR="00885B1D" w:rsidRPr="00692824">
              <w:rPr>
                <w:rFonts w:ascii="Times New Roman" w:hAnsi="Times New Roman" w:cs="Times New Roman"/>
                <w:sz w:val="24"/>
                <w:szCs w:val="24"/>
              </w:rPr>
              <w:t>o</w:t>
            </w:r>
            <w:r w:rsidRPr="00774EDB">
              <w:rPr>
                <w:rFonts w:ascii="Times New Roman" w:hAnsi="Times New Roman" w:cs="Times New Roman"/>
                <w:sz w:val="24"/>
                <w:szCs w:val="24"/>
              </w:rPr>
              <w:t xml:space="preserve"> the CPs, app providers or network operators.</w:t>
            </w:r>
          </w:p>
        </w:tc>
      </w:tr>
      <w:tr w:rsidR="0004158E" w:rsidRPr="00774EDB" w14:paraId="6401D96C" w14:textId="77777777" w:rsidTr="00A70042">
        <w:tc>
          <w:tcPr>
            <w:tcW w:w="992" w:type="pct"/>
          </w:tcPr>
          <w:p w14:paraId="35EBAA1A" w14:textId="77777777" w:rsidR="0004158E" w:rsidRPr="00774EDB" w:rsidRDefault="0004158E" w:rsidP="00A70042">
            <w:pPr>
              <w:spacing w:before="120"/>
              <w:jc w:val="both"/>
              <w:rPr>
                <w:rFonts w:ascii="Times New Roman" w:hAnsi="Times New Roman" w:cs="Times New Roman"/>
                <w:sz w:val="24"/>
                <w:szCs w:val="24"/>
              </w:rPr>
            </w:pPr>
          </w:p>
        </w:tc>
        <w:tc>
          <w:tcPr>
            <w:tcW w:w="992" w:type="pct"/>
          </w:tcPr>
          <w:p w14:paraId="2CE981CF"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App store providers</w:t>
            </w:r>
          </w:p>
        </w:tc>
        <w:tc>
          <w:tcPr>
            <w:tcW w:w="3015" w:type="pct"/>
          </w:tcPr>
          <w:p w14:paraId="1525BE4A"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App prioritisation, delaying or blocking based on the app or app type.</w:t>
            </w:r>
          </w:p>
        </w:tc>
      </w:tr>
      <w:tr w:rsidR="0004158E" w:rsidRPr="00774EDB" w14:paraId="7C2A3974" w14:textId="77777777" w:rsidTr="00A70042">
        <w:tc>
          <w:tcPr>
            <w:tcW w:w="992" w:type="pct"/>
          </w:tcPr>
          <w:p w14:paraId="35FEFB72" w14:textId="77777777" w:rsidR="0004158E" w:rsidRPr="00774EDB" w:rsidRDefault="0004158E" w:rsidP="00A70042">
            <w:pPr>
              <w:spacing w:before="120"/>
              <w:jc w:val="both"/>
              <w:rPr>
                <w:rFonts w:ascii="Times New Roman" w:hAnsi="Times New Roman" w:cs="Times New Roman"/>
                <w:sz w:val="24"/>
                <w:szCs w:val="24"/>
              </w:rPr>
            </w:pPr>
          </w:p>
        </w:tc>
        <w:tc>
          <w:tcPr>
            <w:tcW w:w="992" w:type="pct"/>
          </w:tcPr>
          <w:p w14:paraId="12011DE2"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Browser providers</w:t>
            </w:r>
          </w:p>
        </w:tc>
        <w:tc>
          <w:tcPr>
            <w:tcW w:w="3015" w:type="pct"/>
          </w:tcPr>
          <w:p w14:paraId="4FE415EE" w14:textId="165A78F8"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Selective or strategic browsing favouring certain web sites, their ads or ad-blocking strategies.</w:t>
            </w:r>
          </w:p>
        </w:tc>
      </w:tr>
      <w:tr w:rsidR="0004158E" w:rsidRPr="00774EDB" w14:paraId="612A5595" w14:textId="77777777" w:rsidTr="00A70042">
        <w:tc>
          <w:tcPr>
            <w:tcW w:w="992" w:type="pct"/>
          </w:tcPr>
          <w:p w14:paraId="7AEB09DA"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Access</w:t>
            </w:r>
          </w:p>
        </w:tc>
        <w:tc>
          <w:tcPr>
            <w:tcW w:w="992" w:type="pct"/>
          </w:tcPr>
          <w:p w14:paraId="25E5F3FF"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CAS providers</w:t>
            </w:r>
          </w:p>
        </w:tc>
        <w:tc>
          <w:tcPr>
            <w:tcW w:w="3015" w:type="pct"/>
          </w:tcPr>
          <w:p w14:paraId="01CE4499"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Denial of access to the set-top boxes, including APIs and EPGs, or discrimination in the ranking of the access-authorised content.</w:t>
            </w:r>
          </w:p>
        </w:tc>
      </w:tr>
      <w:tr w:rsidR="0004158E" w:rsidRPr="00774EDB" w14:paraId="7A53A8F5" w14:textId="77777777" w:rsidTr="00A70042">
        <w:tc>
          <w:tcPr>
            <w:tcW w:w="992" w:type="pct"/>
          </w:tcPr>
          <w:p w14:paraId="30221138" w14:textId="77777777" w:rsidR="0004158E" w:rsidRPr="00774EDB" w:rsidRDefault="0004158E" w:rsidP="00A70042">
            <w:pPr>
              <w:spacing w:before="120"/>
              <w:jc w:val="both"/>
              <w:rPr>
                <w:rFonts w:ascii="Times New Roman" w:hAnsi="Times New Roman" w:cs="Times New Roman"/>
                <w:sz w:val="24"/>
                <w:szCs w:val="24"/>
              </w:rPr>
            </w:pPr>
          </w:p>
        </w:tc>
        <w:tc>
          <w:tcPr>
            <w:tcW w:w="992" w:type="pct"/>
          </w:tcPr>
          <w:p w14:paraId="25FB64E4"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ISPs</w:t>
            </w:r>
          </w:p>
        </w:tc>
        <w:tc>
          <w:tcPr>
            <w:tcW w:w="3015" w:type="pct"/>
          </w:tcPr>
          <w:p w14:paraId="385A469C" w14:textId="443801FE"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 xml:space="preserve">Blocking, throttling </w:t>
            </w:r>
            <w:r w:rsidR="00885B1D" w:rsidRPr="003D1726">
              <w:rPr>
                <w:rFonts w:ascii="Times New Roman" w:hAnsi="Times New Roman" w:cs="Times New Roman"/>
                <w:sz w:val="24"/>
                <w:szCs w:val="24"/>
              </w:rPr>
              <w:t>o</w:t>
            </w:r>
            <w:r w:rsidR="00885B1D" w:rsidRPr="00692824">
              <w:rPr>
                <w:rFonts w:ascii="Times New Roman" w:hAnsi="Times New Roman" w:cs="Times New Roman"/>
                <w:sz w:val="24"/>
                <w:szCs w:val="24"/>
              </w:rPr>
              <w:t>r</w:t>
            </w:r>
            <w:r w:rsidR="00885B1D" w:rsidRPr="00774EDB">
              <w:rPr>
                <w:rFonts w:ascii="Times New Roman" w:hAnsi="Times New Roman" w:cs="Times New Roman"/>
                <w:sz w:val="24"/>
                <w:szCs w:val="24"/>
              </w:rPr>
              <w:t xml:space="preserve"> </w:t>
            </w:r>
            <w:r w:rsidRPr="00774EDB">
              <w:rPr>
                <w:rFonts w:ascii="Times New Roman" w:hAnsi="Times New Roman" w:cs="Times New Roman"/>
                <w:sz w:val="24"/>
                <w:szCs w:val="24"/>
              </w:rPr>
              <w:t>delaying certain</w:t>
            </w:r>
            <w:r w:rsidR="00885B1D">
              <w:rPr>
                <w:rFonts w:ascii="Times New Roman" w:hAnsi="Times New Roman" w:cs="Times New Roman"/>
                <w:sz w:val="24"/>
                <w:szCs w:val="24"/>
              </w:rPr>
              <w:t>/</w:t>
            </w:r>
            <w:r w:rsidRPr="00774EDB">
              <w:rPr>
                <w:rFonts w:ascii="Times New Roman" w:hAnsi="Times New Roman" w:cs="Times New Roman"/>
                <w:sz w:val="24"/>
                <w:szCs w:val="24"/>
              </w:rPr>
              <w:t xml:space="preserve"> unaffiliated content.</w:t>
            </w:r>
          </w:p>
        </w:tc>
      </w:tr>
      <w:tr w:rsidR="0004158E" w:rsidRPr="00774EDB" w14:paraId="691582BB" w14:textId="77777777" w:rsidTr="00A70042">
        <w:tc>
          <w:tcPr>
            <w:tcW w:w="992" w:type="pct"/>
          </w:tcPr>
          <w:p w14:paraId="7685BA7C" w14:textId="77777777" w:rsidR="0004158E" w:rsidRPr="00774EDB" w:rsidRDefault="0004158E" w:rsidP="00A70042">
            <w:pPr>
              <w:spacing w:before="120"/>
              <w:jc w:val="both"/>
              <w:rPr>
                <w:rFonts w:ascii="Times New Roman" w:hAnsi="Times New Roman" w:cs="Times New Roman"/>
                <w:sz w:val="24"/>
                <w:szCs w:val="24"/>
              </w:rPr>
            </w:pPr>
          </w:p>
        </w:tc>
        <w:tc>
          <w:tcPr>
            <w:tcW w:w="992" w:type="pct"/>
          </w:tcPr>
          <w:p w14:paraId="03500E14" w14:textId="7777777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Network operator</w:t>
            </w:r>
          </w:p>
        </w:tc>
        <w:tc>
          <w:tcPr>
            <w:tcW w:w="3015" w:type="pct"/>
          </w:tcPr>
          <w:p w14:paraId="3138BF74" w14:textId="33B15187" w:rsidR="0004158E" w:rsidRPr="00774EDB" w:rsidRDefault="0004158E" w:rsidP="00A70042">
            <w:pPr>
              <w:spacing w:before="120"/>
              <w:jc w:val="both"/>
              <w:rPr>
                <w:rFonts w:ascii="Times New Roman" w:hAnsi="Times New Roman" w:cs="Times New Roman"/>
                <w:sz w:val="24"/>
                <w:szCs w:val="24"/>
              </w:rPr>
            </w:pPr>
            <w:r w:rsidRPr="00774EDB">
              <w:rPr>
                <w:rFonts w:ascii="Times New Roman" w:hAnsi="Times New Roman" w:cs="Times New Roman"/>
                <w:sz w:val="24"/>
                <w:szCs w:val="24"/>
              </w:rPr>
              <w:t xml:space="preserve">Refusal to supply </w:t>
            </w:r>
            <w:r w:rsidR="00C97547" w:rsidRPr="00774EDB">
              <w:rPr>
                <w:rFonts w:ascii="Times New Roman" w:hAnsi="Times New Roman" w:cs="Times New Roman"/>
                <w:sz w:val="24"/>
                <w:szCs w:val="24"/>
              </w:rPr>
              <w:t>network e.g. NGN interfaces</w:t>
            </w:r>
            <w:r w:rsidRPr="00774EDB">
              <w:rPr>
                <w:rFonts w:ascii="Times New Roman" w:hAnsi="Times New Roman" w:cs="Times New Roman"/>
                <w:sz w:val="24"/>
                <w:szCs w:val="24"/>
              </w:rPr>
              <w:t xml:space="preserve"> </w:t>
            </w:r>
            <w:r w:rsidR="00885B1D">
              <w:rPr>
                <w:rFonts w:ascii="Times New Roman" w:hAnsi="Times New Roman" w:cs="Times New Roman"/>
                <w:sz w:val="24"/>
                <w:szCs w:val="24"/>
              </w:rPr>
              <w:t>t</w:t>
            </w:r>
            <w:r w:rsidR="00885B1D">
              <w:t>o</w:t>
            </w:r>
            <w:r w:rsidRPr="00774EDB">
              <w:rPr>
                <w:rFonts w:ascii="Times New Roman" w:hAnsi="Times New Roman" w:cs="Times New Roman"/>
                <w:sz w:val="24"/>
                <w:szCs w:val="24"/>
              </w:rPr>
              <w:t xml:space="preserve"> the service providers.</w:t>
            </w:r>
          </w:p>
        </w:tc>
      </w:tr>
    </w:tbl>
    <w:p w14:paraId="70333676" w14:textId="66B78890" w:rsidR="00673BF6" w:rsidRDefault="00FE7076" w:rsidP="00A70042">
      <w:pPr>
        <w:jc w:val="both"/>
        <w:rPr>
          <w:rFonts w:ascii="Times New Roman" w:hAnsi="Times New Roman" w:cs="Times New Roman"/>
          <w:sz w:val="20"/>
          <w:szCs w:val="20"/>
        </w:rPr>
      </w:pPr>
      <w:r w:rsidRPr="00A70042">
        <w:rPr>
          <w:rFonts w:ascii="Times New Roman" w:hAnsi="Times New Roman" w:cs="Times New Roman"/>
          <w:b/>
          <w:bCs/>
          <w:sz w:val="20"/>
          <w:szCs w:val="20"/>
        </w:rPr>
        <w:t>Source:</w:t>
      </w:r>
      <w:r w:rsidRPr="00A70042">
        <w:rPr>
          <w:rFonts w:ascii="Times New Roman" w:hAnsi="Times New Roman" w:cs="Times New Roman"/>
          <w:sz w:val="20"/>
          <w:szCs w:val="20"/>
        </w:rPr>
        <w:t xml:space="preserve"> </w:t>
      </w:r>
      <w:r w:rsidR="00692300" w:rsidRPr="00A70042">
        <w:rPr>
          <w:rFonts w:ascii="Times New Roman" w:hAnsi="Times New Roman" w:cs="Times New Roman"/>
          <w:sz w:val="20"/>
          <w:szCs w:val="20"/>
        </w:rPr>
        <w:t>Constructed by the author</w:t>
      </w:r>
      <w:r w:rsidR="00692300" w:rsidRPr="00A70042">
        <w:rPr>
          <w:rStyle w:val="FootnoteReference"/>
          <w:rFonts w:ascii="Times New Roman" w:hAnsi="Times New Roman" w:cs="Times New Roman"/>
          <w:sz w:val="20"/>
          <w:szCs w:val="20"/>
        </w:rPr>
        <w:footnoteReference w:id="890"/>
      </w:r>
    </w:p>
    <w:p w14:paraId="29FEEBE2" w14:textId="33AC0256" w:rsidR="00D779FB" w:rsidRDefault="00D779FB" w:rsidP="00A70042">
      <w:pPr>
        <w:jc w:val="both"/>
        <w:rPr>
          <w:rFonts w:ascii="Times New Roman" w:hAnsi="Times New Roman" w:cs="Times New Roman"/>
          <w:sz w:val="20"/>
          <w:szCs w:val="20"/>
        </w:rPr>
      </w:pPr>
    </w:p>
    <w:p w14:paraId="1FC0A6D7" w14:textId="0A598AD6" w:rsidR="00FF3AF3" w:rsidRPr="00692824" w:rsidRDefault="00D41560" w:rsidP="00692824">
      <w:pPr>
        <w:pStyle w:val="Heading3"/>
        <w:numPr>
          <w:ilvl w:val="2"/>
          <w:numId w:val="33"/>
        </w:numPr>
        <w:spacing w:before="360"/>
        <w:ind w:left="0" w:firstLine="0"/>
        <w:jc w:val="both"/>
        <w:rPr>
          <w:rFonts w:ascii="Times New Roman" w:hAnsi="Times New Roman" w:cs="Times New Roman"/>
          <w:b/>
        </w:rPr>
      </w:pPr>
      <w:bookmarkStart w:id="721" w:name="_Toc53576129"/>
      <w:r w:rsidRPr="0048162D">
        <w:rPr>
          <w:rFonts w:ascii="Times New Roman" w:hAnsi="Times New Roman" w:cs="Times New Roman"/>
          <w:b/>
          <w:color w:val="auto"/>
        </w:rPr>
        <w:t>‘G</w:t>
      </w:r>
      <w:r w:rsidR="00FF3AF3" w:rsidRPr="00692824">
        <w:rPr>
          <w:rFonts w:ascii="Times New Roman" w:hAnsi="Times New Roman" w:cs="Times New Roman"/>
          <w:b/>
          <w:color w:val="auto"/>
        </w:rPr>
        <w:t>atekeeping</w:t>
      </w:r>
      <w:r w:rsidRPr="0048162D">
        <w:rPr>
          <w:rFonts w:ascii="Times New Roman" w:hAnsi="Times New Roman" w:cs="Times New Roman"/>
          <w:b/>
          <w:color w:val="auto"/>
        </w:rPr>
        <w:t xml:space="preserve">’ </w:t>
      </w:r>
      <w:r w:rsidR="00FF3AF3" w:rsidRPr="0048162D">
        <w:rPr>
          <w:rFonts w:ascii="Times New Roman" w:hAnsi="Times New Roman" w:cs="Times New Roman"/>
          <w:b/>
          <w:color w:val="auto"/>
        </w:rPr>
        <w:t>from the perspective of underlying concerns</w:t>
      </w:r>
      <w:bookmarkEnd w:id="721"/>
    </w:p>
    <w:p w14:paraId="496238F6" w14:textId="77777777" w:rsidR="00FF3AF3" w:rsidRDefault="00FF3AF3" w:rsidP="00703E6F">
      <w:pPr>
        <w:jc w:val="both"/>
        <w:rPr>
          <w:rFonts w:ascii="Times New Roman" w:hAnsi="Times New Roman" w:cs="Times New Roman"/>
          <w:sz w:val="24"/>
          <w:szCs w:val="24"/>
        </w:rPr>
      </w:pPr>
    </w:p>
    <w:p w14:paraId="6AC1A5C7" w14:textId="61A8368E" w:rsidR="002C0455" w:rsidRDefault="003504AA" w:rsidP="00703E6F">
      <w:pPr>
        <w:jc w:val="both"/>
        <w:rPr>
          <w:rFonts w:ascii="Times New Roman" w:hAnsi="Times New Roman"/>
          <w:sz w:val="24"/>
          <w:szCs w:val="24"/>
        </w:rPr>
      </w:pPr>
      <w:r>
        <w:rPr>
          <w:rFonts w:ascii="Times New Roman" w:hAnsi="Times New Roman" w:cs="Times New Roman"/>
          <w:sz w:val="24"/>
          <w:szCs w:val="24"/>
        </w:rPr>
        <w:t xml:space="preserve">As could be seen from the above examples, gatekeepers </w:t>
      </w:r>
      <w:r w:rsidR="0003077B">
        <w:rPr>
          <w:rFonts w:ascii="Times New Roman" w:hAnsi="Times New Roman" w:cs="Times New Roman"/>
          <w:sz w:val="24"/>
          <w:szCs w:val="24"/>
        </w:rPr>
        <w:t>might</w:t>
      </w:r>
      <w:r>
        <w:rPr>
          <w:rFonts w:ascii="Times New Roman" w:hAnsi="Times New Roman" w:cs="Times New Roman"/>
          <w:sz w:val="24"/>
          <w:szCs w:val="24"/>
        </w:rPr>
        <w:t xml:space="preserve"> </w:t>
      </w:r>
      <w:r w:rsidR="0003077B">
        <w:rPr>
          <w:rFonts w:ascii="Times New Roman" w:hAnsi="Times New Roman" w:cs="Times New Roman"/>
          <w:sz w:val="24"/>
          <w:szCs w:val="24"/>
        </w:rPr>
        <w:t>have layer-specific or cross-layer activities</w:t>
      </w:r>
      <w:r>
        <w:rPr>
          <w:rFonts w:ascii="Times New Roman" w:hAnsi="Times New Roman" w:cs="Times New Roman"/>
          <w:sz w:val="24"/>
          <w:szCs w:val="24"/>
        </w:rPr>
        <w:t xml:space="preserve">. Their operations mainly target controlling the </w:t>
      </w:r>
      <w:r w:rsidR="00FF3AF3">
        <w:rPr>
          <w:rFonts w:ascii="Times New Roman" w:hAnsi="Times New Roman" w:cs="Times New Roman"/>
          <w:sz w:val="24"/>
          <w:szCs w:val="24"/>
        </w:rPr>
        <w:t>‘</w:t>
      </w:r>
      <w:r>
        <w:rPr>
          <w:rFonts w:ascii="Times New Roman" w:hAnsi="Times New Roman" w:cs="Times New Roman"/>
          <w:sz w:val="24"/>
          <w:szCs w:val="24"/>
        </w:rPr>
        <w:t>gateways</w:t>
      </w:r>
      <w:r w:rsidR="00FF3AF3">
        <w:rPr>
          <w:rFonts w:ascii="Times New Roman" w:hAnsi="Times New Roman" w:cs="Times New Roman"/>
          <w:sz w:val="24"/>
          <w:szCs w:val="24"/>
        </w:rPr>
        <w:t>’, namely the ‘interfaces’,</w:t>
      </w:r>
      <w:r>
        <w:rPr>
          <w:rFonts w:ascii="Times New Roman" w:hAnsi="Times New Roman" w:cs="Times New Roman"/>
          <w:sz w:val="24"/>
          <w:szCs w:val="24"/>
        </w:rPr>
        <w:t xml:space="preserve"> in and across the layers by which they allow new entries often </w:t>
      </w:r>
      <w:r>
        <w:rPr>
          <w:rFonts w:ascii="Times New Roman" w:hAnsi="Times New Roman" w:cs="Times New Roman"/>
          <w:sz w:val="24"/>
          <w:szCs w:val="24"/>
        </w:rPr>
        <w:lastRenderedPageBreak/>
        <w:t>in a selective way.</w:t>
      </w:r>
      <w:r w:rsidR="00855014">
        <w:rPr>
          <w:rFonts w:ascii="Times New Roman" w:hAnsi="Times New Roman" w:cs="Times New Roman"/>
          <w:sz w:val="24"/>
          <w:szCs w:val="24"/>
        </w:rPr>
        <w:t xml:space="preserve"> </w:t>
      </w:r>
      <w:r w:rsidR="00855014" w:rsidRPr="00855014">
        <w:rPr>
          <w:rFonts w:ascii="Times New Roman" w:hAnsi="Times New Roman" w:cs="Times New Roman"/>
          <w:sz w:val="24"/>
          <w:szCs w:val="24"/>
        </w:rPr>
        <w:t xml:space="preserve">Gatekeeping connotes more control than the term </w:t>
      </w:r>
      <w:r w:rsidR="0003077B">
        <w:rPr>
          <w:rFonts w:ascii="Times New Roman" w:hAnsi="Times New Roman" w:cs="Times New Roman"/>
          <w:sz w:val="24"/>
          <w:szCs w:val="24"/>
        </w:rPr>
        <w:t>‘</w:t>
      </w:r>
      <w:r w:rsidR="00855014" w:rsidRPr="00855014">
        <w:rPr>
          <w:rFonts w:ascii="Times New Roman" w:hAnsi="Times New Roman" w:cs="Times New Roman"/>
          <w:sz w:val="24"/>
          <w:szCs w:val="24"/>
        </w:rPr>
        <w:t>intermediary</w:t>
      </w:r>
      <w:r w:rsidR="0003077B">
        <w:rPr>
          <w:rFonts w:ascii="Times New Roman" w:hAnsi="Times New Roman" w:cs="Times New Roman"/>
          <w:sz w:val="24"/>
          <w:szCs w:val="24"/>
        </w:rPr>
        <w:t>’</w:t>
      </w:r>
      <w:r w:rsidR="00855014">
        <w:rPr>
          <w:rFonts w:ascii="Times New Roman" w:hAnsi="Times New Roman" w:cs="Times New Roman"/>
          <w:sz w:val="24"/>
          <w:szCs w:val="24"/>
        </w:rPr>
        <w:t>,</w:t>
      </w:r>
      <w:r w:rsidR="00855014">
        <w:rPr>
          <w:rStyle w:val="FootnoteReference"/>
          <w:rFonts w:ascii="Times New Roman" w:hAnsi="Times New Roman" w:cs="Times New Roman"/>
          <w:sz w:val="24"/>
          <w:szCs w:val="24"/>
        </w:rPr>
        <w:footnoteReference w:id="891"/>
      </w:r>
      <w:r w:rsidR="00855014">
        <w:rPr>
          <w:rFonts w:ascii="Times New Roman" w:hAnsi="Times New Roman" w:cs="Times New Roman"/>
          <w:sz w:val="24"/>
          <w:szCs w:val="24"/>
        </w:rPr>
        <w:t xml:space="preserve"> and </w:t>
      </w:r>
      <w:r w:rsidR="0003077B">
        <w:rPr>
          <w:rFonts w:ascii="Times New Roman" w:hAnsi="Times New Roman" w:cs="Times New Roman"/>
          <w:sz w:val="24"/>
          <w:szCs w:val="24"/>
        </w:rPr>
        <w:t>in conjunction with</w:t>
      </w:r>
      <w:r w:rsidR="00855014">
        <w:rPr>
          <w:rFonts w:ascii="Times New Roman" w:hAnsi="Times New Roman" w:cs="Times New Roman"/>
          <w:sz w:val="24"/>
          <w:szCs w:val="24"/>
        </w:rPr>
        <w:t xml:space="preserve"> this, controll</w:t>
      </w:r>
      <w:r w:rsidR="002C0455">
        <w:rPr>
          <w:rFonts w:ascii="Times New Roman" w:hAnsi="Times New Roman" w:cs="Times New Roman"/>
          <w:sz w:val="24"/>
          <w:szCs w:val="24"/>
        </w:rPr>
        <w:t>ing</w:t>
      </w:r>
      <w:r w:rsidR="00855014">
        <w:rPr>
          <w:rFonts w:ascii="Times New Roman" w:hAnsi="Times New Roman" w:cs="Times New Roman"/>
          <w:sz w:val="24"/>
          <w:szCs w:val="24"/>
        </w:rPr>
        <w:t xml:space="preserve"> mechanisms </w:t>
      </w:r>
      <w:r w:rsidR="00BC7E01">
        <w:rPr>
          <w:rFonts w:ascii="Times New Roman" w:hAnsi="Times New Roman" w:cs="Times New Roman"/>
          <w:sz w:val="24"/>
          <w:szCs w:val="24"/>
        </w:rPr>
        <w:t xml:space="preserve">incorporating IPRs, TPMs and AI based algorithms </w:t>
      </w:r>
      <w:r w:rsidR="00855014">
        <w:rPr>
          <w:rFonts w:ascii="Times New Roman" w:hAnsi="Times New Roman" w:cs="Times New Roman"/>
          <w:sz w:val="24"/>
          <w:szCs w:val="24"/>
        </w:rPr>
        <w:t>utilised by the ICT players are the main source</w:t>
      </w:r>
      <w:r w:rsidR="00BC7E01">
        <w:rPr>
          <w:rFonts w:ascii="Times New Roman" w:hAnsi="Times New Roman" w:cs="Times New Roman"/>
          <w:sz w:val="24"/>
          <w:szCs w:val="24"/>
        </w:rPr>
        <w:t>s</w:t>
      </w:r>
      <w:r w:rsidR="00855014">
        <w:rPr>
          <w:rFonts w:ascii="Times New Roman" w:hAnsi="Times New Roman" w:cs="Times New Roman"/>
          <w:sz w:val="24"/>
          <w:szCs w:val="24"/>
        </w:rPr>
        <w:t xml:space="preserve"> of concern </w:t>
      </w:r>
      <w:r w:rsidR="00E37428">
        <w:rPr>
          <w:rFonts w:ascii="Times New Roman" w:hAnsi="Times New Roman" w:cs="Times New Roman"/>
          <w:sz w:val="24"/>
          <w:szCs w:val="24"/>
        </w:rPr>
        <w:t>in relation to the gatekeeping roles and functionalities</w:t>
      </w:r>
      <w:r w:rsidR="00BC7E01">
        <w:rPr>
          <w:rFonts w:ascii="Times New Roman" w:hAnsi="Times New Roman" w:cs="Times New Roman"/>
          <w:sz w:val="24"/>
          <w:szCs w:val="24"/>
        </w:rPr>
        <w:t xml:space="preserve">. </w:t>
      </w:r>
      <w:r w:rsidR="002C0455">
        <w:rPr>
          <w:rFonts w:ascii="Times New Roman" w:hAnsi="Times New Roman"/>
          <w:sz w:val="24"/>
          <w:szCs w:val="24"/>
        </w:rPr>
        <w:t xml:space="preserve">Underlaid by </w:t>
      </w:r>
      <w:r w:rsidR="00BC7E01">
        <w:rPr>
          <w:rFonts w:ascii="Times New Roman" w:hAnsi="Times New Roman"/>
          <w:sz w:val="24"/>
          <w:szCs w:val="24"/>
        </w:rPr>
        <w:t>wide-ranging</w:t>
      </w:r>
      <w:r w:rsidR="002C0455">
        <w:rPr>
          <w:rFonts w:ascii="Times New Roman" w:hAnsi="Times New Roman"/>
          <w:sz w:val="24"/>
          <w:szCs w:val="24"/>
        </w:rPr>
        <w:t xml:space="preserve"> control features</w:t>
      </w:r>
      <w:r w:rsidR="00B934BE">
        <w:rPr>
          <w:rFonts w:ascii="Times New Roman" w:hAnsi="Times New Roman"/>
          <w:sz w:val="24"/>
          <w:szCs w:val="24"/>
        </w:rPr>
        <w:t xml:space="preserve">, ICT players’ activities having a </w:t>
      </w:r>
      <w:r w:rsidR="0003077B">
        <w:rPr>
          <w:rFonts w:ascii="Times New Roman" w:hAnsi="Times New Roman"/>
          <w:sz w:val="24"/>
          <w:szCs w:val="24"/>
        </w:rPr>
        <w:t>‘</w:t>
      </w:r>
      <w:r w:rsidR="00B934BE">
        <w:rPr>
          <w:rFonts w:ascii="Times New Roman" w:hAnsi="Times New Roman"/>
          <w:sz w:val="24"/>
          <w:szCs w:val="24"/>
        </w:rPr>
        <w:t>restrictive</w:t>
      </w:r>
      <w:r w:rsidR="0003077B">
        <w:rPr>
          <w:rFonts w:ascii="Times New Roman" w:hAnsi="Times New Roman"/>
          <w:sz w:val="24"/>
          <w:szCs w:val="24"/>
        </w:rPr>
        <w:t>’</w:t>
      </w:r>
      <w:r w:rsidR="00B934BE">
        <w:rPr>
          <w:rFonts w:ascii="Times New Roman" w:hAnsi="Times New Roman"/>
          <w:sz w:val="24"/>
          <w:szCs w:val="24"/>
        </w:rPr>
        <w:t xml:space="preserve"> nature is key to defining </w:t>
      </w:r>
      <w:r w:rsidR="00A67E15">
        <w:rPr>
          <w:rFonts w:ascii="Times New Roman" w:hAnsi="Times New Roman"/>
          <w:sz w:val="24"/>
          <w:szCs w:val="24"/>
        </w:rPr>
        <w:t xml:space="preserve">the </w:t>
      </w:r>
      <w:r w:rsidR="003A2402">
        <w:rPr>
          <w:rFonts w:ascii="Times New Roman" w:hAnsi="Times New Roman"/>
          <w:sz w:val="24"/>
          <w:szCs w:val="24"/>
        </w:rPr>
        <w:t>‘</w:t>
      </w:r>
      <w:r w:rsidR="00B934BE">
        <w:rPr>
          <w:rFonts w:ascii="Times New Roman" w:hAnsi="Times New Roman"/>
          <w:sz w:val="24"/>
          <w:szCs w:val="24"/>
        </w:rPr>
        <w:t>gatekeeping</w:t>
      </w:r>
      <w:r w:rsidR="003A2402">
        <w:rPr>
          <w:rFonts w:ascii="Times New Roman" w:hAnsi="Times New Roman"/>
          <w:sz w:val="24"/>
          <w:szCs w:val="24"/>
        </w:rPr>
        <w:t>’</w:t>
      </w:r>
      <w:r w:rsidR="00A67E15">
        <w:rPr>
          <w:rFonts w:ascii="Times New Roman" w:hAnsi="Times New Roman"/>
          <w:sz w:val="24"/>
          <w:szCs w:val="24"/>
        </w:rPr>
        <w:t xml:space="preserve"> that is reconceptualised in this study</w:t>
      </w:r>
      <w:r w:rsidR="002C0455">
        <w:rPr>
          <w:rFonts w:ascii="Times New Roman" w:hAnsi="Times New Roman"/>
          <w:sz w:val="24"/>
          <w:szCs w:val="24"/>
        </w:rPr>
        <w:t xml:space="preserve">. From this point of view, </w:t>
      </w:r>
      <w:r w:rsidR="00BC7E01">
        <w:rPr>
          <w:rFonts w:ascii="Times New Roman" w:hAnsi="Times New Roman"/>
          <w:sz w:val="24"/>
          <w:szCs w:val="24"/>
        </w:rPr>
        <w:t xml:space="preserve">every </w:t>
      </w:r>
      <w:r w:rsidR="002C0455">
        <w:rPr>
          <w:rFonts w:ascii="Times New Roman" w:hAnsi="Times New Roman"/>
          <w:sz w:val="24"/>
          <w:szCs w:val="24"/>
        </w:rPr>
        <w:t xml:space="preserve">means of control over the layers and the interfaces would not be sufficient </w:t>
      </w:r>
      <w:r w:rsidR="001A7AE3">
        <w:rPr>
          <w:rFonts w:ascii="Times New Roman" w:hAnsi="Times New Roman"/>
          <w:sz w:val="24"/>
          <w:szCs w:val="24"/>
        </w:rPr>
        <w:t xml:space="preserve">to </w:t>
      </w:r>
      <w:r w:rsidR="002C0455">
        <w:rPr>
          <w:rFonts w:ascii="Times New Roman" w:hAnsi="Times New Roman"/>
          <w:sz w:val="24"/>
          <w:szCs w:val="24"/>
        </w:rPr>
        <w:t>qualif</w:t>
      </w:r>
      <w:r w:rsidR="001A7AE3">
        <w:rPr>
          <w:rFonts w:ascii="Times New Roman" w:hAnsi="Times New Roman"/>
          <w:sz w:val="24"/>
          <w:szCs w:val="24"/>
        </w:rPr>
        <w:t xml:space="preserve">y the ICT player </w:t>
      </w:r>
      <w:r w:rsidR="008278FA">
        <w:rPr>
          <w:rFonts w:ascii="Times New Roman" w:hAnsi="Times New Roman"/>
          <w:sz w:val="24"/>
          <w:szCs w:val="24"/>
        </w:rPr>
        <w:t>at hand</w:t>
      </w:r>
      <w:r w:rsidR="002C0455">
        <w:rPr>
          <w:rFonts w:ascii="Times New Roman" w:hAnsi="Times New Roman"/>
          <w:sz w:val="24"/>
          <w:szCs w:val="24"/>
        </w:rPr>
        <w:t xml:space="preserve"> as gatekeep</w:t>
      </w:r>
      <w:r w:rsidR="001A7AE3">
        <w:rPr>
          <w:rFonts w:ascii="Times New Roman" w:hAnsi="Times New Roman"/>
          <w:sz w:val="24"/>
          <w:szCs w:val="24"/>
        </w:rPr>
        <w:t>er</w:t>
      </w:r>
      <w:r w:rsidR="002C0455">
        <w:rPr>
          <w:rFonts w:ascii="Times New Roman" w:hAnsi="Times New Roman"/>
          <w:sz w:val="24"/>
          <w:szCs w:val="24"/>
        </w:rPr>
        <w:t>.</w:t>
      </w:r>
      <w:r w:rsidR="001A7AE3">
        <w:rPr>
          <w:rFonts w:ascii="Times New Roman" w:hAnsi="Times New Roman"/>
          <w:sz w:val="24"/>
          <w:szCs w:val="24"/>
        </w:rPr>
        <w:t xml:space="preserve"> </w:t>
      </w:r>
      <w:r w:rsidR="002C0455">
        <w:rPr>
          <w:rFonts w:ascii="Times New Roman" w:hAnsi="Times New Roman"/>
          <w:sz w:val="24"/>
          <w:szCs w:val="24"/>
        </w:rPr>
        <w:t xml:space="preserve"> </w:t>
      </w:r>
    </w:p>
    <w:p w14:paraId="36B8E7B3" w14:textId="77777777" w:rsidR="002C0455" w:rsidRDefault="002C0455" w:rsidP="00703E6F">
      <w:pPr>
        <w:jc w:val="both"/>
        <w:rPr>
          <w:rFonts w:ascii="Times New Roman" w:hAnsi="Times New Roman"/>
          <w:sz w:val="24"/>
          <w:szCs w:val="24"/>
        </w:rPr>
      </w:pPr>
    </w:p>
    <w:p w14:paraId="7A7948CC" w14:textId="259279F4" w:rsidR="00703E6F" w:rsidRPr="00DC244A" w:rsidRDefault="004C23B8">
      <w:pPr>
        <w:jc w:val="both"/>
        <w:rPr>
          <w:rFonts w:ascii="Times New Roman" w:hAnsi="Times New Roman"/>
          <w:sz w:val="24"/>
          <w:szCs w:val="24"/>
        </w:rPr>
      </w:pPr>
      <w:r>
        <w:rPr>
          <w:rFonts w:ascii="Times New Roman" w:hAnsi="Times New Roman"/>
          <w:sz w:val="24"/>
          <w:szCs w:val="24"/>
        </w:rPr>
        <w:t>R</w:t>
      </w:r>
      <w:r w:rsidR="001A7AE3">
        <w:rPr>
          <w:rFonts w:ascii="Times New Roman" w:hAnsi="Times New Roman"/>
          <w:sz w:val="24"/>
          <w:szCs w:val="24"/>
        </w:rPr>
        <w:t xml:space="preserve">estrictive activities pursued by the ICT players </w:t>
      </w:r>
      <w:r w:rsidR="00DC61B1">
        <w:rPr>
          <w:rFonts w:ascii="Times New Roman" w:hAnsi="Times New Roman"/>
          <w:sz w:val="24"/>
          <w:szCs w:val="24"/>
        </w:rPr>
        <w:t>signify the existence of</w:t>
      </w:r>
      <w:r w:rsidR="001A7AE3">
        <w:rPr>
          <w:rFonts w:ascii="Times New Roman" w:hAnsi="Times New Roman"/>
          <w:sz w:val="24"/>
          <w:szCs w:val="24"/>
        </w:rPr>
        <w:t xml:space="preserve"> </w:t>
      </w:r>
      <w:r w:rsidR="00DC61B1">
        <w:rPr>
          <w:rFonts w:ascii="Times New Roman" w:hAnsi="Times New Roman"/>
          <w:sz w:val="24"/>
          <w:szCs w:val="24"/>
        </w:rPr>
        <w:t>a</w:t>
      </w:r>
      <w:r w:rsidR="001A7AE3">
        <w:rPr>
          <w:rFonts w:ascii="Times New Roman" w:hAnsi="Times New Roman"/>
          <w:sz w:val="24"/>
          <w:szCs w:val="24"/>
        </w:rPr>
        <w:t xml:space="preserve"> gatekeeping activit</w:t>
      </w:r>
      <w:r w:rsidR="00DC61B1">
        <w:rPr>
          <w:rFonts w:ascii="Times New Roman" w:hAnsi="Times New Roman"/>
          <w:sz w:val="24"/>
          <w:szCs w:val="24"/>
        </w:rPr>
        <w:t xml:space="preserve">y, </w:t>
      </w:r>
      <w:r w:rsidR="001C7E8F">
        <w:rPr>
          <w:rFonts w:ascii="Times New Roman" w:hAnsi="Times New Roman"/>
          <w:sz w:val="24"/>
          <w:szCs w:val="24"/>
        </w:rPr>
        <w:t>no matter</w:t>
      </w:r>
      <w:r>
        <w:rPr>
          <w:rFonts w:ascii="Times New Roman" w:hAnsi="Times New Roman"/>
          <w:sz w:val="24"/>
          <w:szCs w:val="24"/>
        </w:rPr>
        <w:t xml:space="preserve"> </w:t>
      </w:r>
      <w:r w:rsidR="00DC61B1">
        <w:rPr>
          <w:rFonts w:ascii="Times New Roman" w:hAnsi="Times New Roman"/>
          <w:sz w:val="24"/>
          <w:szCs w:val="24"/>
        </w:rPr>
        <w:t>whether</w:t>
      </w:r>
      <w:r w:rsidR="001A7AE3">
        <w:rPr>
          <w:rFonts w:ascii="Times New Roman" w:hAnsi="Times New Roman"/>
          <w:sz w:val="24"/>
          <w:szCs w:val="24"/>
        </w:rPr>
        <w:t xml:space="preserve"> </w:t>
      </w:r>
      <w:r>
        <w:rPr>
          <w:rFonts w:ascii="Times New Roman" w:hAnsi="Times New Roman"/>
          <w:sz w:val="24"/>
          <w:szCs w:val="24"/>
        </w:rPr>
        <w:t xml:space="preserve">it </w:t>
      </w:r>
      <w:r w:rsidR="00B934BE">
        <w:rPr>
          <w:rFonts w:ascii="Times New Roman" w:hAnsi="Times New Roman"/>
          <w:sz w:val="24"/>
          <w:szCs w:val="24"/>
        </w:rPr>
        <w:t>lead</w:t>
      </w:r>
      <w:r>
        <w:rPr>
          <w:rFonts w:ascii="Times New Roman" w:hAnsi="Times New Roman"/>
          <w:sz w:val="24"/>
          <w:szCs w:val="24"/>
        </w:rPr>
        <w:t>s</w:t>
      </w:r>
      <w:r w:rsidR="00B934BE">
        <w:rPr>
          <w:rFonts w:ascii="Times New Roman" w:hAnsi="Times New Roman"/>
          <w:sz w:val="24"/>
          <w:szCs w:val="24"/>
        </w:rPr>
        <w:t xml:space="preserve"> to losses in consumer </w:t>
      </w:r>
      <w:r w:rsidR="001C7E8F">
        <w:rPr>
          <w:rFonts w:ascii="Times New Roman" w:hAnsi="Times New Roman"/>
          <w:sz w:val="24"/>
          <w:szCs w:val="24"/>
        </w:rPr>
        <w:t>welfare (</w:t>
      </w:r>
      <w:r w:rsidR="00B934BE">
        <w:rPr>
          <w:rFonts w:ascii="Times New Roman" w:hAnsi="Times New Roman"/>
          <w:sz w:val="24"/>
          <w:szCs w:val="24"/>
        </w:rPr>
        <w:t>surplus</w:t>
      </w:r>
      <w:r w:rsidR="001C7E8F">
        <w:rPr>
          <w:rFonts w:ascii="Times New Roman" w:hAnsi="Times New Roman"/>
          <w:sz w:val="24"/>
          <w:szCs w:val="24"/>
        </w:rPr>
        <w:t>)</w:t>
      </w:r>
      <w:r>
        <w:rPr>
          <w:rFonts w:ascii="Times New Roman" w:hAnsi="Times New Roman"/>
          <w:sz w:val="24"/>
          <w:szCs w:val="24"/>
        </w:rPr>
        <w:t xml:space="preserve"> based on distortion of competition</w:t>
      </w:r>
      <w:r w:rsidR="001C7E8F">
        <w:rPr>
          <w:rFonts w:ascii="Times New Roman" w:hAnsi="Times New Roman"/>
          <w:sz w:val="24"/>
          <w:szCs w:val="24"/>
        </w:rPr>
        <w:t>,</w:t>
      </w:r>
      <w:r w:rsidR="00B934BE">
        <w:rPr>
          <w:rFonts w:ascii="Times New Roman" w:hAnsi="Times New Roman"/>
          <w:sz w:val="24"/>
          <w:szCs w:val="24"/>
        </w:rPr>
        <w:t xml:space="preserve"> or harm</w:t>
      </w:r>
      <w:r w:rsidR="001C7E8F">
        <w:rPr>
          <w:rFonts w:ascii="Times New Roman" w:hAnsi="Times New Roman"/>
          <w:sz w:val="24"/>
          <w:szCs w:val="24"/>
        </w:rPr>
        <w:t xml:space="preserve"> or restraint to</w:t>
      </w:r>
      <w:r w:rsidR="00B934BE">
        <w:rPr>
          <w:rFonts w:ascii="Times New Roman" w:hAnsi="Times New Roman"/>
          <w:sz w:val="24"/>
          <w:szCs w:val="24"/>
        </w:rPr>
        <w:t xml:space="preserve"> consumers in the sense that their informational choices are affected</w:t>
      </w:r>
      <w:r>
        <w:rPr>
          <w:rFonts w:ascii="Times New Roman" w:hAnsi="Times New Roman"/>
          <w:sz w:val="24"/>
          <w:szCs w:val="24"/>
        </w:rPr>
        <w:t xml:space="preserve">. In this context, restricted information flows come to the fore </w:t>
      </w:r>
      <w:r w:rsidR="00B934BE">
        <w:rPr>
          <w:rFonts w:ascii="Times New Roman" w:hAnsi="Times New Roman"/>
          <w:sz w:val="24"/>
          <w:szCs w:val="24"/>
        </w:rPr>
        <w:t>along with far-reaching implications over the individuals’ autonomy and dignity</w:t>
      </w:r>
      <w:r>
        <w:rPr>
          <w:rFonts w:ascii="Times New Roman" w:hAnsi="Times New Roman"/>
          <w:sz w:val="24"/>
          <w:szCs w:val="24"/>
        </w:rPr>
        <w:t>,</w:t>
      </w:r>
      <w:r w:rsidR="00A67E15">
        <w:rPr>
          <w:rFonts w:ascii="Times New Roman" w:hAnsi="Times New Roman"/>
          <w:sz w:val="24"/>
          <w:szCs w:val="24"/>
        </w:rPr>
        <w:t xml:space="preserve"> </w:t>
      </w:r>
      <w:r>
        <w:rPr>
          <w:rFonts w:ascii="Times New Roman" w:hAnsi="Times New Roman"/>
          <w:sz w:val="24"/>
          <w:szCs w:val="24"/>
        </w:rPr>
        <w:t xml:space="preserve">often </w:t>
      </w:r>
      <w:r w:rsidR="00A67E15">
        <w:rPr>
          <w:rFonts w:ascii="Times New Roman" w:hAnsi="Times New Roman"/>
          <w:sz w:val="24"/>
          <w:szCs w:val="24"/>
        </w:rPr>
        <w:t>based on the discriminatory, biased, manipulative, unfairly selective architectural choices</w:t>
      </w:r>
      <w:r w:rsidR="00B934BE">
        <w:rPr>
          <w:rFonts w:ascii="Times New Roman" w:hAnsi="Times New Roman"/>
          <w:sz w:val="24"/>
          <w:szCs w:val="24"/>
        </w:rPr>
        <w:t>.</w:t>
      </w:r>
      <w:r>
        <w:rPr>
          <w:rFonts w:ascii="Times New Roman" w:hAnsi="Times New Roman"/>
          <w:sz w:val="24"/>
          <w:szCs w:val="24"/>
        </w:rPr>
        <w:t xml:space="preserve"> </w:t>
      </w:r>
      <w:r w:rsidR="004A6E42">
        <w:rPr>
          <w:rFonts w:ascii="Times New Roman" w:hAnsi="Times New Roman"/>
          <w:sz w:val="24"/>
          <w:szCs w:val="24"/>
        </w:rPr>
        <w:t xml:space="preserve">To understand these </w:t>
      </w:r>
      <w:r>
        <w:rPr>
          <w:rFonts w:ascii="Times New Roman" w:hAnsi="Times New Roman"/>
          <w:sz w:val="24"/>
          <w:szCs w:val="24"/>
        </w:rPr>
        <w:t xml:space="preserve">causes and </w:t>
      </w:r>
      <w:r w:rsidR="004A6E42">
        <w:rPr>
          <w:rFonts w:ascii="Times New Roman" w:hAnsi="Times New Roman"/>
          <w:sz w:val="24"/>
          <w:szCs w:val="24"/>
        </w:rPr>
        <w:t xml:space="preserve">implications, it is worth reconsidering the </w:t>
      </w:r>
      <w:r w:rsidR="00B934BE">
        <w:rPr>
          <w:rFonts w:ascii="Times New Roman" w:hAnsi="Times New Roman"/>
          <w:sz w:val="24"/>
          <w:szCs w:val="24"/>
        </w:rPr>
        <w:t xml:space="preserve">competition and techno-social concerns </w:t>
      </w:r>
      <w:r w:rsidR="004A6E42">
        <w:rPr>
          <w:rFonts w:ascii="Times New Roman" w:hAnsi="Times New Roman"/>
          <w:sz w:val="24"/>
          <w:szCs w:val="24"/>
        </w:rPr>
        <w:t>f</w:t>
      </w:r>
      <w:r>
        <w:rPr>
          <w:rFonts w:ascii="Times New Roman" w:hAnsi="Times New Roman"/>
          <w:sz w:val="24"/>
          <w:szCs w:val="24"/>
        </w:rPr>
        <w:t>ro</w:t>
      </w:r>
      <w:r w:rsidR="004A6E42">
        <w:rPr>
          <w:rFonts w:ascii="Times New Roman" w:hAnsi="Times New Roman"/>
          <w:sz w:val="24"/>
          <w:szCs w:val="24"/>
        </w:rPr>
        <w:t>m the perspective of</w:t>
      </w:r>
      <w:r w:rsidR="00B934BE">
        <w:rPr>
          <w:rFonts w:ascii="Times New Roman" w:hAnsi="Times New Roman"/>
          <w:sz w:val="24"/>
          <w:szCs w:val="24"/>
        </w:rPr>
        <w:t xml:space="preserve"> gatekeeping.</w:t>
      </w:r>
    </w:p>
    <w:p w14:paraId="5CCC62E1" w14:textId="77777777" w:rsidR="00703E6F" w:rsidRDefault="00703E6F" w:rsidP="00703E6F">
      <w:pPr>
        <w:jc w:val="both"/>
        <w:rPr>
          <w:rFonts w:ascii="Times New Roman" w:hAnsi="Times New Roman" w:cs="Times New Roman"/>
          <w:sz w:val="24"/>
          <w:szCs w:val="24"/>
        </w:rPr>
      </w:pPr>
    </w:p>
    <w:p w14:paraId="4EBC0FE7" w14:textId="4648E567" w:rsidR="002540AA" w:rsidRDefault="00B934BE" w:rsidP="00540415">
      <w:pPr>
        <w:jc w:val="both"/>
        <w:rPr>
          <w:rFonts w:ascii="Times New Roman" w:hAnsi="Times New Roman"/>
          <w:sz w:val="24"/>
          <w:szCs w:val="24"/>
        </w:rPr>
      </w:pPr>
      <w:r w:rsidRPr="00503D30">
        <w:rPr>
          <w:rFonts w:ascii="Times New Roman" w:hAnsi="Times New Roman"/>
          <w:sz w:val="24"/>
          <w:szCs w:val="24"/>
        </w:rPr>
        <w:t xml:space="preserve">Notably, competition concerns would arise should </w:t>
      </w:r>
      <w:r w:rsidR="00703E6F">
        <w:rPr>
          <w:rFonts w:ascii="Times New Roman" w:hAnsi="Times New Roman"/>
          <w:sz w:val="24"/>
          <w:szCs w:val="24"/>
        </w:rPr>
        <w:t>the underlying</w:t>
      </w:r>
      <w:r w:rsidRPr="00503D30">
        <w:rPr>
          <w:rFonts w:ascii="Times New Roman" w:hAnsi="Times New Roman"/>
          <w:sz w:val="24"/>
          <w:szCs w:val="24"/>
        </w:rPr>
        <w:t xml:space="preserve"> restrictions have a long</w:t>
      </w:r>
      <w:r>
        <w:rPr>
          <w:rFonts w:ascii="Times New Roman" w:hAnsi="Times New Roman"/>
          <w:sz w:val="24"/>
          <w:szCs w:val="24"/>
        </w:rPr>
        <w:t xml:space="preserve"> </w:t>
      </w:r>
      <w:r w:rsidRPr="00503D30">
        <w:rPr>
          <w:rFonts w:ascii="Times New Roman" w:hAnsi="Times New Roman"/>
          <w:sz w:val="24"/>
          <w:szCs w:val="24"/>
        </w:rPr>
        <w:t>arm reaching out to</w:t>
      </w:r>
      <w:r>
        <w:rPr>
          <w:rFonts w:ascii="Times New Roman" w:hAnsi="Times New Roman"/>
          <w:sz w:val="24"/>
          <w:szCs w:val="24"/>
        </w:rPr>
        <w:t xml:space="preserve"> the competitors</w:t>
      </w:r>
      <w:r w:rsidR="00703E6F">
        <w:rPr>
          <w:rFonts w:ascii="Times New Roman" w:hAnsi="Times New Roman"/>
          <w:sz w:val="24"/>
          <w:szCs w:val="24"/>
        </w:rPr>
        <w:t xml:space="preserve"> and their ability to effectively compete in the </w:t>
      </w:r>
      <w:r w:rsidR="004A6E42">
        <w:rPr>
          <w:rFonts w:ascii="Times New Roman" w:hAnsi="Times New Roman"/>
          <w:sz w:val="24"/>
          <w:szCs w:val="24"/>
        </w:rPr>
        <w:t xml:space="preserve">relevant </w:t>
      </w:r>
      <w:r w:rsidR="00703E6F">
        <w:rPr>
          <w:rFonts w:ascii="Times New Roman" w:hAnsi="Times New Roman"/>
          <w:sz w:val="24"/>
          <w:szCs w:val="24"/>
        </w:rPr>
        <w:t>layer</w:t>
      </w:r>
      <w:r w:rsidR="004A6E42">
        <w:rPr>
          <w:rFonts w:ascii="Times New Roman" w:hAnsi="Times New Roman"/>
          <w:sz w:val="24"/>
          <w:szCs w:val="24"/>
        </w:rPr>
        <w:t>(s)</w:t>
      </w:r>
      <w:r>
        <w:rPr>
          <w:rFonts w:ascii="Times New Roman" w:hAnsi="Times New Roman"/>
          <w:sz w:val="24"/>
          <w:szCs w:val="24"/>
        </w:rPr>
        <w:t xml:space="preserve">. </w:t>
      </w:r>
      <w:r w:rsidR="002540AA">
        <w:rPr>
          <w:rFonts w:ascii="Times New Roman" w:hAnsi="Times New Roman"/>
          <w:sz w:val="24"/>
          <w:szCs w:val="24"/>
        </w:rPr>
        <w:t xml:space="preserve">As stated above, competition problems are supposed to create losses in consumer welfare which is the conventional </w:t>
      </w:r>
      <w:r w:rsidR="00A67E15">
        <w:rPr>
          <w:rFonts w:ascii="Times New Roman" w:hAnsi="Times New Roman"/>
          <w:sz w:val="24"/>
          <w:szCs w:val="24"/>
        </w:rPr>
        <w:t>harm theory</w:t>
      </w:r>
      <w:r w:rsidR="002540AA">
        <w:rPr>
          <w:rFonts w:ascii="Times New Roman" w:hAnsi="Times New Roman"/>
          <w:sz w:val="24"/>
          <w:szCs w:val="24"/>
        </w:rPr>
        <w:t xml:space="preserve">. </w:t>
      </w:r>
      <w:r w:rsidR="003A2402">
        <w:rPr>
          <w:rFonts w:ascii="Times New Roman" w:hAnsi="Times New Roman"/>
          <w:sz w:val="24"/>
          <w:szCs w:val="24"/>
        </w:rPr>
        <w:t>M</w:t>
      </w:r>
      <w:r w:rsidR="002540AA">
        <w:rPr>
          <w:rFonts w:ascii="Times New Roman" w:hAnsi="Times New Roman"/>
          <w:sz w:val="24"/>
          <w:szCs w:val="24"/>
        </w:rPr>
        <w:t xml:space="preserve">ostly calculable and </w:t>
      </w:r>
      <w:r w:rsidR="002540AA">
        <w:rPr>
          <w:rFonts w:ascii="Times New Roman" w:hAnsi="Times New Roman"/>
          <w:sz w:val="24"/>
          <w:szCs w:val="24"/>
        </w:rPr>
        <w:lastRenderedPageBreak/>
        <w:t>well established within the EU competition law</w:t>
      </w:r>
      <w:r w:rsidR="003A2402">
        <w:rPr>
          <w:rFonts w:ascii="Times New Roman" w:hAnsi="Times New Roman"/>
          <w:sz w:val="24"/>
          <w:szCs w:val="24"/>
        </w:rPr>
        <w:t xml:space="preserve">, consumer welfare </w:t>
      </w:r>
      <w:r w:rsidR="00A67E15">
        <w:rPr>
          <w:rFonts w:ascii="Times New Roman" w:hAnsi="Times New Roman"/>
          <w:sz w:val="24"/>
          <w:szCs w:val="24"/>
        </w:rPr>
        <w:t xml:space="preserve">losses </w:t>
      </w:r>
      <w:r w:rsidR="003A2402">
        <w:rPr>
          <w:rFonts w:ascii="Times New Roman" w:hAnsi="Times New Roman"/>
          <w:sz w:val="24"/>
          <w:szCs w:val="24"/>
        </w:rPr>
        <w:t xml:space="preserve">represent </w:t>
      </w:r>
      <w:r w:rsidR="00390C34">
        <w:rPr>
          <w:rFonts w:ascii="Times New Roman" w:hAnsi="Times New Roman"/>
          <w:sz w:val="24"/>
          <w:szCs w:val="24"/>
        </w:rPr>
        <w:t xml:space="preserve">most </w:t>
      </w:r>
      <w:r w:rsidR="003A2402">
        <w:rPr>
          <w:rFonts w:ascii="Times New Roman" w:hAnsi="Times New Roman"/>
          <w:sz w:val="24"/>
          <w:szCs w:val="24"/>
        </w:rPr>
        <w:t xml:space="preserve">recognisable feature characterising </w:t>
      </w:r>
      <w:r w:rsidR="005F7549">
        <w:rPr>
          <w:rFonts w:ascii="Times New Roman" w:hAnsi="Times New Roman"/>
          <w:sz w:val="24"/>
          <w:szCs w:val="24"/>
        </w:rPr>
        <w:t>a</w:t>
      </w:r>
      <w:r w:rsidR="00C24A52">
        <w:rPr>
          <w:rFonts w:ascii="Times New Roman" w:hAnsi="Times New Roman"/>
          <w:sz w:val="24"/>
          <w:szCs w:val="24"/>
        </w:rPr>
        <w:t>n anti-competitive behaviour which would also</w:t>
      </w:r>
      <w:r w:rsidR="005F7549">
        <w:rPr>
          <w:rFonts w:ascii="Times New Roman" w:hAnsi="Times New Roman"/>
          <w:sz w:val="24"/>
          <w:szCs w:val="24"/>
        </w:rPr>
        <w:t xml:space="preserve"> </w:t>
      </w:r>
      <w:r w:rsidR="00C24A52">
        <w:rPr>
          <w:rFonts w:ascii="Times New Roman" w:hAnsi="Times New Roman"/>
          <w:sz w:val="24"/>
          <w:szCs w:val="24"/>
        </w:rPr>
        <w:t xml:space="preserve">capture a </w:t>
      </w:r>
      <w:r w:rsidR="002540AA">
        <w:rPr>
          <w:rFonts w:ascii="Times New Roman" w:hAnsi="Times New Roman"/>
          <w:sz w:val="24"/>
          <w:szCs w:val="24"/>
        </w:rPr>
        <w:t>gatekeeping activit</w:t>
      </w:r>
      <w:r w:rsidR="005F7549">
        <w:rPr>
          <w:rFonts w:ascii="Times New Roman" w:hAnsi="Times New Roman"/>
          <w:sz w:val="24"/>
          <w:szCs w:val="24"/>
        </w:rPr>
        <w:t>y</w:t>
      </w:r>
      <w:r w:rsidR="00390C34">
        <w:rPr>
          <w:rFonts w:ascii="Times New Roman" w:hAnsi="Times New Roman"/>
          <w:sz w:val="24"/>
          <w:szCs w:val="24"/>
        </w:rPr>
        <w:t xml:space="preserve"> </w:t>
      </w:r>
      <w:r w:rsidR="009A0280">
        <w:rPr>
          <w:rFonts w:ascii="Times New Roman" w:hAnsi="Times New Roman"/>
          <w:sz w:val="24"/>
          <w:szCs w:val="24"/>
        </w:rPr>
        <w:t>in conjunction with the competition concerns</w:t>
      </w:r>
      <w:r w:rsidR="002540AA">
        <w:rPr>
          <w:rFonts w:ascii="Times New Roman" w:hAnsi="Times New Roman"/>
          <w:sz w:val="24"/>
          <w:szCs w:val="24"/>
        </w:rPr>
        <w:t>.</w:t>
      </w:r>
    </w:p>
    <w:p w14:paraId="5F26CC48" w14:textId="77777777" w:rsidR="002540AA" w:rsidRDefault="002540AA" w:rsidP="00540415">
      <w:pPr>
        <w:jc w:val="both"/>
        <w:rPr>
          <w:rFonts w:ascii="Times New Roman" w:hAnsi="Times New Roman"/>
          <w:sz w:val="24"/>
          <w:szCs w:val="24"/>
        </w:rPr>
      </w:pPr>
    </w:p>
    <w:p w14:paraId="0E307CAF" w14:textId="09140131" w:rsidR="00540415" w:rsidRDefault="00B934BE" w:rsidP="00540415">
      <w:pPr>
        <w:jc w:val="both"/>
        <w:rPr>
          <w:rFonts w:ascii="Times New Roman" w:hAnsi="Times New Roman"/>
          <w:sz w:val="24"/>
          <w:szCs w:val="24"/>
        </w:rPr>
      </w:pPr>
      <w:r>
        <w:rPr>
          <w:rFonts w:ascii="Times New Roman" w:hAnsi="Times New Roman"/>
          <w:sz w:val="24"/>
          <w:szCs w:val="24"/>
        </w:rPr>
        <w:t xml:space="preserve">On the other hand, in case of techno-social concerns, the restrictive act would not necessarily have an anti-competitive effect </w:t>
      </w:r>
      <w:r w:rsidR="00761F0D">
        <w:rPr>
          <w:rFonts w:ascii="Times New Roman" w:hAnsi="Times New Roman"/>
          <w:sz w:val="24"/>
          <w:szCs w:val="24"/>
        </w:rPr>
        <w:t xml:space="preserve">or cause a consumer welfare loss </w:t>
      </w:r>
      <w:r>
        <w:rPr>
          <w:rFonts w:ascii="Times New Roman" w:hAnsi="Times New Roman"/>
          <w:sz w:val="24"/>
          <w:szCs w:val="24"/>
        </w:rPr>
        <w:t>but often result in ‘unfair outcomes’ or ‘transformative effects’</w:t>
      </w:r>
      <w:r w:rsidR="00761F0D">
        <w:rPr>
          <w:rFonts w:ascii="Times New Roman" w:hAnsi="Times New Roman"/>
          <w:sz w:val="24"/>
          <w:szCs w:val="24"/>
        </w:rPr>
        <w:t>,</w:t>
      </w:r>
      <w:r>
        <w:rPr>
          <w:rFonts w:ascii="Times New Roman" w:hAnsi="Times New Roman"/>
          <w:sz w:val="24"/>
          <w:szCs w:val="24"/>
        </w:rPr>
        <w:t xml:space="preserve"> </w:t>
      </w:r>
      <w:r w:rsidR="005F7549">
        <w:rPr>
          <w:rFonts w:ascii="Times New Roman" w:hAnsi="Times New Roman"/>
          <w:sz w:val="24"/>
          <w:szCs w:val="24"/>
        </w:rPr>
        <w:t>as per</w:t>
      </w:r>
      <w:r w:rsidR="00761F0D">
        <w:rPr>
          <w:rFonts w:ascii="Times New Roman" w:hAnsi="Times New Roman"/>
          <w:sz w:val="24"/>
          <w:szCs w:val="24"/>
        </w:rPr>
        <w:t xml:space="preserve"> the </w:t>
      </w:r>
      <w:r w:rsidR="009A0280">
        <w:rPr>
          <w:rFonts w:ascii="Times New Roman" w:hAnsi="Times New Roman"/>
          <w:sz w:val="24"/>
          <w:szCs w:val="24"/>
        </w:rPr>
        <w:t>ex</w:t>
      </w:r>
      <w:r w:rsidR="00761F0D">
        <w:rPr>
          <w:rFonts w:ascii="Times New Roman" w:hAnsi="Times New Roman"/>
          <w:sz w:val="24"/>
          <w:szCs w:val="24"/>
        </w:rPr>
        <w:t xml:space="preserve">position </w:t>
      </w:r>
      <w:r w:rsidR="005F7549">
        <w:rPr>
          <w:rFonts w:ascii="Times New Roman" w:hAnsi="Times New Roman"/>
          <w:sz w:val="24"/>
          <w:szCs w:val="24"/>
        </w:rPr>
        <w:t>put forward by</w:t>
      </w:r>
      <w:r>
        <w:rPr>
          <w:rFonts w:ascii="Times New Roman" w:hAnsi="Times New Roman"/>
          <w:sz w:val="24"/>
          <w:szCs w:val="24"/>
        </w:rPr>
        <w:t xml:space="preserve"> </w:t>
      </w:r>
      <w:r w:rsidRPr="00131651">
        <w:rPr>
          <w:rFonts w:ascii="Times New Roman" w:hAnsi="Times New Roman"/>
          <w:sz w:val="24"/>
          <w:szCs w:val="24"/>
        </w:rPr>
        <w:t>Mittelstadt</w:t>
      </w:r>
      <w:r>
        <w:rPr>
          <w:rFonts w:ascii="Times New Roman" w:hAnsi="Times New Roman"/>
          <w:sz w:val="24"/>
          <w:szCs w:val="24"/>
        </w:rPr>
        <w:t xml:space="preserve"> et al.</w:t>
      </w:r>
      <w:r>
        <w:rPr>
          <w:rStyle w:val="FootnoteReference"/>
          <w:rFonts w:ascii="Times New Roman" w:hAnsi="Times New Roman"/>
          <w:sz w:val="24"/>
          <w:szCs w:val="24"/>
        </w:rPr>
        <w:footnoteReference w:id="892"/>
      </w:r>
      <w:r>
        <w:rPr>
          <w:rFonts w:ascii="Times New Roman" w:hAnsi="Times New Roman"/>
          <w:sz w:val="24"/>
          <w:szCs w:val="24"/>
        </w:rPr>
        <w:t xml:space="preserve"> </w:t>
      </w:r>
      <w:r w:rsidR="002540AA">
        <w:rPr>
          <w:rFonts w:ascii="Times New Roman" w:hAnsi="Times New Roman"/>
          <w:sz w:val="24"/>
          <w:szCs w:val="24"/>
        </w:rPr>
        <w:t>While</w:t>
      </w:r>
      <w:r w:rsidR="00034F8F">
        <w:rPr>
          <w:rFonts w:ascii="Times New Roman" w:hAnsi="Times New Roman"/>
          <w:sz w:val="24"/>
          <w:szCs w:val="24"/>
        </w:rPr>
        <w:t xml:space="preserve"> these</w:t>
      </w:r>
      <w:r w:rsidR="002540AA">
        <w:rPr>
          <w:rFonts w:ascii="Times New Roman" w:hAnsi="Times New Roman"/>
          <w:sz w:val="24"/>
          <w:szCs w:val="24"/>
        </w:rPr>
        <w:t xml:space="preserve"> </w:t>
      </w:r>
      <w:r w:rsidR="00034F8F">
        <w:rPr>
          <w:rFonts w:ascii="Times New Roman" w:hAnsi="Times New Roman"/>
          <w:sz w:val="24"/>
          <w:szCs w:val="24"/>
        </w:rPr>
        <w:t xml:space="preserve">outcomes/effects </w:t>
      </w:r>
      <w:r w:rsidR="008609E7">
        <w:rPr>
          <w:rFonts w:ascii="Times New Roman" w:hAnsi="Times New Roman"/>
          <w:sz w:val="24"/>
          <w:szCs w:val="24"/>
        </w:rPr>
        <w:t>frame</w:t>
      </w:r>
      <w:r w:rsidR="00034F8F">
        <w:rPr>
          <w:rFonts w:ascii="Times New Roman" w:hAnsi="Times New Roman"/>
          <w:sz w:val="24"/>
          <w:szCs w:val="24"/>
        </w:rPr>
        <w:t xml:space="preserve"> </w:t>
      </w:r>
      <w:r w:rsidR="002540AA">
        <w:rPr>
          <w:rFonts w:ascii="Times New Roman" w:hAnsi="Times New Roman"/>
          <w:sz w:val="24"/>
          <w:szCs w:val="24"/>
        </w:rPr>
        <w:t xml:space="preserve">the </w:t>
      </w:r>
      <w:r w:rsidR="00034F8F">
        <w:rPr>
          <w:rFonts w:ascii="Times New Roman" w:hAnsi="Times New Roman"/>
          <w:sz w:val="24"/>
          <w:szCs w:val="24"/>
        </w:rPr>
        <w:t xml:space="preserve">two normative </w:t>
      </w:r>
      <w:r w:rsidR="002540AA">
        <w:rPr>
          <w:rFonts w:ascii="Times New Roman" w:hAnsi="Times New Roman"/>
          <w:sz w:val="24"/>
          <w:szCs w:val="24"/>
        </w:rPr>
        <w:t>concerns surrounding algorithms,</w:t>
      </w:r>
      <w:r w:rsidR="00034F8F">
        <w:rPr>
          <w:rStyle w:val="FootnoteReference"/>
          <w:rFonts w:ascii="Times New Roman" w:hAnsi="Times New Roman"/>
          <w:sz w:val="24"/>
          <w:szCs w:val="24"/>
        </w:rPr>
        <w:footnoteReference w:id="893"/>
      </w:r>
      <w:r w:rsidR="002540AA">
        <w:rPr>
          <w:rFonts w:ascii="Times New Roman" w:hAnsi="Times New Roman"/>
          <w:sz w:val="24"/>
          <w:szCs w:val="24"/>
        </w:rPr>
        <w:t xml:space="preserve"> the</w:t>
      </w:r>
      <w:r w:rsidR="00034F8F">
        <w:rPr>
          <w:rFonts w:ascii="Times New Roman" w:hAnsi="Times New Roman"/>
          <w:sz w:val="24"/>
          <w:szCs w:val="24"/>
        </w:rPr>
        <w:t>se</w:t>
      </w:r>
      <w:r w:rsidR="002540AA">
        <w:rPr>
          <w:rFonts w:ascii="Times New Roman" w:hAnsi="Times New Roman"/>
          <w:sz w:val="24"/>
          <w:szCs w:val="24"/>
        </w:rPr>
        <w:t xml:space="preserve"> </w:t>
      </w:r>
      <w:r w:rsidR="00034F8F">
        <w:rPr>
          <w:rFonts w:ascii="Times New Roman" w:hAnsi="Times New Roman"/>
          <w:sz w:val="24"/>
          <w:szCs w:val="24"/>
        </w:rPr>
        <w:t xml:space="preserve">could also be taken encompassing the </w:t>
      </w:r>
      <w:r w:rsidR="009A0280">
        <w:rPr>
          <w:rFonts w:ascii="Times New Roman" w:hAnsi="Times New Roman"/>
          <w:sz w:val="24"/>
          <w:szCs w:val="24"/>
        </w:rPr>
        <w:t xml:space="preserve">relevant </w:t>
      </w:r>
      <w:r w:rsidR="00034F8F">
        <w:rPr>
          <w:rFonts w:ascii="Times New Roman" w:hAnsi="Times New Roman"/>
          <w:sz w:val="24"/>
          <w:szCs w:val="24"/>
        </w:rPr>
        <w:t>gatekeeping activities</w:t>
      </w:r>
      <w:r w:rsidR="005F7549">
        <w:rPr>
          <w:rFonts w:ascii="Times New Roman" w:hAnsi="Times New Roman"/>
          <w:sz w:val="24"/>
          <w:szCs w:val="24"/>
        </w:rPr>
        <w:t xml:space="preserve"> under the proposed model</w:t>
      </w:r>
      <w:r w:rsidR="00034F8F">
        <w:rPr>
          <w:rFonts w:ascii="Times New Roman" w:hAnsi="Times New Roman"/>
          <w:sz w:val="24"/>
          <w:szCs w:val="24"/>
        </w:rPr>
        <w:t xml:space="preserve">. </w:t>
      </w:r>
      <w:bookmarkStart w:id="722" w:name="_Hlk52752492"/>
      <w:r w:rsidR="00034F8F">
        <w:rPr>
          <w:rFonts w:ascii="Times New Roman" w:hAnsi="Times New Roman"/>
          <w:sz w:val="24"/>
          <w:szCs w:val="24"/>
        </w:rPr>
        <w:t xml:space="preserve">Given the fact that AI-based operations tend to be the </w:t>
      </w:r>
      <w:r w:rsidR="00AB4CB9">
        <w:rPr>
          <w:rFonts w:ascii="Times New Roman" w:hAnsi="Times New Roman"/>
          <w:sz w:val="24"/>
          <w:szCs w:val="24"/>
        </w:rPr>
        <w:t>‘</w:t>
      </w:r>
      <w:r w:rsidR="00034F8F">
        <w:rPr>
          <w:rFonts w:ascii="Times New Roman" w:hAnsi="Times New Roman"/>
          <w:sz w:val="24"/>
          <w:szCs w:val="24"/>
        </w:rPr>
        <w:t>norm</w:t>
      </w:r>
      <w:r w:rsidR="00AB4CB9">
        <w:rPr>
          <w:rFonts w:ascii="Times New Roman" w:hAnsi="Times New Roman"/>
          <w:sz w:val="24"/>
          <w:szCs w:val="24"/>
        </w:rPr>
        <w:t>’</w:t>
      </w:r>
      <w:r w:rsidR="00034F8F">
        <w:rPr>
          <w:rFonts w:ascii="Times New Roman" w:hAnsi="Times New Roman"/>
          <w:sz w:val="24"/>
          <w:szCs w:val="24"/>
        </w:rPr>
        <w:t xml:space="preserve"> all across the layers, </w:t>
      </w:r>
      <w:r w:rsidR="00AB4CB9">
        <w:rPr>
          <w:rFonts w:ascii="Times New Roman" w:hAnsi="Times New Roman"/>
          <w:sz w:val="24"/>
          <w:szCs w:val="24"/>
        </w:rPr>
        <w:t xml:space="preserve">one can conclude that </w:t>
      </w:r>
      <w:r>
        <w:rPr>
          <w:rFonts w:ascii="Times New Roman" w:hAnsi="Times New Roman"/>
          <w:sz w:val="24"/>
          <w:szCs w:val="24"/>
        </w:rPr>
        <w:t>the</w:t>
      </w:r>
      <w:r w:rsidR="00703E6F">
        <w:rPr>
          <w:rFonts w:ascii="Times New Roman" w:hAnsi="Times New Roman"/>
          <w:sz w:val="24"/>
          <w:szCs w:val="24"/>
        </w:rPr>
        <w:t>se</w:t>
      </w:r>
      <w:r>
        <w:rPr>
          <w:rFonts w:ascii="Times New Roman" w:hAnsi="Times New Roman"/>
          <w:sz w:val="24"/>
          <w:szCs w:val="24"/>
        </w:rPr>
        <w:t xml:space="preserve"> two normative categories</w:t>
      </w:r>
      <w:r w:rsidR="005F7549">
        <w:rPr>
          <w:rFonts w:ascii="Times New Roman" w:hAnsi="Times New Roman"/>
          <w:sz w:val="24"/>
          <w:szCs w:val="24"/>
        </w:rPr>
        <w:t>, namely</w:t>
      </w:r>
      <w:r>
        <w:rPr>
          <w:rFonts w:ascii="Times New Roman" w:hAnsi="Times New Roman"/>
          <w:sz w:val="24"/>
          <w:szCs w:val="24"/>
        </w:rPr>
        <w:t xml:space="preserve"> ‘unfair outcomes’ and ‘transformative effects’ explain the so-called techno-social concerns</w:t>
      </w:r>
      <w:r w:rsidR="005F7549">
        <w:rPr>
          <w:rFonts w:ascii="Times New Roman" w:hAnsi="Times New Roman"/>
          <w:sz w:val="24"/>
          <w:szCs w:val="24"/>
        </w:rPr>
        <w:t xml:space="preserve"> in association to the gatekeeping roles and functionalities</w:t>
      </w:r>
      <w:r w:rsidR="00540415">
        <w:rPr>
          <w:rFonts w:ascii="Times New Roman" w:hAnsi="Times New Roman"/>
          <w:sz w:val="24"/>
          <w:szCs w:val="24"/>
        </w:rPr>
        <w:t xml:space="preserve">. </w:t>
      </w:r>
      <w:bookmarkEnd w:id="722"/>
    </w:p>
    <w:p w14:paraId="345729E0" w14:textId="77777777" w:rsidR="00540415" w:rsidRDefault="00540415" w:rsidP="00540415">
      <w:pPr>
        <w:jc w:val="both"/>
        <w:rPr>
          <w:rFonts w:ascii="Times New Roman" w:hAnsi="Times New Roman"/>
          <w:sz w:val="24"/>
          <w:szCs w:val="24"/>
        </w:rPr>
      </w:pPr>
    </w:p>
    <w:p w14:paraId="318CDF1E" w14:textId="4F2F1C13" w:rsidR="003A242B" w:rsidRDefault="00B934BE" w:rsidP="00540415">
      <w:pPr>
        <w:jc w:val="both"/>
        <w:rPr>
          <w:rFonts w:ascii="Times New Roman" w:hAnsi="Times New Roman"/>
          <w:sz w:val="24"/>
          <w:szCs w:val="24"/>
        </w:rPr>
      </w:pPr>
      <w:r>
        <w:rPr>
          <w:rFonts w:ascii="Times New Roman" w:hAnsi="Times New Roman"/>
          <w:sz w:val="24"/>
          <w:szCs w:val="24"/>
        </w:rPr>
        <w:t xml:space="preserve">According to the framework </w:t>
      </w:r>
      <w:r w:rsidR="005F7549">
        <w:rPr>
          <w:rFonts w:ascii="Times New Roman" w:hAnsi="Times New Roman"/>
          <w:sz w:val="24"/>
          <w:szCs w:val="24"/>
        </w:rPr>
        <w:t>drawn</w:t>
      </w:r>
      <w:r>
        <w:rPr>
          <w:rFonts w:ascii="Times New Roman" w:hAnsi="Times New Roman"/>
          <w:sz w:val="24"/>
          <w:szCs w:val="24"/>
        </w:rPr>
        <w:t xml:space="preserve"> by </w:t>
      </w:r>
      <w:r w:rsidRPr="00131651">
        <w:rPr>
          <w:rFonts w:ascii="Times New Roman" w:hAnsi="Times New Roman"/>
          <w:sz w:val="24"/>
          <w:szCs w:val="24"/>
        </w:rPr>
        <w:t>Mittelstadt</w:t>
      </w:r>
      <w:r>
        <w:rPr>
          <w:rFonts w:ascii="Times New Roman" w:hAnsi="Times New Roman"/>
          <w:sz w:val="24"/>
          <w:szCs w:val="24"/>
        </w:rPr>
        <w:t xml:space="preserve"> et al, </w:t>
      </w:r>
      <w:r w:rsidRPr="00476025">
        <w:rPr>
          <w:rFonts w:ascii="Times New Roman" w:hAnsi="Times New Roman"/>
          <w:i/>
          <w:iCs/>
          <w:sz w:val="24"/>
          <w:szCs w:val="24"/>
        </w:rPr>
        <w:t>unfair outcomes</w:t>
      </w:r>
      <w:r>
        <w:rPr>
          <w:rFonts w:ascii="Times New Roman" w:hAnsi="Times New Roman"/>
          <w:sz w:val="24"/>
          <w:szCs w:val="24"/>
        </w:rPr>
        <w:t xml:space="preserve"> mean the consequences brought by the actions driven by the algorithms that can be assessed according to numerous ethical criteria and principles, and are found to have an unfair nature.</w:t>
      </w:r>
      <w:r>
        <w:rPr>
          <w:rStyle w:val="FootnoteReference"/>
          <w:rFonts w:ascii="Times New Roman" w:hAnsi="Times New Roman"/>
          <w:sz w:val="24"/>
          <w:szCs w:val="24"/>
        </w:rPr>
        <w:footnoteReference w:id="894"/>
      </w:r>
      <w:r>
        <w:rPr>
          <w:rFonts w:ascii="Times New Roman" w:hAnsi="Times New Roman"/>
          <w:sz w:val="24"/>
          <w:szCs w:val="24"/>
        </w:rPr>
        <w:t xml:space="preserve"> </w:t>
      </w:r>
      <w:bookmarkStart w:id="723" w:name="_Hlk52746524"/>
      <w:bookmarkStart w:id="724" w:name="_Hlk52746587"/>
      <w:r>
        <w:rPr>
          <w:rFonts w:ascii="Times New Roman" w:hAnsi="Times New Roman"/>
          <w:sz w:val="24"/>
          <w:szCs w:val="24"/>
        </w:rPr>
        <w:t>Within this</w:t>
      </w:r>
      <w:r w:rsidR="00761F0D">
        <w:rPr>
          <w:rFonts w:ascii="Times New Roman" w:hAnsi="Times New Roman"/>
          <w:sz w:val="24"/>
          <w:szCs w:val="24"/>
        </w:rPr>
        <w:t xml:space="preserve"> </w:t>
      </w:r>
      <w:r w:rsidR="00D663F0">
        <w:rPr>
          <w:rFonts w:ascii="Times New Roman" w:hAnsi="Times New Roman"/>
          <w:sz w:val="24"/>
          <w:szCs w:val="24"/>
        </w:rPr>
        <w:t xml:space="preserve">category </w:t>
      </w:r>
      <w:r w:rsidR="00761F0D">
        <w:rPr>
          <w:rFonts w:ascii="Times New Roman" w:hAnsi="Times New Roman"/>
          <w:sz w:val="24"/>
          <w:szCs w:val="24"/>
        </w:rPr>
        <w:t>are included</w:t>
      </w:r>
      <w:r>
        <w:rPr>
          <w:rFonts w:ascii="Times New Roman" w:hAnsi="Times New Roman"/>
          <w:sz w:val="24"/>
          <w:szCs w:val="24"/>
        </w:rPr>
        <w:t xml:space="preserve"> not only indirect discrimination but also unfavourable results against neutrality and independence. </w:t>
      </w:r>
      <w:r w:rsidR="00AB4CB9">
        <w:rPr>
          <w:rFonts w:ascii="Times New Roman" w:hAnsi="Times New Roman"/>
          <w:sz w:val="24"/>
          <w:szCs w:val="24"/>
        </w:rPr>
        <w:t xml:space="preserve">Starting from the bottom </w:t>
      </w:r>
      <w:r w:rsidR="00AB4CB9">
        <w:rPr>
          <w:rFonts w:ascii="Times New Roman" w:hAnsi="Times New Roman"/>
          <w:sz w:val="24"/>
          <w:szCs w:val="24"/>
        </w:rPr>
        <w:lastRenderedPageBreak/>
        <w:t>(access) layer</w:t>
      </w:r>
      <w:r>
        <w:rPr>
          <w:rFonts w:ascii="Times New Roman" w:hAnsi="Times New Roman"/>
          <w:sz w:val="24"/>
          <w:szCs w:val="24"/>
        </w:rPr>
        <w:t xml:space="preserve">, </w:t>
      </w:r>
      <w:r w:rsidR="006B7237">
        <w:rPr>
          <w:rFonts w:ascii="Times New Roman" w:hAnsi="Times New Roman"/>
          <w:sz w:val="24"/>
          <w:szCs w:val="24"/>
        </w:rPr>
        <w:t xml:space="preserve">one would come across </w:t>
      </w:r>
      <w:r>
        <w:rPr>
          <w:rFonts w:ascii="Times New Roman" w:hAnsi="Times New Roman"/>
          <w:sz w:val="24"/>
          <w:szCs w:val="24"/>
        </w:rPr>
        <w:t xml:space="preserve">non-neutral activities performed by the ISPs involving throttling, delaying and prioritising the net traffic </w:t>
      </w:r>
      <w:r w:rsidR="00AB4CB9">
        <w:rPr>
          <w:rFonts w:ascii="Times New Roman" w:hAnsi="Times New Roman"/>
          <w:sz w:val="24"/>
          <w:szCs w:val="24"/>
        </w:rPr>
        <w:t>ending up</w:t>
      </w:r>
      <w:r w:rsidR="00EC2F5A">
        <w:rPr>
          <w:rFonts w:ascii="Times New Roman" w:hAnsi="Times New Roman"/>
          <w:sz w:val="24"/>
          <w:szCs w:val="24"/>
        </w:rPr>
        <w:t xml:space="preserve"> </w:t>
      </w:r>
      <w:r w:rsidR="00AB4CB9">
        <w:rPr>
          <w:rFonts w:ascii="Times New Roman" w:hAnsi="Times New Roman"/>
          <w:sz w:val="24"/>
          <w:szCs w:val="24"/>
        </w:rPr>
        <w:t xml:space="preserve">with </w:t>
      </w:r>
      <w:r w:rsidR="00EC2F5A">
        <w:rPr>
          <w:rFonts w:ascii="Times New Roman" w:hAnsi="Times New Roman"/>
          <w:sz w:val="24"/>
          <w:szCs w:val="24"/>
        </w:rPr>
        <w:t xml:space="preserve">filtered </w:t>
      </w:r>
      <w:r>
        <w:rPr>
          <w:rFonts w:ascii="Times New Roman" w:hAnsi="Times New Roman"/>
          <w:sz w:val="24"/>
          <w:szCs w:val="24"/>
        </w:rPr>
        <w:t xml:space="preserve">results to </w:t>
      </w:r>
      <w:r w:rsidR="00AB4CB9">
        <w:rPr>
          <w:rFonts w:ascii="Times New Roman" w:hAnsi="Times New Roman"/>
          <w:sz w:val="24"/>
          <w:szCs w:val="24"/>
        </w:rPr>
        <w:t xml:space="preserve">be conveyed to </w:t>
      </w:r>
      <w:r w:rsidR="00EC2F5A">
        <w:rPr>
          <w:rFonts w:ascii="Times New Roman" w:hAnsi="Times New Roman"/>
          <w:sz w:val="24"/>
          <w:szCs w:val="24"/>
        </w:rPr>
        <w:t>the</w:t>
      </w:r>
      <w:r w:rsidR="00AB4CB9">
        <w:rPr>
          <w:rFonts w:ascii="Times New Roman" w:hAnsi="Times New Roman"/>
          <w:sz w:val="24"/>
          <w:szCs w:val="24"/>
        </w:rPr>
        <w:t xml:space="preserve"> end-users</w:t>
      </w:r>
      <w:r>
        <w:rPr>
          <w:rFonts w:ascii="Times New Roman" w:hAnsi="Times New Roman"/>
          <w:sz w:val="24"/>
          <w:szCs w:val="24"/>
        </w:rPr>
        <w:t xml:space="preserve"> fall in this category</w:t>
      </w:r>
      <w:r w:rsidR="00AB4CB9">
        <w:rPr>
          <w:rFonts w:ascii="Times New Roman" w:hAnsi="Times New Roman"/>
          <w:sz w:val="24"/>
          <w:szCs w:val="24"/>
        </w:rPr>
        <w:t xml:space="preserve">. </w:t>
      </w:r>
      <w:r>
        <w:rPr>
          <w:rFonts w:ascii="Times New Roman" w:hAnsi="Times New Roman"/>
          <w:sz w:val="24"/>
          <w:szCs w:val="24"/>
        </w:rPr>
        <w:t xml:space="preserve">Google’s discriminatory </w:t>
      </w:r>
      <w:r w:rsidRPr="00920162">
        <w:rPr>
          <w:rFonts w:ascii="Times New Roman" w:hAnsi="Times New Roman"/>
          <w:sz w:val="24"/>
          <w:szCs w:val="24"/>
        </w:rPr>
        <w:t>ranking</w:t>
      </w:r>
      <w:r>
        <w:rPr>
          <w:rFonts w:ascii="Times New Roman" w:hAnsi="Times New Roman"/>
          <w:sz w:val="24"/>
          <w:szCs w:val="24"/>
        </w:rPr>
        <w:t>,</w:t>
      </w:r>
      <w:bookmarkEnd w:id="723"/>
      <w:r w:rsidR="00F56029" w:rsidRPr="00774EDB">
        <w:rPr>
          <w:rStyle w:val="FootnoteReference"/>
          <w:rFonts w:ascii="Times New Roman" w:hAnsi="Times New Roman" w:cs="Times New Roman"/>
          <w:sz w:val="24"/>
          <w:szCs w:val="24"/>
        </w:rPr>
        <w:footnoteReference w:id="895"/>
      </w:r>
      <w:r w:rsidR="00F56029">
        <w:rPr>
          <w:rFonts w:ascii="Times New Roman" w:hAnsi="Times New Roman" w:cs="Times New Roman"/>
          <w:sz w:val="24"/>
          <w:szCs w:val="24"/>
        </w:rPr>
        <w:t xml:space="preserve"> </w:t>
      </w:r>
      <w:r w:rsidR="00AB4CB9">
        <w:rPr>
          <w:rFonts w:ascii="Times New Roman" w:hAnsi="Times New Roman"/>
          <w:sz w:val="24"/>
          <w:szCs w:val="24"/>
        </w:rPr>
        <w:t>and</w:t>
      </w:r>
      <w:r w:rsidR="003A242B">
        <w:rPr>
          <w:rFonts w:ascii="Times New Roman" w:hAnsi="Times New Roman"/>
          <w:sz w:val="24"/>
          <w:szCs w:val="24"/>
        </w:rPr>
        <w:t xml:space="preserve"> </w:t>
      </w:r>
      <w:r w:rsidR="005F7549">
        <w:rPr>
          <w:rFonts w:ascii="Times New Roman" w:hAnsi="Times New Roman"/>
          <w:sz w:val="24"/>
          <w:szCs w:val="24"/>
        </w:rPr>
        <w:t xml:space="preserve">other </w:t>
      </w:r>
      <w:r w:rsidR="0037328C">
        <w:rPr>
          <w:rFonts w:ascii="Times New Roman" w:hAnsi="Times New Roman"/>
          <w:sz w:val="24"/>
          <w:szCs w:val="24"/>
        </w:rPr>
        <w:t>online platforms’ exclusionary behaviours</w:t>
      </w:r>
      <w:r w:rsidR="0037328C">
        <w:rPr>
          <w:rStyle w:val="FootnoteReference"/>
          <w:rFonts w:ascii="Times New Roman" w:hAnsi="Times New Roman"/>
          <w:sz w:val="24"/>
          <w:szCs w:val="24"/>
        </w:rPr>
        <w:footnoteReference w:id="896"/>
      </w:r>
      <w:r w:rsidR="0037328C">
        <w:rPr>
          <w:rFonts w:ascii="Times New Roman" w:hAnsi="Times New Roman"/>
          <w:sz w:val="24"/>
          <w:szCs w:val="24"/>
        </w:rPr>
        <w:t xml:space="preserve"> exemplify the gatekeeping activities from inside the middleware layer. </w:t>
      </w:r>
      <w:r w:rsidR="005F7A1C">
        <w:rPr>
          <w:rFonts w:ascii="Times New Roman" w:hAnsi="Times New Roman"/>
          <w:sz w:val="24"/>
          <w:szCs w:val="24"/>
        </w:rPr>
        <w:t>Facebook filtering the news feeds to be featured in users’ customized account pages</w:t>
      </w:r>
      <w:r w:rsidR="005F7A1C">
        <w:rPr>
          <w:rStyle w:val="FootnoteReference"/>
          <w:rFonts w:ascii="Times New Roman" w:hAnsi="Times New Roman"/>
          <w:sz w:val="24"/>
          <w:szCs w:val="24"/>
        </w:rPr>
        <w:footnoteReference w:id="897"/>
      </w:r>
      <w:r w:rsidR="005F7A1C">
        <w:rPr>
          <w:rFonts w:ascii="Times New Roman" w:hAnsi="Times New Roman"/>
          <w:sz w:val="24"/>
          <w:szCs w:val="24"/>
        </w:rPr>
        <w:t xml:space="preserve"> could be given as an example matching the upper layers.</w:t>
      </w:r>
      <w:r w:rsidR="0037328C">
        <w:rPr>
          <w:rFonts w:ascii="Times New Roman" w:hAnsi="Times New Roman"/>
          <w:sz w:val="24"/>
          <w:szCs w:val="24"/>
        </w:rPr>
        <w:t xml:space="preserve"> Notably, while these examples </w:t>
      </w:r>
      <w:r w:rsidR="00761F0D">
        <w:rPr>
          <w:rFonts w:ascii="Times New Roman" w:hAnsi="Times New Roman"/>
          <w:sz w:val="24"/>
          <w:szCs w:val="24"/>
        </w:rPr>
        <w:t>entail</w:t>
      </w:r>
      <w:r w:rsidR="0037328C">
        <w:rPr>
          <w:rFonts w:ascii="Times New Roman" w:hAnsi="Times New Roman"/>
          <w:sz w:val="24"/>
          <w:szCs w:val="24"/>
        </w:rPr>
        <w:t xml:space="preserve"> </w:t>
      </w:r>
      <w:r w:rsidR="00C157AF">
        <w:rPr>
          <w:rFonts w:ascii="Times New Roman" w:hAnsi="Times New Roman"/>
          <w:sz w:val="24"/>
          <w:szCs w:val="24"/>
        </w:rPr>
        <w:t xml:space="preserve">unfair outcomes within the meaning of </w:t>
      </w:r>
      <w:r w:rsidR="0037328C">
        <w:rPr>
          <w:rFonts w:ascii="Times New Roman" w:hAnsi="Times New Roman"/>
          <w:sz w:val="24"/>
          <w:szCs w:val="24"/>
        </w:rPr>
        <w:t>techno-social concerns</w:t>
      </w:r>
      <w:r w:rsidR="00DF3A36">
        <w:rPr>
          <w:rFonts w:ascii="Times New Roman" w:hAnsi="Times New Roman"/>
          <w:sz w:val="24"/>
          <w:szCs w:val="24"/>
        </w:rPr>
        <w:t>, the</w:t>
      </w:r>
      <w:r w:rsidR="006B7237">
        <w:rPr>
          <w:rFonts w:ascii="Times New Roman" w:hAnsi="Times New Roman"/>
          <w:sz w:val="24"/>
          <w:szCs w:val="24"/>
        </w:rPr>
        <w:t xml:space="preserve"> underlying</w:t>
      </w:r>
      <w:r w:rsidR="00DF3A36">
        <w:rPr>
          <w:rFonts w:ascii="Times New Roman" w:hAnsi="Times New Roman"/>
          <w:sz w:val="24"/>
          <w:szCs w:val="24"/>
        </w:rPr>
        <w:t xml:space="preserve"> </w:t>
      </w:r>
      <w:r w:rsidR="006B7237">
        <w:rPr>
          <w:rFonts w:ascii="Times New Roman" w:hAnsi="Times New Roman"/>
          <w:sz w:val="24"/>
          <w:szCs w:val="24"/>
        </w:rPr>
        <w:t xml:space="preserve">gatekeeping activities </w:t>
      </w:r>
      <w:r w:rsidR="00DF3A36">
        <w:rPr>
          <w:rFonts w:ascii="Times New Roman" w:hAnsi="Times New Roman"/>
          <w:sz w:val="24"/>
          <w:szCs w:val="24"/>
        </w:rPr>
        <w:t xml:space="preserve">are </w:t>
      </w:r>
      <w:r w:rsidR="006B7237">
        <w:rPr>
          <w:rFonts w:ascii="Times New Roman" w:hAnsi="Times New Roman"/>
          <w:sz w:val="24"/>
          <w:szCs w:val="24"/>
        </w:rPr>
        <w:t>often</w:t>
      </w:r>
      <w:r w:rsidR="00DF3A36">
        <w:rPr>
          <w:rFonts w:ascii="Times New Roman" w:hAnsi="Times New Roman"/>
          <w:sz w:val="24"/>
          <w:szCs w:val="24"/>
        </w:rPr>
        <w:t xml:space="preserve"> scrutinised within the </w:t>
      </w:r>
      <w:r w:rsidR="006B7237">
        <w:rPr>
          <w:rFonts w:ascii="Times New Roman" w:hAnsi="Times New Roman"/>
          <w:sz w:val="24"/>
          <w:szCs w:val="24"/>
        </w:rPr>
        <w:t xml:space="preserve">meaning of </w:t>
      </w:r>
      <w:r w:rsidR="00DF3A36">
        <w:rPr>
          <w:rFonts w:ascii="Times New Roman" w:hAnsi="Times New Roman"/>
          <w:sz w:val="24"/>
          <w:szCs w:val="24"/>
        </w:rPr>
        <w:t xml:space="preserve">competition law </w:t>
      </w:r>
      <w:r w:rsidR="004B54E5">
        <w:rPr>
          <w:rFonts w:ascii="Times New Roman" w:hAnsi="Times New Roman"/>
          <w:sz w:val="24"/>
          <w:szCs w:val="24"/>
        </w:rPr>
        <w:t>by the European Commission or competition authorities</w:t>
      </w:r>
      <w:r w:rsidR="00DF3A36">
        <w:rPr>
          <w:rFonts w:ascii="Times New Roman" w:hAnsi="Times New Roman"/>
          <w:sz w:val="24"/>
          <w:szCs w:val="24"/>
        </w:rPr>
        <w:t xml:space="preserve">. </w:t>
      </w:r>
      <w:r w:rsidR="006B7237">
        <w:rPr>
          <w:rFonts w:ascii="Times New Roman" w:hAnsi="Times New Roman"/>
          <w:sz w:val="24"/>
          <w:szCs w:val="24"/>
        </w:rPr>
        <w:t xml:space="preserve">While </w:t>
      </w:r>
      <w:r w:rsidR="004B54E5">
        <w:rPr>
          <w:rFonts w:ascii="Times New Roman" w:hAnsi="Times New Roman"/>
          <w:sz w:val="24"/>
          <w:szCs w:val="24"/>
        </w:rPr>
        <w:t>competition</w:t>
      </w:r>
      <w:r w:rsidR="006B7237">
        <w:rPr>
          <w:rFonts w:ascii="Times New Roman" w:hAnsi="Times New Roman"/>
          <w:sz w:val="24"/>
          <w:szCs w:val="24"/>
        </w:rPr>
        <w:t xml:space="preserve"> </w:t>
      </w:r>
      <w:r w:rsidR="004B54E5">
        <w:rPr>
          <w:rFonts w:ascii="Times New Roman" w:hAnsi="Times New Roman"/>
          <w:sz w:val="24"/>
          <w:szCs w:val="24"/>
        </w:rPr>
        <w:t xml:space="preserve">concerns are </w:t>
      </w:r>
      <w:r w:rsidR="006B7237">
        <w:rPr>
          <w:rFonts w:ascii="Times New Roman" w:hAnsi="Times New Roman"/>
          <w:sz w:val="24"/>
          <w:szCs w:val="24"/>
        </w:rPr>
        <w:t xml:space="preserve">well established </w:t>
      </w:r>
      <w:r w:rsidR="004B54E5">
        <w:rPr>
          <w:rFonts w:ascii="Times New Roman" w:hAnsi="Times New Roman"/>
          <w:sz w:val="24"/>
          <w:szCs w:val="24"/>
        </w:rPr>
        <w:t xml:space="preserve">and reflected </w:t>
      </w:r>
      <w:r w:rsidR="006B7237">
        <w:rPr>
          <w:rFonts w:ascii="Times New Roman" w:hAnsi="Times New Roman"/>
          <w:sz w:val="24"/>
          <w:szCs w:val="24"/>
        </w:rPr>
        <w:t xml:space="preserve">through the EU precedents and legislation, there exist no </w:t>
      </w:r>
      <w:r w:rsidR="00FC44E4">
        <w:rPr>
          <w:rFonts w:ascii="Times New Roman" w:hAnsi="Times New Roman"/>
          <w:sz w:val="24"/>
          <w:szCs w:val="24"/>
        </w:rPr>
        <w:t>holistic</w:t>
      </w:r>
      <w:r w:rsidR="006B7237">
        <w:rPr>
          <w:rFonts w:ascii="Times New Roman" w:hAnsi="Times New Roman"/>
          <w:sz w:val="24"/>
          <w:szCs w:val="24"/>
        </w:rPr>
        <w:t xml:space="preserve"> legal framework governing the </w:t>
      </w:r>
      <w:r w:rsidR="00FC44E4">
        <w:rPr>
          <w:rFonts w:ascii="Times New Roman" w:hAnsi="Times New Roman"/>
          <w:sz w:val="24"/>
          <w:szCs w:val="24"/>
        </w:rPr>
        <w:t xml:space="preserve">unfair outcomes implicated through the </w:t>
      </w:r>
      <w:r w:rsidR="00FC44E4">
        <w:rPr>
          <w:rFonts w:ascii="Times New Roman" w:hAnsi="Times New Roman"/>
          <w:sz w:val="24"/>
          <w:szCs w:val="24"/>
        </w:rPr>
        <w:lastRenderedPageBreak/>
        <w:t>gatekeeping activities</w:t>
      </w:r>
      <w:r w:rsidR="006B7237">
        <w:rPr>
          <w:rFonts w:ascii="Times New Roman" w:hAnsi="Times New Roman"/>
          <w:sz w:val="24"/>
          <w:szCs w:val="24"/>
        </w:rPr>
        <w:t>.</w:t>
      </w:r>
      <w:r w:rsidR="00FC44E4">
        <w:rPr>
          <w:rFonts w:ascii="Times New Roman" w:hAnsi="Times New Roman"/>
          <w:sz w:val="24"/>
          <w:szCs w:val="24"/>
        </w:rPr>
        <w:t xml:space="preserve"> In addition, </w:t>
      </w:r>
      <w:r w:rsidR="00DF3A36">
        <w:rPr>
          <w:rFonts w:ascii="Times New Roman" w:hAnsi="Times New Roman"/>
          <w:sz w:val="24"/>
          <w:szCs w:val="24"/>
        </w:rPr>
        <w:t>sorting</w:t>
      </w:r>
      <w:r w:rsidR="0037328C">
        <w:rPr>
          <w:rFonts w:ascii="Times New Roman" w:hAnsi="Times New Roman"/>
          <w:sz w:val="24"/>
          <w:szCs w:val="24"/>
        </w:rPr>
        <w:t xml:space="preserve"> these </w:t>
      </w:r>
      <w:r w:rsidR="00FC44E4">
        <w:rPr>
          <w:rFonts w:ascii="Times New Roman" w:hAnsi="Times New Roman"/>
          <w:sz w:val="24"/>
          <w:szCs w:val="24"/>
        </w:rPr>
        <w:t xml:space="preserve">outcomes and </w:t>
      </w:r>
      <w:r w:rsidR="00761F0D">
        <w:rPr>
          <w:rFonts w:ascii="Times New Roman" w:hAnsi="Times New Roman"/>
          <w:sz w:val="24"/>
          <w:szCs w:val="24"/>
        </w:rPr>
        <w:t xml:space="preserve">concerns </w:t>
      </w:r>
      <w:r w:rsidR="00DF3A36">
        <w:rPr>
          <w:rFonts w:ascii="Times New Roman" w:hAnsi="Times New Roman"/>
          <w:sz w:val="24"/>
          <w:szCs w:val="24"/>
        </w:rPr>
        <w:t xml:space="preserve">separately </w:t>
      </w:r>
      <w:r w:rsidR="0037328C">
        <w:rPr>
          <w:rFonts w:ascii="Times New Roman" w:hAnsi="Times New Roman"/>
          <w:sz w:val="24"/>
          <w:szCs w:val="24"/>
        </w:rPr>
        <w:t>from the competition concerns is uneasy</w:t>
      </w:r>
      <w:r w:rsidR="00C157AF">
        <w:rPr>
          <w:rFonts w:ascii="Times New Roman" w:hAnsi="Times New Roman"/>
          <w:sz w:val="24"/>
          <w:szCs w:val="24"/>
        </w:rPr>
        <w:t xml:space="preserve"> </w:t>
      </w:r>
      <w:r w:rsidR="00C25B19">
        <w:rPr>
          <w:rFonts w:ascii="Times New Roman" w:hAnsi="Times New Roman"/>
          <w:sz w:val="24"/>
          <w:szCs w:val="24"/>
        </w:rPr>
        <w:t xml:space="preserve">and often unpromising </w:t>
      </w:r>
      <w:r w:rsidR="00C157AF">
        <w:rPr>
          <w:rFonts w:ascii="Times New Roman" w:hAnsi="Times New Roman"/>
          <w:sz w:val="24"/>
          <w:szCs w:val="24"/>
        </w:rPr>
        <w:t>as the</w:t>
      </w:r>
      <w:r w:rsidR="00761F0D">
        <w:rPr>
          <w:rFonts w:ascii="Times New Roman" w:hAnsi="Times New Roman"/>
          <w:sz w:val="24"/>
          <w:szCs w:val="24"/>
        </w:rPr>
        <w:t>y are often intertwined</w:t>
      </w:r>
      <w:r w:rsidR="0037328C">
        <w:rPr>
          <w:rFonts w:ascii="Times New Roman" w:hAnsi="Times New Roman"/>
          <w:sz w:val="24"/>
          <w:szCs w:val="24"/>
        </w:rPr>
        <w:t>.</w:t>
      </w:r>
      <w:bookmarkEnd w:id="724"/>
      <w:r w:rsidR="003A242B">
        <w:rPr>
          <w:rFonts w:ascii="Times New Roman" w:hAnsi="Times New Roman"/>
          <w:sz w:val="24"/>
          <w:szCs w:val="24"/>
        </w:rPr>
        <w:t xml:space="preserve"> </w:t>
      </w:r>
    </w:p>
    <w:p w14:paraId="16366477" w14:textId="77777777" w:rsidR="00B934BE" w:rsidRDefault="00B934BE" w:rsidP="00B934BE">
      <w:pPr>
        <w:spacing w:before="360" w:line="360" w:lineRule="auto"/>
        <w:rPr>
          <w:rFonts w:ascii="Times New Roman" w:hAnsi="Times New Roman"/>
          <w:sz w:val="24"/>
          <w:szCs w:val="24"/>
        </w:rPr>
      </w:pPr>
      <w:r>
        <w:rPr>
          <w:rFonts w:ascii="Times New Roman" w:hAnsi="Times New Roman"/>
          <w:sz w:val="24"/>
          <w:szCs w:val="24"/>
        </w:rPr>
        <w:t xml:space="preserve">When it comes to </w:t>
      </w:r>
      <w:r w:rsidRPr="00476025">
        <w:rPr>
          <w:rFonts w:ascii="Times New Roman" w:hAnsi="Times New Roman"/>
          <w:i/>
          <w:iCs/>
          <w:sz w:val="24"/>
          <w:szCs w:val="24"/>
        </w:rPr>
        <w:t>transformative effects</w:t>
      </w:r>
      <w:r>
        <w:rPr>
          <w:rFonts w:ascii="Times New Roman" w:hAnsi="Times New Roman"/>
          <w:sz w:val="24"/>
          <w:szCs w:val="24"/>
        </w:rPr>
        <w:t>, two challenges emerge:</w:t>
      </w:r>
    </w:p>
    <w:p w14:paraId="3FB8F3A2" w14:textId="77777777" w:rsidR="00B934BE" w:rsidRDefault="00B934BE" w:rsidP="00692824">
      <w:pPr>
        <w:numPr>
          <w:ilvl w:val="0"/>
          <w:numId w:val="39"/>
        </w:numPr>
        <w:spacing w:before="360" w:after="160"/>
        <w:jc w:val="both"/>
        <w:rPr>
          <w:rFonts w:ascii="Times New Roman" w:hAnsi="Times New Roman"/>
          <w:sz w:val="24"/>
          <w:szCs w:val="24"/>
        </w:rPr>
      </w:pPr>
      <w:r w:rsidRPr="004B2176">
        <w:rPr>
          <w:rFonts w:ascii="Times New Roman" w:hAnsi="Times New Roman"/>
          <w:i/>
          <w:iCs/>
          <w:sz w:val="24"/>
          <w:szCs w:val="24"/>
        </w:rPr>
        <w:t>challenges to autonomy</w:t>
      </w:r>
      <w:r>
        <w:rPr>
          <w:rFonts w:ascii="Times New Roman" w:hAnsi="Times New Roman"/>
          <w:sz w:val="24"/>
          <w:szCs w:val="24"/>
        </w:rPr>
        <w:t xml:space="preserve"> in the sense that (often personalisation) algorithms reduce the diversity of information user encounters by excluding content deemed irrelevant or contradictory to the user’s beliefs. The subject can be pushed to make the institutionally preferred action rather than their own preference.</w:t>
      </w:r>
    </w:p>
    <w:p w14:paraId="036EDBE6" w14:textId="77777777" w:rsidR="00EC2F5A" w:rsidRDefault="00B934BE" w:rsidP="00692824">
      <w:pPr>
        <w:numPr>
          <w:ilvl w:val="0"/>
          <w:numId w:val="39"/>
        </w:numPr>
        <w:spacing w:before="360" w:after="160"/>
        <w:jc w:val="both"/>
        <w:rPr>
          <w:rFonts w:ascii="Times New Roman" w:hAnsi="Times New Roman"/>
          <w:sz w:val="24"/>
          <w:szCs w:val="24"/>
        </w:rPr>
      </w:pPr>
      <w:r w:rsidRPr="00974F11">
        <w:rPr>
          <w:rFonts w:ascii="Times New Roman" w:hAnsi="Times New Roman"/>
          <w:i/>
          <w:iCs/>
          <w:sz w:val="24"/>
          <w:szCs w:val="24"/>
        </w:rPr>
        <w:t>challenges for informational privacy</w:t>
      </w:r>
      <w:r w:rsidRPr="00974F11">
        <w:rPr>
          <w:rFonts w:ascii="Times New Roman" w:hAnsi="Times New Roman"/>
          <w:sz w:val="24"/>
          <w:szCs w:val="24"/>
        </w:rPr>
        <w:t xml:space="preserve"> in the sense that the individual’s informational identity is breached by meaning generated by algorithms that link the subject to others within a dataset.</w:t>
      </w:r>
      <w:r>
        <w:rPr>
          <w:rStyle w:val="FootnoteReference"/>
          <w:rFonts w:ascii="Times New Roman" w:hAnsi="Times New Roman"/>
          <w:sz w:val="24"/>
          <w:szCs w:val="24"/>
        </w:rPr>
        <w:footnoteReference w:id="898"/>
      </w:r>
      <w:r w:rsidRPr="00974F11">
        <w:rPr>
          <w:rFonts w:ascii="Times New Roman" w:hAnsi="Times New Roman"/>
          <w:sz w:val="24"/>
          <w:szCs w:val="24"/>
        </w:rPr>
        <w:t xml:space="preserve"> </w:t>
      </w:r>
    </w:p>
    <w:p w14:paraId="259A89B8" w14:textId="79CEA6F1" w:rsidR="0029264D" w:rsidRDefault="00DF3A36" w:rsidP="0035689E">
      <w:pPr>
        <w:spacing w:before="360" w:after="160"/>
        <w:jc w:val="both"/>
        <w:rPr>
          <w:rFonts w:ascii="Times New Roman" w:hAnsi="Times New Roman"/>
          <w:sz w:val="24"/>
          <w:szCs w:val="24"/>
        </w:rPr>
      </w:pPr>
      <w:bookmarkStart w:id="727" w:name="_Hlk52750358"/>
      <w:r>
        <w:rPr>
          <w:rFonts w:ascii="Times New Roman" w:hAnsi="Times New Roman"/>
          <w:sz w:val="24"/>
          <w:szCs w:val="24"/>
        </w:rPr>
        <w:t xml:space="preserve">The transformative effects might overlap the unfair outcomes and to a lesser extent the competition concerns. </w:t>
      </w:r>
      <w:r w:rsidR="00FC44E4">
        <w:rPr>
          <w:rFonts w:ascii="Times New Roman" w:hAnsi="Times New Roman"/>
          <w:sz w:val="24"/>
          <w:szCs w:val="24"/>
        </w:rPr>
        <w:t>Competition</w:t>
      </w:r>
      <w:r>
        <w:rPr>
          <w:rFonts w:ascii="Times New Roman" w:hAnsi="Times New Roman"/>
          <w:sz w:val="24"/>
          <w:szCs w:val="24"/>
        </w:rPr>
        <w:t xml:space="preserve"> concerns </w:t>
      </w:r>
      <w:r w:rsidR="00FC44E4">
        <w:rPr>
          <w:rFonts w:ascii="Times New Roman" w:hAnsi="Times New Roman"/>
          <w:sz w:val="24"/>
          <w:szCs w:val="24"/>
        </w:rPr>
        <w:t>would not be manifest</w:t>
      </w:r>
      <w:r>
        <w:rPr>
          <w:rFonts w:ascii="Times New Roman" w:hAnsi="Times New Roman"/>
          <w:sz w:val="24"/>
          <w:szCs w:val="24"/>
        </w:rPr>
        <w:t xml:space="preserve"> in this context</w:t>
      </w:r>
      <w:r w:rsidR="00E525E0">
        <w:rPr>
          <w:rFonts w:ascii="Times New Roman" w:hAnsi="Times New Roman"/>
          <w:sz w:val="24"/>
          <w:szCs w:val="24"/>
        </w:rPr>
        <w:t xml:space="preserve"> for the very nature of</w:t>
      </w:r>
      <w:r>
        <w:rPr>
          <w:rFonts w:ascii="Times New Roman" w:hAnsi="Times New Roman"/>
          <w:sz w:val="24"/>
          <w:szCs w:val="24"/>
        </w:rPr>
        <w:t xml:space="preserve"> </w:t>
      </w:r>
      <w:r w:rsidR="00FC44E4">
        <w:rPr>
          <w:rFonts w:ascii="Times New Roman" w:hAnsi="Times New Roman"/>
          <w:sz w:val="24"/>
          <w:szCs w:val="24"/>
        </w:rPr>
        <w:t xml:space="preserve">the </w:t>
      </w:r>
      <w:r>
        <w:rPr>
          <w:rFonts w:ascii="Times New Roman" w:hAnsi="Times New Roman"/>
          <w:sz w:val="24"/>
          <w:szCs w:val="24"/>
        </w:rPr>
        <w:t xml:space="preserve">detriment </w:t>
      </w:r>
      <w:r w:rsidR="00E525E0">
        <w:rPr>
          <w:rFonts w:ascii="Times New Roman" w:hAnsi="Times New Roman"/>
          <w:sz w:val="24"/>
          <w:szCs w:val="24"/>
        </w:rPr>
        <w:t>caus</w:t>
      </w:r>
      <w:r>
        <w:rPr>
          <w:rFonts w:ascii="Times New Roman" w:hAnsi="Times New Roman"/>
          <w:sz w:val="24"/>
          <w:szCs w:val="24"/>
        </w:rPr>
        <w:t>ed</w:t>
      </w:r>
      <w:r w:rsidR="00E525E0">
        <w:rPr>
          <w:rFonts w:ascii="Times New Roman" w:hAnsi="Times New Roman"/>
          <w:sz w:val="24"/>
          <w:szCs w:val="24"/>
        </w:rPr>
        <w:t xml:space="preserve"> by these effects. </w:t>
      </w:r>
      <w:bookmarkEnd w:id="727"/>
      <w:r w:rsidR="00A14BA1">
        <w:rPr>
          <w:rFonts w:ascii="Times New Roman" w:hAnsi="Times New Roman"/>
          <w:sz w:val="24"/>
          <w:szCs w:val="24"/>
        </w:rPr>
        <w:t xml:space="preserve">Here, information flows and adverse consequences to cultural production and ultimately participatory democracy surface as having crucial </w:t>
      </w:r>
      <w:r w:rsidR="00A370C7">
        <w:rPr>
          <w:rFonts w:ascii="Times New Roman" w:hAnsi="Times New Roman"/>
          <w:sz w:val="24"/>
          <w:szCs w:val="24"/>
        </w:rPr>
        <w:t>results in the wider context of data and traffic management</w:t>
      </w:r>
      <w:r w:rsidR="00A14BA1">
        <w:rPr>
          <w:rFonts w:ascii="Times New Roman" w:hAnsi="Times New Roman"/>
          <w:sz w:val="24"/>
          <w:szCs w:val="24"/>
        </w:rPr>
        <w:t xml:space="preserve">. On the grounds of IPRs, TPMs and/or AI-based algorithms, information flows often become affected </w:t>
      </w:r>
      <w:r w:rsidR="00A370C7">
        <w:rPr>
          <w:rFonts w:ascii="Times New Roman" w:hAnsi="Times New Roman"/>
          <w:sz w:val="24"/>
          <w:szCs w:val="24"/>
        </w:rPr>
        <w:t>to be attended</w:t>
      </w:r>
      <w:r w:rsidR="00A14BA1">
        <w:rPr>
          <w:rFonts w:ascii="Times New Roman" w:hAnsi="Times New Roman"/>
          <w:sz w:val="24"/>
          <w:szCs w:val="24"/>
        </w:rPr>
        <w:t xml:space="preserve"> </w:t>
      </w:r>
      <w:r w:rsidR="00A370C7">
        <w:rPr>
          <w:rFonts w:ascii="Times New Roman" w:hAnsi="Times New Roman"/>
          <w:sz w:val="24"/>
          <w:szCs w:val="24"/>
        </w:rPr>
        <w:t xml:space="preserve">by </w:t>
      </w:r>
      <w:r w:rsidR="00A14BA1">
        <w:rPr>
          <w:rFonts w:ascii="Times New Roman" w:hAnsi="Times New Roman"/>
          <w:sz w:val="24"/>
          <w:szCs w:val="24"/>
        </w:rPr>
        <w:t xml:space="preserve">the accompanying challenges, namely the challenges to </w:t>
      </w:r>
      <w:r w:rsidR="00C25B19">
        <w:rPr>
          <w:rFonts w:ascii="Times New Roman" w:hAnsi="Times New Roman"/>
          <w:sz w:val="24"/>
          <w:szCs w:val="24"/>
        </w:rPr>
        <w:t>‘</w:t>
      </w:r>
      <w:r w:rsidR="00A14BA1">
        <w:rPr>
          <w:rFonts w:ascii="Times New Roman" w:hAnsi="Times New Roman"/>
          <w:sz w:val="24"/>
          <w:szCs w:val="24"/>
        </w:rPr>
        <w:t>autonomy</w:t>
      </w:r>
      <w:r w:rsidR="00C25B19">
        <w:rPr>
          <w:rFonts w:ascii="Times New Roman" w:hAnsi="Times New Roman"/>
          <w:sz w:val="24"/>
          <w:szCs w:val="24"/>
        </w:rPr>
        <w:t>’</w:t>
      </w:r>
      <w:r w:rsidR="00A14BA1">
        <w:rPr>
          <w:rFonts w:ascii="Times New Roman" w:hAnsi="Times New Roman"/>
          <w:sz w:val="24"/>
          <w:szCs w:val="24"/>
        </w:rPr>
        <w:t xml:space="preserve"> and </w:t>
      </w:r>
      <w:r w:rsidR="00C25B19">
        <w:rPr>
          <w:rFonts w:ascii="Times New Roman" w:hAnsi="Times New Roman"/>
          <w:sz w:val="24"/>
          <w:szCs w:val="24"/>
        </w:rPr>
        <w:t>‘</w:t>
      </w:r>
      <w:r w:rsidR="00A14BA1" w:rsidRPr="00BA5CB4">
        <w:rPr>
          <w:rFonts w:ascii="Times New Roman" w:hAnsi="Times New Roman"/>
          <w:sz w:val="24"/>
          <w:szCs w:val="24"/>
        </w:rPr>
        <w:t>informational privacy</w:t>
      </w:r>
      <w:r w:rsidR="00C25B19">
        <w:rPr>
          <w:rFonts w:ascii="Times New Roman" w:hAnsi="Times New Roman"/>
          <w:sz w:val="24"/>
          <w:szCs w:val="24"/>
        </w:rPr>
        <w:t>’</w:t>
      </w:r>
      <w:r w:rsidR="00A14BA1">
        <w:rPr>
          <w:rFonts w:ascii="Times New Roman" w:hAnsi="Times New Roman"/>
          <w:sz w:val="24"/>
          <w:szCs w:val="24"/>
        </w:rPr>
        <w:t>. Combination of these challenges ha</w:t>
      </w:r>
      <w:r w:rsidR="00C25B19">
        <w:rPr>
          <w:rFonts w:ascii="Times New Roman" w:hAnsi="Times New Roman"/>
          <w:sz w:val="24"/>
          <w:szCs w:val="24"/>
        </w:rPr>
        <w:t>s</w:t>
      </w:r>
      <w:r w:rsidR="00A14BA1">
        <w:rPr>
          <w:rFonts w:ascii="Times New Roman" w:hAnsi="Times New Roman"/>
          <w:sz w:val="24"/>
          <w:szCs w:val="24"/>
        </w:rPr>
        <w:t xml:space="preserve"> the potential to transform the data subjects that are exposed to the </w:t>
      </w:r>
      <w:r w:rsidR="00A14BA1">
        <w:rPr>
          <w:rFonts w:ascii="Times New Roman" w:hAnsi="Times New Roman"/>
          <w:sz w:val="24"/>
          <w:szCs w:val="24"/>
        </w:rPr>
        <w:lastRenderedPageBreak/>
        <w:t>underlying gatekeeping activities, i.e. restricted/filtered</w:t>
      </w:r>
      <w:r w:rsidR="00A370C7">
        <w:rPr>
          <w:rFonts w:ascii="Times New Roman" w:hAnsi="Times New Roman"/>
          <w:sz w:val="24"/>
          <w:szCs w:val="24"/>
        </w:rPr>
        <w:t>/manipulated</w:t>
      </w:r>
      <w:r w:rsidR="00A14BA1">
        <w:rPr>
          <w:rFonts w:ascii="Times New Roman" w:hAnsi="Times New Roman"/>
          <w:sz w:val="24"/>
          <w:szCs w:val="24"/>
        </w:rPr>
        <w:t xml:space="preserve"> information flows.</w:t>
      </w:r>
      <w:r w:rsidR="00A14BA1">
        <w:rPr>
          <w:rStyle w:val="FootnoteReference"/>
          <w:rFonts w:ascii="Times New Roman" w:hAnsi="Times New Roman"/>
          <w:sz w:val="24"/>
          <w:szCs w:val="24"/>
        </w:rPr>
        <w:footnoteReference w:id="899"/>
      </w:r>
    </w:p>
    <w:p w14:paraId="6C3799AC" w14:textId="55C785CC" w:rsidR="0041228B" w:rsidRPr="00692824" w:rsidRDefault="00982E19" w:rsidP="00692824">
      <w:pPr>
        <w:spacing w:before="360" w:after="160"/>
        <w:jc w:val="both"/>
        <w:rPr>
          <w:rFonts w:ascii="Times New Roman" w:hAnsi="Times New Roman"/>
          <w:sz w:val="24"/>
          <w:szCs w:val="24"/>
        </w:rPr>
      </w:pPr>
      <w:bookmarkStart w:id="728" w:name="_Hlk52751048"/>
      <w:r>
        <w:rPr>
          <w:rFonts w:ascii="Times New Roman" w:hAnsi="Times New Roman"/>
          <w:sz w:val="24"/>
          <w:szCs w:val="24"/>
        </w:rPr>
        <w:t xml:space="preserve">Acknowledgement of </w:t>
      </w:r>
      <w:r w:rsidR="00B934BE" w:rsidRPr="00EC2F5A">
        <w:rPr>
          <w:rFonts w:ascii="Times New Roman" w:hAnsi="Times New Roman"/>
          <w:sz w:val="24"/>
          <w:szCs w:val="24"/>
        </w:rPr>
        <w:t>‘</w:t>
      </w:r>
      <w:r>
        <w:rPr>
          <w:rFonts w:ascii="Times New Roman" w:hAnsi="Times New Roman"/>
          <w:sz w:val="24"/>
          <w:szCs w:val="24"/>
        </w:rPr>
        <w:t>g</w:t>
      </w:r>
      <w:r w:rsidR="00B934BE" w:rsidRPr="00EC2F5A">
        <w:rPr>
          <w:rFonts w:ascii="Times New Roman" w:hAnsi="Times New Roman"/>
          <w:sz w:val="24"/>
          <w:szCs w:val="24"/>
        </w:rPr>
        <w:t>atekeeping</w:t>
      </w:r>
      <w:r w:rsidR="00EE7EC4">
        <w:rPr>
          <w:rFonts w:ascii="Times New Roman" w:hAnsi="Times New Roman"/>
          <w:sz w:val="24"/>
          <w:szCs w:val="24"/>
        </w:rPr>
        <w:t xml:space="preserve">’ </w:t>
      </w:r>
      <w:r w:rsidR="00C25B19">
        <w:rPr>
          <w:rFonts w:ascii="Times New Roman" w:hAnsi="Times New Roman"/>
          <w:sz w:val="24"/>
          <w:szCs w:val="24"/>
        </w:rPr>
        <w:t>activitie</w:t>
      </w:r>
      <w:r w:rsidR="00EE7EC4">
        <w:rPr>
          <w:rFonts w:ascii="Times New Roman" w:hAnsi="Times New Roman"/>
          <w:sz w:val="24"/>
          <w:szCs w:val="24"/>
        </w:rPr>
        <w:t>s</w:t>
      </w:r>
      <w:r w:rsidR="00B934BE" w:rsidRPr="00EC2F5A">
        <w:rPr>
          <w:rFonts w:ascii="Times New Roman" w:hAnsi="Times New Roman"/>
          <w:sz w:val="24"/>
          <w:szCs w:val="24"/>
        </w:rPr>
        <w:t xml:space="preserve"> </w:t>
      </w:r>
      <w:r>
        <w:rPr>
          <w:rFonts w:ascii="Times New Roman" w:hAnsi="Times New Roman"/>
          <w:sz w:val="24"/>
          <w:szCs w:val="24"/>
        </w:rPr>
        <w:t>is</w:t>
      </w:r>
      <w:r w:rsidR="00E525E0">
        <w:rPr>
          <w:rFonts w:ascii="Times New Roman" w:hAnsi="Times New Roman"/>
          <w:sz w:val="24"/>
          <w:szCs w:val="24"/>
        </w:rPr>
        <w:t xml:space="preserve"> sourced from</w:t>
      </w:r>
      <w:r w:rsidR="00C157AF">
        <w:rPr>
          <w:rFonts w:ascii="Times New Roman" w:hAnsi="Times New Roman"/>
          <w:sz w:val="24"/>
          <w:szCs w:val="24"/>
        </w:rPr>
        <w:t xml:space="preserve"> </w:t>
      </w:r>
      <w:r w:rsidR="00B934BE" w:rsidRPr="00EC2F5A">
        <w:rPr>
          <w:rFonts w:ascii="Times New Roman" w:hAnsi="Times New Roman"/>
          <w:sz w:val="24"/>
          <w:szCs w:val="24"/>
        </w:rPr>
        <w:t xml:space="preserve">the </w:t>
      </w:r>
      <w:r w:rsidR="0035689E">
        <w:rPr>
          <w:rFonts w:ascii="Times New Roman" w:hAnsi="Times New Roman"/>
          <w:sz w:val="24"/>
          <w:szCs w:val="24"/>
        </w:rPr>
        <w:t>techno-social concerns</w:t>
      </w:r>
      <w:r w:rsidR="00C157AF">
        <w:rPr>
          <w:rFonts w:ascii="Times New Roman" w:hAnsi="Times New Roman"/>
          <w:sz w:val="24"/>
          <w:szCs w:val="24"/>
        </w:rPr>
        <w:t xml:space="preserve"> as equally as, even more</w:t>
      </w:r>
      <w:r w:rsidR="006F5FE9">
        <w:rPr>
          <w:rFonts w:ascii="Times New Roman" w:hAnsi="Times New Roman"/>
          <w:sz w:val="24"/>
          <w:szCs w:val="24"/>
        </w:rPr>
        <w:t>,</w:t>
      </w:r>
      <w:r w:rsidR="00C157AF">
        <w:rPr>
          <w:rFonts w:ascii="Times New Roman" w:hAnsi="Times New Roman"/>
          <w:sz w:val="24"/>
          <w:szCs w:val="24"/>
        </w:rPr>
        <w:t xml:space="preserve"> </w:t>
      </w:r>
      <w:r w:rsidR="00E525E0">
        <w:rPr>
          <w:rFonts w:ascii="Times New Roman" w:hAnsi="Times New Roman"/>
          <w:sz w:val="24"/>
          <w:szCs w:val="24"/>
        </w:rPr>
        <w:t xml:space="preserve">frequently </w:t>
      </w:r>
      <w:r w:rsidR="00C157AF">
        <w:rPr>
          <w:rFonts w:ascii="Times New Roman" w:hAnsi="Times New Roman"/>
          <w:sz w:val="24"/>
          <w:szCs w:val="24"/>
        </w:rPr>
        <w:t>than</w:t>
      </w:r>
      <w:r w:rsidR="006F5FE9">
        <w:rPr>
          <w:rFonts w:ascii="Times New Roman" w:hAnsi="Times New Roman"/>
          <w:sz w:val="24"/>
          <w:szCs w:val="24"/>
        </w:rPr>
        <w:t xml:space="preserve"> the</w:t>
      </w:r>
      <w:r w:rsidR="00C157AF">
        <w:rPr>
          <w:rFonts w:ascii="Times New Roman" w:hAnsi="Times New Roman"/>
          <w:sz w:val="24"/>
          <w:szCs w:val="24"/>
        </w:rPr>
        <w:t xml:space="preserve"> competition concerns</w:t>
      </w:r>
      <w:r w:rsidR="006F5FE9">
        <w:rPr>
          <w:rFonts w:ascii="Times New Roman" w:hAnsi="Times New Roman"/>
          <w:sz w:val="24"/>
          <w:szCs w:val="24"/>
        </w:rPr>
        <w:t>, considering the far-reaching implications depicted above.</w:t>
      </w:r>
      <w:r w:rsidR="00C157AF">
        <w:rPr>
          <w:rFonts w:ascii="Times New Roman" w:hAnsi="Times New Roman"/>
          <w:sz w:val="24"/>
          <w:szCs w:val="24"/>
        </w:rPr>
        <w:t xml:space="preserve"> </w:t>
      </w:r>
      <w:r w:rsidR="000030FF">
        <w:rPr>
          <w:rFonts w:ascii="Times New Roman" w:hAnsi="Times New Roman"/>
          <w:sz w:val="24"/>
          <w:szCs w:val="24"/>
        </w:rPr>
        <w:t>C</w:t>
      </w:r>
      <w:r w:rsidR="00EE7EC4">
        <w:rPr>
          <w:rFonts w:ascii="Times New Roman" w:hAnsi="Times New Roman"/>
          <w:sz w:val="24"/>
          <w:szCs w:val="24"/>
        </w:rPr>
        <w:t xml:space="preserve">ompetition law tools and </w:t>
      </w:r>
      <w:r w:rsidR="00C157AF">
        <w:rPr>
          <w:rFonts w:ascii="Times New Roman" w:hAnsi="Times New Roman"/>
          <w:sz w:val="24"/>
          <w:szCs w:val="24"/>
        </w:rPr>
        <w:t xml:space="preserve">enforcement focus on consumer welfare or deadweight losses, while the IPR rules </w:t>
      </w:r>
      <w:r w:rsidR="000030FF">
        <w:rPr>
          <w:rFonts w:ascii="Times New Roman" w:hAnsi="Times New Roman"/>
          <w:sz w:val="24"/>
          <w:szCs w:val="24"/>
        </w:rPr>
        <w:t>encompass</w:t>
      </w:r>
      <w:r w:rsidR="00C157AF">
        <w:rPr>
          <w:rFonts w:ascii="Times New Roman" w:hAnsi="Times New Roman"/>
          <w:sz w:val="24"/>
          <w:szCs w:val="24"/>
        </w:rPr>
        <w:t xml:space="preserve"> </w:t>
      </w:r>
      <w:r w:rsidR="00A370C7">
        <w:rPr>
          <w:rFonts w:ascii="Times New Roman" w:hAnsi="Times New Roman"/>
          <w:sz w:val="24"/>
          <w:szCs w:val="24"/>
        </w:rPr>
        <w:t>exceptional safeguards</w:t>
      </w:r>
      <w:r w:rsidR="00C157AF">
        <w:rPr>
          <w:rFonts w:ascii="Times New Roman" w:hAnsi="Times New Roman"/>
          <w:sz w:val="24"/>
          <w:szCs w:val="24"/>
        </w:rPr>
        <w:t xml:space="preserve"> to protect the consumers against the </w:t>
      </w:r>
      <w:r w:rsidR="00EE7EC4">
        <w:rPr>
          <w:rFonts w:ascii="Times New Roman" w:hAnsi="Times New Roman"/>
          <w:sz w:val="24"/>
          <w:szCs w:val="24"/>
        </w:rPr>
        <w:t xml:space="preserve">controlling </w:t>
      </w:r>
      <w:r w:rsidR="00C157AF">
        <w:rPr>
          <w:rFonts w:ascii="Times New Roman" w:hAnsi="Times New Roman"/>
          <w:sz w:val="24"/>
          <w:szCs w:val="24"/>
        </w:rPr>
        <w:t>me</w:t>
      </w:r>
      <w:r w:rsidR="00EE7EC4">
        <w:rPr>
          <w:rFonts w:ascii="Times New Roman" w:hAnsi="Times New Roman"/>
          <w:sz w:val="24"/>
          <w:szCs w:val="24"/>
        </w:rPr>
        <w:t>chanisms</w:t>
      </w:r>
      <w:r w:rsidR="00C157AF">
        <w:rPr>
          <w:rFonts w:ascii="Times New Roman" w:hAnsi="Times New Roman"/>
          <w:sz w:val="24"/>
          <w:szCs w:val="24"/>
        </w:rPr>
        <w:t xml:space="preserve"> that are of a restrictive nature. </w:t>
      </w:r>
      <w:r w:rsidR="00A14BA1">
        <w:rPr>
          <w:rFonts w:ascii="Times New Roman" w:hAnsi="Times New Roman"/>
          <w:sz w:val="24"/>
          <w:szCs w:val="24"/>
        </w:rPr>
        <w:t>‘</w:t>
      </w:r>
      <w:r w:rsidR="000139BF">
        <w:rPr>
          <w:rFonts w:ascii="Times New Roman" w:hAnsi="Times New Roman"/>
          <w:sz w:val="24"/>
          <w:szCs w:val="24"/>
        </w:rPr>
        <w:t>Interoperability</w:t>
      </w:r>
      <w:r w:rsidR="00A14BA1">
        <w:rPr>
          <w:rFonts w:ascii="Times New Roman" w:hAnsi="Times New Roman"/>
          <w:sz w:val="24"/>
          <w:szCs w:val="24"/>
        </w:rPr>
        <w:t>’</w:t>
      </w:r>
      <w:r w:rsidR="000139BF">
        <w:rPr>
          <w:rFonts w:ascii="Times New Roman" w:hAnsi="Times New Roman"/>
          <w:sz w:val="24"/>
          <w:szCs w:val="24"/>
        </w:rPr>
        <w:t xml:space="preserve"> subsists within this environment as a subordinate tool or target with certain limitations.</w:t>
      </w:r>
      <w:r w:rsidR="00A14BA1">
        <w:rPr>
          <w:rFonts w:ascii="Times New Roman" w:hAnsi="Times New Roman"/>
          <w:sz w:val="24"/>
          <w:szCs w:val="24"/>
        </w:rPr>
        <w:t xml:space="preserve"> </w:t>
      </w:r>
      <w:r w:rsidR="00EE7EC4">
        <w:rPr>
          <w:rFonts w:ascii="Times New Roman" w:hAnsi="Times New Roman"/>
          <w:sz w:val="24"/>
          <w:szCs w:val="24"/>
        </w:rPr>
        <w:t xml:space="preserve">Although </w:t>
      </w:r>
      <w:r w:rsidR="009E460B">
        <w:rPr>
          <w:rFonts w:ascii="Times New Roman" w:hAnsi="Times New Roman"/>
          <w:sz w:val="24"/>
          <w:szCs w:val="24"/>
        </w:rPr>
        <w:t>ha</w:t>
      </w:r>
      <w:r w:rsidR="00EE7EC4">
        <w:rPr>
          <w:rFonts w:ascii="Times New Roman" w:hAnsi="Times New Roman"/>
          <w:sz w:val="24"/>
          <w:szCs w:val="24"/>
        </w:rPr>
        <w:t>ving</w:t>
      </w:r>
      <w:r w:rsidR="009E460B">
        <w:rPr>
          <w:rFonts w:ascii="Times New Roman" w:hAnsi="Times New Roman"/>
          <w:sz w:val="24"/>
          <w:szCs w:val="24"/>
        </w:rPr>
        <w:t xml:space="preserve"> a</w:t>
      </w:r>
      <w:r w:rsidR="000139BF">
        <w:rPr>
          <w:rFonts w:ascii="Times New Roman" w:hAnsi="Times New Roman"/>
          <w:sz w:val="24"/>
          <w:szCs w:val="24"/>
        </w:rPr>
        <w:t xml:space="preserve"> responsive</w:t>
      </w:r>
      <w:r w:rsidR="009E460B">
        <w:rPr>
          <w:rFonts w:ascii="Times New Roman" w:hAnsi="Times New Roman"/>
          <w:sz w:val="24"/>
          <w:szCs w:val="24"/>
        </w:rPr>
        <w:t xml:space="preserve"> </w:t>
      </w:r>
      <w:r w:rsidR="000139BF">
        <w:rPr>
          <w:rFonts w:ascii="Times New Roman" w:hAnsi="Times New Roman"/>
          <w:sz w:val="24"/>
          <w:szCs w:val="24"/>
        </w:rPr>
        <w:t xml:space="preserve">and a </w:t>
      </w:r>
      <w:r w:rsidR="009E460B">
        <w:rPr>
          <w:rFonts w:ascii="Times New Roman" w:hAnsi="Times New Roman"/>
          <w:sz w:val="24"/>
          <w:szCs w:val="24"/>
        </w:rPr>
        <w:t xml:space="preserve">consumer-oriented perspective, </w:t>
      </w:r>
      <w:r w:rsidR="00EE7EC4">
        <w:rPr>
          <w:rFonts w:ascii="Times New Roman" w:hAnsi="Times New Roman"/>
          <w:sz w:val="24"/>
          <w:szCs w:val="24"/>
        </w:rPr>
        <w:t>the ECRF does</w:t>
      </w:r>
      <w:r w:rsidR="009E460B">
        <w:rPr>
          <w:rFonts w:ascii="Times New Roman" w:hAnsi="Times New Roman"/>
          <w:sz w:val="24"/>
          <w:szCs w:val="24"/>
        </w:rPr>
        <w:t xml:space="preserve"> not </w:t>
      </w:r>
      <w:r w:rsidR="00EE7EC4">
        <w:rPr>
          <w:rFonts w:ascii="Times New Roman" w:hAnsi="Times New Roman"/>
          <w:sz w:val="24"/>
          <w:szCs w:val="24"/>
        </w:rPr>
        <w:t xml:space="preserve">have a nature </w:t>
      </w:r>
      <w:r w:rsidR="009E460B">
        <w:rPr>
          <w:rFonts w:ascii="Times New Roman" w:hAnsi="Times New Roman"/>
          <w:sz w:val="24"/>
          <w:szCs w:val="24"/>
        </w:rPr>
        <w:t xml:space="preserve">all-encompassing the ICT </w:t>
      </w:r>
      <w:r w:rsidR="00EE7EC4">
        <w:rPr>
          <w:rFonts w:ascii="Times New Roman" w:hAnsi="Times New Roman"/>
          <w:sz w:val="24"/>
          <w:szCs w:val="24"/>
        </w:rPr>
        <w:t xml:space="preserve">layers </w:t>
      </w:r>
      <w:r w:rsidR="000139BF">
        <w:rPr>
          <w:rFonts w:ascii="Times New Roman" w:hAnsi="Times New Roman"/>
          <w:sz w:val="24"/>
          <w:szCs w:val="24"/>
        </w:rPr>
        <w:t xml:space="preserve">and </w:t>
      </w:r>
      <w:r w:rsidR="00EE7EC4">
        <w:rPr>
          <w:rFonts w:ascii="Times New Roman" w:hAnsi="Times New Roman"/>
          <w:sz w:val="24"/>
          <w:szCs w:val="24"/>
        </w:rPr>
        <w:t>fal</w:t>
      </w:r>
      <w:r w:rsidR="000139BF">
        <w:rPr>
          <w:rFonts w:ascii="Times New Roman" w:hAnsi="Times New Roman"/>
          <w:sz w:val="24"/>
          <w:szCs w:val="24"/>
        </w:rPr>
        <w:t>ls</w:t>
      </w:r>
      <w:r w:rsidR="00EE7EC4">
        <w:rPr>
          <w:rFonts w:ascii="Times New Roman" w:hAnsi="Times New Roman"/>
          <w:sz w:val="24"/>
          <w:szCs w:val="24"/>
        </w:rPr>
        <w:t xml:space="preserve"> short of </w:t>
      </w:r>
      <w:r w:rsidR="000139BF">
        <w:rPr>
          <w:rFonts w:ascii="Times New Roman" w:hAnsi="Times New Roman"/>
          <w:sz w:val="24"/>
          <w:szCs w:val="24"/>
        </w:rPr>
        <w:t xml:space="preserve">dealing with </w:t>
      </w:r>
      <w:r w:rsidR="00EE7EC4">
        <w:rPr>
          <w:rFonts w:ascii="Times New Roman" w:hAnsi="Times New Roman"/>
          <w:sz w:val="24"/>
          <w:szCs w:val="24"/>
        </w:rPr>
        <w:t>gatekeeping activities</w:t>
      </w:r>
      <w:r w:rsidR="000139BF">
        <w:rPr>
          <w:rFonts w:ascii="Times New Roman" w:hAnsi="Times New Roman"/>
          <w:sz w:val="24"/>
          <w:szCs w:val="24"/>
        </w:rPr>
        <w:t xml:space="preserve"> and </w:t>
      </w:r>
      <w:r w:rsidR="000030FF">
        <w:rPr>
          <w:rFonts w:ascii="Times New Roman" w:hAnsi="Times New Roman"/>
          <w:sz w:val="24"/>
          <w:szCs w:val="24"/>
        </w:rPr>
        <w:t>address</w:t>
      </w:r>
      <w:r w:rsidR="000139BF">
        <w:rPr>
          <w:rFonts w:ascii="Times New Roman" w:hAnsi="Times New Roman"/>
          <w:sz w:val="24"/>
          <w:szCs w:val="24"/>
        </w:rPr>
        <w:t xml:space="preserve">ing the </w:t>
      </w:r>
      <w:r w:rsidR="00A370C7">
        <w:rPr>
          <w:rFonts w:ascii="Times New Roman" w:hAnsi="Times New Roman"/>
          <w:sz w:val="24"/>
          <w:szCs w:val="24"/>
        </w:rPr>
        <w:t xml:space="preserve">related </w:t>
      </w:r>
      <w:r w:rsidR="000139BF">
        <w:rPr>
          <w:rFonts w:ascii="Times New Roman" w:hAnsi="Times New Roman"/>
          <w:sz w:val="24"/>
          <w:szCs w:val="24"/>
        </w:rPr>
        <w:t>concerns</w:t>
      </w:r>
      <w:r w:rsidR="00EE7EC4">
        <w:rPr>
          <w:rFonts w:ascii="Times New Roman" w:hAnsi="Times New Roman"/>
          <w:sz w:val="24"/>
          <w:szCs w:val="24"/>
        </w:rPr>
        <w:t xml:space="preserve">. As a result, many of the gatekeeping activities </w:t>
      </w:r>
      <w:r w:rsidR="000139BF">
        <w:rPr>
          <w:rFonts w:ascii="Times New Roman" w:hAnsi="Times New Roman"/>
          <w:sz w:val="24"/>
          <w:szCs w:val="24"/>
        </w:rPr>
        <w:t xml:space="preserve">and relevant concerns </w:t>
      </w:r>
      <w:r w:rsidR="00EE7EC4">
        <w:rPr>
          <w:rFonts w:ascii="Times New Roman" w:hAnsi="Times New Roman"/>
          <w:sz w:val="24"/>
          <w:szCs w:val="24"/>
        </w:rPr>
        <w:t>fall un</w:t>
      </w:r>
      <w:r w:rsidR="00A14BA1">
        <w:rPr>
          <w:rFonts w:ascii="Times New Roman" w:hAnsi="Times New Roman"/>
          <w:sz w:val="24"/>
          <w:szCs w:val="24"/>
        </w:rPr>
        <w:t>touched</w:t>
      </w:r>
      <w:r w:rsidR="00EE7EC4">
        <w:rPr>
          <w:rFonts w:ascii="Times New Roman" w:hAnsi="Times New Roman"/>
          <w:sz w:val="24"/>
          <w:szCs w:val="24"/>
        </w:rPr>
        <w:t xml:space="preserve"> </w:t>
      </w:r>
      <w:r w:rsidR="00A14BA1">
        <w:rPr>
          <w:rFonts w:ascii="Times New Roman" w:hAnsi="Times New Roman"/>
          <w:sz w:val="24"/>
          <w:szCs w:val="24"/>
        </w:rPr>
        <w:t>or unaddressed under</w:t>
      </w:r>
      <w:r w:rsidR="00EE7EC4">
        <w:rPr>
          <w:rFonts w:ascii="Times New Roman" w:hAnsi="Times New Roman"/>
          <w:sz w:val="24"/>
          <w:szCs w:val="24"/>
        </w:rPr>
        <w:t xml:space="preserve"> the available tools and safeguards </w:t>
      </w:r>
      <w:r w:rsidR="00A14BA1">
        <w:rPr>
          <w:rFonts w:ascii="Times New Roman" w:hAnsi="Times New Roman"/>
          <w:sz w:val="24"/>
          <w:szCs w:val="24"/>
        </w:rPr>
        <w:t>of</w:t>
      </w:r>
      <w:r w:rsidR="00EE7EC4">
        <w:rPr>
          <w:rFonts w:ascii="Times New Roman" w:hAnsi="Times New Roman"/>
          <w:sz w:val="24"/>
          <w:szCs w:val="24"/>
        </w:rPr>
        <w:t xml:space="preserve"> the EU legal system.</w:t>
      </w:r>
      <w:r w:rsidR="00C157AF">
        <w:rPr>
          <w:rFonts w:ascii="Times New Roman" w:hAnsi="Times New Roman"/>
          <w:sz w:val="24"/>
          <w:szCs w:val="24"/>
        </w:rPr>
        <w:t xml:space="preserve"> </w:t>
      </w:r>
      <w:r w:rsidR="00EE7EC4">
        <w:rPr>
          <w:rFonts w:ascii="Times New Roman" w:hAnsi="Times New Roman"/>
          <w:sz w:val="24"/>
          <w:szCs w:val="24"/>
        </w:rPr>
        <w:t xml:space="preserve">Below, it is </w:t>
      </w:r>
      <w:r w:rsidR="001D65BB">
        <w:rPr>
          <w:rFonts w:ascii="Times New Roman" w:hAnsi="Times New Roman"/>
          <w:sz w:val="24"/>
          <w:szCs w:val="24"/>
        </w:rPr>
        <w:t>put forward</w:t>
      </w:r>
      <w:r w:rsidR="00EE7EC4">
        <w:rPr>
          <w:rFonts w:ascii="Times New Roman" w:hAnsi="Times New Roman"/>
          <w:sz w:val="24"/>
          <w:szCs w:val="24"/>
        </w:rPr>
        <w:t xml:space="preserve"> how </w:t>
      </w:r>
      <w:r w:rsidR="000139BF">
        <w:rPr>
          <w:rFonts w:ascii="Times New Roman" w:hAnsi="Times New Roman"/>
          <w:sz w:val="24"/>
          <w:szCs w:val="24"/>
        </w:rPr>
        <w:t xml:space="preserve">and through which tools and principles </w:t>
      </w:r>
      <w:r w:rsidR="00EE7EC4">
        <w:rPr>
          <w:rFonts w:ascii="Times New Roman" w:hAnsi="Times New Roman"/>
          <w:sz w:val="24"/>
          <w:szCs w:val="24"/>
        </w:rPr>
        <w:t xml:space="preserve">the layered regulatory model could respond the abovementioned concerns and </w:t>
      </w:r>
      <w:r w:rsidR="000139BF">
        <w:rPr>
          <w:rFonts w:ascii="Times New Roman" w:hAnsi="Times New Roman"/>
          <w:sz w:val="24"/>
          <w:szCs w:val="24"/>
        </w:rPr>
        <w:t xml:space="preserve">the </w:t>
      </w:r>
      <w:r w:rsidR="00EE7EC4">
        <w:rPr>
          <w:rFonts w:ascii="Times New Roman" w:hAnsi="Times New Roman"/>
          <w:sz w:val="24"/>
          <w:szCs w:val="24"/>
        </w:rPr>
        <w:t xml:space="preserve">underlying gatekeeping activities. </w:t>
      </w:r>
      <w:bookmarkEnd w:id="728"/>
      <w:r w:rsidR="00EE7EC4">
        <w:rPr>
          <w:rFonts w:ascii="Times New Roman" w:hAnsi="Times New Roman"/>
          <w:sz w:val="24"/>
          <w:szCs w:val="24"/>
        </w:rPr>
        <w:t xml:space="preserve"> </w:t>
      </w:r>
    </w:p>
    <w:p w14:paraId="347BFAB3" w14:textId="77777777" w:rsidR="00AE5A20" w:rsidRPr="00774EDB" w:rsidRDefault="00EF6EC4" w:rsidP="00A70042">
      <w:pPr>
        <w:pStyle w:val="Heading3"/>
        <w:numPr>
          <w:ilvl w:val="2"/>
          <w:numId w:val="33"/>
        </w:numPr>
        <w:spacing w:before="360"/>
        <w:ind w:left="0" w:firstLine="0"/>
        <w:jc w:val="both"/>
        <w:rPr>
          <w:rFonts w:ascii="Times New Roman" w:hAnsi="Times New Roman" w:cs="Times New Roman"/>
          <w:b/>
          <w:color w:val="auto"/>
        </w:rPr>
      </w:pPr>
      <w:bookmarkStart w:id="729" w:name="_Toc17611516"/>
      <w:bookmarkStart w:id="730" w:name="_Toc17611733"/>
      <w:bookmarkStart w:id="731" w:name="_Toc17611945"/>
      <w:bookmarkStart w:id="732" w:name="_Toc17612159"/>
      <w:bookmarkStart w:id="733" w:name="_Toc17612372"/>
      <w:bookmarkStart w:id="734" w:name="_Toc17611517"/>
      <w:bookmarkStart w:id="735" w:name="_Toc53576130"/>
      <w:bookmarkEnd w:id="729"/>
      <w:bookmarkEnd w:id="730"/>
      <w:bookmarkEnd w:id="731"/>
      <w:bookmarkEnd w:id="732"/>
      <w:bookmarkEnd w:id="733"/>
      <w:r w:rsidRPr="00774EDB">
        <w:rPr>
          <w:rFonts w:ascii="Times New Roman" w:hAnsi="Times New Roman" w:cs="Times New Roman"/>
          <w:b/>
          <w:color w:val="auto"/>
        </w:rPr>
        <w:lastRenderedPageBreak/>
        <w:t xml:space="preserve">Matching the gatekeeping </w:t>
      </w:r>
      <w:r w:rsidR="007E541A" w:rsidRPr="00774EDB">
        <w:rPr>
          <w:rFonts w:ascii="Times New Roman" w:hAnsi="Times New Roman" w:cs="Times New Roman"/>
          <w:b/>
          <w:color w:val="auto"/>
        </w:rPr>
        <w:t xml:space="preserve">roles and </w:t>
      </w:r>
      <w:r w:rsidR="00A25D7E" w:rsidRPr="00774EDB">
        <w:rPr>
          <w:rFonts w:ascii="Times New Roman" w:hAnsi="Times New Roman" w:cs="Times New Roman"/>
          <w:b/>
          <w:color w:val="auto"/>
        </w:rPr>
        <w:t>functionalit</w:t>
      </w:r>
      <w:r w:rsidRPr="00774EDB">
        <w:rPr>
          <w:rFonts w:ascii="Times New Roman" w:hAnsi="Times New Roman" w:cs="Times New Roman"/>
          <w:b/>
          <w:color w:val="auto"/>
        </w:rPr>
        <w:t xml:space="preserve">ies with the layered </w:t>
      </w:r>
      <w:r w:rsidR="00141A67" w:rsidRPr="00774EDB">
        <w:rPr>
          <w:rFonts w:ascii="Times New Roman" w:hAnsi="Times New Roman" w:cs="Times New Roman"/>
          <w:b/>
          <w:color w:val="auto"/>
        </w:rPr>
        <w:t xml:space="preserve">regulatory </w:t>
      </w:r>
      <w:r w:rsidRPr="00774EDB">
        <w:rPr>
          <w:rFonts w:ascii="Times New Roman" w:hAnsi="Times New Roman" w:cs="Times New Roman"/>
          <w:b/>
          <w:color w:val="auto"/>
        </w:rPr>
        <w:t>model</w:t>
      </w:r>
      <w:bookmarkEnd w:id="734"/>
      <w:bookmarkEnd w:id="735"/>
    </w:p>
    <w:p w14:paraId="1F2B5AC5" w14:textId="3FF902A1" w:rsidR="00A6051D" w:rsidRPr="00774EDB" w:rsidRDefault="00A6051D" w:rsidP="00A70042">
      <w:pPr>
        <w:pStyle w:val="Heading4"/>
        <w:numPr>
          <w:ilvl w:val="3"/>
          <w:numId w:val="33"/>
        </w:numPr>
        <w:tabs>
          <w:tab w:val="left" w:pos="851"/>
        </w:tabs>
        <w:spacing w:before="360"/>
        <w:ind w:left="0" w:firstLine="0"/>
        <w:jc w:val="both"/>
        <w:rPr>
          <w:rFonts w:ascii="Times New Roman" w:hAnsi="Times New Roman" w:cs="Times New Roman"/>
          <w:b/>
          <w:i w:val="0"/>
          <w:sz w:val="24"/>
          <w:szCs w:val="24"/>
        </w:rPr>
      </w:pPr>
      <w:bookmarkStart w:id="736" w:name="_Toc17611518"/>
      <w:bookmarkStart w:id="737" w:name="_Toc17611735"/>
      <w:bookmarkStart w:id="738" w:name="_Toc17611947"/>
      <w:bookmarkStart w:id="739" w:name="_Toc17612161"/>
      <w:bookmarkStart w:id="740" w:name="_Toc17612374"/>
      <w:bookmarkStart w:id="741" w:name="_Toc17611519"/>
      <w:bookmarkStart w:id="742" w:name="_Toc53576131"/>
      <w:bookmarkEnd w:id="736"/>
      <w:bookmarkEnd w:id="737"/>
      <w:bookmarkEnd w:id="738"/>
      <w:bookmarkEnd w:id="739"/>
      <w:bookmarkEnd w:id="740"/>
      <w:r w:rsidRPr="00774EDB">
        <w:rPr>
          <w:rFonts w:ascii="Times New Roman" w:hAnsi="Times New Roman" w:cs="Times New Roman"/>
          <w:b/>
          <w:i w:val="0"/>
          <w:color w:val="auto"/>
          <w:sz w:val="24"/>
          <w:szCs w:val="24"/>
        </w:rPr>
        <w:t>Se</w:t>
      </w:r>
      <w:r w:rsidR="00C5014B" w:rsidRPr="00774EDB">
        <w:rPr>
          <w:rFonts w:ascii="Times New Roman" w:hAnsi="Times New Roman" w:cs="Times New Roman"/>
          <w:b/>
          <w:i w:val="0"/>
          <w:color w:val="auto"/>
          <w:sz w:val="24"/>
          <w:szCs w:val="24"/>
        </w:rPr>
        <w:t>tting the governing principles</w:t>
      </w:r>
      <w:bookmarkEnd w:id="741"/>
      <w:bookmarkEnd w:id="742"/>
      <w:r w:rsidR="00C5014B" w:rsidRPr="00774EDB">
        <w:rPr>
          <w:rFonts w:ascii="Times New Roman" w:hAnsi="Times New Roman" w:cs="Times New Roman"/>
          <w:b/>
          <w:i w:val="0"/>
          <w:color w:val="auto"/>
          <w:sz w:val="24"/>
          <w:szCs w:val="24"/>
        </w:rPr>
        <w:t xml:space="preserve"> </w:t>
      </w:r>
    </w:p>
    <w:p w14:paraId="625BE85E" w14:textId="26262AF4" w:rsidR="00727BCC" w:rsidRPr="00774EDB" w:rsidRDefault="00681087" w:rsidP="00A70042">
      <w:pPr>
        <w:spacing w:before="360"/>
        <w:jc w:val="both"/>
        <w:rPr>
          <w:rFonts w:ascii="Times New Roman" w:hAnsi="Times New Roman" w:cs="Times New Roman"/>
          <w:sz w:val="24"/>
          <w:szCs w:val="24"/>
        </w:rPr>
      </w:pPr>
      <w:r>
        <w:rPr>
          <w:rFonts w:ascii="Times New Roman" w:hAnsi="Times New Roman" w:cs="Times New Roman"/>
          <w:sz w:val="24"/>
          <w:szCs w:val="24"/>
        </w:rPr>
        <w:t>As examined</w:t>
      </w:r>
      <w:r w:rsidR="00C97547" w:rsidRPr="00774EDB">
        <w:rPr>
          <w:rFonts w:ascii="Times New Roman" w:hAnsi="Times New Roman" w:cs="Times New Roman"/>
          <w:sz w:val="24"/>
          <w:szCs w:val="24"/>
        </w:rPr>
        <w:t xml:space="preserve"> above, gatekeepers and their restrictions regarding access and interoperability could be witnessed across all the ICT layers. </w:t>
      </w:r>
      <w:r>
        <w:rPr>
          <w:rFonts w:ascii="Times New Roman" w:hAnsi="Times New Roman" w:cs="Times New Roman"/>
          <w:sz w:val="24"/>
          <w:szCs w:val="24"/>
        </w:rPr>
        <w:t>Crucially</w:t>
      </w:r>
      <w:r w:rsidR="00C97547" w:rsidRPr="00774EDB">
        <w:rPr>
          <w:rFonts w:ascii="Times New Roman" w:hAnsi="Times New Roman" w:cs="Times New Roman"/>
          <w:sz w:val="24"/>
          <w:szCs w:val="24"/>
        </w:rPr>
        <w:t>, the</w:t>
      </w:r>
      <w:r w:rsidR="003D1726">
        <w:rPr>
          <w:rFonts w:ascii="Times New Roman" w:hAnsi="Times New Roman" w:cs="Times New Roman"/>
          <w:sz w:val="24"/>
          <w:szCs w:val="24"/>
        </w:rPr>
        <w:t xml:space="preserve"> premise of</w:t>
      </w:r>
      <w:r w:rsidR="00C97547" w:rsidRPr="00774EDB">
        <w:rPr>
          <w:rFonts w:ascii="Times New Roman" w:hAnsi="Times New Roman" w:cs="Times New Roman"/>
          <w:sz w:val="24"/>
          <w:szCs w:val="24"/>
        </w:rPr>
        <w:t xml:space="preserve"> homogeneous treatment </w:t>
      </w:r>
      <w:r w:rsidR="00D1115D" w:rsidRPr="00774EDB">
        <w:rPr>
          <w:rFonts w:ascii="Times New Roman" w:hAnsi="Times New Roman" w:cs="Times New Roman"/>
          <w:sz w:val="24"/>
          <w:szCs w:val="24"/>
        </w:rPr>
        <w:t xml:space="preserve">of the ICT layers </w:t>
      </w:r>
      <w:r w:rsidR="003D1726">
        <w:rPr>
          <w:rFonts w:ascii="Times New Roman" w:hAnsi="Times New Roman" w:cs="Times New Roman"/>
          <w:sz w:val="24"/>
          <w:szCs w:val="24"/>
        </w:rPr>
        <w:t>across the</w:t>
      </w:r>
      <w:r w:rsidR="003D1726" w:rsidRPr="00774EDB">
        <w:rPr>
          <w:rFonts w:ascii="Times New Roman" w:hAnsi="Times New Roman" w:cs="Times New Roman"/>
          <w:sz w:val="24"/>
          <w:szCs w:val="24"/>
        </w:rPr>
        <w:t xml:space="preserve"> gatekeeping functionalities </w:t>
      </w:r>
      <w:r w:rsidR="00C97547" w:rsidRPr="00774EDB">
        <w:rPr>
          <w:rFonts w:ascii="Times New Roman" w:hAnsi="Times New Roman" w:cs="Times New Roman"/>
          <w:sz w:val="24"/>
          <w:szCs w:val="24"/>
        </w:rPr>
        <w:t xml:space="preserve">signifies the need to reconsider ex-ante regulation on the basis of the ‘layered regulatory model’. </w:t>
      </w:r>
      <w:r w:rsidR="003D1726">
        <w:rPr>
          <w:rFonts w:ascii="Times New Roman" w:hAnsi="Times New Roman" w:cs="Times New Roman"/>
          <w:sz w:val="24"/>
          <w:szCs w:val="24"/>
        </w:rPr>
        <w:t>A</w:t>
      </w:r>
      <w:r w:rsidR="00C97547" w:rsidRPr="00774EDB">
        <w:rPr>
          <w:rFonts w:ascii="Times New Roman" w:hAnsi="Times New Roman" w:cs="Times New Roman"/>
          <w:sz w:val="24"/>
          <w:szCs w:val="24"/>
        </w:rPr>
        <w:t>s the risk of over-regulation arises should all the ICT services be subject to ex-ante regulation based on a widely implemented ‘gatekeeping’ concept, filtering of this concept seems necessary.</w:t>
      </w:r>
    </w:p>
    <w:p w14:paraId="019CB1CD" w14:textId="3C839894" w:rsidR="003D1726" w:rsidRDefault="0038340A" w:rsidP="00A70042">
      <w:pPr>
        <w:spacing w:before="360"/>
        <w:jc w:val="both"/>
        <w:rPr>
          <w:rFonts w:ascii="Times New Roman" w:hAnsi="Times New Roman" w:cs="Times New Roman"/>
          <w:spacing w:val="-2"/>
          <w:sz w:val="24"/>
          <w:szCs w:val="24"/>
        </w:rPr>
      </w:pPr>
      <w:r w:rsidRPr="00774EDB">
        <w:rPr>
          <w:rFonts w:ascii="Times New Roman" w:hAnsi="Times New Roman" w:cs="Times New Roman"/>
          <w:sz w:val="24"/>
          <w:szCs w:val="24"/>
        </w:rPr>
        <w:t xml:space="preserve">Filtering </w:t>
      </w:r>
      <w:r w:rsidR="005932F7">
        <w:rPr>
          <w:rFonts w:ascii="Times New Roman" w:hAnsi="Times New Roman" w:cs="Times New Roman"/>
          <w:sz w:val="24"/>
          <w:szCs w:val="24"/>
        </w:rPr>
        <w:t>mean</w:t>
      </w:r>
      <w:r w:rsidR="005932F7" w:rsidRPr="00774EDB">
        <w:rPr>
          <w:rFonts w:ascii="Times New Roman" w:hAnsi="Times New Roman" w:cs="Times New Roman"/>
          <w:sz w:val="24"/>
          <w:szCs w:val="24"/>
        </w:rPr>
        <w:t xml:space="preserve">s </w:t>
      </w:r>
      <w:r w:rsidRPr="00774EDB">
        <w:rPr>
          <w:rFonts w:ascii="Times New Roman" w:hAnsi="Times New Roman" w:cs="Times New Roman"/>
          <w:sz w:val="24"/>
          <w:szCs w:val="24"/>
        </w:rPr>
        <w:t>a</w:t>
      </w:r>
      <w:r w:rsidR="005932F7">
        <w:rPr>
          <w:rFonts w:ascii="Times New Roman" w:hAnsi="Times New Roman" w:cs="Times New Roman"/>
          <w:sz w:val="24"/>
          <w:szCs w:val="24"/>
        </w:rPr>
        <w:t>n uneasy task</w:t>
      </w:r>
      <w:r w:rsidRPr="00774EDB">
        <w:rPr>
          <w:rFonts w:ascii="Times New Roman" w:hAnsi="Times New Roman" w:cs="Times New Roman"/>
          <w:sz w:val="24"/>
          <w:szCs w:val="24"/>
        </w:rPr>
        <w:t xml:space="preserve">, given the </w:t>
      </w:r>
      <w:r w:rsidR="005932F7">
        <w:rPr>
          <w:rFonts w:ascii="Times New Roman" w:hAnsi="Times New Roman" w:cs="Times New Roman"/>
          <w:sz w:val="24"/>
          <w:szCs w:val="24"/>
        </w:rPr>
        <w:t xml:space="preserve">extraterritorial and </w:t>
      </w:r>
      <w:r w:rsidR="0067171B">
        <w:rPr>
          <w:rFonts w:ascii="Times New Roman" w:hAnsi="Times New Roman" w:cs="Times New Roman"/>
          <w:sz w:val="24"/>
          <w:szCs w:val="24"/>
        </w:rPr>
        <w:t>quite wide</w:t>
      </w:r>
      <w:r w:rsidRPr="00774EDB">
        <w:rPr>
          <w:rFonts w:ascii="Times New Roman" w:hAnsi="Times New Roman" w:cs="Times New Roman"/>
          <w:sz w:val="24"/>
          <w:szCs w:val="24"/>
        </w:rPr>
        <w:t xml:space="preserve"> nature of the multi-layered ICT networks and services. Regardless of how well-equipped a regulatory </w:t>
      </w:r>
      <w:r w:rsidR="00D54561" w:rsidRPr="00774EDB">
        <w:rPr>
          <w:rFonts w:ascii="Times New Roman" w:hAnsi="Times New Roman" w:cs="Times New Roman"/>
          <w:sz w:val="24"/>
          <w:szCs w:val="24"/>
        </w:rPr>
        <w:t>authorit</w:t>
      </w:r>
      <w:r w:rsidRPr="00774EDB">
        <w:rPr>
          <w:rFonts w:ascii="Times New Roman" w:hAnsi="Times New Roman" w:cs="Times New Roman"/>
          <w:sz w:val="24"/>
          <w:szCs w:val="24"/>
        </w:rPr>
        <w:t xml:space="preserve">y is, filtering and designating the gatekeeping roles and functionalities would go beyond the established regulatory limits of an NRA </w:t>
      </w:r>
      <w:r w:rsidR="003D1726">
        <w:rPr>
          <w:rFonts w:ascii="Times New Roman" w:hAnsi="Times New Roman" w:cs="Times New Roman"/>
          <w:sz w:val="24"/>
          <w:szCs w:val="24"/>
        </w:rPr>
        <w:t xml:space="preserve">that is normally </w:t>
      </w:r>
      <w:r w:rsidRPr="00774EDB">
        <w:rPr>
          <w:rFonts w:ascii="Times New Roman" w:hAnsi="Times New Roman" w:cs="Times New Roman"/>
          <w:sz w:val="24"/>
          <w:szCs w:val="24"/>
        </w:rPr>
        <w:t>charged with electronic communications regulation</w:t>
      </w:r>
      <w:r w:rsidR="00D54561" w:rsidRPr="00774EDB">
        <w:rPr>
          <w:rFonts w:ascii="Times New Roman" w:hAnsi="Times New Roman" w:cs="Times New Roman"/>
          <w:sz w:val="24"/>
          <w:szCs w:val="24"/>
        </w:rPr>
        <w:t xml:space="preserve"> in </w:t>
      </w:r>
      <w:r w:rsidR="003D1726">
        <w:rPr>
          <w:rFonts w:ascii="Times New Roman" w:hAnsi="Times New Roman" w:cs="Times New Roman"/>
          <w:sz w:val="24"/>
          <w:szCs w:val="24"/>
        </w:rPr>
        <w:t>a</w:t>
      </w:r>
      <w:r w:rsidR="003D1726" w:rsidRPr="00774EDB">
        <w:rPr>
          <w:rFonts w:ascii="Times New Roman" w:hAnsi="Times New Roman" w:cs="Times New Roman"/>
          <w:sz w:val="24"/>
          <w:szCs w:val="24"/>
        </w:rPr>
        <w:t xml:space="preserve"> </w:t>
      </w:r>
      <w:r w:rsidR="00D54561" w:rsidRPr="00774EDB">
        <w:rPr>
          <w:rFonts w:ascii="Times New Roman" w:hAnsi="Times New Roman" w:cs="Times New Roman"/>
          <w:sz w:val="24"/>
          <w:szCs w:val="24"/>
        </w:rPr>
        <w:t>national context</w:t>
      </w:r>
      <w:r w:rsidRPr="00774EDB">
        <w:rPr>
          <w:rFonts w:ascii="Times New Roman" w:hAnsi="Times New Roman" w:cs="Times New Roman"/>
          <w:sz w:val="24"/>
          <w:szCs w:val="24"/>
        </w:rPr>
        <w:t xml:space="preserve">. </w:t>
      </w:r>
      <w:r w:rsidR="003D1726">
        <w:rPr>
          <w:rFonts w:ascii="Times New Roman" w:hAnsi="Times New Roman" w:cs="Times New Roman"/>
          <w:spacing w:val="-2"/>
          <w:sz w:val="24"/>
          <w:szCs w:val="24"/>
        </w:rPr>
        <w:t>Further</w:t>
      </w:r>
      <w:r w:rsidR="00D54561" w:rsidRPr="00A70042">
        <w:rPr>
          <w:rFonts w:ascii="Times New Roman" w:hAnsi="Times New Roman" w:cs="Times New Roman"/>
          <w:spacing w:val="-2"/>
          <w:sz w:val="24"/>
          <w:szCs w:val="24"/>
        </w:rPr>
        <w:t xml:space="preserve"> </w:t>
      </w:r>
      <w:r w:rsidR="003D1726">
        <w:rPr>
          <w:rFonts w:ascii="Times New Roman" w:hAnsi="Times New Roman" w:cs="Times New Roman"/>
          <w:spacing w:val="-2"/>
          <w:sz w:val="24"/>
          <w:szCs w:val="24"/>
        </w:rPr>
        <w:t xml:space="preserve">to </w:t>
      </w:r>
      <w:r w:rsidR="00D54561" w:rsidRPr="00A70042">
        <w:rPr>
          <w:rFonts w:ascii="Times New Roman" w:hAnsi="Times New Roman" w:cs="Times New Roman"/>
          <w:spacing w:val="-2"/>
          <w:sz w:val="24"/>
          <w:szCs w:val="24"/>
        </w:rPr>
        <w:t xml:space="preserve">this fact and the </w:t>
      </w:r>
      <w:r w:rsidR="0067171B">
        <w:rPr>
          <w:rFonts w:ascii="Times New Roman" w:hAnsi="Times New Roman" w:cs="Times New Roman"/>
          <w:spacing w:val="-2"/>
          <w:sz w:val="24"/>
          <w:szCs w:val="24"/>
        </w:rPr>
        <w:t>cross-border nature</w:t>
      </w:r>
      <w:r w:rsidR="00D54561" w:rsidRPr="00A70042">
        <w:rPr>
          <w:rFonts w:ascii="Times New Roman" w:hAnsi="Times New Roman" w:cs="Times New Roman"/>
          <w:spacing w:val="-2"/>
          <w:sz w:val="24"/>
          <w:szCs w:val="24"/>
        </w:rPr>
        <w:t xml:space="preserve"> of the ICT landscape, </w:t>
      </w:r>
      <w:r w:rsidR="0067171B">
        <w:rPr>
          <w:rFonts w:ascii="Times New Roman" w:hAnsi="Times New Roman" w:cs="Times New Roman"/>
          <w:spacing w:val="-2"/>
          <w:sz w:val="24"/>
          <w:szCs w:val="24"/>
        </w:rPr>
        <w:t>‘</w:t>
      </w:r>
      <w:r w:rsidR="003D1726">
        <w:rPr>
          <w:rFonts w:ascii="Times New Roman" w:hAnsi="Times New Roman" w:cs="Times New Roman"/>
          <w:spacing w:val="-2"/>
          <w:sz w:val="24"/>
          <w:szCs w:val="24"/>
        </w:rPr>
        <w:t>homogenous regulatory treatment</w:t>
      </w:r>
      <w:r w:rsidR="0067171B">
        <w:rPr>
          <w:rFonts w:ascii="Times New Roman" w:hAnsi="Times New Roman" w:cs="Times New Roman"/>
          <w:spacing w:val="-2"/>
          <w:sz w:val="24"/>
          <w:szCs w:val="24"/>
        </w:rPr>
        <w:t xml:space="preserve">’ is another </w:t>
      </w:r>
      <w:r w:rsidR="00B23289">
        <w:rPr>
          <w:rFonts w:ascii="Times New Roman" w:hAnsi="Times New Roman" w:cs="Times New Roman"/>
          <w:spacing w:val="-2"/>
          <w:sz w:val="24"/>
          <w:szCs w:val="24"/>
        </w:rPr>
        <w:t xml:space="preserve">thrust of the layered model </w:t>
      </w:r>
      <w:r w:rsidR="0067171B">
        <w:rPr>
          <w:rFonts w:ascii="Times New Roman" w:hAnsi="Times New Roman" w:cs="Times New Roman"/>
          <w:spacing w:val="-2"/>
          <w:sz w:val="24"/>
          <w:szCs w:val="24"/>
        </w:rPr>
        <w:t>th</w:t>
      </w:r>
      <w:r w:rsidR="00B23289">
        <w:rPr>
          <w:rFonts w:ascii="Times New Roman" w:hAnsi="Times New Roman" w:cs="Times New Roman"/>
          <w:spacing w:val="-2"/>
          <w:sz w:val="24"/>
          <w:szCs w:val="24"/>
        </w:rPr>
        <w:t>at needs to be factored</w:t>
      </w:r>
      <w:r w:rsidR="0067171B">
        <w:rPr>
          <w:rFonts w:ascii="Times New Roman" w:hAnsi="Times New Roman" w:cs="Times New Roman"/>
          <w:spacing w:val="-2"/>
          <w:sz w:val="24"/>
          <w:szCs w:val="24"/>
        </w:rPr>
        <w:t xml:space="preserve"> </w:t>
      </w:r>
      <w:r w:rsidR="00B23289">
        <w:rPr>
          <w:rFonts w:ascii="Times New Roman" w:hAnsi="Times New Roman" w:cs="Times New Roman"/>
          <w:spacing w:val="-2"/>
          <w:sz w:val="24"/>
          <w:szCs w:val="24"/>
        </w:rPr>
        <w:t>in</w:t>
      </w:r>
      <w:r w:rsidR="0067171B">
        <w:rPr>
          <w:rFonts w:ascii="Times New Roman" w:hAnsi="Times New Roman" w:cs="Times New Roman"/>
          <w:spacing w:val="-2"/>
          <w:sz w:val="24"/>
          <w:szCs w:val="24"/>
        </w:rPr>
        <w:t>to an appropriate regulatory design</w:t>
      </w:r>
      <w:r w:rsidR="003D1726">
        <w:rPr>
          <w:rFonts w:ascii="Times New Roman" w:hAnsi="Times New Roman" w:cs="Times New Roman"/>
          <w:spacing w:val="-2"/>
          <w:sz w:val="24"/>
          <w:szCs w:val="24"/>
        </w:rPr>
        <w:t>.</w:t>
      </w:r>
    </w:p>
    <w:p w14:paraId="5B33F26F" w14:textId="74AC4464" w:rsidR="00D31FE4" w:rsidRPr="00A70042" w:rsidRDefault="003D1726" w:rsidP="00A70042">
      <w:pPr>
        <w:spacing w:before="360"/>
        <w:jc w:val="both"/>
        <w:rPr>
          <w:rFonts w:ascii="Times New Roman" w:hAnsi="Times New Roman" w:cs="Times New Roman"/>
          <w:spacing w:val="-2"/>
          <w:sz w:val="24"/>
          <w:szCs w:val="24"/>
        </w:rPr>
      </w:pPr>
      <w:r>
        <w:rPr>
          <w:rFonts w:ascii="Times New Roman" w:hAnsi="Times New Roman" w:cs="Times New Roman"/>
          <w:spacing w:val="-2"/>
          <w:sz w:val="24"/>
          <w:szCs w:val="24"/>
        </w:rPr>
        <w:t>As a starting point,</w:t>
      </w:r>
      <w:r w:rsidRPr="00A70042">
        <w:rPr>
          <w:rFonts w:ascii="Times New Roman" w:hAnsi="Times New Roman" w:cs="Times New Roman"/>
          <w:spacing w:val="-2"/>
          <w:sz w:val="24"/>
          <w:szCs w:val="24"/>
        </w:rPr>
        <w:t xml:space="preserve"> </w:t>
      </w:r>
      <w:r w:rsidR="00D54561" w:rsidRPr="00A70042">
        <w:rPr>
          <w:rFonts w:ascii="Times New Roman" w:hAnsi="Times New Roman" w:cs="Times New Roman"/>
          <w:spacing w:val="-2"/>
          <w:sz w:val="24"/>
          <w:szCs w:val="24"/>
        </w:rPr>
        <w:t xml:space="preserve">the </w:t>
      </w:r>
      <w:r>
        <w:rPr>
          <w:rFonts w:ascii="Times New Roman" w:hAnsi="Times New Roman" w:cs="Times New Roman"/>
          <w:spacing w:val="-2"/>
          <w:sz w:val="24"/>
          <w:szCs w:val="24"/>
        </w:rPr>
        <w:t xml:space="preserve">proposed </w:t>
      </w:r>
      <w:r w:rsidR="00D54561" w:rsidRPr="00A70042">
        <w:rPr>
          <w:rFonts w:ascii="Times New Roman" w:hAnsi="Times New Roman" w:cs="Times New Roman"/>
          <w:spacing w:val="-2"/>
          <w:sz w:val="24"/>
          <w:szCs w:val="24"/>
        </w:rPr>
        <w:t xml:space="preserve">‘layered regulatory model’ should not be seen </w:t>
      </w:r>
      <w:r w:rsidR="00EE56C0">
        <w:rPr>
          <w:rFonts w:ascii="Times New Roman" w:hAnsi="Times New Roman" w:cs="Times New Roman"/>
          <w:spacing w:val="-2"/>
          <w:sz w:val="24"/>
          <w:szCs w:val="24"/>
        </w:rPr>
        <w:t>as a milestone along the way</w:t>
      </w:r>
      <w:r w:rsidR="007E3CDA">
        <w:rPr>
          <w:rFonts w:ascii="Times New Roman" w:hAnsi="Times New Roman" w:cs="Times New Roman"/>
          <w:spacing w:val="-2"/>
          <w:sz w:val="24"/>
          <w:szCs w:val="24"/>
        </w:rPr>
        <w:t xml:space="preserve"> </w:t>
      </w:r>
      <w:r w:rsidR="00EE56C0">
        <w:rPr>
          <w:rFonts w:ascii="Times New Roman" w:hAnsi="Times New Roman" w:cs="Times New Roman"/>
          <w:spacing w:val="-2"/>
          <w:sz w:val="24"/>
          <w:szCs w:val="24"/>
        </w:rPr>
        <w:t>of</w:t>
      </w:r>
      <w:r w:rsidR="007E3CDA">
        <w:rPr>
          <w:rFonts w:ascii="Times New Roman" w:hAnsi="Times New Roman" w:cs="Times New Roman"/>
          <w:spacing w:val="-2"/>
          <w:sz w:val="24"/>
          <w:szCs w:val="24"/>
        </w:rPr>
        <w:t xml:space="preserve"> </w:t>
      </w:r>
      <w:r w:rsidR="007E3CDA" w:rsidRPr="00A70042">
        <w:rPr>
          <w:rFonts w:ascii="Times New Roman" w:hAnsi="Times New Roman" w:cs="Times New Roman"/>
          <w:spacing w:val="-2"/>
          <w:sz w:val="24"/>
          <w:szCs w:val="24"/>
        </w:rPr>
        <w:t xml:space="preserve">conventional </w:t>
      </w:r>
      <w:r w:rsidR="00681087">
        <w:rPr>
          <w:rFonts w:ascii="Times New Roman" w:hAnsi="Times New Roman" w:cs="Times New Roman"/>
          <w:spacing w:val="-2"/>
          <w:sz w:val="24"/>
          <w:szCs w:val="24"/>
        </w:rPr>
        <w:t xml:space="preserve">regulatory </w:t>
      </w:r>
      <w:r w:rsidR="007E3CDA" w:rsidRPr="00A70042">
        <w:rPr>
          <w:rFonts w:ascii="Times New Roman" w:hAnsi="Times New Roman" w:cs="Times New Roman"/>
          <w:spacing w:val="-2"/>
          <w:sz w:val="24"/>
          <w:szCs w:val="24"/>
        </w:rPr>
        <w:t xml:space="preserve">wisdom </w:t>
      </w:r>
      <w:r w:rsidR="002311C5" w:rsidRPr="00A70042">
        <w:rPr>
          <w:rFonts w:ascii="Times New Roman" w:hAnsi="Times New Roman" w:cs="Times New Roman"/>
          <w:spacing w:val="-2"/>
          <w:sz w:val="24"/>
          <w:szCs w:val="24"/>
        </w:rPr>
        <w:t xml:space="preserve">that is heavily </w:t>
      </w:r>
      <w:r w:rsidR="00FE4B53" w:rsidRPr="00A70042">
        <w:rPr>
          <w:rFonts w:ascii="Times New Roman" w:hAnsi="Times New Roman" w:cs="Times New Roman"/>
          <w:spacing w:val="-2"/>
          <w:sz w:val="24"/>
          <w:szCs w:val="24"/>
        </w:rPr>
        <w:t>attributed to national territories</w:t>
      </w:r>
      <w:r w:rsidR="00D54561" w:rsidRPr="00A70042">
        <w:rPr>
          <w:rFonts w:ascii="Times New Roman" w:hAnsi="Times New Roman" w:cs="Times New Roman"/>
          <w:spacing w:val="-2"/>
          <w:sz w:val="24"/>
          <w:szCs w:val="24"/>
        </w:rPr>
        <w:t xml:space="preserve">. </w:t>
      </w:r>
      <w:r w:rsidR="00EE56C0">
        <w:rPr>
          <w:rFonts w:ascii="Times New Roman" w:hAnsi="Times New Roman" w:cs="Times New Roman"/>
          <w:spacing w:val="-2"/>
          <w:sz w:val="24"/>
          <w:szCs w:val="24"/>
        </w:rPr>
        <w:t>One could argue</w:t>
      </w:r>
      <w:r w:rsidR="00D54561" w:rsidRPr="00A70042">
        <w:rPr>
          <w:rFonts w:ascii="Times New Roman" w:hAnsi="Times New Roman" w:cs="Times New Roman"/>
          <w:spacing w:val="-2"/>
          <w:sz w:val="24"/>
          <w:szCs w:val="24"/>
        </w:rPr>
        <w:t xml:space="preserve">, EU regulatory </w:t>
      </w:r>
      <w:r w:rsidR="00EE56C0">
        <w:rPr>
          <w:rFonts w:ascii="Times New Roman" w:hAnsi="Times New Roman" w:cs="Times New Roman"/>
          <w:spacing w:val="-2"/>
          <w:sz w:val="24"/>
          <w:szCs w:val="24"/>
        </w:rPr>
        <w:t xml:space="preserve">thinking and </w:t>
      </w:r>
      <w:r w:rsidR="00D54561" w:rsidRPr="00A70042">
        <w:rPr>
          <w:rFonts w:ascii="Times New Roman" w:hAnsi="Times New Roman" w:cs="Times New Roman"/>
          <w:spacing w:val="-2"/>
          <w:sz w:val="24"/>
          <w:szCs w:val="24"/>
        </w:rPr>
        <w:t>design is of the utmost importance for properly interpreting and implementing the gatekeeping-</w:t>
      </w:r>
      <w:r w:rsidR="00FE4B53" w:rsidRPr="00A70042">
        <w:rPr>
          <w:rFonts w:ascii="Times New Roman" w:hAnsi="Times New Roman" w:cs="Times New Roman"/>
          <w:spacing w:val="-2"/>
          <w:sz w:val="24"/>
          <w:szCs w:val="24"/>
        </w:rPr>
        <w:t>centric approach</w:t>
      </w:r>
      <w:r w:rsidR="00D54561" w:rsidRPr="00A70042">
        <w:rPr>
          <w:rFonts w:ascii="Times New Roman" w:hAnsi="Times New Roman" w:cs="Times New Roman"/>
          <w:spacing w:val="-2"/>
          <w:sz w:val="24"/>
          <w:szCs w:val="24"/>
        </w:rPr>
        <w:t xml:space="preserve">. </w:t>
      </w:r>
      <w:r w:rsidR="00457A09">
        <w:rPr>
          <w:rFonts w:ascii="Times New Roman" w:hAnsi="Times New Roman" w:cs="Times New Roman"/>
          <w:spacing w:val="-2"/>
          <w:sz w:val="24"/>
          <w:szCs w:val="24"/>
        </w:rPr>
        <w:t>On the other hand</w:t>
      </w:r>
      <w:r w:rsidR="00D54561" w:rsidRPr="00A70042">
        <w:rPr>
          <w:rFonts w:ascii="Times New Roman" w:hAnsi="Times New Roman" w:cs="Times New Roman"/>
          <w:spacing w:val="-2"/>
          <w:sz w:val="24"/>
          <w:szCs w:val="24"/>
        </w:rPr>
        <w:t xml:space="preserve">, the long-lasting EU experience and its conventional </w:t>
      </w:r>
      <w:r w:rsidR="00FE4B53" w:rsidRPr="00A70042">
        <w:rPr>
          <w:rFonts w:ascii="Times New Roman" w:hAnsi="Times New Roman" w:cs="Times New Roman"/>
          <w:spacing w:val="-2"/>
          <w:sz w:val="24"/>
          <w:szCs w:val="24"/>
        </w:rPr>
        <w:t>mind-</w:t>
      </w:r>
      <w:r w:rsidR="00FE4B53" w:rsidRPr="00A70042">
        <w:rPr>
          <w:rFonts w:ascii="Times New Roman" w:hAnsi="Times New Roman" w:cs="Times New Roman"/>
          <w:spacing w:val="-2"/>
          <w:sz w:val="24"/>
          <w:szCs w:val="24"/>
        </w:rPr>
        <w:lastRenderedPageBreak/>
        <w:t>set</w:t>
      </w:r>
      <w:r w:rsidR="00D54561" w:rsidRPr="00A70042">
        <w:rPr>
          <w:rFonts w:ascii="Times New Roman" w:hAnsi="Times New Roman" w:cs="Times New Roman"/>
          <w:spacing w:val="-2"/>
          <w:sz w:val="24"/>
          <w:szCs w:val="24"/>
        </w:rPr>
        <w:t xml:space="preserve"> would not be able to address the </w:t>
      </w:r>
      <w:r w:rsidR="006C7483">
        <w:rPr>
          <w:rFonts w:ascii="Times New Roman" w:hAnsi="Times New Roman" w:cs="Times New Roman"/>
          <w:spacing w:val="-2"/>
          <w:sz w:val="24"/>
          <w:szCs w:val="24"/>
        </w:rPr>
        <w:t>holisticness</w:t>
      </w:r>
      <w:r w:rsidR="00D54561" w:rsidRPr="00A70042">
        <w:rPr>
          <w:rFonts w:ascii="Times New Roman" w:hAnsi="Times New Roman" w:cs="Times New Roman"/>
          <w:spacing w:val="-2"/>
          <w:sz w:val="24"/>
          <w:szCs w:val="24"/>
        </w:rPr>
        <w:t xml:space="preserve"> </w:t>
      </w:r>
      <w:r w:rsidR="00457A09">
        <w:rPr>
          <w:rFonts w:ascii="Times New Roman" w:hAnsi="Times New Roman" w:cs="Times New Roman"/>
          <w:spacing w:val="-2"/>
          <w:sz w:val="24"/>
          <w:szCs w:val="24"/>
        </w:rPr>
        <w:t>and flexibility required for</w:t>
      </w:r>
      <w:r w:rsidR="00D54561" w:rsidRPr="00A70042">
        <w:rPr>
          <w:rFonts w:ascii="Times New Roman" w:hAnsi="Times New Roman" w:cs="Times New Roman"/>
          <w:spacing w:val="-2"/>
          <w:sz w:val="24"/>
          <w:szCs w:val="24"/>
        </w:rPr>
        <w:t xml:space="preserve"> the regulat</w:t>
      </w:r>
      <w:r w:rsidR="002311C5" w:rsidRPr="00A70042">
        <w:rPr>
          <w:rFonts w:ascii="Times New Roman" w:hAnsi="Times New Roman" w:cs="Times New Roman"/>
          <w:spacing w:val="-2"/>
          <w:sz w:val="24"/>
          <w:szCs w:val="24"/>
        </w:rPr>
        <w:t>ory treatment</w:t>
      </w:r>
      <w:r w:rsidR="00D54561" w:rsidRPr="00A70042">
        <w:rPr>
          <w:rFonts w:ascii="Times New Roman" w:hAnsi="Times New Roman" w:cs="Times New Roman"/>
          <w:spacing w:val="-2"/>
          <w:sz w:val="24"/>
          <w:szCs w:val="24"/>
        </w:rPr>
        <w:t xml:space="preserve"> of the ICT layers.       </w:t>
      </w:r>
      <w:r w:rsidR="00FC715F" w:rsidRPr="00A70042">
        <w:rPr>
          <w:rFonts w:ascii="Times New Roman" w:hAnsi="Times New Roman" w:cs="Times New Roman"/>
          <w:spacing w:val="-2"/>
          <w:sz w:val="24"/>
          <w:szCs w:val="24"/>
        </w:rPr>
        <w:t xml:space="preserve">        </w:t>
      </w:r>
      <w:r w:rsidR="00D31FE4" w:rsidRPr="00A70042">
        <w:rPr>
          <w:rFonts w:ascii="Times New Roman" w:hAnsi="Times New Roman" w:cs="Times New Roman"/>
          <w:spacing w:val="-2"/>
          <w:sz w:val="24"/>
          <w:szCs w:val="24"/>
        </w:rPr>
        <w:t xml:space="preserve"> </w:t>
      </w:r>
    </w:p>
    <w:p w14:paraId="2F2D3EBD" w14:textId="2173DFCB" w:rsidR="00130802" w:rsidRDefault="002311C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Against this background, form-based and top-down regulation needs to be replaced with a principles-based and bottom-up approach. Otherwise, the gatekeeping concerns from a layered perspective would not be met and dissolved in </w:t>
      </w:r>
      <w:r w:rsidR="00B14C88">
        <w:rPr>
          <w:rFonts w:ascii="Times New Roman" w:hAnsi="Times New Roman" w:cs="Times New Roman"/>
          <w:sz w:val="24"/>
          <w:szCs w:val="24"/>
        </w:rPr>
        <w:t>the long run</w:t>
      </w:r>
      <w:r w:rsidRPr="00774EDB">
        <w:rPr>
          <w:rFonts w:ascii="Times New Roman" w:hAnsi="Times New Roman" w:cs="Times New Roman"/>
          <w:sz w:val="24"/>
          <w:szCs w:val="24"/>
        </w:rPr>
        <w:t xml:space="preserve">. </w:t>
      </w:r>
      <w:r w:rsidR="006C7483">
        <w:rPr>
          <w:rFonts w:ascii="Times New Roman" w:hAnsi="Times New Roman" w:cs="Times New Roman"/>
          <w:sz w:val="24"/>
          <w:szCs w:val="24"/>
        </w:rPr>
        <w:t xml:space="preserve">Ever fast changing ICT dynamics would not be </w:t>
      </w:r>
      <w:r w:rsidR="00130802">
        <w:rPr>
          <w:rFonts w:ascii="Times New Roman" w:hAnsi="Times New Roman" w:cs="Times New Roman"/>
          <w:sz w:val="24"/>
          <w:szCs w:val="24"/>
        </w:rPr>
        <w:t>captur</w:t>
      </w:r>
      <w:r w:rsidR="006C7483">
        <w:rPr>
          <w:rFonts w:ascii="Times New Roman" w:hAnsi="Times New Roman" w:cs="Times New Roman"/>
          <w:sz w:val="24"/>
          <w:szCs w:val="24"/>
        </w:rPr>
        <w:t xml:space="preserve">ed </w:t>
      </w:r>
      <w:r w:rsidR="00130802">
        <w:rPr>
          <w:rFonts w:ascii="Times New Roman" w:hAnsi="Times New Roman" w:cs="Times New Roman"/>
          <w:sz w:val="24"/>
          <w:szCs w:val="24"/>
        </w:rPr>
        <w:t>by r</w:t>
      </w:r>
      <w:r w:rsidR="006C7483">
        <w:rPr>
          <w:rFonts w:ascii="Times New Roman" w:hAnsi="Times New Roman" w:cs="Times New Roman"/>
          <w:sz w:val="24"/>
          <w:szCs w:val="24"/>
        </w:rPr>
        <w:t xml:space="preserve">esource consuming, patchy and shortcoming regulatory safeguards of the </w:t>
      </w:r>
      <w:r w:rsidR="00130802">
        <w:rPr>
          <w:rFonts w:ascii="Times New Roman" w:hAnsi="Times New Roman" w:cs="Times New Roman"/>
          <w:sz w:val="24"/>
          <w:szCs w:val="24"/>
        </w:rPr>
        <w:t xml:space="preserve">EU legal system including </w:t>
      </w:r>
      <w:r w:rsidR="00681087">
        <w:rPr>
          <w:rFonts w:ascii="Times New Roman" w:hAnsi="Times New Roman" w:cs="Times New Roman"/>
          <w:sz w:val="24"/>
          <w:szCs w:val="24"/>
        </w:rPr>
        <w:t xml:space="preserve">those of </w:t>
      </w:r>
      <w:r w:rsidR="00130802">
        <w:rPr>
          <w:rFonts w:ascii="Times New Roman" w:hAnsi="Times New Roman" w:cs="Times New Roman"/>
          <w:sz w:val="24"/>
          <w:szCs w:val="24"/>
        </w:rPr>
        <w:t xml:space="preserve">the </w:t>
      </w:r>
      <w:r w:rsidR="006C7483">
        <w:rPr>
          <w:rFonts w:ascii="Times New Roman" w:hAnsi="Times New Roman" w:cs="Times New Roman"/>
          <w:sz w:val="24"/>
          <w:szCs w:val="24"/>
        </w:rPr>
        <w:t>E</w:t>
      </w:r>
      <w:r w:rsidR="00130802">
        <w:rPr>
          <w:rFonts w:ascii="Times New Roman" w:hAnsi="Times New Roman" w:cs="Times New Roman"/>
          <w:sz w:val="24"/>
          <w:szCs w:val="24"/>
        </w:rPr>
        <w:t>CRF.</w:t>
      </w:r>
      <w:r w:rsidR="006C7483">
        <w:rPr>
          <w:rFonts w:ascii="Times New Roman" w:hAnsi="Times New Roman" w:cs="Times New Roman"/>
          <w:sz w:val="24"/>
          <w:szCs w:val="24"/>
        </w:rPr>
        <w:t xml:space="preserve"> </w:t>
      </w:r>
      <w:r w:rsidR="00130802">
        <w:rPr>
          <w:rFonts w:ascii="Times New Roman" w:hAnsi="Times New Roman" w:cs="Times New Roman"/>
          <w:sz w:val="24"/>
          <w:szCs w:val="24"/>
        </w:rPr>
        <w:t>Having said that</w:t>
      </w:r>
      <w:r w:rsidR="00681087">
        <w:rPr>
          <w:rFonts w:ascii="Times New Roman" w:hAnsi="Times New Roman" w:cs="Times New Roman"/>
          <w:sz w:val="24"/>
          <w:szCs w:val="24"/>
        </w:rPr>
        <w:t>,</w:t>
      </w:r>
      <w:r w:rsidR="00130802">
        <w:rPr>
          <w:rFonts w:ascii="Times New Roman" w:hAnsi="Times New Roman" w:cs="Times New Roman"/>
          <w:sz w:val="24"/>
          <w:szCs w:val="24"/>
        </w:rPr>
        <w:t xml:space="preserve"> in lieu of adapting or modifying the ECRF’s tools and measures, its consumer-oriented perspective and </w:t>
      </w:r>
      <w:r w:rsidR="008742EC">
        <w:rPr>
          <w:rFonts w:ascii="Times New Roman" w:hAnsi="Times New Roman" w:cs="Times New Roman"/>
          <w:sz w:val="24"/>
          <w:szCs w:val="24"/>
        </w:rPr>
        <w:t xml:space="preserve">more </w:t>
      </w:r>
      <w:r w:rsidR="00130802">
        <w:rPr>
          <w:rFonts w:ascii="Times New Roman" w:hAnsi="Times New Roman" w:cs="Times New Roman"/>
          <w:sz w:val="24"/>
          <w:szCs w:val="24"/>
        </w:rPr>
        <w:t xml:space="preserve">responsive </w:t>
      </w:r>
      <w:r w:rsidR="008742EC">
        <w:rPr>
          <w:rFonts w:ascii="Times New Roman" w:hAnsi="Times New Roman" w:cs="Times New Roman"/>
          <w:sz w:val="24"/>
          <w:szCs w:val="24"/>
        </w:rPr>
        <w:t>ex ante approach</w:t>
      </w:r>
      <w:r w:rsidR="00130802">
        <w:rPr>
          <w:rFonts w:ascii="Times New Roman" w:hAnsi="Times New Roman" w:cs="Times New Roman"/>
          <w:sz w:val="24"/>
          <w:szCs w:val="24"/>
        </w:rPr>
        <w:t xml:space="preserve"> would be transposed into the proposed layered model. In so doing, a dynamic regulatory course would rather be adopted by giving a leeway to collaboration as well as soft law principles that would eventually be enforced under certain conditions. </w:t>
      </w:r>
    </w:p>
    <w:p w14:paraId="5B394D2F" w14:textId="54DB3425" w:rsidR="00963F83" w:rsidRPr="00774EDB" w:rsidRDefault="002311C5"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This </w:t>
      </w:r>
      <w:r w:rsidR="00130802">
        <w:rPr>
          <w:rFonts w:ascii="Times New Roman" w:hAnsi="Times New Roman" w:cs="Times New Roman"/>
          <w:sz w:val="24"/>
          <w:szCs w:val="24"/>
        </w:rPr>
        <w:t xml:space="preserve">bottom-up approach </w:t>
      </w:r>
      <w:r w:rsidRPr="00774EDB">
        <w:rPr>
          <w:rFonts w:ascii="Times New Roman" w:hAnsi="Times New Roman" w:cs="Times New Roman"/>
          <w:sz w:val="24"/>
          <w:szCs w:val="24"/>
        </w:rPr>
        <w:t xml:space="preserve">partially reflects the solution recommended by the House of Lord’s recent Report regarding regulation of the </w:t>
      </w:r>
      <w:r w:rsidR="00CB4FB6">
        <w:rPr>
          <w:rFonts w:ascii="Times New Roman" w:hAnsi="Times New Roman" w:cs="Times New Roman"/>
          <w:sz w:val="24"/>
          <w:szCs w:val="24"/>
        </w:rPr>
        <w:t>‘</w:t>
      </w:r>
      <w:r w:rsidRPr="00774EDB">
        <w:rPr>
          <w:rFonts w:ascii="Times New Roman" w:hAnsi="Times New Roman" w:cs="Times New Roman"/>
          <w:sz w:val="24"/>
          <w:szCs w:val="24"/>
        </w:rPr>
        <w:t>digital services facilitated by the internet</w:t>
      </w:r>
      <w:r w:rsidR="00CB4FB6">
        <w:rPr>
          <w:rFonts w:ascii="Times New Roman" w:hAnsi="Times New Roman" w:cs="Times New Roman"/>
          <w:sz w:val="24"/>
          <w:szCs w:val="24"/>
        </w:rPr>
        <w:t>’</w:t>
      </w:r>
      <w:r w:rsidRPr="00774EDB">
        <w:rPr>
          <w:rFonts w:ascii="Times New Roman" w:hAnsi="Times New Roman" w:cs="Times New Roman"/>
          <w:sz w:val="24"/>
          <w:szCs w:val="24"/>
        </w:rPr>
        <w:t>.</w:t>
      </w:r>
      <w:r w:rsidRPr="00774EDB">
        <w:rPr>
          <w:rStyle w:val="FootnoteReference"/>
          <w:rFonts w:ascii="Times New Roman" w:hAnsi="Times New Roman" w:cs="Times New Roman"/>
          <w:sz w:val="24"/>
          <w:szCs w:val="24"/>
        </w:rPr>
        <w:footnoteReference w:id="900"/>
      </w:r>
      <w:r w:rsidRPr="00774EDB">
        <w:rPr>
          <w:rFonts w:ascii="Times New Roman" w:hAnsi="Times New Roman" w:cs="Times New Roman"/>
          <w:sz w:val="24"/>
          <w:szCs w:val="24"/>
        </w:rPr>
        <w:t xml:space="preserve"> </w:t>
      </w:r>
      <w:r w:rsidR="00CB4FB6">
        <w:rPr>
          <w:rFonts w:ascii="Times New Roman" w:hAnsi="Times New Roman" w:cs="Times New Roman"/>
          <w:sz w:val="24"/>
          <w:szCs w:val="24"/>
        </w:rPr>
        <w:t>To emphasise</w:t>
      </w:r>
      <w:r w:rsidRPr="00774EDB">
        <w:rPr>
          <w:rFonts w:ascii="Times New Roman" w:hAnsi="Times New Roman" w:cs="Times New Roman"/>
          <w:sz w:val="24"/>
          <w:szCs w:val="24"/>
        </w:rPr>
        <w:t xml:space="preserve">, after a long period of consultation, the House of Lords ended up with a set of ten principles to pave the way for the establishment of a rigorously designed, comprehensive and forward-looking framework. </w:t>
      </w:r>
      <w:r w:rsidR="00CB4FB6">
        <w:rPr>
          <w:rFonts w:ascii="Times New Roman" w:hAnsi="Times New Roman" w:cs="Times New Roman"/>
          <w:sz w:val="24"/>
          <w:szCs w:val="24"/>
        </w:rPr>
        <w:t>S</w:t>
      </w:r>
      <w:r w:rsidRPr="00774EDB">
        <w:rPr>
          <w:rFonts w:ascii="Times New Roman" w:hAnsi="Times New Roman" w:cs="Times New Roman"/>
          <w:sz w:val="24"/>
          <w:szCs w:val="24"/>
        </w:rPr>
        <w:t>et</w:t>
      </w:r>
      <w:r w:rsidR="00CB4FB6">
        <w:rPr>
          <w:rFonts w:ascii="Times New Roman" w:hAnsi="Times New Roman" w:cs="Times New Roman"/>
          <w:sz w:val="24"/>
          <w:szCs w:val="24"/>
        </w:rPr>
        <w:t>ting</w:t>
      </w:r>
      <w:r w:rsidRPr="00774EDB">
        <w:rPr>
          <w:rFonts w:ascii="Times New Roman" w:hAnsi="Times New Roman" w:cs="Times New Roman"/>
          <w:sz w:val="24"/>
          <w:szCs w:val="24"/>
        </w:rPr>
        <w:t xml:space="preserve"> the scene for the proposed Digital Authority to advance further guidelines, </w:t>
      </w:r>
      <w:r w:rsidR="00CB4FB6">
        <w:rPr>
          <w:rFonts w:ascii="Times New Roman" w:hAnsi="Times New Roman" w:cs="Times New Roman"/>
          <w:sz w:val="24"/>
          <w:szCs w:val="24"/>
        </w:rPr>
        <w:t>the Report</w:t>
      </w:r>
      <w:r w:rsidR="00CB4FB6" w:rsidRPr="00774EDB">
        <w:rPr>
          <w:rFonts w:ascii="Times New Roman" w:hAnsi="Times New Roman" w:cs="Times New Roman"/>
          <w:sz w:val="24"/>
          <w:szCs w:val="24"/>
        </w:rPr>
        <w:t xml:space="preserve"> </w:t>
      </w:r>
      <w:r w:rsidRPr="00774EDB">
        <w:rPr>
          <w:rFonts w:ascii="Times New Roman" w:hAnsi="Times New Roman" w:cs="Times New Roman"/>
          <w:sz w:val="24"/>
          <w:szCs w:val="24"/>
        </w:rPr>
        <w:t>clearly recommend</w:t>
      </w:r>
      <w:r w:rsidR="00CB4FB6">
        <w:rPr>
          <w:rFonts w:ascii="Times New Roman" w:hAnsi="Times New Roman" w:cs="Times New Roman"/>
          <w:sz w:val="24"/>
          <w:szCs w:val="24"/>
        </w:rPr>
        <w:t>s</w:t>
      </w:r>
      <w:r w:rsidRPr="00774EDB">
        <w:rPr>
          <w:rFonts w:ascii="Times New Roman" w:hAnsi="Times New Roman" w:cs="Times New Roman"/>
          <w:sz w:val="24"/>
          <w:szCs w:val="24"/>
        </w:rPr>
        <w:t xml:space="preserve"> that industry stakeholders be actively involved in the future process.</w:t>
      </w:r>
      <w:r w:rsidRPr="00774EDB">
        <w:rPr>
          <w:rStyle w:val="FootnoteReference"/>
          <w:rFonts w:ascii="Times New Roman" w:hAnsi="Times New Roman" w:cs="Times New Roman"/>
          <w:sz w:val="24"/>
          <w:szCs w:val="24"/>
        </w:rPr>
        <w:footnoteReference w:id="901"/>
      </w:r>
      <w:r w:rsidRPr="00774EDB">
        <w:rPr>
          <w:rFonts w:ascii="Times New Roman" w:hAnsi="Times New Roman" w:cs="Times New Roman"/>
          <w:sz w:val="24"/>
          <w:szCs w:val="24"/>
        </w:rPr>
        <w:t xml:space="preserve">   </w:t>
      </w:r>
      <w:r w:rsidR="003C6437" w:rsidRPr="00774EDB">
        <w:rPr>
          <w:rFonts w:ascii="Times New Roman" w:hAnsi="Times New Roman" w:cs="Times New Roman"/>
          <w:sz w:val="24"/>
          <w:szCs w:val="24"/>
        </w:rPr>
        <w:t xml:space="preserve"> </w:t>
      </w:r>
      <w:r w:rsidR="003970EE" w:rsidRPr="00774EDB">
        <w:rPr>
          <w:rFonts w:ascii="Times New Roman" w:hAnsi="Times New Roman" w:cs="Times New Roman"/>
          <w:sz w:val="24"/>
          <w:szCs w:val="24"/>
        </w:rPr>
        <w:t xml:space="preserve">  </w:t>
      </w:r>
    </w:p>
    <w:p w14:paraId="47B6190E" w14:textId="78BCF0E3" w:rsidR="004C19F6" w:rsidRPr="00774EDB" w:rsidRDefault="002242CC" w:rsidP="00A70042">
      <w:pPr>
        <w:spacing w:before="360"/>
        <w:jc w:val="both"/>
        <w:rPr>
          <w:rFonts w:ascii="Times New Roman" w:hAnsi="Times New Roman" w:cs="Times New Roman"/>
          <w:sz w:val="24"/>
          <w:szCs w:val="24"/>
        </w:rPr>
      </w:pPr>
      <w:r>
        <w:rPr>
          <w:rFonts w:ascii="Times New Roman" w:hAnsi="Times New Roman" w:cs="Times New Roman"/>
          <w:sz w:val="24"/>
          <w:szCs w:val="24"/>
        </w:rPr>
        <w:lastRenderedPageBreak/>
        <w:t>From this point of view</w:t>
      </w:r>
      <w:r w:rsidR="004C19F6" w:rsidRPr="00774EDB">
        <w:rPr>
          <w:rFonts w:ascii="Times New Roman" w:hAnsi="Times New Roman" w:cs="Times New Roman"/>
          <w:sz w:val="24"/>
          <w:szCs w:val="24"/>
        </w:rPr>
        <w:t xml:space="preserve">, </w:t>
      </w:r>
      <w:r>
        <w:rPr>
          <w:rFonts w:ascii="Times New Roman" w:hAnsi="Times New Roman" w:cs="Times New Roman"/>
          <w:sz w:val="24"/>
          <w:szCs w:val="24"/>
        </w:rPr>
        <w:t xml:space="preserve">it is considered that </w:t>
      </w:r>
      <w:r w:rsidR="002311C5" w:rsidRPr="00774EDB">
        <w:rPr>
          <w:rFonts w:ascii="Times New Roman" w:hAnsi="Times New Roman" w:cs="Times New Roman"/>
          <w:sz w:val="24"/>
          <w:szCs w:val="24"/>
        </w:rPr>
        <w:t>th</w:t>
      </w:r>
      <w:r w:rsidR="004C19F6" w:rsidRPr="00774EDB">
        <w:rPr>
          <w:rFonts w:ascii="Times New Roman" w:hAnsi="Times New Roman" w:cs="Times New Roman"/>
          <w:sz w:val="24"/>
          <w:szCs w:val="24"/>
        </w:rPr>
        <w:t>e</w:t>
      </w:r>
      <w:r w:rsidR="002311C5" w:rsidRPr="00774EDB">
        <w:rPr>
          <w:rFonts w:ascii="Times New Roman" w:hAnsi="Times New Roman" w:cs="Times New Roman"/>
          <w:sz w:val="24"/>
          <w:szCs w:val="24"/>
        </w:rPr>
        <w:t xml:space="preserve"> </w:t>
      </w:r>
      <w:r w:rsidR="004C19F6" w:rsidRPr="00774EDB">
        <w:rPr>
          <w:rFonts w:ascii="Times New Roman" w:hAnsi="Times New Roman" w:cs="Times New Roman"/>
          <w:sz w:val="24"/>
          <w:szCs w:val="24"/>
        </w:rPr>
        <w:t>‘layered regulatory model’</w:t>
      </w:r>
      <w:r>
        <w:rPr>
          <w:rFonts w:ascii="Times New Roman" w:hAnsi="Times New Roman" w:cs="Times New Roman"/>
          <w:sz w:val="24"/>
          <w:szCs w:val="24"/>
        </w:rPr>
        <w:t xml:space="preserve"> would be better run </w:t>
      </w:r>
      <w:r w:rsidR="001939F8">
        <w:rPr>
          <w:rFonts w:ascii="Times New Roman" w:hAnsi="Times New Roman" w:cs="Times New Roman"/>
          <w:sz w:val="24"/>
          <w:szCs w:val="24"/>
        </w:rPr>
        <w:t>by</w:t>
      </w:r>
      <w:r>
        <w:rPr>
          <w:rFonts w:ascii="Times New Roman" w:hAnsi="Times New Roman" w:cs="Times New Roman"/>
          <w:sz w:val="24"/>
          <w:szCs w:val="24"/>
        </w:rPr>
        <w:t xml:space="preserve"> setting</w:t>
      </w:r>
      <w:r w:rsidR="002311C5" w:rsidRPr="00774EDB">
        <w:rPr>
          <w:rFonts w:ascii="Times New Roman" w:hAnsi="Times New Roman" w:cs="Times New Roman"/>
          <w:sz w:val="24"/>
          <w:szCs w:val="24"/>
        </w:rPr>
        <w:t xml:space="preserve"> </w:t>
      </w:r>
      <w:r>
        <w:rPr>
          <w:rFonts w:ascii="Times New Roman" w:hAnsi="Times New Roman" w:cs="Times New Roman"/>
          <w:sz w:val="24"/>
          <w:szCs w:val="24"/>
        </w:rPr>
        <w:t>the</w:t>
      </w:r>
      <w:r w:rsidRPr="00774EDB">
        <w:rPr>
          <w:rFonts w:ascii="Times New Roman" w:hAnsi="Times New Roman" w:cs="Times New Roman"/>
          <w:sz w:val="24"/>
          <w:szCs w:val="24"/>
        </w:rPr>
        <w:t xml:space="preserve"> </w:t>
      </w:r>
      <w:r>
        <w:rPr>
          <w:rFonts w:ascii="Times New Roman" w:hAnsi="Times New Roman" w:cs="Times New Roman"/>
          <w:sz w:val="24"/>
          <w:szCs w:val="24"/>
        </w:rPr>
        <w:t>g</w:t>
      </w:r>
      <w:r w:rsidR="008742EC">
        <w:rPr>
          <w:rFonts w:ascii="Times New Roman" w:hAnsi="Times New Roman" w:cs="Times New Roman"/>
          <w:sz w:val="24"/>
          <w:szCs w:val="24"/>
        </w:rPr>
        <w:t>overn</w:t>
      </w:r>
      <w:r>
        <w:rPr>
          <w:rFonts w:ascii="Times New Roman" w:hAnsi="Times New Roman" w:cs="Times New Roman"/>
          <w:sz w:val="24"/>
          <w:szCs w:val="24"/>
        </w:rPr>
        <w:t>ing</w:t>
      </w:r>
      <w:r w:rsidR="002311C5" w:rsidRPr="00774EDB">
        <w:rPr>
          <w:rFonts w:ascii="Times New Roman" w:hAnsi="Times New Roman" w:cs="Times New Roman"/>
          <w:sz w:val="24"/>
          <w:szCs w:val="24"/>
        </w:rPr>
        <w:t xml:space="preserve"> principles </w:t>
      </w:r>
      <w:r>
        <w:rPr>
          <w:rFonts w:ascii="Times New Roman" w:hAnsi="Times New Roman" w:cs="Times New Roman"/>
          <w:sz w:val="24"/>
          <w:szCs w:val="24"/>
        </w:rPr>
        <w:t xml:space="preserve">which will </w:t>
      </w:r>
      <w:r w:rsidR="004C19F6" w:rsidRPr="00774EDB">
        <w:rPr>
          <w:rFonts w:ascii="Times New Roman" w:hAnsi="Times New Roman" w:cs="Times New Roman"/>
          <w:sz w:val="24"/>
          <w:szCs w:val="24"/>
        </w:rPr>
        <w:t xml:space="preserve">lay down the main pillars and </w:t>
      </w:r>
      <w:r>
        <w:rPr>
          <w:rFonts w:ascii="Times New Roman" w:hAnsi="Times New Roman" w:cs="Times New Roman"/>
          <w:sz w:val="24"/>
          <w:szCs w:val="24"/>
        </w:rPr>
        <w:t xml:space="preserve">instructions for the </w:t>
      </w:r>
      <w:r w:rsidR="00681087">
        <w:rPr>
          <w:rFonts w:ascii="Times New Roman" w:hAnsi="Times New Roman" w:cs="Times New Roman"/>
          <w:sz w:val="24"/>
          <w:szCs w:val="24"/>
        </w:rPr>
        <w:t xml:space="preserve">ICT </w:t>
      </w:r>
      <w:r>
        <w:rPr>
          <w:rFonts w:ascii="Times New Roman" w:hAnsi="Times New Roman" w:cs="Times New Roman"/>
          <w:sz w:val="24"/>
          <w:szCs w:val="24"/>
        </w:rPr>
        <w:t>players</w:t>
      </w:r>
      <w:r w:rsidR="001939F8">
        <w:rPr>
          <w:rFonts w:ascii="Times New Roman" w:hAnsi="Times New Roman" w:cs="Times New Roman"/>
          <w:sz w:val="24"/>
          <w:szCs w:val="24"/>
        </w:rPr>
        <w:t>,</w:t>
      </w:r>
      <w:r w:rsidR="00681087">
        <w:rPr>
          <w:rFonts w:ascii="Times New Roman" w:hAnsi="Times New Roman" w:cs="Times New Roman"/>
          <w:sz w:val="24"/>
          <w:szCs w:val="24"/>
        </w:rPr>
        <w:t xml:space="preserve"> specifically gatekeepers,</w:t>
      </w:r>
      <w:r w:rsidR="001939F8">
        <w:rPr>
          <w:rFonts w:ascii="Times New Roman" w:hAnsi="Times New Roman" w:cs="Times New Roman"/>
          <w:sz w:val="24"/>
          <w:szCs w:val="24"/>
        </w:rPr>
        <w:t xml:space="preserve"> in the first instance</w:t>
      </w:r>
      <w:r w:rsidR="002311C5" w:rsidRPr="00774EDB">
        <w:rPr>
          <w:rFonts w:ascii="Times New Roman" w:hAnsi="Times New Roman" w:cs="Times New Roman"/>
          <w:sz w:val="24"/>
          <w:szCs w:val="24"/>
        </w:rPr>
        <w:t xml:space="preserve">. </w:t>
      </w:r>
      <w:r>
        <w:rPr>
          <w:rFonts w:ascii="Times New Roman" w:hAnsi="Times New Roman" w:cs="Times New Roman"/>
          <w:sz w:val="24"/>
          <w:szCs w:val="24"/>
        </w:rPr>
        <w:t>To commence with</w:t>
      </w:r>
      <w:r w:rsidR="004C19F6" w:rsidRPr="00774EDB">
        <w:rPr>
          <w:rFonts w:ascii="Times New Roman" w:hAnsi="Times New Roman" w:cs="Times New Roman"/>
          <w:sz w:val="24"/>
          <w:szCs w:val="24"/>
        </w:rPr>
        <w:t xml:space="preserve">, </w:t>
      </w:r>
      <w:r>
        <w:rPr>
          <w:rFonts w:ascii="Times New Roman" w:hAnsi="Times New Roman" w:cs="Times New Roman"/>
          <w:sz w:val="24"/>
          <w:szCs w:val="24"/>
        </w:rPr>
        <w:t xml:space="preserve">it is proposed </w:t>
      </w:r>
      <w:r w:rsidR="004C19F6" w:rsidRPr="00774EDB">
        <w:rPr>
          <w:rFonts w:ascii="Times New Roman" w:hAnsi="Times New Roman" w:cs="Times New Roman"/>
          <w:sz w:val="24"/>
          <w:szCs w:val="24"/>
        </w:rPr>
        <w:t xml:space="preserve">the core </w:t>
      </w:r>
      <w:r>
        <w:rPr>
          <w:rFonts w:ascii="Times New Roman" w:hAnsi="Times New Roman" w:cs="Times New Roman"/>
          <w:sz w:val="24"/>
          <w:szCs w:val="24"/>
        </w:rPr>
        <w:t xml:space="preserve">and main </w:t>
      </w:r>
      <w:r w:rsidR="004C19F6" w:rsidRPr="00774EDB">
        <w:rPr>
          <w:rFonts w:ascii="Times New Roman" w:hAnsi="Times New Roman" w:cs="Times New Roman"/>
          <w:sz w:val="24"/>
          <w:szCs w:val="24"/>
        </w:rPr>
        <w:t xml:space="preserve">principle include a </w:t>
      </w:r>
      <w:r w:rsidR="00AF1676">
        <w:rPr>
          <w:rFonts w:ascii="Times New Roman" w:hAnsi="Times New Roman" w:cs="Times New Roman"/>
          <w:sz w:val="24"/>
          <w:szCs w:val="24"/>
        </w:rPr>
        <w:t>prohibition</w:t>
      </w:r>
      <w:r w:rsidR="004C19F6" w:rsidRPr="00774EDB">
        <w:rPr>
          <w:rFonts w:ascii="Times New Roman" w:hAnsi="Times New Roman" w:cs="Times New Roman"/>
          <w:sz w:val="24"/>
          <w:szCs w:val="24"/>
        </w:rPr>
        <w:t xml:space="preserve"> on “restricting access </w:t>
      </w:r>
      <w:r w:rsidR="00AF1676">
        <w:rPr>
          <w:rFonts w:ascii="Times New Roman" w:hAnsi="Times New Roman" w:cs="Times New Roman"/>
          <w:sz w:val="24"/>
          <w:szCs w:val="24"/>
        </w:rPr>
        <w:t xml:space="preserve">and interoperability </w:t>
      </w:r>
      <w:r w:rsidR="004C19F6" w:rsidRPr="00774EDB">
        <w:rPr>
          <w:rFonts w:ascii="Times New Roman" w:hAnsi="Times New Roman" w:cs="Times New Roman"/>
          <w:sz w:val="24"/>
          <w:szCs w:val="24"/>
        </w:rPr>
        <w:t>at the expense of limit</w:t>
      </w:r>
      <w:r>
        <w:rPr>
          <w:rFonts w:ascii="Times New Roman" w:hAnsi="Times New Roman" w:cs="Times New Roman"/>
          <w:sz w:val="24"/>
          <w:szCs w:val="24"/>
        </w:rPr>
        <w:t>ing</w:t>
      </w:r>
      <w:r w:rsidR="004C19F6" w:rsidRPr="00774EDB">
        <w:rPr>
          <w:rFonts w:ascii="Times New Roman" w:hAnsi="Times New Roman" w:cs="Times New Roman"/>
          <w:sz w:val="24"/>
          <w:szCs w:val="24"/>
        </w:rPr>
        <w:t xml:space="preserve"> consumer choices”. </w:t>
      </w:r>
      <w:r w:rsidR="00AF1676">
        <w:rPr>
          <w:rFonts w:ascii="Times New Roman" w:hAnsi="Times New Roman" w:cs="Times New Roman"/>
          <w:sz w:val="24"/>
          <w:szCs w:val="24"/>
        </w:rPr>
        <w:t>Further to</w:t>
      </w:r>
      <w:r w:rsidR="004C19F6" w:rsidRPr="00774EDB">
        <w:rPr>
          <w:rFonts w:ascii="Times New Roman" w:hAnsi="Times New Roman" w:cs="Times New Roman"/>
          <w:sz w:val="24"/>
          <w:szCs w:val="24"/>
        </w:rPr>
        <w:t xml:space="preserve"> this </w:t>
      </w:r>
      <w:r w:rsidR="001939F8">
        <w:rPr>
          <w:rFonts w:ascii="Times New Roman" w:hAnsi="Times New Roman" w:cs="Times New Roman"/>
          <w:sz w:val="24"/>
          <w:szCs w:val="24"/>
        </w:rPr>
        <w:t>baseline</w:t>
      </w:r>
      <w:r w:rsidR="001939F8" w:rsidRPr="00774EDB">
        <w:rPr>
          <w:rFonts w:ascii="Times New Roman" w:hAnsi="Times New Roman" w:cs="Times New Roman"/>
          <w:sz w:val="24"/>
          <w:szCs w:val="24"/>
        </w:rPr>
        <w:t xml:space="preserve"> </w:t>
      </w:r>
      <w:r w:rsidR="004C19F6" w:rsidRPr="00774EDB">
        <w:rPr>
          <w:rFonts w:ascii="Times New Roman" w:hAnsi="Times New Roman" w:cs="Times New Roman"/>
          <w:sz w:val="24"/>
          <w:szCs w:val="24"/>
        </w:rPr>
        <w:t xml:space="preserve">principle, </w:t>
      </w:r>
      <w:r w:rsidR="00681087">
        <w:rPr>
          <w:rFonts w:ascii="Times New Roman" w:hAnsi="Times New Roman" w:cs="Times New Roman"/>
          <w:sz w:val="24"/>
          <w:szCs w:val="24"/>
        </w:rPr>
        <w:t>gatekeepers</w:t>
      </w:r>
      <w:r w:rsidR="00681087" w:rsidRPr="00774EDB" w:rsidDel="00681087">
        <w:rPr>
          <w:rFonts w:ascii="Times New Roman" w:hAnsi="Times New Roman" w:cs="Times New Roman"/>
          <w:sz w:val="24"/>
          <w:szCs w:val="24"/>
        </w:rPr>
        <w:t xml:space="preserve"> </w:t>
      </w:r>
      <w:r w:rsidR="004C19F6" w:rsidRPr="00774EDB">
        <w:rPr>
          <w:rFonts w:ascii="Times New Roman" w:hAnsi="Times New Roman" w:cs="Times New Roman"/>
          <w:sz w:val="24"/>
          <w:szCs w:val="24"/>
        </w:rPr>
        <w:t>should also;</w:t>
      </w:r>
    </w:p>
    <w:p w14:paraId="2FEC1BDB" w14:textId="2EFE4652" w:rsidR="004C19F6" w:rsidRPr="00774EDB" w:rsidRDefault="004C19F6" w:rsidP="00A70042">
      <w:pPr>
        <w:pStyle w:val="ListParagraph"/>
        <w:numPr>
          <w:ilvl w:val="0"/>
          <w:numId w:val="22"/>
        </w:numPr>
        <w:spacing w:before="360"/>
        <w:contextualSpacing w:val="0"/>
        <w:jc w:val="both"/>
        <w:rPr>
          <w:rFonts w:ascii="Times New Roman" w:hAnsi="Times New Roman" w:cs="Times New Roman"/>
          <w:sz w:val="24"/>
          <w:szCs w:val="24"/>
        </w:rPr>
      </w:pPr>
      <w:r w:rsidRPr="00774EDB">
        <w:rPr>
          <w:rFonts w:ascii="Times New Roman" w:hAnsi="Times New Roman" w:cs="Times New Roman"/>
          <w:sz w:val="24"/>
          <w:szCs w:val="24"/>
        </w:rPr>
        <w:t xml:space="preserve">report their management of data and traffic across the layers </w:t>
      </w:r>
      <w:r w:rsidR="001939F8">
        <w:rPr>
          <w:rFonts w:ascii="Times New Roman" w:hAnsi="Times New Roman" w:cs="Times New Roman"/>
          <w:sz w:val="24"/>
          <w:szCs w:val="24"/>
        </w:rPr>
        <w:t xml:space="preserve">to the regulator(s) </w:t>
      </w:r>
      <w:r w:rsidR="00AF1676">
        <w:rPr>
          <w:rFonts w:ascii="Times New Roman" w:hAnsi="Times New Roman" w:cs="Times New Roman"/>
          <w:sz w:val="24"/>
          <w:szCs w:val="24"/>
        </w:rPr>
        <w:t>(</w:t>
      </w:r>
      <w:r w:rsidRPr="00774EDB">
        <w:rPr>
          <w:rFonts w:ascii="Times New Roman" w:hAnsi="Times New Roman" w:cs="Times New Roman"/>
          <w:sz w:val="24"/>
          <w:szCs w:val="24"/>
        </w:rPr>
        <w:t>transparency</w:t>
      </w:r>
      <w:r w:rsidR="00AF1676">
        <w:rPr>
          <w:rFonts w:ascii="Times New Roman" w:hAnsi="Times New Roman" w:cs="Times New Roman"/>
          <w:sz w:val="24"/>
          <w:szCs w:val="24"/>
        </w:rPr>
        <w:t>)</w:t>
      </w:r>
      <w:r w:rsidRPr="00774EDB">
        <w:rPr>
          <w:rFonts w:ascii="Times New Roman" w:hAnsi="Times New Roman" w:cs="Times New Roman"/>
          <w:sz w:val="24"/>
          <w:szCs w:val="24"/>
        </w:rPr>
        <w:t>,</w:t>
      </w:r>
    </w:p>
    <w:p w14:paraId="0FF57E5F" w14:textId="31F5F08E" w:rsidR="004C19F6" w:rsidRPr="00A70042" w:rsidRDefault="004C19F6" w:rsidP="00A70042">
      <w:pPr>
        <w:pStyle w:val="ListParagraph"/>
        <w:numPr>
          <w:ilvl w:val="0"/>
          <w:numId w:val="22"/>
        </w:numPr>
        <w:spacing w:before="120"/>
        <w:ind w:left="1066" w:hanging="357"/>
        <w:contextualSpacing w:val="0"/>
        <w:jc w:val="both"/>
        <w:rPr>
          <w:rFonts w:ascii="Times New Roman" w:hAnsi="Times New Roman" w:cs="Times New Roman"/>
          <w:spacing w:val="-4"/>
          <w:sz w:val="24"/>
          <w:szCs w:val="24"/>
        </w:rPr>
      </w:pPr>
      <w:r w:rsidRPr="00A70042">
        <w:rPr>
          <w:rFonts w:ascii="Times New Roman" w:hAnsi="Times New Roman" w:cs="Times New Roman"/>
          <w:spacing w:val="-4"/>
          <w:sz w:val="24"/>
          <w:szCs w:val="24"/>
        </w:rPr>
        <w:t xml:space="preserve">refrain from </w:t>
      </w:r>
      <w:r w:rsidR="001939F8" w:rsidRPr="00902012">
        <w:rPr>
          <w:rFonts w:ascii="Times New Roman" w:hAnsi="Times New Roman"/>
          <w:spacing w:val="-4"/>
          <w:sz w:val="24"/>
          <w:szCs w:val="24"/>
        </w:rPr>
        <w:t>biased</w:t>
      </w:r>
      <w:r w:rsidR="00A60170" w:rsidRPr="00A70042">
        <w:rPr>
          <w:rFonts w:ascii="Times New Roman" w:hAnsi="Times New Roman" w:cs="Times New Roman"/>
          <w:spacing w:val="-4"/>
          <w:sz w:val="24"/>
          <w:szCs w:val="24"/>
        </w:rPr>
        <w:t xml:space="preserve"> or </w:t>
      </w:r>
      <w:r w:rsidR="001939F8" w:rsidRPr="00902012">
        <w:rPr>
          <w:rFonts w:ascii="Times New Roman" w:hAnsi="Times New Roman"/>
          <w:spacing w:val="-4"/>
          <w:sz w:val="24"/>
          <w:szCs w:val="24"/>
        </w:rPr>
        <w:t xml:space="preserve">unfairly </w:t>
      </w:r>
      <w:r w:rsidR="00A60170" w:rsidRPr="00A70042">
        <w:rPr>
          <w:rFonts w:ascii="Times New Roman" w:hAnsi="Times New Roman" w:cs="Times New Roman"/>
          <w:spacing w:val="-4"/>
          <w:sz w:val="24"/>
          <w:szCs w:val="24"/>
        </w:rPr>
        <w:t>selective</w:t>
      </w:r>
      <w:r w:rsidRPr="00A70042">
        <w:rPr>
          <w:rFonts w:ascii="Times New Roman" w:hAnsi="Times New Roman" w:cs="Times New Roman"/>
          <w:spacing w:val="-4"/>
          <w:sz w:val="24"/>
          <w:szCs w:val="24"/>
        </w:rPr>
        <w:t xml:space="preserve"> supply of services unless justified on an objective ground of technical reason</w:t>
      </w:r>
      <w:r w:rsidR="001939F8">
        <w:rPr>
          <w:rFonts w:ascii="Times New Roman" w:hAnsi="Times New Roman" w:cs="Times New Roman"/>
          <w:spacing w:val="-4"/>
          <w:sz w:val="24"/>
          <w:szCs w:val="24"/>
        </w:rPr>
        <w:t>ing</w:t>
      </w:r>
      <w:r w:rsidRPr="00A70042">
        <w:rPr>
          <w:rFonts w:ascii="Times New Roman" w:hAnsi="Times New Roman" w:cs="Times New Roman"/>
          <w:spacing w:val="-4"/>
          <w:sz w:val="24"/>
          <w:szCs w:val="24"/>
        </w:rPr>
        <w:t xml:space="preserve"> </w:t>
      </w:r>
      <w:r w:rsidR="00AF1676">
        <w:rPr>
          <w:rFonts w:ascii="Times New Roman" w:hAnsi="Times New Roman" w:cs="Times New Roman"/>
          <w:spacing w:val="-4"/>
          <w:sz w:val="24"/>
          <w:szCs w:val="24"/>
        </w:rPr>
        <w:t>(</w:t>
      </w:r>
      <w:r w:rsidR="001939F8">
        <w:rPr>
          <w:rFonts w:ascii="Times New Roman" w:hAnsi="Times New Roman" w:cs="Times New Roman"/>
          <w:spacing w:val="-4"/>
          <w:sz w:val="24"/>
          <w:szCs w:val="24"/>
        </w:rPr>
        <w:t>fairness</w:t>
      </w:r>
      <w:r w:rsidR="00AF1676">
        <w:rPr>
          <w:rFonts w:ascii="Times New Roman" w:hAnsi="Times New Roman" w:cs="Times New Roman"/>
          <w:spacing w:val="-4"/>
          <w:sz w:val="24"/>
          <w:szCs w:val="24"/>
        </w:rPr>
        <w:t>)</w:t>
      </w:r>
      <w:r w:rsidR="00F81099" w:rsidRPr="00A70042">
        <w:rPr>
          <w:rFonts w:ascii="Times New Roman" w:hAnsi="Times New Roman" w:cs="Times New Roman"/>
          <w:spacing w:val="-4"/>
          <w:sz w:val="24"/>
          <w:szCs w:val="24"/>
        </w:rPr>
        <w:t>,</w:t>
      </w:r>
    </w:p>
    <w:p w14:paraId="57FDC5DF" w14:textId="431A4A9B" w:rsidR="00CB3263" w:rsidRPr="00774EDB" w:rsidRDefault="004C19F6" w:rsidP="00A70042">
      <w:pPr>
        <w:pStyle w:val="ListParagraph"/>
        <w:numPr>
          <w:ilvl w:val="0"/>
          <w:numId w:val="22"/>
        </w:numPr>
        <w:spacing w:before="120"/>
        <w:ind w:left="1066" w:hanging="357"/>
        <w:contextualSpacing w:val="0"/>
        <w:jc w:val="both"/>
        <w:rPr>
          <w:rFonts w:ascii="Times New Roman" w:hAnsi="Times New Roman" w:cs="Times New Roman"/>
          <w:sz w:val="24"/>
          <w:szCs w:val="24"/>
        </w:rPr>
      </w:pPr>
      <w:r w:rsidRPr="00774EDB">
        <w:rPr>
          <w:rFonts w:ascii="Times New Roman" w:hAnsi="Times New Roman" w:cs="Times New Roman"/>
          <w:sz w:val="24"/>
          <w:szCs w:val="24"/>
        </w:rPr>
        <w:t xml:space="preserve">establish that the software management </w:t>
      </w:r>
      <w:r w:rsidR="001939F8" w:rsidRPr="000E3D2B">
        <w:rPr>
          <w:rFonts w:ascii="Times New Roman" w:hAnsi="Times New Roman"/>
          <w:sz w:val="24"/>
          <w:szCs w:val="24"/>
        </w:rPr>
        <w:t>e.g. AI-driven</w:t>
      </w:r>
      <w:r w:rsidR="001939F8"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processes underlying the services supplied by them rely on ethical, </w:t>
      </w:r>
      <w:r w:rsidR="001939F8">
        <w:rPr>
          <w:rFonts w:ascii="Times New Roman" w:hAnsi="Times New Roman" w:cs="Times New Roman"/>
          <w:sz w:val="24"/>
          <w:szCs w:val="24"/>
        </w:rPr>
        <w:t>accoun</w:t>
      </w:r>
      <w:r w:rsidRPr="00774EDB">
        <w:rPr>
          <w:rFonts w:ascii="Times New Roman" w:hAnsi="Times New Roman" w:cs="Times New Roman"/>
          <w:sz w:val="24"/>
          <w:szCs w:val="24"/>
        </w:rPr>
        <w:t xml:space="preserve">table and democratically justifiable reasons </w:t>
      </w:r>
      <w:r w:rsidR="00AF1676">
        <w:rPr>
          <w:rFonts w:ascii="Times New Roman" w:hAnsi="Times New Roman" w:cs="Times New Roman"/>
          <w:sz w:val="24"/>
          <w:szCs w:val="24"/>
        </w:rPr>
        <w:t>(</w:t>
      </w:r>
      <w:r w:rsidRPr="00774EDB">
        <w:rPr>
          <w:rFonts w:ascii="Times New Roman" w:hAnsi="Times New Roman" w:cs="Times New Roman"/>
          <w:sz w:val="24"/>
          <w:szCs w:val="24"/>
        </w:rPr>
        <w:t>accountability</w:t>
      </w:r>
      <w:r w:rsidR="00AF1676">
        <w:rPr>
          <w:rFonts w:ascii="Times New Roman" w:hAnsi="Times New Roman" w:cs="Times New Roman"/>
          <w:sz w:val="24"/>
          <w:szCs w:val="24"/>
        </w:rPr>
        <w:t>)</w:t>
      </w:r>
      <w:r w:rsidRPr="00774EDB">
        <w:rPr>
          <w:rFonts w:ascii="Times New Roman" w:hAnsi="Times New Roman" w:cs="Times New Roman"/>
          <w:sz w:val="24"/>
          <w:szCs w:val="24"/>
        </w:rPr>
        <w:t>.</w:t>
      </w:r>
      <w:r w:rsidR="00CB3263" w:rsidRPr="00774EDB">
        <w:rPr>
          <w:rFonts w:ascii="Times New Roman" w:hAnsi="Times New Roman" w:cs="Times New Roman"/>
          <w:sz w:val="24"/>
          <w:szCs w:val="24"/>
        </w:rPr>
        <w:t xml:space="preserve">  </w:t>
      </w:r>
    </w:p>
    <w:p w14:paraId="28E17B2F" w14:textId="235F7D74" w:rsidR="00BE5AF0" w:rsidRDefault="00A60170" w:rsidP="00A70042">
      <w:pPr>
        <w:spacing w:before="360"/>
        <w:jc w:val="both"/>
        <w:rPr>
          <w:rFonts w:ascii="Times New Roman" w:hAnsi="Times New Roman" w:cs="Times New Roman"/>
          <w:spacing w:val="-2"/>
          <w:sz w:val="24"/>
          <w:szCs w:val="24"/>
        </w:rPr>
      </w:pPr>
      <w:r w:rsidRPr="00A70042">
        <w:rPr>
          <w:rFonts w:ascii="Times New Roman" w:hAnsi="Times New Roman" w:cs="Times New Roman"/>
          <w:spacing w:val="-2"/>
          <w:sz w:val="24"/>
          <w:szCs w:val="24"/>
        </w:rPr>
        <w:t xml:space="preserve">This fourpartite set of principles draw the main </w:t>
      </w:r>
      <w:r w:rsidR="00513F4D">
        <w:rPr>
          <w:rFonts w:ascii="Times New Roman" w:hAnsi="Times New Roman" w:cs="Times New Roman"/>
          <w:spacing w:val="-2"/>
          <w:sz w:val="24"/>
          <w:szCs w:val="24"/>
        </w:rPr>
        <w:t>pillars</w:t>
      </w:r>
      <w:r w:rsidR="00513F4D" w:rsidRPr="00A70042">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 xml:space="preserve">of the layered regulatory model. </w:t>
      </w:r>
      <w:r w:rsidR="00513F4D">
        <w:rPr>
          <w:rFonts w:ascii="Times New Roman" w:hAnsi="Times New Roman" w:cs="Times New Roman"/>
          <w:spacing w:val="-2"/>
          <w:sz w:val="24"/>
          <w:szCs w:val="24"/>
        </w:rPr>
        <w:t>In t</w:t>
      </w:r>
      <w:r w:rsidRPr="00A70042">
        <w:rPr>
          <w:rFonts w:ascii="Times New Roman" w:hAnsi="Times New Roman" w:cs="Times New Roman"/>
          <w:spacing w:val="-2"/>
          <w:sz w:val="24"/>
          <w:szCs w:val="24"/>
        </w:rPr>
        <w:t xml:space="preserve">he emergent response echoes </w:t>
      </w:r>
      <w:r w:rsidR="008742EC">
        <w:rPr>
          <w:rFonts w:ascii="Times New Roman" w:hAnsi="Times New Roman" w:cs="Times New Roman"/>
          <w:spacing w:val="-2"/>
          <w:sz w:val="24"/>
          <w:szCs w:val="24"/>
        </w:rPr>
        <w:t>an oversight for the multi-layered</w:t>
      </w:r>
      <w:r w:rsidRPr="00A70042">
        <w:rPr>
          <w:rFonts w:ascii="Times New Roman" w:hAnsi="Times New Roman" w:cs="Times New Roman"/>
          <w:spacing w:val="-2"/>
          <w:sz w:val="24"/>
          <w:szCs w:val="24"/>
        </w:rPr>
        <w:t xml:space="preserve"> </w:t>
      </w:r>
      <w:r w:rsidR="008742EC">
        <w:rPr>
          <w:rFonts w:ascii="Times New Roman" w:hAnsi="Times New Roman" w:cs="Times New Roman"/>
          <w:spacing w:val="-2"/>
          <w:sz w:val="24"/>
          <w:szCs w:val="24"/>
        </w:rPr>
        <w:t>ICT</w:t>
      </w:r>
      <w:r w:rsidR="008742EC" w:rsidRPr="00A70042">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 xml:space="preserve">activities, </w:t>
      </w:r>
      <w:r w:rsidR="00CC2926">
        <w:rPr>
          <w:rFonts w:ascii="Times New Roman" w:hAnsi="Times New Roman" w:cs="Times New Roman"/>
          <w:spacing w:val="-2"/>
          <w:sz w:val="24"/>
          <w:szCs w:val="24"/>
        </w:rPr>
        <w:t>with a view to address gatekeeping activities that arouse competition and/or techno-social concerns</w:t>
      </w:r>
      <w:r w:rsidR="00BE5AF0">
        <w:rPr>
          <w:rFonts w:ascii="Times New Roman" w:hAnsi="Times New Roman" w:cs="Times New Roman"/>
          <w:spacing w:val="-2"/>
          <w:sz w:val="24"/>
          <w:szCs w:val="24"/>
        </w:rPr>
        <w:t xml:space="preserve"> </w:t>
      </w:r>
      <w:r w:rsidR="008742EC">
        <w:rPr>
          <w:rFonts w:ascii="Times New Roman" w:hAnsi="Times New Roman" w:cs="Times New Roman"/>
          <w:spacing w:val="-2"/>
          <w:sz w:val="24"/>
          <w:szCs w:val="24"/>
        </w:rPr>
        <w:t>and posing</w:t>
      </w:r>
      <w:r w:rsidR="00CC2926">
        <w:rPr>
          <w:rFonts w:ascii="Times New Roman" w:hAnsi="Times New Roman" w:cs="Times New Roman"/>
          <w:spacing w:val="-2"/>
          <w:sz w:val="24"/>
          <w:szCs w:val="24"/>
        </w:rPr>
        <w:t xml:space="preserve"> a restricti</w:t>
      </w:r>
      <w:r w:rsidR="00BE5AF0">
        <w:rPr>
          <w:rFonts w:ascii="Times New Roman" w:hAnsi="Times New Roman" w:cs="Times New Roman"/>
          <w:spacing w:val="-2"/>
          <w:sz w:val="24"/>
          <w:szCs w:val="24"/>
        </w:rPr>
        <w:t>on over the consumers. Notably,</w:t>
      </w:r>
      <w:r w:rsidR="00CC2926">
        <w:rPr>
          <w:rFonts w:ascii="Times New Roman" w:hAnsi="Times New Roman" w:cs="Times New Roman"/>
          <w:spacing w:val="-2"/>
          <w:sz w:val="24"/>
          <w:szCs w:val="24"/>
        </w:rPr>
        <w:t xml:space="preserve"> the latter </w:t>
      </w:r>
      <w:r w:rsidR="00BE5AF0">
        <w:rPr>
          <w:rFonts w:ascii="Times New Roman" w:hAnsi="Times New Roman" w:cs="Times New Roman"/>
          <w:spacing w:val="-2"/>
          <w:sz w:val="24"/>
          <w:szCs w:val="24"/>
        </w:rPr>
        <w:t>mean</w:t>
      </w:r>
      <w:r w:rsidR="00CC2926">
        <w:rPr>
          <w:rFonts w:ascii="Times New Roman" w:hAnsi="Times New Roman" w:cs="Times New Roman"/>
          <w:spacing w:val="-2"/>
          <w:sz w:val="24"/>
          <w:szCs w:val="24"/>
        </w:rPr>
        <w:t xml:space="preserve">s </w:t>
      </w:r>
      <w:r w:rsidRPr="00A70042">
        <w:rPr>
          <w:rFonts w:ascii="Times New Roman" w:hAnsi="Times New Roman" w:cs="Times New Roman"/>
          <w:spacing w:val="-2"/>
          <w:sz w:val="24"/>
          <w:szCs w:val="24"/>
        </w:rPr>
        <w:t xml:space="preserve">informational, ethical and democratic concerns </w:t>
      </w:r>
      <w:r w:rsidR="00BE5AF0">
        <w:rPr>
          <w:rFonts w:ascii="Times New Roman" w:hAnsi="Times New Roman" w:cs="Times New Roman"/>
          <w:spacing w:val="-2"/>
          <w:sz w:val="24"/>
          <w:szCs w:val="24"/>
        </w:rPr>
        <w:t>reflecting on the restrictions</w:t>
      </w:r>
      <w:r w:rsidR="00CC2926">
        <w:rPr>
          <w:rFonts w:ascii="Times New Roman" w:hAnsi="Times New Roman" w:cs="Times New Roman"/>
          <w:spacing w:val="-2"/>
          <w:sz w:val="24"/>
          <w:szCs w:val="24"/>
        </w:rPr>
        <w:t xml:space="preserve"> </w:t>
      </w:r>
      <w:r w:rsidR="00513F4D">
        <w:rPr>
          <w:rFonts w:ascii="Times New Roman" w:hAnsi="Times New Roman" w:cs="Times New Roman"/>
          <w:spacing w:val="-2"/>
          <w:sz w:val="24"/>
          <w:szCs w:val="24"/>
        </w:rPr>
        <w:t xml:space="preserve">mostly </w:t>
      </w:r>
      <w:r w:rsidR="00CC2926">
        <w:rPr>
          <w:rFonts w:ascii="Times New Roman" w:hAnsi="Times New Roman" w:cs="Times New Roman"/>
          <w:spacing w:val="-2"/>
          <w:sz w:val="24"/>
          <w:szCs w:val="24"/>
        </w:rPr>
        <w:t xml:space="preserve">based </w:t>
      </w:r>
      <w:r w:rsidRPr="00A70042">
        <w:rPr>
          <w:rFonts w:ascii="Times New Roman" w:hAnsi="Times New Roman" w:cs="Times New Roman"/>
          <w:spacing w:val="-2"/>
          <w:sz w:val="24"/>
          <w:szCs w:val="24"/>
        </w:rPr>
        <w:t>on the manipulative and algorithmically</w:t>
      </w:r>
      <w:r w:rsidR="00CC2926">
        <w:rPr>
          <w:rFonts w:ascii="Times New Roman" w:hAnsi="Times New Roman" w:cs="Times New Roman"/>
          <w:spacing w:val="-2"/>
          <w:sz w:val="24"/>
          <w:szCs w:val="24"/>
        </w:rPr>
        <w:t xml:space="preserve"> </w:t>
      </w:r>
      <w:r w:rsidRPr="00A70042">
        <w:rPr>
          <w:rFonts w:ascii="Times New Roman" w:hAnsi="Times New Roman" w:cs="Times New Roman"/>
          <w:spacing w:val="-2"/>
          <w:sz w:val="24"/>
          <w:szCs w:val="24"/>
        </w:rPr>
        <w:t xml:space="preserve">driven algorithms, </w:t>
      </w:r>
      <w:r w:rsidR="00CC2926">
        <w:rPr>
          <w:rFonts w:ascii="Times New Roman" w:hAnsi="Times New Roman" w:cs="Times New Roman"/>
          <w:spacing w:val="-2"/>
          <w:sz w:val="24"/>
          <w:szCs w:val="24"/>
        </w:rPr>
        <w:t xml:space="preserve">which are </w:t>
      </w:r>
      <w:r w:rsidRPr="00A70042">
        <w:rPr>
          <w:rFonts w:ascii="Times New Roman" w:hAnsi="Times New Roman" w:cs="Times New Roman"/>
          <w:spacing w:val="-2"/>
          <w:sz w:val="24"/>
          <w:szCs w:val="24"/>
        </w:rPr>
        <w:t xml:space="preserve">often obscured from the </w:t>
      </w:r>
      <w:r w:rsidR="00CC2926">
        <w:rPr>
          <w:rFonts w:ascii="Times New Roman" w:hAnsi="Times New Roman" w:cs="Times New Roman"/>
          <w:spacing w:val="-2"/>
          <w:sz w:val="24"/>
          <w:szCs w:val="24"/>
        </w:rPr>
        <w:t>end-</w:t>
      </w:r>
      <w:r w:rsidRPr="00A70042">
        <w:rPr>
          <w:rFonts w:ascii="Times New Roman" w:hAnsi="Times New Roman" w:cs="Times New Roman"/>
          <w:spacing w:val="-2"/>
          <w:sz w:val="24"/>
          <w:szCs w:val="24"/>
        </w:rPr>
        <w:t>users</w:t>
      </w:r>
      <w:r w:rsidR="00513F4D">
        <w:rPr>
          <w:rFonts w:ascii="Times New Roman" w:hAnsi="Times New Roman" w:cs="Times New Roman"/>
          <w:spacing w:val="-2"/>
          <w:sz w:val="24"/>
          <w:szCs w:val="24"/>
        </w:rPr>
        <w:t xml:space="preserve"> unlike with TPMs and </w:t>
      </w:r>
      <w:r w:rsidR="00941596">
        <w:rPr>
          <w:rFonts w:ascii="Times New Roman" w:hAnsi="Times New Roman" w:cs="Times New Roman"/>
          <w:spacing w:val="-2"/>
          <w:sz w:val="24"/>
          <w:szCs w:val="24"/>
        </w:rPr>
        <w:t>most</w:t>
      </w:r>
      <w:r w:rsidR="00513F4D">
        <w:rPr>
          <w:rFonts w:ascii="Times New Roman" w:hAnsi="Times New Roman" w:cs="Times New Roman"/>
          <w:spacing w:val="-2"/>
          <w:sz w:val="24"/>
          <w:szCs w:val="24"/>
        </w:rPr>
        <w:t xml:space="preserve"> IPRs</w:t>
      </w:r>
      <w:r w:rsidRPr="00A70042">
        <w:rPr>
          <w:rFonts w:ascii="Times New Roman" w:hAnsi="Times New Roman" w:cs="Times New Roman"/>
          <w:spacing w:val="-2"/>
          <w:sz w:val="24"/>
          <w:szCs w:val="24"/>
        </w:rPr>
        <w:t>.</w:t>
      </w:r>
    </w:p>
    <w:p w14:paraId="0888A465" w14:textId="3B0D249C" w:rsidR="00A6051D" w:rsidRPr="00A70042" w:rsidRDefault="00BE5AF0" w:rsidP="00A70042">
      <w:pPr>
        <w:spacing w:before="360"/>
        <w:jc w:val="both"/>
        <w:rPr>
          <w:rFonts w:ascii="Times New Roman" w:hAnsi="Times New Roman" w:cs="Times New Roman"/>
          <w:sz w:val="24"/>
          <w:szCs w:val="24"/>
        </w:rPr>
      </w:pPr>
      <w:r>
        <w:rPr>
          <w:rFonts w:ascii="Times New Roman" w:hAnsi="Times New Roman"/>
          <w:sz w:val="24"/>
          <w:szCs w:val="24"/>
        </w:rPr>
        <w:t xml:space="preserve">Crucially, the above principles mean the key requirements which all the gatekeepers should adhere </w:t>
      </w:r>
      <w:r w:rsidR="00513F4D">
        <w:rPr>
          <w:rFonts w:ascii="Times New Roman" w:hAnsi="Times New Roman"/>
          <w:sz w:val="24"/>
          <w:szCs w:val="24"/>
        </w:rPr>
        <w:t>to</w:t>
      </w:r>
      <w:r>
        <w:rPr>
          <w:rFonts w:ascii="Times New Roman" w:hAnsi="Times New Roman"/>
          <w:sz w:val="24"/>
          <w:szCs w:val="24"/>
        </w:rPr>
        <w:t xml:space="preserve">. Accordingly, there is no need for a gatekeeper to have a market power </w:t>
      </w:r>
      <w:r w:rsidR="004C26AB">
        <w:rPr>
          <w:rFonts w:ascii="Times New Roman" w:hAnsi="Times New Roman"/>
          <w:sz w:val="24"/>
          <w:szCs w:val="24"/>
        </w:rPr>
        <w:t xml:space="preserve">in order </w:t>
      </w:r>
      <w:r>
        <w:rPr>
          <w:rFonts w:ascii="Times New Roman" w:hAnsi="Times New Roman"/>
          <w:sz w:val="24"/>
          <w:szCs w:val="24"/>
        </w:rPr>
        <w:t xml:space="preserve">to be subjected to these principles which are generic and ex ante. As </w:t>
      </w:r>
      <w:r>
        <w:rPr>
          <w:rFonts w:ascii="Times New Roman" w:hAnsi="Times New Roman"/>
          <w:sz w:val="24"/>
          <w:szCs w:val="24"/>
        </w:rPr>
        <w:lastRenderedPageBreak/>
        <w:t xml:space="preserve">long as these principles are complied with, there would be no need to intervene on the part of the regulatory authority, namely European Commission at the EU level and NRAs at the national level. Conversely, in circumstances where the principles are breached and </w:t>
      </w:r>
      <w:r w:rsidR="004C26AB">
        <w:rPr>
          <w:rFonts w:ascii="Times New Roman" w:hAnsi="Times New Roman"/>
          <w:sz w:val="24"/>
          <w:szCs w:val="24"/>
        </w:rPr>
        <w:t>consumer choices are restricted</w:t>
      </w:r>
      <w:r>
        <w:rPr>
          <w:rFonts w:ascii="Times New Roman" w:hAnsi="Times New Roman"/>
          <w:sz w:val="24"/>
          <w:szCs w:val="24"/>
        </w:rPr>
        <w:t xml:space="preserve">, additional safeguards would need to be enforced. </w:t>
      </w:r>
      <w:r w:rsidR="004C26AB">
        <w:rPr>
          <w:rFonts w:ascii="Times New Roman" w:hAnsi="Times New Roman" w:cs="Times New Roman"/>
          <w:spacing w:val="-2"/>
          <w:sz w:val="24"/>
          <w:szCs w:val="24"/>
        </w:rPr>
        <w:t>Having said that</w:t>
      </w:r>
      <w:r w:rsidR="004C26AB">
        <w:rPr>
          <w:rFonts w:ascii="Times New Roman" w:hAnsi="Times New Roman" w:cs="Times New Roman"/>
          <w:sz w:val="24"/>
          <w:szCs w:val="24"/>
        </w:rPr>
        <w:t xml:space="preserve">, the thesis </w:t>
      </w:r>
      <w:r w:rsidR="00513F4D">
        <w:rPr>
          <w:rFonts w:ascii="Times New Roman" w:hAnsi="Times New Roman" w:cs="Times New Roman"/>
          <w:sz w:val="24"/>
          <w:szCs w:val="24"/>
        </w:rPr>
        <w:t xml:space="preserve">also </w:t>
      </w:r>
      <w:r w:rsidR="004C26AB">
        <w:rPr>
          <w:rFonts w:ascii="Times New Roman" w:hAnsi="Times New Roman" w:cs="Times New Roman"/>
          <w:sz w:val="24"/>
          <w:szCs w:val="24"/>
        </w:rPr>
        <w:t xml:space="preserve">proposes the given principles </w:t>
      </w:r>
      <w:r w:rsidR="00513F4D">
        <w:rPr>
          <w:rFonts w:ascii="Times New Roman" w:hAnsi="Times New Roman" w:cs="Times New Roman"/>
          <w:sz w:val="24"/>
          <w:szCs w:val="24"/>
        </w:rPr>
        <w:t xml:space="preserve">be translated </w:t>
      </w:r>
      <w:r w:rsidR="004C26AB">
        <w:rPr>
          <w:rFonts w:ascii="Times New Roman" w:hAnsi="Times New Roman" w:cs="Times New Roman"/>
          <w:sz w:val="24"/>
          <w:szCs w:val="24"/>
        </w:rPr>
        <w:t>into enforceable obligations, as detailed below.</w:t>
      </w:r>
      <w:r w:rsidR="00BE2398" w:rsidRPr="00774EDB">
        <w:rPr>
          <w:rFonts w:ascii="Times New Roman" w:hAnsi="Times New Roman" w:cs="Times New Roman"/>
          <w:sz w:val="24"/>
          <w:szCs w:val="24"/>
        </w:rPr>
        <w:t xml:space="preserve"> </w:t>
      </w:r>
    </w:p>
    <w:p w14:paraId="7D177ED8" w14:textId="77777777" w:rsidR="00A6051D" w:rsidRPr="00774EDB" w:rsidRDefault="00B350F3" w:rsidP="00A70042">
      <w:pPr>
        <w:pStyle w:val="Heading4"/>
        <w:numPr>
          <w:ilvl w:val="3"/>
          <w:numId w:val="33"/>
        </w:numPr>
        <w:tabs>
          <w:tab w:val="left" w:pos="993"/>
        </w:tabs>
        <w:spacing w:before="360"/>
        <w:ind w:left="0" w:firstLine="0"/>
        <w:jc w:val="both"/>
        <w:rPr>
          <w:rFonts w:ascii="Times New Roman" w:hAnsi="Times New Roman" w:cs="Times New Roman"/>
          <w:b/>
          <w:i w:val="0"/>
          <w:color w:val="auto"/>
          <w:sz w:val="24"/>
          <w:szCs w:val="24"/>
        </w:rPr>
      </w:pPr>
      <w:bookmarkStart w:id="743" w:name="_Toc17611520"/>
      <w:bookmarkStart w:id="744" w:name="_Toc53576132"/>
      <w:r w:rsidRPr="00774EDB">
        <w:rPr>
          <w:rFonts w:ascii="Times New Roman" w:hAnsi="Times New Roman" w:cs="Times New Roman"/>
          <w:b/>
          <w:i w:val="0"/>
          <w:color w:val="auto"/>
          <w:sz w:val="24"/>
          <w:szCs w:val="24"/>
        </w:rPr>
        <w:t xml:space="preserve">Further regulatory steps </w:t>
      </w:r>
      <w:r w:rsidR="00285286" w:rsidRPr="00774EDB">
        <w:rPr>
          <w:rFonts w:ascii="Times New Roman" w:hAnsi="Times New Roman" w:cs="Times New Roman"/>
          <w:b/>
          <w:i w:val="0"/>
          <w:color w:val="auto"/>
          <w:sz w:val="24"/>
          <w:szCs w:val="24"/>
        </w:rPr>
        <w:t>and obligations</w:t>
      </w:r>
      <w:bookmarkEnd w:id="743"/>
      <w:bookmarkEnd w:id="744"/>
    </w:p>
    <w:p w14:paraId="4797D19C" w14:textId="5A7ABEC3" w:rsidR="00B60B9F" w:rsidRPr="00774EDB" w:rsidRDefault="006B3901"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Based on the governing principles explained above, evaluation of the </w:t>
      </w:r>
      <w:r w:rsidR="009843A7" w:rsidRPr="00774EDB">
        <w:rPr>
          <w:rFonts w:ascii="Times New Roman" w:hAnsi="Times New Roman" w:cs="Times New Roman"/>
          <w:sz w:val="24"/>
          <w:szCs w:val="24"/>
        </w:rPr>
        <w:t>ICT settings</w:t>
      </w:r>
      <w:r w:rsidRPr="00774EDB">
        <w:rPr>
          <w:rFonts w:ascii="Times New Roman" w:hAnsi="Times New Roman" w:cs="Times New Roman"/>
          <w:sz w:val="24"/>
          <w:szCs w:val="24"/>
        </w:rPr>
        <w:t xml:space="preserve"> for </w:t>
      </w:r>
      <w:r w:rsidR="00281ACF">
        <w:rPr>
          <w:rFonts w:ascii="Times New Roman" w:hAnsi="Times New Roman" w:cs="Times New Roman"/>
          <w:sz w:val="24"/>
          <w:szCs w:val="24"/>
        </w:rPr>
        <w:t>any potential obligation</w:t>
      </w:r>
      <w:r w:rsidRPr="00774EDB">
        <w:rPr>
          <w:rFonts w:ascii="Times New Roman" w:hAnsi="Times New Roman" w:cs="Times New Roman"/>
          <w:sz w:val="24"/>
          <w:szCs w:val="24"/>
        </w:rPr>
        <w:t xml:space="preserve"> needs to be supplemented by a finding as to </w:t>
      </w:r>
      <w:r w:rsidR="002E21C0">
        <w:rPr>
          <w:rFonts w:ascii="Times New Roman" w:hAnsi="Times New Roman" w:cs="Times New Roman"/>
          <w:sz w:val="24"/>
          <w:szCs w:val="24"/>
        </w:rPr>
        <w:t xml:space="preserve">the conditions under which </w:t>
      </w:r>
      <w:r w:rsidRPr="00774EDB">
        <w:rPr>
          <w:rFonts w:ascii="Times New Roman" w:hAnsi="Times New Roman" w:cs="Times New Roman"/>
          <w:sz w:val="24"/>
          <w:szCs w:val="24"/>
        </w:rPr>
        <w:t xml:space="preserve">ex-ante </w:t>
      </w:r>
      <w:r w:rsidR="002E21C0">
        <w:rPr>
          <w:rFonts w:ascii="Times New Roman" w:hAnsi="Times New Roman" w:cs="Times New Roman"/>
          <w:sz w:val="24"/>
          <w:szCs w:val="24"/>
        </w:rPr>
        <w:t xml:space="preserve">remedies </w:t>
      </w:r>
      <w:r w:rsidRPr="00774EDB">
        <w:rPr>
          <w:rFonts w:ascii="Times New Roman" w:hAnsi="Times New Roman" w:cs="Times New Roman"/>
          <w:sz w:val="24"/>
          <w:szCs w:val="24"/>
        </w:rPr>
        <w:t xml:space="preserve">need to be </w:t>
      </w:r>
      <w:r w:rsidR="00B2590D">
        <w:rPr>
          <w:rFonts w:ascii="Times New Roman" w:hAnsi="Times New Roman" w:cs="Times New Roman"/>
          <w:sz w:val="24"/>
          <w:szCs w:val="24"/>
        </w:rPr>
        <w:t>responded</w:t>
      </w:r>
      <w:r w:rsidRPr="00774EDB">
        <w:rPr>
          <w:rFonts w:ascii="Times New Roman" w:hAnsi="Times New Roman" w:cs="Times New Roman"/>
          <w:sz w:val="24"/>
          <w:szCs w:val="24"/>
        </w:rPr>
        <w:t xml:space="preserve">. As stated above, in view of the dynamic nature of the ICT layers and interdependencies, a bottom-up approach </w:t>
      </w:r>
      <w:r w:rsidR="009843A7" w:rsidRPr="00774EDB">
        <w:rPr>
          <w:rFonts w:ascii="Times New Roman" w:hAnsi="Times New Roman" w:cs="Times New Roman"/>
          <w:sz w:val="24"/>
          <w:szCs w:val="24"/>
        </w:rPr>
        <w:t>is the key for the successful implementation of the layered regulatory model.</w:t>
      </w:r>
      <w:r w:rsidR="00D60E66" w:rsidRPr="00774EDB">
        <w:rPr>
          <w:rFonts w:ascii="Times New Roman" w:hAnsi="Times New Roman" w:cs="Times New Roman"/>
          <w:sz w:val="24"/>
          <w:szCs w:val="24"/>
        </w:rPr>
        <w:t xml:space="preserve"> </w:t>
      </w:r>
      <w:r w:rsidR="00CC4FFF">
        <w:rPr>
          <w:rFonts w:ascii="Times New Roman" w:hAnsi="Times New Roman" w:cs="Times New Roman"/>
          <w:sz w:val="24"/>
          <w:szCs w:val="24"/>
        </w:rPr>
        <w:t>Pursuit of this</w:t>
      </w:r>
      <w:r w:rsidR="00D60E66" w:rsidRPr="00774EDB">
        <w:rPr>
          <w:rFonts w:ascii="Times New Roman" w:hAnsi="Times New Roman" w:cs="Times New Roman"/>
          <w:sz w:val="24"/>
          <w:szCs w:val="24"/>
        </w:rPr>
        <w:t xml:space="preserve"> </w:t>
      </w:r>
      <w:r w:rsidR="00CC4FFF">
        <w:rPr>
          <w:rFonts w:ascii="Times New Roman" w:hAnsi="Times New Roman" w:cs="Times New Roman"/>
          <w:sz w:val="24"/>
          <w:szCs w:val="24"/>
        </w:rPr>
        <w:t>approach</w:t>
      </w:r>
      <w:r w:rsidR="00D60E66" w:rsidRPr="00774EDB">
        <w:rPr>
          <w:rFonts w:ascii="Times New Roman" w:hAnsi="Times New Roman" w:cs="Times New Roman"/>
          <w:sz w:val="24"/>
          <w:szCs w:val="24"/>
        </w:rPr>
        <w:t xml:space="preserve"> will potentially </w:t>
      </w:r>
      <w:r w:rsidR="004A22E4" w:rsidRPr="00774EDB">
        <w:rPr>
          <w:rFonts w:ascii="Times New Roman" w:hAnsi="Times New Roman" w:cs="Times New Roman"/>
          <w:sz w:val="24"/>
          <w:szCs w:val="24"/>
        </w:rPr>
        <w:t>unravel</w:t>
      </w:r>
      <w:r w:rsidR="00D60E66" w:rsidRPr="00774EDB">
        <w:rPr>
          <w:rFonts w:ascii="Times New Roman" w:hAnsi="Times New Roman" w:cs="Times New Roman"/>
          <w:sz w:val="24"/>
          <w:szCs w:val="24"/>
        </w:rPr>
        <w:t xml:space="preserve"> the extent to wh</w:t>
      </w:r>
      <w:r w:rsidR="004A22E4" w:rsidRPr="00774EDB">
        <w:rPr>
          <w:rFonts w:ascii="Times New Roman" w:hAnsi="Times New Roman" w:cs="Times New Roman"/>
          <w:sz w:val="24"/>
          <w:szCs w:val="24"/>
        </w:rPr>
        <w:t>ich</w:t>
      </w:r>
      <w:r w:rsidR="00D60E66" w:rsidRPr="00774EDB">
        <w:rPr>
          <w:rFonts w:ascii="Times New Roman" w:hAnsi="Times New Roman" w:cs="Times New Roman"/>
          <w:sz w:val="24"/>
          <w:szCs w:val="24"/>
        </w:rPr>
        <w:t xml:space="preserve"> further regulatory steps </w:t>
      </w:r>
      <w:r w:rsidR="002E21C0">
        <w:rPr>
          <w:rFonts w:ascii="Times New Roman" w:hAnsi="Times New Roman" w:cs="Times New Roman"/>
          <w:sz w:val="24"/>
          <w:szCs w:val="24"/>
        </w:rPr>
        <w:t>are</w:t>
      </w:r>
      <w:r w:rsidR="002E21C0" w:rsidRPr="00774EDB">
        <w:rPr>
          <w:rFonts w:ascii="Times New Roman" w:hAnsi="Times New Roman" w:cs="Times New Roman"/>
          <w:sz w:val="24"/>
          <w:szCs w:val="24"/>
        </w:rPr>
        <w:t xml:space="preserve"> </w:t>
      </w:r>
      <w:r w:rsidR="00D60E66" w:rsidRPr="00774EDB">
        <w:rPr>
          <w:rFonts w:ascii="Times New Roman" w:hAnsi="Times New Roman" w:cs="Times New Roman"/>
          <w:sz w:val="24"/>
          <w:szCs w:val="24"/>
        </w:rPr>
        <w:t xml:space="preserve">to be taken </w:t>
      </w:r>
      <w:r w:rsidR="00B2590D">
        <w:rPr>
          <w:rFonts w:ascii="Times New Roman" w:hAnsi="Times New Roman" w:cs="Times New Roman"/>
          <w:sz w:val="24"/>
          <w:szCs w:val="24"/>
        </w:rPr>
        <w:t>in a self-perpetuating manner</w:t>
      </w:r>
      <w:r w:rsidR="00D60E66" w:rsidRPr="00774EDB">
        <w:rPr>
          <w:rFonts w:ascii="Times New Roman" w:hAnsi="Times New Roman" w:cs="Times New Roman"/>
          <w:sz w:val="24"/>
          <w:szCs w:val="24"/>
        </w:rPr>
        <w:t>.</w:t>
      </w:r>
    </w:p>
    <w:p w14:paraId="767980FE" w14:textId="5338EFD8" w:rsidR="00B54F43" w:rsidRDefault="00E47792"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w:t>
      </w:r>
      <w:r w:rsidR="002E21C0">
        <w:rPr>
          <w:rFonts w:ascii="Times New Roman" w:hAnsi="Times New Roman" w:cs="Times New Roman"/>
          <w:sz w:val="24"/>
          <w:szCs w:val="24"/>
        </w:rPr>
        <w:t xml:space="preserve">or a better and constructive regulatory thinking, one could refer to the ecosystem characteristics </w:t>
      </w:r>
      <w:r w:rsidR="00BC2C46">
        <w:rPr>
          <w:rFonts w:ascii="Times New Roman" w:hAnsi="Times New Roman" w:cs="Times New Roman"/>
          <w:sz w:val="24"/>
          <w:szCs w:val="24"/>
        </w:rPr>
        <w:t xml:space="preserve">from inside </w:t>
      </w:r>
      <w:r w:rsidR="002E21C0">
        <w:rPr>
          <w:rFonts w:ascii="Times New Roman" w:hAnsi="Times New Roman" w:cs="Times New Roman"/>
          <w:sz w:val="24"/>
          <w:szCs w:val="24"/>
        </w:rPr>
        <w:t xml:space="preserve">the case studies as such characteristics might prevail across the layers mitigating the need for any remedial situation. </w:t>
      </w:r>
      <w:r w:rsidR="00BC2C46">
        <w:rPr>
          <w:rFonts w:ascii="Times New Roman" w:hAnsi="Times New Roman" w:cs="Times New Roman"/>
          <w:sz w:val="24"/>
          <w:szCs w:val="24"/>
        </w:rPr>
        <w:t>W</w:t>
      </w:r>
      <w:r w:rsidR="00B60B9F" w:rsidRPr="00774EDB">
        <w:rPr>
          <w:rFonts w:ascii="Times New Roman" w:hAnsi="Times New Roman" w:cs="Times New Roman"/>
          <w:sz w:val="24"/>
          <w:szCs w:val="24"/>
        </w:rPr>
        <w:t xml:space="preserve">hile all the gatekeepers </w:t>
      </w:r>
      <w:r w:rsidR="002E21C0">
        <w:rPr>
          <w:rFonts w:ascii="Times New Roman" w:hAnsi="Times New Roman" w:cs="Times New Roman"/>
          <w:sz w:val="24"/>
          <w:szCs w:val="24"/>
        </w:rPr>
        <w:t>could</w:t>
      </w:r>
      <w:r w:rsidR="002E21C0" w:rsidRPr="00774EDB">
        <w:rPr>
          <w:rFonts w:ascii="Times New Roman" w:hAnsi="Times New Roman" w:cs="Times New Roman"/>
          <w:sz w:val="24"/>
          <w:szCs w:val="24"/>
        </w:rPr>
        <w:t xml:space="preserve"> </w:t>
      </w:r>
      <w:r w:rsidR="00B60B9F" w:rsidRPr="00774EDB">
        <w:rPr>
          <w:rFonts w:ascii="Times New Roman" w:hAnsi="Times New Roman" w:cs="Times New Roman"/>
          <w:sz w:val="24"/>
          <w:szCs w:val="24"/>
        </w:rPr>
        <w:t xml:space="preserve">potentially </w:t>
      </w:r>
      <w:r w:rsidR="002E21C0">
        <w:rPr>
          <w:rFonts w:ascii="Times New Roman" w:hAnsi="Times New Roman" w:cs="Times New Roman"/>
          <w:sz w:val="24"/>
          <w:szCs w:val="24"/>
        </w:rPr>
        <w:t xml:space="preserve">be </w:t>
      </w:r>
      <w:r w:rsidR="00B60B9F" w:rsidRPr="00774EDB">
        <w:rPr>
          <w:rFonts w:ascii="Times New Roman" w:hAnsi="Times New Roman" w:cs="Times New Roman"/>
          <w:sz w:val="24"/>
          <w:szCs w:val="24"/>
        </w:rPr>
        <w:t xml:space="preserve">subject to ex-ante </w:t>
      </w:r>
      <w:r w:rsidR="002E21C0">
        <w:rPr>
          <w:rFonts w:ascii="Times New Roman" w:hAnsi="Times New Roman" w:cs="Times New Roman"/>
          <w:sz w:val="24"/>
          <w:szCs w:val="24"/>
        </w:rPr>
        <w:t>remedies as well as principles</w:t>
      </w:r>
      <w:r w:rsidR="00B60B9F" w:rsidRPr="00774EDB">
        <w:rPr>
          <w:rFonts w:ascii="Times New Roman" w:hAnsi="Times New Roman" w:cs="Times New Roman"/>
          <w:sz w:val="24"/>
          <w:szCs w:val="24"/>
        </w:rPr>
        <w:t>, finding ecosystem characteristics would lessen further regulatory steps</w:t>
      </w:r>
      <w:r w:rsidR="00D67043">
        <w:rPr>
          <w:rFonts w:ascii="Times New Roman" w:hAnsi="Times New Roman" w:cs="Times New Roman"/>
          <w:sz w:val="24"/>
          <w:szCs w:val="24"/>
        </w:rPr>
        <w:t xml:space="preserve"> to </w:t>
      </w:r>
      <w:r w:rsidR="00BC2C46">
        <w:rPr>
          <w:rFonts w:ascii="Times New Roman" w:hAnsi="Times New Roman" w:cs="Times New Roman"/>
          <w:sz w:val="24"/>
          <w:szCs w:val="24"/>
        </w:rPr>
        <w:t>be taken</w:t>
      </w:r>
      <w:r w:rsidR="00B60B9F" w:rsidRPr="00774EDB">
        <w:rPr>
          <w:rFonts w:ascii="Times New Roman" w:hAnsi="Times New Roman" w:cs="Times New Roman"/>
          <w:sz w:val="24"/>
          <w:szCs w:val="24"/>
        </w:rPr>
        <w:t>.</w:t>
      </w:r>
      <w:r w:rsidR="00C67303" w:rsidRPr="00774EDB">
        <w:rPr>
          <w:rFonts w:ascii="Times New Roman" w:hAnsi="Times New Roman" w:cs="Times New Roman"/>
          <w:sz w:val="24"/>
          <w:szCs w:val="24"/>
        </w:rPr>
        <w:t xml:space="preserve"> </w:t>
      </w:r>
      <w:r w:rsidR="00BC2C46">
        <w:rPr>
          <w:rFonts w:ascii="Times New Roman" w:hAnsi="Times New Roman" w:cs="Times New Roman"/>
          <w:sz w:val="24"/>
          <w:szCs w:val="24"/>
        </w:rPr>
        <w:t>F</w:t>
      </w:r>
      <w:r w:rsidR="00B60B9F" w:rsidRPr="00774EDB">
        <w:rPr>
          <w:rFonts w:ascii="Times New Roman" w:hAnsi="Times New Roman" w:cs="Times New Roman"/>
          <w:sz w:val="24"/>
          <w:szCs w:val="24"/>
        </w:rPr>
        <w:t>urther steps of ex-ante regulation, when considered with the dynamic nature of the ICT layers, requires a deeper insight into the investigated</w:t>
      </w:r>
      <w:r w:rsidR="00BC2C46">
        <w:rPr>
          <w:rFonts w:ascii="Times New Roman" w:hAnsi="Times New Roman" w:cs="Times New Roman"/>
          <w:sz w:val="24"/>
          <w:szCs w:val="24"/>
        </w:rPr>
        <w:t xml:space="preserve"> ICT</w:t>
      </w:r>
      <w:r w:rsidR="00B60B9F" w:rsidRPr="00774EDB">
        <w:rPr>
          <w:rFonts w:ascii="Times New Roman" w:hAnsi="Times New Roman" w:cs="Times New Roman"/>
          <w:sz w:val="24"/>
          <w:szCs w:val="24"/>
        </w:rPr>
        <w:t xml:space="preserve"> settings.</w:t>
      </w:r>
    </w:p>
    <w:p w14:paraId="10FE4E6E" w14:textId="653B1DB9" w:rsidR="00163C65" w:rsidRPr="00774EDB" w:rsidRDefault="00BC2C46" w:rsidP="00A70042">
      <w:pPr>
        <w:spacing w:before="360"/>
        <w:jc w:val="both"/>
        <w:rPr>
          <w:rFonts w:ascii="Times New Roman" w:hAnsi="Times New Roman" w:cs="Times New Roman"/>
          <w:sz w:val="24"/>
          <w:szCs w:val="24"/>
        </w:rPr>
      </w:pPr>
      <w:r>
        <w:rPr>
          <w:rFonts w:ascii="Times New Roman" w:hAnsi="Times New Roman" w:cs="Times New Roman"/>
          <w:sz w:val="24"/>
          <w:szCs w:val="24"/>
        </w:rPr>
        <w:t>Principally</w:t>
      </w:r>
      <w:r w:rsidR="005C56AE" w:rsidRPr="00774EDB">
        <w:rPr>
          <w:rFonts w:ascii="Times New Roman" w:hAnsi="Times New Roman" w:cs="Times New Roman"/>
          <w:sz w:val="24"/>
          <w:szCs w:val="24"/>
        </w:rPr>
        <w:t>, the main prohibition over “restricting access</w:t>
      </w:r>
      <w:r w:rsidR="00B60D86">
        <w:rPr>
          <w:rFonts w:ascii="Times New Roman" w:hAnsi="Times New Roman" w:cs="Times New Roman"/>
          <w:sz w:val="24"/>
          <w:szCs w:val="24"/>
        </w:rPr>
        <w:t xml:space="preserve"> and interoperability</w:t>
      </w:r>
      <w:r w:rsidR="005C56AE" w:rsidRPr="00774EDB">
        <w:rPr>
          <w:rFonts w:ascii="Times New Roman" w:hAnsi="Times New Roman" w:cs="Times New Roman"/>
          <w:sz w:val="24"/>
          <w:szCs w:val="24"/>
        </w:rPr>
        <w:t xml:space="preserve"> at the expense of limit</w:t>
      </w:r>
      <w:r w:rsidR="001939F8">
        <w:rPr>
          <w:rFonts w:ascii="Times New Roman" w:hAnsi="Times New Roman" w:cs="Times New Roman"/>
          <w:sz w:val="24"/>
          <w:szCs w:val="24"/>
        </w:rPr>
        <w:t>ing</w:t>
      </w:r>
      <w:r w:rsidR="005C56AE" w:rsidRPr="00774EDB">
        <w:rPr>
          <w:rFonts w:ascii="Times New Roman" w:hAnsi="Times New Roman" w:cs="Times New Roman"/>
          <w:sz w:val="24"/>
          <w:szCs w:val="24"/>
        </w:rPr>
        <w:t xml:space="preserve"> consumer choices” would be assumed to have been fully or </w:t>
      </w:r>
      <w:r w:rsidR="005C56AE" w:rsidRPr="00774EDB">
        <w:rPr>
          <w:rFonts w:ascii="Times New Roman" w:hAnsi="Times New Roman" w:cs="Times New Roman"/>
          <w:sz w:val="24"/>
          <w:szCs w:val="24"/>
        </w:rPr>
        <w:lastRenderedPageBreak/>
        <w:t>partially met by the ecosystems. In case an ecosystem that is driven and characterised by coopetition exists, this situation should be taken into account as a significant reason to reduce ex-ante regulation for the layer(s) in question. Potentially, access and interoperability gaps w</w:t>
      </w:r>
      <w:r w:rsidR="00E64835" w:rsidRPr="00774EDB">
        <w:rPr>
          <w:rFonts w:ascii="Times New Roman" w:hAnsi="Times New Roman" w:cs="Times New Roman"/>
          <w:sz w:val="24"/>
          <w:szCs w:val="24"/>
        </w:rPr>
        <w:t>ill</w:t>
      </w:r>
      <w:r w:rsidR="005C56AE" w:rsidRPr="00774EDB">
        <w:rPr>
          <w:rFonts w:ascii="Times New Roman" w:hAnsi="Times New Roman" w:cs="Times New Roman"/>
          <w:sz w:val="24"/>
          <w:szCs w:val="24"/>
        </w:rPr>
        <w:t xml:space="preserve"> be bridged via the coopetiti</w:t>
      </w:r>
      <w:r w:rsidR="00E64835" w:rsidRPr="00774EDB">
        <w:rPr>
          <w:rFonts w:ascii="Times New Roman" w:hAnsi="Times New Roman" w:cs="Times New Roman"/>
          <w:sz w:val="24"/>
          <w:szCs w:val="24"/>
        </w:rPr>
        <w:t>ve</w:t>
      </w:r>
      <w:r w:rsidR="005C56AE" w:rsidRPr="00774EDB">
        <w:rPr>
          <w:rFonts w:ascii="Times New Roman" w:hAnsi="Times New Roman" w:cs="Times New Roman"/>
          <w:sz w:val="24"/>
          <w:szCs w:val="24"/>
        </w:rPr>
        <w:t xml:space="preserve"> relationships </w:t>
      </w:r>
      <w:r w:rsidRPr="00774EDB">
        <w:rPr>
          <w:rFonts w:ascii="Times New Roman" w:hAnsi="Times New Roman" w:cs="Times New Roman"/>
          <w:sz w:val="24"/>
          <w:szCs w:val="24"/>
        </w:rPr>
        <w:t>within the ecosystem</w:t>
      </w:r>
      <w:r w:rsidR="005C56AE" w:rsidRPr="00774EDB">
        <w:rPr>
          <w:rFonts w:ascii="Times New Roman" w:hAnsi="Times New Roman" w:cs="Times New Roman"/>
          <w:sz w:val="24"/>
          <w:szCs w:val="24"/>
        </w:rPr>
        <w:t>, so that the need for extra regulation would be diminished</w:t>
      </w:r>
      <w:r w:rsidR="00955855">
        <w:rPr>
          <w:rFonts w:ascii="Times New Roman" w:hAnsi="Times New Roman" w:cs="Times New Roman"/>
          <w:sz w:val="24"/>
          <w:szCs w:val="24"/>
        </w:rPr>
        <w:t>, particularly as far as competition concerns are concerned.</w:t>
      </w:r>
    </w:p>
    <w:p w14:paraId="4CD21C86" w14:textId="420FA45F" w:rsidR="00163C65" w:rsidRPr="000527AA" w:rsidRDefault="00BC2C46" w:rsidP="00892C9C">
      <w:pPr>
        <w:spacing w:before="360"/>
        <w:jc w:val="both"/>
        <w:rPr>
          <w:rFonts w:ascii="Times New Roman" w:hAnsi="Times New Roman"/>
          <w:sz w:val="24"/>
          <w:szCs w:val="24"/>
        </w:rPr>
      </w:pPr>
      <w:r>
        <w:rPr>
          <w:rFonts w:ascii="Times New Roman" w:hAnsi="Times New Roman" w:cs="Times New Roman"/>
          <w:sz w:val="24"/>
          <w:szCs w:val="24"/>
        </w:rPr>
        <w:t>Notwithstanding</w:t>
      </w:r>
      <w:r w:rsidR="00E64835" w:rsidRPr="00774EDB">
        <w:rPr>
          <w:rFonts w:ascii="Times New Roman" w:hAnsi="Times New Roman" w:cs="Times New Roman"/>
          <w:sz w:val="24"/>
          <w:szCs w:val="24"/>
        </w:rPr>
        <w:t>,</w:t>
      </w:r>
      <w:r w:rsidR="00892C9C">
        <w:rPr>
          <w:rFonts w:ascii="Times New Roman" w:hAnsi="Times New Roman" w:cs="Times New Roman"/>
          <w:sz w:val="24"/>
          <w:szCs w:val="24"/>
        </w:rPr>
        <w:t xml:space="preserve"> </w:t>
      </w:r>
      <w:r w:rsidR="007165AF">
        <w:rPr>
          <w:rFonts w:ascii="Times New Roman" w:hAnsi="Times New Roman" w:cs="Times New Roman"/>
          <w:sz w:val="24"/>
          <w:szCs w:val="24"/>
        </w:rPr>
        <w:t>assessment of access and interoperability restrictions suggest elaboration of transparency, fairness and accountability, as reflected within the principles</w:t>
      </w:r>
      <w:r w:rsidR="00892C9C">
        <w:rPr>
          <w:rFonts w:ascii="Times New Roman" w:hAnsi="Times New Roman" w:cs="Times New Roman"/>
          <w:sz w:val="24"/>
          <w:szCs w:val="24"/>
        </w:rPr>
        <w:t xml:space="preserve">. </w:t>
      </w:r>
      <w:r w:rsidR="002E6278">
        <w:rPr>
          <w:rFonts w:ascii="Times New Roman" w:hAnsi="Times New Roman"/>
          <w:sz w:val="24"/>
          <w:szCs w:val="24"/>
        </w:rPr>
        <w:t xml:space="preserve">This is compelling, because techno-social concerns </w:t>
      </w:r>
      <w:r w:rsidR="002E6278" w:rsidRPr="00A664E4">
        <w:rPr>
          <w:rFonts w:ascii="Times New Roman" w:hAnsi="Times New Roman"/>
          <w:sz w:val="24"/>
          <w:szCs w:val="24"/>
        </w:rPr>
        <w:t xml:space="preserve">would </w:t>
      </w:r>
      <w:r w:rsidR="002E6278">
        <w:rPr>
          <w:rFonts w:ascii="Times New Roman" w:hAnsi="Times New Roman"/>
          <w:sz w:val="24"/>
          <w:szCs w:val="24"/>
        </w:rPr>
        <w:t>have a</w:t>
      </w:r>
      <w:r w:rsidR="007165AF">
        <w:rPr>
          <w:rFonts w:ascii="Times New Roman" w:hAnsi="Times New Roman"/>
          <w:sz w:val="24"/>
          <w:szCs w:val="24"/>
        </w:rPr>
        <w:t>n</w:t>
      </w:r>
      <w:r w:rsidR="002E6278">
        <w:rPr>
          <w:rFonts w:ascii="Times New Roman" w:hAnsi="Times New Roman"/>
          <w:sz w:val="24"/>
          <w:szCs w:val="24"/>
        </w:rPr>
        <w:t xml:space="preserve"> </w:t>
      </w:r>
      <w:r w:rsidR="007165AF">
        <w:rPr>
          <w:rFonts w:ascii="Times New Roman" w:hAnsi="Times New Roman"/>
          <w:sz w:val="24"/>
          <w:szCs w:val="24"/>
        </w:rPr>
        <w:t xml:space="preserve">undiscernible yet potentially </w:t>
      </w:r>
      <w:r w:rsidR="002E6278">
        <w:rPr>
          <w:rFonts w:ascii="Times New Roman" w:hAnsi="Times New Roman"/>
          <w:sz w:val="24"/>
          <w:szCs w:val="24"/>
        </w:rPr>
        <w:t>more legacy</w:t>
      </w:r>
      <w:r w:rsidR="007165AF">
        <w:rPr>
          <w:rFonts w:ascii="Times New Roman" w:hAnsi="Times New Roman"/>
          <w:sz w:val="24"/>
          <w:szCs w:val="24"/>
        </w:rPr>
        <w:t xml:space="preserve"> nature</w:t>
      </w:r>
      <w:r w:rsidR="00955855">
        <w:rPr>
          <w:rFonts w:ascii="Times New Roman" w:hAnsi="Times New Roman"/>
          <w:sz w:val="24"/>
          <w:szCs w:val="24"/>
        </w:rPr>
        <w:t xml:space="preserve"> which</w:t>
      </w:r>
      <w:r w:rsidR="002E6278">
        <w:rPr>
          <w:rFonts w:ascii="Times New Roman" w:hAnsi="Times New Roman"/>
          <w:sz w:val="24"/>
          <w:szCs w:val="24"/>
        </w:rPr>
        <w:t xml:space="preserve"> </w:t>
      </w:r>
      <w:r w:rsidR="00955855">
        <w:rPr>
          <w:rFonts w:ascii="Times New Roman" w:hAnsi="Times New Roman"/>
          <w:sz w:val="24"/>
          <w:szCs w:val="24"/>
        </w:rPr>
        <w:t>might</w:t>
      </w:r>
      <w:r w:rsidR="002E6278">
        <w:rPr>
          <w:rFonts w:ascii="Times New Roman" w:hAnsi="Times New Roman"/>
          <w:sz w:val="24"/>
          <w:szCs w:val="24"/>
        </w:rPr>
        <w:t xml:space="preserve"> not be addressed via simply prohibiting restrictions over access and interoperability. </w:t>
      </w:r>
      <w:r w:rsidR="007165AF">
        <w:rPr>
          <w:rFonts w:ascii="Times New Roman" w:hAnsi="Times New Roman" w:cs="Times New Roman"/>
          <w:sz w:val="24"/>
          <w:szCs w:val="24"/>
        </w:rPr>
        <w:t>Having said that</w:t>
      </w:r>
      <w:r w:rsidR="00892C9C">
        <w:rPr>
          <w:rFonts w:ascii="Times New Roman" w:hAnsi="Times New Roman" w:cs="Times New Roman"/>
          <w:sz w:val="24"/>
          <w:szCs w:val="24"/>
        </w:rPr>
        <w:t>, transparency</w:t>
      </w:r>
      <w:r w:rsidR="00A47B44">
        <w:rPr>
          <w:rFonts w:ascii="Times New Roman" w:hAnsi="Times New Roman" w:cs="Times New Roman"/>
          <w:sz w:val="24"/>
          <w:szCs w:val="24"/>
        </w:rPr>
        <w:t>, fairness</w:t>
      </w:r>
      <w:r w:rsidR="00892C9C">
        <w:rPr>
          <w:rFonts w:ascii="Times New Roman" w:hAnsi="Times New Roman" w:cs="Times New Roman"/>
          <w:sz w:val="24"/>
          <w:szCs w:val="24"/>
        </w:rPr>
        <w:t xml:space="preserve"> and accountability should exist and be secured in the relevant layer(s)</w:t>
      </w:r>
      <w:r>
        <w:rPr>
          <w:rFonts w:ascii="Times New Roman" w:hAnsi="Times New Roman" w:cs="Times New Roman"/>
          <w:sz w:val="24"/>
          <w:szCs w:val="24"/>
        </w:rPr>
        <w:t>,</w:t>
      </w:r>
      <w:r w:rsidR="00E64835" w:rsidRPr="00774EDB">
        <w:rPr>
          <w:rFonts w:ascii="Times New Roman" w:hAnsi="Times New Roman" w:cs="Times New Roman"/>
          <w:sz w:val="24"/>
          <w:szCs w:val="24"/>
        </w:rPr>
        <w:t xml:space="preserve"> </w:t>
      </w:r>
      <w:r>
        <w:rPr>
          <w:rFonts w:ascii="Times New Roman" w:hAnsi="Times New Roman" w:cs="Times New Roman"/>
          <w:sz w:val="24"/>
          <w:szCs w:val="24"/>
        </w:rPr>
        <w:t>regardless</w:t>
      </w:r>
      <w:r w:rsidR="00E64835" w:rsidRPr="00774EDB">
        <w:rPr>
          <w:rFonts w:ascii="Times New Roman" w:hAnsi="Times New Roman" w:cs="Times New Roman"/>
          <w:sz w:val="24"/>
          <w:szCs w:val="24"/>
        </w:rPr>
        <w:t xml:space="preserve"> of ecosystem</w:t>
      </w:r>
      <w:r>
        <w:rPr>
          <w:rFonts w:ascii="Times New Roman" w:hAnsi="Times New Roman" w:cs="Times New Roman"/>
          <w:sz w:val="24"/>
          <w:szCs w:val="24"/>
        </w:rPr>
        <w:t xml:space="preserve"> </w:t>
      </w:r>
      <w:r w:rsidR="001F2471">
        <w:rPr>
          <w:rFonts w:ascii="Times New Roman" w:hAnsi="Times New Roman" w:cs="Times New Roman"/>
          <w:sz w:val="24"/>
          <w:szCs w:val="24"/>
        </w:rPr>
        <w:t>characteristic</w:t>
      </w:r>
      <w:r w:rsidR="00E64835" w:rsidRPr="00774EDB">
        <w:rPr>
          <w:rFonts w:ascii="Times New Roman" w:hAnsi="Times New Roman" w:cs="Times New Roman"/>
          <w:sz w:val="24"/>
          <w:szCs w:val="24"/>
        </w:rPr>
        <w:t>s</w:t>
      </w:r>
      <w:r w:rsidR="001F2471">
        <w:rPr>
          <w:rFonts w:ascii="Times New Roman" w:hAnsi="Times New Roman" w:cs="Times New Roman"/>
          <w:sz w:val="24"/>
          <w:szCs w:val="24"/>
        </w:rPr>
        <w:t xml:space="preserve"> e.g. coopetition, myriad interactions</w:t>
      </w:r>
      <w:r w:rsidR="00E64835" w:rsidRPr="00774EDB">
        <w:rPr>
          <w:rFonts w:ascii="Times New Roman" w:hAnsi="Times New Roman" w:cs="Times New Roman"/>
          <w:sz w:val="24"/>
          <w:szCs w:val="24"/>
        </w:rPr>
        <w:t xml:space="preserve">. More explicitly, according to </w:t>
      </w:r>
      <w:r w:rsidR="001F2471">
        <w:rPr>
          <w:rFonts w:ascii="Times New Roman" w:hAnsi="Times New Roman" w:cs="Times New Roman"/>
          <w:sz w:val="24"/>
          <w:szCs w:val="24"/>
        </w:rPr>
        <w:t xml:space="preserve">an </w:t>
      </w:r>
      <w:r w:rsidR="00E64835" w:rsidRPr="00774EDB">
        <w:rPr>
          <w:rFonts w:ascii="Times New Roman" w:hAnsi="Times New Roman" w:cs="Times New Roman"/>
          <w:sz w:val="24"/>
          <w:szCs w:val="24"/>
        </w:rPr>
        <w:t>evaluation against the principles stated above, appropriate obligations might need to be imposed on the gatekeepers by the regulator. Such potential obligations include, but not limited to, the following:</w:t>
      </w:r>
    </w:p>
    <w:p w14:paraId="339D11FA" w14:textId="41A82366" w:rsidR="00396D96" w:rsidRDefault="00396D96" w:rsidP="00A70042">
      <w:pPr>
        <w:pStyle w:val="ListParagraph"/>
        <w:numPr>
          <w:ilvl w:val="0"/>
          <w:numId w:val="22"/>
        </w:numPr>
        <w:spacing w:before="240"/>
        <w:ind w:left="851" w:hanging="284"/>
        <w:contextualSpacing w:val="0"/>
        <w:jc w:val="both"/>
        <w:rPr>
          <w:rFonts w:ascii="Times New Roman" w:hAnsi="Times New Roman" w:cs="Times New Roman"/>
          <w:sz w:val="24"/>
          <w:szCs w:val="24"/>
        </w:rPr>
      </w:pPr>
      <w:bookmarkStart w:id="745" w:name="_Hlk52754199"/>
      <w:bookmarkStart w:id="746" w:name="_Hlk52752917"/>
      <w:r w:rsidRPr="00774EDB">
        <w:rPr>
          <w:rFonts w:ascii="Times New Roman" w:hAnsi="Times New Roman" w:cs="Times New Roman"/>
          <w:sz w:val="24"/>
          <w:szCs w:val="24"/>
        </w:rPr>
        <w:t xml:space="preserve">Access and interoperability: </w:t>
      </w:r>
      <w:r w:rsidR="001F2471" w:rsidRPr="00C925AC">
        <w:rPr>
          <w:rFonts w:ascii="Times New Roman" w:hAnsi="Times New Roman"/>
          <w:sz w:val="24"/>
          <w:szCs w:val="24"/>
        </w:rPr>
        <w:t>Consumers’ access to infrastructural/informational resources</w:t>
      </w:r>
      <w:r w:rsidR="001F2471" w:rsidRPr="00774EDB" w:rsidDel="001F2471">
        <w:rPr>
          <w:rFonts w:ascii="Times New Roman" w:hAnsi="Times New Roman" w:cs="Times New Roman"/>
          <w:sz w:val="24"/>
          <w:szCs w:val="24"/>
        </w:rPr>
        <w:t xml:space="preserve"> </w:t>
      </w:r>
      <w:r w:rsidRPr="00774EDB">
        <w:rPr>
          <w:rFonts w:ascii="Times New Roman" w:hAnsi="Times New Roman" w:cs="Times New Roman"/>
          <w:sz w:val="24"/>
          <w:szCs w:val="24"/>
        </w:rPr>
        <w:t xml:space="preserve"> might be affected when a gatekeeper denies or delays the demands for access to and interoperability with the access, middleware, application and content layer</w:t>
      </w:r>
      <w:r w:rsidR="001F2471">
        <w:rPr>
          <w:rFonts w:ascii="Times New Roman" w:hAnsi="Times New Roman" w:cs="Times New Roman"/>
          <w:sz w:val="24"/>
          <w:szCs w:val="24"/>
        </w:rPr>
        <w:t>s controll</w:t>
      </w:r>
      <w:r w:rsidRPr="00774EDB">
        <w:rPr>
          <w:rFonts w:ascii="Times New Roman" w:hAnsi="Times New Roman" w:cs="Times New Roman"/>
          <w:sz w:val="24"/>
          <w:szCs w:val="24"/>
        </w:rPr>
        <w:t xml:space="preserve">ed by </w:t>
      </w:r>
      <w:r w:rsidR="001F2471">
        <w:rPr>
          <w:rFonts w:ascii="Times New Roman" w:hAnsi="Times New Roman" w:cs="Times New Roman"/>
          <w:sz w:val="24"/>
          <w:szCs w:val="24"/>
        </w:rPr>
        <w:t>them</w:t>
      </w:r>
      <w:r w:rsidRPr="00774EDB">
        <w:rPr>
          <w:rFonts w:ascii="Times New Roman" w:hAnsi="Times New Roman" w:cs="Times New Roman"/>
          <w:sz w:val="24"/>
          <w:szCs w:val="24"/>
        </w:rPr>
        <w:t>sel</w:t>
      </w:r>
      <w:r w:rsidR="001F2471">
        <w:rPr>
          <w:rFonts w:ascii="Times New Roman" w:hAnsi="Times New Roman" w:cs="Times New Roman"/>
          <w:sz w:val="24"/>
          <w:szCs w:val="24"/>
        </w:rPr>
        <w:t>ves</w:t>
      </w:r>
      <w:r w:rsidRPr="00774EDB">
        <w:rPr>
          <w:rFonts w:ascii="Times New Roman" w:hAnsi="Times New Roman" w:cs="Times New Roman"/>
          <w:sz w:val="24"/>
          <w:szCs w:val="24"/>
        </w:rPr>
        <w:t xml:space="preserve">. In that case, access and interoperability remedies might be imposed on the gatekeeper(s) to </w:t>
      </w:r>
      <w:r w:rsidR="001F2471">
        <w:rPr>
          <w:rFonts w:ascii="Times New Roman" w:hAnsi="Times New Roman"/>
          <w:sz w:val="24"/>
          <w:szCs w:val="24"/>
        </w:rPr>
        <w:t xml:space="preserve">make </w:t>
      </w:r>
      <w:r w:rsidRPr="00774EDB">
        <w:rPr>
          <w:rFonts w:ascii="Times New Roman" w:hAnsi="Times New Roman" w:cs="Times New Roman"/>
          <w:sz w:val="24"/>
          <w:szCs w:val="24"/>
        </w:rPr>
        <w:t>the relevant layer</w:t>
      </w:r>
      <w:r w:rsidR="001F2471">
        <w:rPr>
          <w:rFonts w:ascii="Times New Roman" w:hAnsi="Times New Roman" w:cs="Times New Roman"/>
          <w:sz w:val="24"/>
          <w:szCs w:val="24"/>
        </w:rPr>
        <w:t>s or layer</w:t>
      </w:r>
      <w:r w:rsidRPr="00774EDB">
        <w:rPr>
          <w:rFonts w:ascii="Times New Roman" w:hAnsi="Times New Roman" w:cs="Times New Roman"/>
          <w:sz w:val="24"/>
          <w:szCs w:val="24"/>
        </w:rPr>
        <w:t xml:space="preserve"> elements </w:t>
      </w:r>
      <w:r w:rsidR="007628F7">
        <w:rPr>
          <w:rFonts w:ascii="Times New Roman" w:hAnsi="Times New Roman" w:cs="Times New Roman"/>
          <w:sz w:val="24"/>
          <w:szCs w:val="24"/>
        </w:rPr>
        <w:t xml:space="preserve">accessible </w:t>
      </w:r>
      <w:r w:rsidR="001F2471">
        <w:rPr>
          <w:rFonts w:ascii="Times New Roman" w:hAnsi="Times New Roman" w:cs="Times New Roman"/>
          <w:sz w:val="24"/>
          <w:szCs w:val="24"/>
        </w:rPr>
        <w:t>to</w:t>
      </w:r>
      <w:r w:rsidRPr="00774EDB">
        <w:rPr>
          <w:rFonts w:ascii="Times New Roman" w:hAnsi="Times New Roman" w:cs="Times New Roman"/>
          <w:sz w:val="24"/>
          <w:szCs w:val="24"/>
        </w:rPr>
        <w:t xml:space="preserve"> the </w:t>
      </w:r>
      <w:r w:rsidR="007628F7">
        <w:rPr>
          <w:rFonts w:ascii="Times New Roman" w:hAnsi="Times New Roman" w:cs="Times New Roman"/>
          <w:sz w:val="24"/>
          <w:szCs w:val="24"/>
        </w:rPr>
        <w:t>relevant</w:t>
      </w:r>
      <w:r w:rsidR="0022424A">
        <w:rPr>
          <w:rFonts w:ascii="Times New Roman" w:hAnsi="Times New Roman" w:cs="Times New Roman"/>
          <w:sz w:val="24"/>
          <w:szCs w:val="24"/>
        </w:rPr>
        <w:t xml:space="preserve"> </w:t>
      </w:r>
      <w:r w:rsidR="0022424A">
        <w:rPr>
          <w:rFonts w:ascii="Times New Roman" w:hAnsi="Times New Roman"/>
          <w:sz w:val="24"/>
          <w:szCs w:val="24"/>
        </w:rPr>
        <w:t>cons</w:t>
      </w:r>
      <w:r w:rsidR="007628F7">
        <w:rPr>
          <w:rFonts w:ascii="Times New Roman" w:hAnsi="Times New Roman"/>
          <w:sz w:val="24"/>
          <w:szCs w:val="24"/>
        </w:rPr>
        <w:t>u</w:t>
      </w:r>
      <w:r w:rsidR="0022424A">
        <w:rPr>
          <w:rFonts w:ascii="Times New Roman" w:hAnsi="Times New Roman"/>
          <w:sz w:val="24"/>
          <w:szCs w:val="24"/>
        </w:rPr>
        <w:t>m</w:t>
      </w:r>
      <w:r w:rsidR="007628F7">
        <w:rPr>
          <w:rFonts w:ascii="Times New Roman" w:hAnsi="Times New Roman"/>
          <w:sz w:val="24"/>
          <w:szCs w:val="24"/>
        </w:rPr>
        <w:t>ers</w:t>
      </w:r>
      <w:r w:rsidR="001F2471" w:rsidRPr="00774EDB">
        <w:rPr>
          <w:rFonts w:ascii="Times New Roman" w:hAnsi="Times New Roman"/>
          <w:sz w:val="24"/>
          <w:szCs w:val="24"/>
        </w:rPr>
        <w:t>.</w:t>
      </w:r>
      <w:r w:rsidRPr="00774EDB">
        <w:rPr>
          <w:rFonts w:ascii="Times New Roman" w:hAnsi="Times New Roman" w:cs="Times New Roman"/>
          <w:sz w:val="24"/>
          <w:szCs w:val="24"/>
        </w:rPr>
        <w:t xml:space="preserve">   </w:t>
      </w:r>
    </w:p>
    <w:p w14:paraId="3A0A1F03" w14:textId="201ACB04" w:rsidR="001F2471" w:rsidRPr="00774EDB" w:rsidRDefault="001F2471" w:rsidP="00A70042">
      <w:pPr>
        <w:pStyle w:val="ListParagraph"/>
        <w:numPr>
          <w:ilvl w:val="0"/>
          <w:numId w:val="22"/>
        </w:numPr>
        <w:spacing w:before="240"/>
        <w:ind w:left="851" w:hanging="284"/>
        <w:contextualSpacing w:val="0"/>
        <w:jc w:val="both"/>
        <w:rPr>
          <w:rFonts w:ascii="Times New Roman" w:hAnsi="Times New Roman" w:cs="Times New Roman"/>
          <w:sz w:val="24"/>
          <w:szCs w:val="24"/>
        </w:rPr>
      </w:pPr>
      <w:r w:rsidRPr="0039465F">
        <w:rPr>
          <w:rFonts w:ascii="Times New Roman" w:hAnsi="Times New Roman"/>
          <w:sz w:val="24"/>
          <w:szCs w:val="24"/>
        </w:rPr>
        <w:lastRenderedPageBreak/>
        <w:t xml:space="preserve">Transparency: A gatekeeper might be subject to transparency obligations when the same-layer or cross-layer operations carried out by them reveal a gatekeeping activity </w:t>
      </w:r>
      <w:r>
        <w:rPr>
          <w:rFonts w:ascii="Times New Roman" w:hAnsi="Times New Roman"/>
          <w:sz w:val="24"/>
          <w:szCs w:val="24"/>
        </w:rPr>
        <w:t>in view of</w:t>
      </w:r>
      <w:r w:rsidRPr="0039465F">
        <w:rPr>
          <w:rFonts w:ascii="Times New Roman" w:hAnsi="Times New Roman"/>
          <w:sz w:val="24"/>
          <w:szCs w:val="24"/>
        </w:rPr>
        <w:t xml:space="preserve"> </w:t>
      </w:r>
      <w:r>
        <w:rPr>
          <w:rFonts w:ascii="Times New Roman" w:hAnsi="Times New Roman"/>
          <w:sz w:val="24"/>
          <w:szCs w:val="24"/>
        </w:rPr>
        <w:t>the</w:t>
      </w:r>
      <w:r w:rsidRPr="0039465F">
        <w:rPr>
          <w:rFonts w:ascii="Times New Roman" w:hAnsi="Times New Roman"/>
          <w:sz w:val="24"/>
          <w:szCs w:val="24"/>
        </w:rPr>
        <w:t xml:space="preserve"> </w:t>
      </w:r>
      <w:r>
        <w:rPr>
          <w:rFonts w:ascii="Times New Roman" w:hAnsi="Times New Roman"/>
          <w:sz w:val="24"/>
          <w:szCs w:val="24"/>
        </w:rPr>
        <w:t>restri</w:t>
      </w:r>
      <w:r w:rsidRPr="0039465F">
        <w:rPr>
          <w:rFonts w:ascii="Times New Roman" w:hAnsi="Times New Roman"/>
          <w:sz w:val="24"/>
          <w:szCs w:val="24"/>
        </w:rPr>
        <w:t>cted consumer behaviours and preferences</w:t>
      </w:r>
      <w:r>
        <w:rPr>
          <w:rFonts w:ascii="Times New Roman" w:hAnsi="Times New Roman"/>
          <w:sz w:val="24"/>
          <w:szCs w:val="24"/>
        </w:rPr>
        <w:t>, particularly as a result of hidden aspects of underlying software and algorithms.</w:t>
      </w:r>
    </w:p>
    <w:p w14:paraId="2BC780BC" w14:textId="25C1EBB4" w:rsidR="00396D96" w:rsidRPr="00774EDB" w:rsidRDefault="001F2471" w:rsidP="00A70042">
      <w:pPr>
        <w:pStyle w:val="ListParagraph"/>
        <w:numPr>
          <w:ilvl w:val="0"/>
          <w:numId w:val="22"/>
        </w:numPr>
        <w:spacing w:before="120"/>
        <w:ind w:left="851" w:hanging="284"/>
        <w:contextualSpacing w:val="0"/>
        <w:jc w:val="both"/>
        <w:rPr>
          <w:rFonts w:ascii="Times New Roman" w:hAnsi="Times New Roman" w:cs="Times New Roman"/>
          <w:sz w:val="24"/>
          <w:szCs w:val="24"/>
        </w:rPr>
      </w:pPr>
      <w:r>
        <w:rPr>
          <w:rFonts w:ascii="Times New Roman" w:hAnsi="Times New Roman" w:cs="Times New Roman"/>
          <w:sz w:val="24"/>
          <w:szCs w:val="24"/>
        </w:rPr>
        <w:t>Fairness</w:t>
      </w:r>
      <w:r w:rsidR="00396D96" w:rsidRPr="00774EDB">
        <w:rPr>
          <w:rFonts w:ascii="Times New Roman" w:hAnsi="Times New Roman" w:cs="Times New Roman"/>
          <w:sz w:val="24"/>
          <w:szCs w:val="24"/>
        </w:rPr>
        <w:t xml:space="preserve">: In case </w:t>
      </w:r>
      <w:r w:rsidR="007628F7" w:rsidRPr="0039465F">
        <w:rPr>
          <w:rFonts w:ascii="Times New Roman" w:hAnsi="Times New Roman"/>
          <w:sz w:val="24"/>
          <w:szCs w:val="24"/>
        </w:rPr>
        <w:t>certain restrictions by means of discrimination and bias e.g. selective ranking, filtering, prioritising take place across certain layer(s) resulting in a gatekeeping activity</w:t>
      </w:r>
      <w:r w:rsidR="00396D96" w:rsidRPr="00774EDB">
        <w:rPr>
          <w:rFonts w:ascii="Times New Roman" w:hAnsi="Times New Roman" w:cs="Times New Roman"/>
          <w:sz w:val="24"/>
          <w:szCs w:val="24"/>
        </w:rPr>
        <w:t xml:space="preserve">, the gatekeeper could then be ordered to carry out their activities in </w:t>
      </w:r>
      <w:r w:rsidRPr="0039465F">
        <w:rPr>
          <w:rFonts w:ascii="Times New Roman" w:hAnsi="Times New Roman"/>
          <w:sz w:val="24"/>
          <w:szCs w:val="24"/>
        </w:rPr>
        <w:t>a</w:t>
      </w:r>
      <w:r>
        <w:rPr>
          <w:rFonts w:ascii="Times New Roman" w:hAnsi="Times New Roman"/>
          <w:sz w:val="24"/>
          <w:szCs w:val="24"/>
        </w:rPr>
        <w:t>n unbiased</w:t>
      </w:r>
      <w:r w:rsidRPr="0039465F">
        <w:rPr>
          <w:rFonts w:ascii="Times New Roman" w:hAnsi="Times New Roman"/>
          <w:sz w:val="24"/>
          <w:szCs w:val="24"/>
        </w:rPr>
        <w:t xml:space="preserve"> </w:t>
      </w:r>
      <w:r>
        <w:rPr>
          <w:rFonts w:ascii="Times New Roman" w:hAnsi="Times New Roman"/>
          <w:sz w:val="24"/>
          <w:szCs w:val="24"/>
        </w:rPr>
        <w:t>and ethically justifiable</w:t>
      </w:r>
      <w:r w:rsidR="00396D96" w:rsidRPr="00774EDB">
        <w:rPr>
          <w:rFonts w:ascii="Times New Roman" w:hAnsi="Times New Roman" w:cs="Times New Roman"/>
          <w:sz w:val="24"/>
          <w:szCs w:val="24"/>
        </w:rPr>
        <w:t xml:space="preserve"> manner.      </w:t>
      </w:r>
    </w:p>
    <w:p w14:paraId="3499F115" w14:textId="1B76DCF4" w:rsidR="00396D96" w:rsidRPr="00774EDB" w:rsidRDefault="007628F7" w:rsidP="00A70042">
      <w:pPr>
        <w:pStyle w:val="ListParagraph"/>
        <w:numPr>
          <w:ilvl w:val="0"/>
          <w:numId w:val="22"/>
        </w:numPr>
        <w:spacing w:before="120"/>
        <w:ind w:left="851" w:hanging="284"/>
        <w:contextualSpacing w:val="0"/>
        <w:jc w:val="both"/>
        <w:rPr>
          <w:rFonts w:ascii="Times New Roman" w:hAnsi="Times New Roman" w:cs="Times New Roman"/>
          <w:sz w:val="24"/>
          <w:szCs w:val="24"/>
        </w:rPr>
      </w:pPr>
      <w:r>
        <w:rPr>
          <w:rFonts w:ascii="Times New Roman" w:hAnsi="Times New Roman" w:cs="Times New Roman"/>
          <w:sz w:val="24"/>
          <w:szCs w:val="24"/>
        </w:rPr>
        <w:t>Accountability</w:t>
      </w:r>
      <w:r w:rsidR="00396D96" w:rsidRPr="00774EDB">
        <w:rPr>
          <w:rFonts w:ascii="Times New Roman" w:hAnsi="Times New Roman" w:cs="Times New Roman"/>
          <w:sz w:val="24"/>
          <w:szCs w:val="24"/>
        </w:rPr>
        <w:t xml:space="preserve">: In the case of consumers </w:t>
      </w:r>
      <w:r w:rsidRPr="0039465F">
        <w:rPr>
          <w:rFonts w:ascii="Times New Roman" w:hAnsi="Times New Roman"/>
          <w:sz w:val="24"/>
          <w:szCs w:val="24"/>
        </w:rPr>
        <w:t>being manipulated</w:t>
      </w:r>
      <w:r w:rsidRPr="00774EDB">
        <w:rPr>
          <w:rFonts w:ascii="Times New Roman" w:hAnsi="Times New Roman" w:cs="Times New Roman"/>
          <w:sz w:val="24"/>
          <w:szCs w:val="24"/>
        </w:rPr>
        <w:t xml:space="preserve"> </w:t>
      </w:r>
      <w:r w:rsidR="00396D96" w:rsidRPr="00774EDB">
        <w:rPr>
          <w:rFonts w:ascii="Times New Roman" w:hAnsi="Times New Roman" w:cs="Times New Roman"/>
          <w:sz w:val="24"/>
          <w:szCs w:val="24"/>
        </w:rPr>
        <w:t>towards certain content, apps, services, etc. the gatekeeper involved in th</w:t>
      </w:r>
      <w:r>
        <w:rPr>
          <w:rFonts w:ascii="Times New Roman" w:hAnsi="Times New Roman" w:cs="Times New Roman"/>
          <w:sz w:val="24"/>
          <w:szCs w:val="24"/>
        </w:rPr>
        <w:t>at</w:t>
      </w:r>
      <w:r w:rsidR="00396D96" w:rsidRPr="00774EDB">
        <w:rPr>
          <w:rFonts w:ascii="Times New Roman" w:hAnsi="Times New Roman" w:cs="Times New Roman"/>
          <w:sz w:val="24"/>
          <w:szCs w:val="24"/>
        </w:rPr>
        <w:t xml:space="preserve"> activity might be required to redesign </w:t>
      </w:r>
      <w:r>
        <w:rPr>
          <w:rFonts w:ascii="Times New Roman" w:hAnsi="Times New Roman" w:cs="Times New Roman"/>
          <w:sz w:val="24"/>
          <w:szCs w:val="24"/>
        </w:rPr>
        <w:t>their</w:t>
      </w:r>
      <w:r w:rsidR="00396D96" w:rsidRPr="00774EDB">
        <w:rPr>
          <w:rFonts w:ascii="Times New Roman" w:hAnsi="Times New Roman" w:cs="Times New Roman"/>
          <w:sz w:val="24"/>
          <w:szCs w:val="24"/>
        </w:rPr>
        <w:t xml:space="preserve"> underlying software and algorithms </w:t>
      </w:r>
      <w:r w:rsidRPr="0039465F">
        <w:rPr>
          <w:rFonts w:ascii="Times New Roman" w:hAnsi="Times New Roman"/>
          <w:sz w:val="24"/>
          <w:szCs w:val="24"/>
        </w:rPr>
        <w:t>in relation to the pertinent layer(s)</w:t>
      </w:r>
      <w:r>
        <w:rPr>
          <w:rFonts w:ascii="Times New Roman" w:hAnsi="Times New Roman"/>
          <w:sz w:val="24"/>
          <w:szCs w:val="24"/>
        </w:rPr>
        <w:t xml:space="preserve"> or layer elements</w:t>
      </w:r>
      <w:r w:rsidRPr="0039465F">
        <w:rPr>
          <w:rFonts w:ascii="Times New Roman" w:hAnsi="Times New Roman"/>
          <w:sz w:val="24"/>
          <w:szCs w:val="24"/>
        </w:rPr>
        <w:t>.</w:t>
      </w:r>
      <w:bookmarkEnd w:id="745"/>
    </w:p>
    <w:bookmarkEnd w:id="746"/>
    <w:p w14:paraId="132362CD" w14:textId="377F8A87" w:rsidR="002A2C06" w:rsidRPr="00774EDB" w:rsidRDefault="002A2C06"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These obligations denote the remedies that are </w:t>
      </w:r>
      <w:r w:rsidR="00150983">
        <w:rPr>
          <w:rFonts w:ascii="Times New Roman" w:hAnsi="Times New Roman" w:cs="Times New Roman"/>
          <w:sz w:val="24"/>
          <w:szCs w:val="24"/>
        </w:rPr>
        <w:t>pres</w:t>
      </w:r>
      <w:r w:rsidR="0022424A">
        <w:rPr>
          <w:rFonts w:ascii="Times New Roman" w:hAnsi="Times New Roman" w:cs="Times New Roman"/>
          <w:sz w:val="24"/>
          <w:szCs w:val="24"/>
        </w:rPr>
        <w:t xml:space="preserve">umed to </w:t>
      </w:r>
      <w:r w:rsidR="00150983">
        <w:rPr>
          <w:rFonts w:ascii="Times New Roman" w:hAnsi="Times New Roman" w:cs="Times New Roman"/>
          <w:sz w:val="24"/>
          <w:szCs w:val="24"/>
        </w:rPr>
        <w:t>keep</w:t>
      </w:r>
      <w:r w:rsidR="0022424A">
        <w:rPr>
          <w:rFonts w:ascii="Times New Roman" w:hAnsi="Times New Roman" w:cs="Times New Roman"/>
          <w:sz w:val="24"/>
          <w:szCs w:val="24"/>
        </w:rPr>
        <w:t xml:space="preserve"> the governing principles alive and enforceable</w:t>
      </w:r>
      <w:r w:rsidRPr="00774EDB">
        <w:rPr>
          <w:rFonts w:ascii="Times New Roman" w:hAnsi="Times New Roman" w:cs="Times New Roman"/>
          <w:sz w:val="24"/>
          <w:szCs w:val="24"/>
        </w:rPr>
        <w:t xml:space="preserve">. As </w:t>
      </w:r>
      <w:r w:rsidR="00F64D89">
        <w:rPr>
          <w:rFonts w:ascii="Times New Roman" w:hAnsi="Times New Roman" w:cs="Times New Roman"/>
          <w:sz w:val="24"/>
          <w:szCs w:val="24"/>
        </w:rPr>
        <w:t>gatekeeping</w:t>
      </w:r>
      <w:r w:rsidRPr="00774EDB">
        <w:rPr>
          <w:rFonts w:ascii="Times New Roman" w:hAnsi="Times New Roman" w:cs="Times New Roman"/>
          <w:sz w:val="24"/>
          <w:szCs w:val="24"/>
        </w:rPr>
        <w:t xml:space="preserve"> activities usually happen across more than one layer, the</w:t>
      </w:r>
      <w:r w:rsidR="0022424A">
        <w:rPr>
          <w:rFonts w:ascii="Times New Roman" w:hAnsi="Times New Roman" w:cs="Times New Roman"/>
          <w:sz w:val="24"/>
          <w:szCs w:val="24"/>
        </w:rPr>
        <w:t>se</w:t>
      </w:r>
      <w:r w:rsidRPr="00774EDB">
        <w:rPr>
          <w:rFonts w:ascii="Times New Roman" w:hAnsi="Times New Roman" w:cs="Times New Roman"/>
          <w:sz w:val="24"/>
          <w:szCs w:val="24"/>
        </w:rPr>
        <w:t xml:space="preserve"> </w:t>
      </w:r>
      <w:r w:rsidR="0022424A">
        <w:rPr>
          <w:rFonts w:ascii="Times New Roman" w:hAnsi="Times New Roman" w:cs="Times New Roman"/>
          <w:sz w:val="24"/>
          <w:szCs w:val="24"/>
        </w:rPr>
        <w:t xml:space="preserve">obligations might </w:t>
      </w:r>
      <w:r w:rsidRPr="00774EDB">
        <w:rPr>
          <w:rFonts w:ascii="Times New Roman" w:hAnsi="Times New Roman" w:cs="Times New Roman"/>
          <w:sz w:val="24"/>
          <w:szCs w:val="24"/>
        </w:rPr>
        <w:t xml:space="preserve">need to be </w:t>
      </w:r>
      <w:r w:rsidR="0022424A">
        <w:rPr>
          <w:rFonts w:ascii="Times New Roman" w:hAnsi="Times New Roman" w:cs="Times New Roman"/>
          <w:sz w:val="24"/>
          <w:szCs w:val="24"/>
        </w:rPr>
        <w:t>adjusted accordingly and</w:t>
      </w:r>
      <w:r w:rsidRPr="00774EDB">
        <w:rPr>
          <w:rFonts w:ascii="Times New Roman" w:hAnsi="Times New Roman" w:cs="Times New Roman"/>
          <w:sz w:val="24"/>
          <w:szCs w:val="24"/>
        </w:rPr>
        <w:t xml:space="preserve"> </w:t>
      </w:r>
      <w:r w:rsidR="0032707E" w:rsidRPr="00774EDB">
        <w:rPr>
          <w:rFonts w:ascii="Times New Roman" w:hAnsi="Times New Roman" w:cs="Times New Roman"/>
          <w:sz w:val="24"/>
          <w:szCs w:val="24"/>
        </w:rPr>
        <w:t xml:space="preserve">should thus </w:t>
      </w:r>
      <w:r w:rsidRPr="00774EDB">
        <w:rPr>
          <w:rFonts w:ascii="Times New Roman" w:hAnsi="Times New Roman" w:cs="Times New Roman"/>
          <w:sz w:val="24"/>
          <w:szCs w:val="24"/>
        </w:rPr>
        <w:t xml:space="preserve">fit </w:t>
      </w:r>
      <w:r w:rsidR="00150983">
        <w:rPr>
          <w:rFonts w:ascii="Times New Roman" w:hAnsi="Times New Roman" w:cs="Times New Roman"/>
          <w:sz w:val="24"/>
          <w:szCs w:val="24"/>
        </w:rPr>
        <w:t xml:space="preserve">with </w:t>
      </w:r>
      <w:r w:rsidR="00050BAF" w:rsidRPr="00774EDB">
        <w:rPr>
          <w:rFonts w:ascii="Times New Roman" w:hAnsi="Times New Roman" w:cs="Times New Roman"/>
          <w:sz w:val="24"/>
          <w:szCs w:val="24"/>
        </w:rPr>
        <w:t xml:space="preserve">the pertinent </w:t>
      </w:r>
      <w:r w:rsidRPr="00774EDB">
        <w:rPr>
          <w:rFonts w:ascii="Times New Roman" w:hAnsi="Times New Roman" w:cs="Times New Roman"/>
          <w:sz w:val="24"/>
          <w:szCs w:val="24"/>
        </w:rPr>
        <w:t>layer</w:t>
      </w:r>
      <w:r w:rsidR="0022424A">
        <w:rPr>
          <w:rFonts w:ascii="Times New Roman" w:hAnsi="Times New Roman" w:cs="Times New Roman"/>
          <w:sz w:val="24"/>
          <w:szCs w:val="24"/>
        </w:rPr>
        <w:t>s or layer element</w:t>
      </w:r>
      <w:r w:rsidR="00050BAF" w:rsidRPr="00774EDB">
        <w:rPr>
          <w:rFonts w:ascii="Times New Roman" w:hAnsi="Times New Roman" w:cs="Times New Roman"/>
          <w:sz w:val="24"/>
          <w:szCs w:val="24"/>
        </w:rPr>
        <w:t>s</w:t>
      </w:r>
      <w:r w:rsidRPr="00774EDB">
        <w:rPr>
          <w:rFonts w:ascii="Times New Roman" w:hAnsi="Times New Roman" w:cs="Times New Roman"/>
          <w:sz w:val="24"/>
          <w:szCs w:val="24"/>
        </w:rPr>
        <w:t>,</w:t>
      </w:r>
      <w:r w:rsidR="008929AA" w:rsidRPr="00774EDB">
        <w:rPr>
          <w:rFonts w:ascii="Times New Roman" w:hAnsi="Times New Roman" w:cs="Times New Roman"/>
          <w:sz w:val="24"/>
          <w:szCs w:val="24"/>
        </w:rPr>
        <w:t xml:space="preserve"> in view of the </w:t>
      </w:r>
      <w:r w:rsidR="00955855">
        <w:rPr>
          <w:rFonts w:ascii="Times New Roman" w:hAnsi="Times New Roman" w:cs="Times New Roman"/>
          <w:sz w:val="24"/>
          <w:szCs w:val="24"/>
        </w:rPr>
        <w:t>related</w:t>
      </w:r>
      <w:r w:rsidR="008929AA" w:rsidRPr="00774EDB">
        <w:rPr>
          <w:rFonts w:ascii="Times New Roman" w:hAnsi="Times New Roman" w:cs="Times New Roman"/>
          <w:sz w:val="24"/>
          <w:szCs w:val="24"/>
        </w:rPr>
        <w:t xml:space="preserve"> </w:t>
      </w:r>
      <w:r w:rsidR="00955855">
        <w:rPr>
          <w:rFonts w:ascii="Times New Roman" w:hAnsi="Times New Roman" w:cs="Times New Roman"/>
          <w:sz w:val="24"/>
          <w:szCs w:val="24"/>
        </w:rPr>
        <w:t xml:space="preserve">restriction(s) </w:t>
      </w:r>
      <w:r w:rsidR="0022424A">
        <w:rPr>
          <w:rFonts w:ascii="Times New Roman" w:hAnsi="Times New Roman" w:cs="Times New Roman"/>
          <w:sz w:val="24"/>
          <w:szCs w:val="24"/>
        </w:rPr>
        <w:t>at stake</w:t>
      </w:r>
      <w:r w:rsidR="008929AA" w:rsidRPr="00774EDB">
        <w:rPr>
          <w:rFonts w:ascii="Times New Roman" w:hAnsi="Times New Roman" w:cs="Times New Roman"/>
          <w:sz w:val="24"/>
          <w:szCs w:val="24"/>
        </w:rPr>
        <w:t>.</w:t>
      </w:r>
      <w:r w:rsidR="00DE4CC2" w:rsidRPr="00774EDB">
        <w:rPr>
          <w:rFonts w:ascii="Times New Roman" w:hAnsi="Times New Roman" w:cs="Times New Roman"/>
          <w:sz w:val="24"/>
          <w:szCs w:val="24"/>
        </w:rPr>
        <w:t xml:space="preserve"> </w:t>
      </w:r>
      <w:r w:rsidR="0081476E" w:rsidRPr="00774EDB">
        <w:rPr>
          <w:rFonts w:ascii="Times New Roman" w:hAnsi="Times New Roman" w:cs="Times New Roman"/>
          <w:sz w:val="24"/>
          <w:szCs w:val="24"/>
        </w:rPr>
        <w:t>Having said that</w:t>
      </w:r>
      <w:r w:rsidRPr="00774EDB">
        <w:rPr>
          <w:rFonts w:ascii="Times New Roman" w:hAnsi="Times New Roman" w:cs="Times New Roman"/>
          <w:sz w:val="24"/>
          <w:szCs w:val="24"/>
        </w:rPr>
        <w:t xml:space="preserve">, these remedies </w:t>
      </w:r>
      <w:r w:rsidR="005B4E1D">
        <w:rPr>
          <w:rFonts w:ascii="Times New Roman" w:hAnsi="Times New Roman" w:cs="Times New Roman"/>
          <w:sz w:val="24"/>
          <w:szCs w:val="24"/>
        </w:rPr>
        <w:t xml:space="preserve">mark </w:t>
      </w:r>
      <w:r w:rsidR="00AD3650">
        <w:rPr>
          <w:rFonts w:ascii="Times New Roman" w:hAnsi="Times New Roman" w:cs="Times New Roman"/>
          <w:sz w:val="24"/>
          <w:szCs w:val="24"/>
        </w:rPr>
        <w:t xml:space="preserve">a </w:t>
      </w:r>
      <w:r w:rsidR="005B4E1D">
        <w:rPr>
          <w:rFonts w:ascii="Times New Roman" w:hAnsi="Times New Roman" w:cs="Times New Roman"/>
          <w:sz w:val="24"/>
          <w:szCs w:val="24"/>
        </w:rPr>
        <w:t xml:space="preserve">distinction </w:t>
      </w:r>
      <w:r w:rsidRPr="00774EDB">
        <w:rPr>
          <w:rFonts w:ascii="Times New Roman" w:hAnsi="Times New Roman" w:cs="Times New Roman"/>
          <w:sz w:val="24"/>
          <w:szCs w:val="24"/>
        </w:rPr>
        <w:t>from th</w:t>
      </w:r>
      <w:r w:rsidR="005B4E1D">
        <w:rPr>
          <w:rFonts w:ascii="Times New Roman" w:hAnsi="Times New Roman" w:cs="Times New Roman"/>
          <w:sz w:val="24"/>
          <w:szCs w:val="24"/>
        </w:rPr>
        <w:t>os</w:t>
      </w:r>
      <w:r w:rsidRPr="00774EDB">
        <w:rPr>
          <w:rFonts w:ascii="Times New Roman" w:hAnsi="Times New Roman" w:cs="Times New Roman"/>
          <w:sz w:val="24"/>
          <w:szCs w:val="24"/>
        </w:rPr>
        <w:t xml:space="preserve">e under the ECRF, which are only applicable to the </w:t>
      </w:r>
      <w:r w:rsidR="009334C8" w:rsidRPr="00774EDB">
        <w:rPr>
          <w:rFonts w:ascii="Times New Roman" w:hAnsi="Times New Roman" w:cs="Times New Roman"/>
          <w:sz w:val="24"/>
          <w:szCs w:val="24"/>
        </w:rPr>
        <w:t xml:space="preserve">access layer elements with certain exceptions </w:t>
      </w:r>
      <w:r w:rsidR="0081476E" w:rsidRPr="00774EDB">
        <w:rPr>
          <w:rFonts w:ascii="Times New Roman" w:hAnsi="Times New Roman" w:cs="Times New Roman"/>
          <w:sz w:val="24"/>
          <w:szCs w:val="24"/>
        </w:rPr>
        <w:t xml:space="preserve">and are thought of remedying competition problems </w:t>
      </w:r>
      <w:r w:rsidR="009334C8" w:rsidRPr="00774EDB">
        <w:rPr>
          <w:rFonts w:ascii="Times New Roman" w:hAnsi="Times New Roman" w:cs="Times New Roman"/>
          <w:sz w:val="24"/>
          <w:szCs w:val="24"/>
        </w:rPr>
        <w:t>with an infrastructural focus</w:t>
      </w:r>
      <w:r w:rsidR="0081476E"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Crucially, not only the </w:t>
      </w:r>
      <w:r w:rsidR="009334C8" w:rsidRPr="00774EDB">
        <w:rPr>
          <w:rFonts w:ascii="Times New Roman" w:hAnsi="Times New Roman" w:cs="Times New Roman"/>
          <w:sz w:val="24"/>
          <w:szCs w:val="24"/>
        </w:rPr>
        <w:t xml:space="preserve">nature, </w:t>
      </w:r>
      <w:r w:rsidR="00EF7C17" w:rsidRPr="00774EDB">
        <w:rPr>
          <w:rFonts w:ascii="Times New Roman" w:hAnsi="Times New Roman" w:cs="Times New Roman"/>
          <w:sz w:val="24"/>
          <w:szCs w:val="24"/>
        </w:rPr>
        <w:t xml:space="preserve">scope and </w:t>
      </w:r>
      <w:r w:rsidR="009334C8" w:rsidRPr="00774EDB">
        <w:rPr>
          <w:rFonts w:ascii="Times New Roman" w:hAnsi="Times New Roman" w:cs="Times New Roman"/>
          <w:sz w:val="24"/>
          <w:szCs w:val="24"/>
        </w:rPr>
        <w:t>extent</w:t>
      </w:r>
      <w:r w:rsidRPr="00774EDB">
        <w:rPr>
          <w:rFonts w:ascii="Times New Roman" w:hAnsi="Times New Roman" w:cs="Times New Roman"/>
          <w:sz w:val="24"/>
          <w:szCs w:val="24"/>
        </w:rPr>
        <w:t xml:space="preserve"> of the obligations but also the way they are supposed to be imposed, differs</w:t>
      </w:r>
      <w:r w:rsidR="009334C8" w:rsidRPr="00774EDB">
        <w:rPr>
          <w:rFonts w:ascii="Times New Roman" w:hAnsi="Times New Roman" w:cs="Times New Roman"/>
          <w:sz w:val="24"/>
          <w:szCs w:val="24"/>
        </w:rPr>
        <w:t xml:space="preserve"> in the ‘layered regulatory model’</w:t>
      </w:r>
      <w:r w:rsidRPr="00774EDB">
        <w:rPr>
          <w:rFonts w:ascii="Times New Roman" w:hAnsi="Times New Roman" w:cs="Times New Roman"/>
          <w:sz w:val="24"/>
          <w:szCs w:val="24"/>
        </w:rPr>
        <w:t>.</w:t>
      </w:r>
    </w:p>
    <w:p w14:paraId="33876415" w14:textId="2E99388E" w:rsidR="00C3407A" w:rsidRPr="00774EDB" w:rsidRDefault="00076B30"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Under the </w:t>
      </w:r>
      <w:r w:rsidR="00EF7C17" w:rsidRPr="00774EDB">
        <w:rPr>
          <w:rFonts w:ascii="Times New Roman" w:hAnsi="Times New Roman" w:cs="Times New Roman"/>
          <w:sz w:val="24"/>
          <w:szCs w:val="24"/>
        </w:rPr>
        <w:t>‘</w:t>
      </w:r>
      <w:r w:rsidRPr="00774EDB">
        <w:rPr>
          <w:rFonts w:ascii="Times New Roman" w:hAnsi="Times New Roman" w:cs="Times New Roman"/>
          <w:sz w:val="24"/>
          <w:szCs w:val="24"/>
        </w:rPr>
        <w:t>layered regulatory model</w:t>
      </w:r>
      <w:r w:rsidR="00EF7C17" w:rsidRPr="00774EDB">
        <w:rPr>
          <w:rFonts w:ascii="Times New Roman" w:hAnsi="Times New Roman" w:cs="Times New Roman"/>
          <w:sz w:val="24"/>
          <w:szCs w:val="24"/>
        </w:rPr>
        <w:t>’</w:t>
      </w:r>
      <w:r w:rsidRPr="00774EDB">
        <w:rPr>
          <w:rFonts w:ascii="Times New Roman" w:hAnsi="Times New Roman" w:cs="Times New Roman"/>
          <w:sz w:val="24"/>
          <w:szCs w:val="24"/>
        </w:rPr>
        <w:t xml:space="preserve">, </w:t>
      </w:r>
      <w:r w:rsidR="00C3407A" w:rsidRPr="00774EDB">
        <w:rPr>
          <w:rFonts w:ascii="Times New Roman" w:hAnsi="Times New Roman" w:cs="Times New Roman"/>
          <w:sz w:val="24"/>
          <w:szCs w:val="24"/>
        </w:rPr>
        <w:t xml:space="preserve">the </w:t>
      </w:r>
      <w:r w:rsidR="007E6D8C" w:rsidRPr="00774EDB">
        <w:rPr>
          <w:rFonts w:ascii="Times New Roman" w:hAnsi="Times New Roman" w:cs="Times New Roman"/>
          <w:sz w:val="24"/>
          <w:szCs w:val="24"/>
        </w:rPr>
        <w:t xml:space="preserve">ICT stakeholders’ </w:t>
      </w:r>
      <w:r w:rsidR="00696571" w:rsidRPr="00774EDB">
        <w:rPr>
          <w:rFonts w:ascii="Times New Roman" w:hAnsi="Times New Roman" w:cs="Times New Roman"/>
          <w:sz w:val="24"/>
          <w:szCs w:val="24"/>
        </w:rPr>
        <w:t>collaborati</w:t>
      </w:r>
      <w:r w:rsidR="00AD3650">
        <w:rPr>
          <w:rFonts w:ascii="Times New Roman" w:hAnsi="Times New Roman" w:cs="Times New Roman"/>
          <w:sz w:val="24"/>
          <w:szCs w:val="24"/>
        </w:rPr>
        <w:t>on</w:t>
      </w:r>
      <w:r w:rsidR="00B03382" w:rsidRPr="00774EDB">
        <w:rPr>
          <w:rFonts w:ascii="Times New Roman" w:hAnsi="Times New Roman" w:cs="Times New Roman"/>
          <w:sz w:val="24"/>
          <w:szCs w:val="24"/>
        </w:rPr>
        <w:t xml:space="preserve"> </w:t>
      </w:r>
      <w:r w:rsidR="00AD3650">
        <w:rPr>
          <w:rFonts w:ascii="Times New Roman" w:hAnsi="Times New Roman" w:cs="Times New Roman"/>
          <w:sz w:val="24"/>
          <w:szCs w:val="24"/>
        </w:rPr>
        <w:t>with the regulators and among themselves is of a key importance</w:t>
      </w:r>
      <w:r w:rsidRPr="00774EDB">
        <w:rPr>
          <w:rFonts w:ascii="Times New Roman" w:hAnsi="Times New Roman" w:cs="Times New Roman"/>
          <w:sz w:val="24"/>
          <w:szCs w:val="24"/>
        </w:rPr>
        <w:t xml:space="preserve"> in </w:t>
      </w:r>
      <w:r w:rsidR="00AD3650">
        <w:rPr>
          <w:rFonts w:ascii="Times New Roman" w:hAnsi="Times New Roman" w:cs="Times New Roman"/>
          <w:sz w:val="24"/>
          <w:szCs w:val="24"/>
        </w:rPr>
        <w:t>running</w:t>
      </w:r>
      <w:r w:rsidR="00EF7C17" w:rsidRPr="00774EDB">
        <w:rPr>
          <w:rFonts w:ascii="Times New Roman" w:hAnsi="Times New Roman" w:cs="Times New Roman"/>
          <w:sz w:val="24"/>
          <w:szCs w:val="24"/>
        </w:rPr>
        <w:t xml:space="preserve"> </w:t>
      </w:r>
      <w:r w:rsidR="00AD3650">
        <w:rPr>
          <w:rFonts w:ascii="Times New Roman" w:hAnsi="Times New Roman" w:cs="Times New Roman"/>
          <w:sz w:val="24"/>
          <w:szCs w:val="24"/>
        </w:rPr>
        <w:t xml:space="preserve">the proposed </w:t>
      </w:r>
      <w:r w:rsidR="00AD3650">
        <w:rPr>
          <w:rFonts w:ascii="Times New Roman" w:hAnsi="Times New Roman" w:cs="Times New Roman"/>
          <w:sz w:val="24"/>
          <w:szCs w:val="24"/>
        </w:rPr>
        <w:lastRenderedPageBreak/>
        <w:t>model</w:t>
      </w:r>
      <w:r w:rsidRPr="00774EDB">
        <w:rPr>
          <w:rFonts w:ascii="Times New Roman" w:hAnsi="Times New Roman" w:cs="Times New Roman"/>
          <w:sz w:val="24"/>
          <w:szCs w:val="24"/>
        </w:rPr>
        <w:t xml:space="preserve">. </w:t>
      </w:r>
      <w:r w:rsidR="00DC4975" w:rsidRPr="00774EDB">
        <w:rPr>
          <w:rFonts w:ascii="Times New Roman" w:hAnsi="Times New Roman" w:cs="Times New Roman"/>
          <w:sz w:val="24"/>
          <w:szCs w:val="24"/>
        </w:rPr>
        <w:t xml:space="preserve">As this </w:t>
      </w:r>
      <w:r w:rsidR="00994857" w:rsidRPr="00774EDB">
        <w:rPr>
          <w:rFonts w:ascii="Times New Roman" w:hAnsi="Times New Roman" w:cs="Times New Roman"/>
          <w:sz w:val="24"/>
          <w:szCs w:val="24"/>
        </w:rPr>
        <w:t>regulatory</w:t>
      </w:r>
      <w:r w:rsidR="00DC4975" w:rsidRPr="00774EDB">
        <w:rPr>
          <w:rFonts w:ascii="Times New Roman" w:hAnsi="Times New Roman" w:cs="Times New Roman"/>
          <w:sz w:val="24"/>
          <w:szCs w:val="24"/>
        </w:rPr>
        <w:t xml:space="preserve"> process </w:t>
      </w:r>
      <w:r w:rsidR="007C187B" w:rsidRPr="00774EDB">
        <w:rPr>
          <w:rFonts w:ascii="Times New Roman" w:hAnsi="Times New Roman" w:cs="Times New Roman"/>
          <w:sz w:val="24"/>
          <w:szCs w:val="24"/>
        </w:rPr>
        <w:t xml:space="preserve">primarily </w:t>
      </w:r>
      <w:r w:rsidR="00DC4975" w:rsidRPr="00774EDB">
        <w:rPr>
          <w:rFonts w:ascii="Times New Roman" w:hAnsi="Times New Roman" w:cs="Times New Roman"/>
          <w:sz w:val="24"/>
          <w:szCs w:val="24"/>
        </w:rPr>
        <w:t xml:space="preserve">builds upon </w:t>
      </w:r>
      <w:r w:rsidR="0059282A" w:rsidRPr="00774EDB">
        <w:rPr>
          <w:rFonts w:ascii="Times New Roman" w:hAnsi="Times New Roman" w:cs="Times New Roman"/>
          <w:sz w:val="24"/>
          <w:szCs w:val="24"/>
        </w:rPr>
        <w:t xml:space="preserve">and commences with </w:t>
      </w:r>
      <w:r w:rsidR="00DC4975" w:rsidRPr="00774EDB">
        <w:rPr>
          <w:rFonts w:ascii="Times New Roman" w:hAnsi="Times New Roman" w:cs="Times New Roman"/>
          <w:sz w:val="24"/>
          <w:szCs w:val="24"/>
        </w:rPr>
        <w:t xml:space="preserve">the governing principles, it </w:t>
      </w:r>
      <w:r w:rsidR="00C3407A" w:rsidRPr="00774EDB">
        <w:rPr>
          <w:rFonts w:ascii="Times New Roman" w:hAnsi="Times New Roman" w:cs="Times New Roman"/>
          <w:sz w:val="24"/>
          <w:szCs w:val="24"/>
        </w:rPr>
        <w:t>h</w:t>
      </w:r>
      <w:r w:rsidR="00994857" w:rsidRPr="00774EDB">
        <w:rPr>
          <w:rFonts w:ascii="Times New Roman" w:hAnsi="Times New Roman" w:cs="Times New Roman"/>
          <w:sz w:val="24"/>
          <w:szCs w:val="24"/>
        </w:rPr>
        <w:t xml:space="preserve">as </w:t>
      </w:r>
      <w:r w:rsidR="0059282A" w:rsidRPr="00774EDB">
        <w:rPr>
          <w:rFonts w:ascii="Times New Roman" w:hAnsi="Times New Roman" w:cs="Times New Roman"/>
          <w:sz w:val="24"/>
          <w:szCs w:val="24"/>
        </w:rPr>
        <w:t>quite</w:t>
      </w:r>
      <w:r w:rsidR="00994857" w:rsidRPr="00774EDB">
        <w:rPr>
          <w:rFonts w:ascii="Times New Roman" w:hAnsi="Times New Roman" w:cs="Times New Roman"/>
          <w:sz w:val="24"/>
          <w:szCs w:val="24"/>
        </w:rPr>
        <w:t xml:space="preserve"> </w:t>
      </w:r>
      <w:r w:rsidR="00C3407A" w:rsidRPr="00774EDB">
        <w:rPr>
          <w:rFonts w:ascii="Times New Roman" w:hAnsi="Times New Roman" w:cs="Times New Roman"/>
          <w:sz w:val="24"/>
          <w:szCs w:val="24"/>
        </w:rPr>
        <w:t xml:space="preserve">a </w:t>
      </w:r>
      <w:r w:rsidR="00994857" w:rsidRPr="00774EDB">
        <w:rPr>
          <w:rFonts w:ascii="Times New Roman" w:hAnsi="Times New Roman" w:cs="Times New Roman"/>
          <w:sz w:val="24"/>
          <w:szCs w:val="24"/>
        </w:rPr>
        <w:t>dynamic</w:t>
      </w:r>
      <w:r w:rsidR="00C3407A" w:rsidRPr="00774EDB">
        <w:rPr>
          <w:rFonts w:ascii="Times New Roman" w:hAnsi="Times New Roman" w:cs="Times New Roman"/>
          <w:sz w:val="24"/>
          <w:szCs w:val="24"/>
        </w:rPr>
        <w:t xml:space="preserve"> nature</w:t>
      </w:r>
      <w:r w:rsidR="00BF3358" w:rsidRPr="00774EDB">
        <w:rPr>
          <w:rFonts w:ascii="Times New Roman" w:hAnsi="Times New Roman" w:cs="Times New Roman"/>
          <w:sz w:val="24"/>
          <w:szCs w:val="24"/>
        </w:rPr>
        <w:t>,</w:t>
      </w:r>
      <w:r w:rsidR="00994857" w:rsidRPr="00774EDB">
        <w:rPr>
          <w:rFonts w:ascii="Times New Roman" w:hAnsi="Times New Roman" w:cs="Times New Roman"/>
          <w:sz w:val="24"/>
          <w:szCs w:val="24"/>
        </w:rPr>
        <w:t xml:space="preserve"> </w:t>
      </w:r>
      <w:r w:rsidR="00E84BD8" w:rsidRPr="00774EDB">
        <w:rPr>
          <w:rFonts w:ascii="Times New Roman" w:hAnsi="Times New Roman" w:cs="Times New Roman"/>
          <w:sz w:val="24"/>
          <w:szCs w:val="24"/>
        </w:rPr>
        <w:t>differently from</w:t>
      </w:r>
      <w:r w:rsidR="00DC4975" w:rsidRPr="00774EDB">
        <w:rPr>
          <w:rFonts w:ascii="Times New Roman" w:hAnsi="Times New Roman" w:cs="Times New Roman"/>
          <w:sz w:val="24"/>
          <w:szCs w:val="24"/>
        </w:rPr>
        <w:t xml:space="preserve"> the traditional top down ex ante regulation. </w:t>
      </w:r>
      <w:r w:rsidR="00C3407A" w:rsidRPr="00774EDB">
        <w:rPr>
          <w:rFonts w:ascii="Times New Roman" w:hAnsi="Times New Roman" w:cs="Times New Roman"/>
          <w:sz w:val="24"/>
          <w:szCs w:val="24"/>
        </w:rPr>
        <w:t xml:space="preserve">In this dynamic process, roles and responsibilities would be reshaped based on the stakeholders’ </w:t>
      </w:r>
      <w:r w:rsidR="00AD3650">
        <w:rPr>
          <w:rFonts w:ascii="Times New Roman" w:hAnsi="Times New Roman" w:cs="Times New Roman"/>
          <w:sz w:val="24"/>
          <w:szCs w:val="24"/>
        </w:rPr>
        <w:t xml:space="preserve">multi-tiered </w:t>
      </w:r>
      <w:r w:rsidR="00C3407A" w:rsidRPr="00774EDB">
        <w:rPr>
          <w:rFonts w:ascii="Times New Roman" w:hAnsi="Times New Roman" w:cs="Times New Roman"/>
          <w:sz w:val="24"/>
          <w:szCs w:val="24"/>
        </w:rPr>
        <w:t>collaboration</w:t>
      </w:r>
      <w:r w:rsidR="00AD3650">
        <w:rPr>
          <w:rFonts w:ascii="Times New Roman" w:hAnsi="Times New Roman" w:cs="Times New Roman"/>
          <w:sz w:val="24"/>
          <w:szCs w:val="24"/>
        </w:rPr>
        <w:t>, e.g.</w:t>
      </w:r>
      <w:r w:rsidR="00C3407A" w:rsidRPr="00774EDB">
        <w:rPr>
          <w:rFonts w:ascii="Times New Roman" w:hAnsi="Times New Roman" w:cs="Times New Roman"/>
          <w:sz w:val="24"/>
          <w:szCs w:val="24"/>
        </w:rPr>
        <w:t xml:space="preserve"> with the regulators, as well as amongst themselves.</w:t>
      </w:r>
    </w:p>
    <w:p w14:paraId="5629316B" w14:textId="635E1794" w:rsidR="007E6D8C" w:rsidRPr="00774EDB" w:rsidRDefault="0094568E" w:rsidP="00A70042">
      <w:pPr>
        <w:spacing w:before="360"/>
        <w:jc w:val="both"/>
        <w:rPr>
          <w:rFonts w:ascii="Times New Roman" w:hAnsi="Times New Roman" w:cs="Times New Roman"/>
          <w:sz w:val="24"/>
          <w:szCs w:val="24"/>
        </w:rPr>
      </w:pPr>
      <w:r>
        <w:rPr>
          <w:rFonts w:ascii="Times New Roman" w:hAnsi="Times New Roman" w:cs="Times New Roman"/>
          <w:sz w:val="24"/>
          <w:szCs w:val="24"/>
        </w:rPr>
        <w:t>I</w:t>
      </w:r>
      <w:r w:rsidR="002765E7" w:rsidRPr="00774EDB">
        <w:rPr>
          <w:rFonts w:ascii="Times New Roman" w:hAnsi="Times New Roman" w:cs="Times New Roman"/>
          <w:sz w:val="24"/>
          <w:szCs w:val="24"/>
        </w:rPr>
        <w:t xml:space="preserve">t is note-worthy that ecosystem characteristics could mitigate but not obviate the </w:t>
      </w:r>
      <w:r w:rsidR="00AD3650">
        <w:rPr>
          <w:rFonts w:ascii="Times New Roman" w:hAnsi="Times New Roman" w:cs="Times New Roman"/>
          <w:sz w:val="24"/>
          <w:szCs w:val="24"/>
        </w:rPr>
        <w:t>entire</w:t>
      </w:r>
      <w:r w:rsidR="002765E7" w:rsidRPr="00774EDB">
        <w:rPr>
          <w:rFonts w:ascii="Times New Roman" w:hAnsi="Times New Roman" w:cs="Times New Roman"/>
          <w:sz w:val="24"/>
          <w:szCs w:val="24"/>
        </w:rPr>
        <w:t xml:space="preserve"> regulat</w:t>
      </w:r>
      <w:r w:rsidR="00AD3650">
        <w:rPr>
          <w:rFonts w:ascii="Times New Roman" w:hAnsi="Times New Roman" w:cs="Times New Roman"/>
          <w:sz w:val="24"/>
          <w:szCs w:val="24"/>
        </w:rPr>
        <w:t xml:space="preserve">ory </w:t>
      </w:r>
      <w:r w:rsidR="000F182C">
        <w:rPr>
          <w:rFonts w:ascii="Times New Roman" w:hAnsi="Times New Roman" w:cs="Times New Roman"/>
          <w:sz w:val="24"/>
          <w:szCs w:val="24"/>
        </w:rPr>
        <w:t xml:space="preserve">needs and </w:t>
      </w:r>
      <w:r w:rsidR="00AD3650">
        <w:rPr>
          <w:rFonts w:ascii="Times New Roman" w:hAnsi="Times New Roman" w:cs="Times New Roman"/>
          <w:sz w:val="24"/>
          <w:szCs w:val="24"/>
        </w:rPr>
        <w:t>obligations</w:t>
      </w:r>
      <w:r w:rsidR="002765E7" w:rsidRPr="00774EDB">
        <w:rPr>
          <w:rFonts w:ascii="Times New Roman" w:hAnsi="Times New Roman" w:cs="Times New Roman"/>
          <w:sz w:val="24"/>
          <w:szCs w:val="24"/>
        </w:rPr>
        <w:t xml:space="preserve">. Remarkably, ecosystem players could meet at an equilibrium point where they could continue non-transparent, unfair and non-ethical </w:t>
      </w:r>
      <w:r w:rsidR="00AD3650">
        <w:rPr>
          <w:rFonts w:ascii="Times New Roman" w:hAnsi="Times New Roman" w:cs="Times New Roman"/>
          <w:sz w:val="24"/>
          <w:szCs w:val="24"/>
        </w:rPr>
        <w:t>activities</w:t>
      </w:r>
      <w:r w:rsidR="002765E7" w:rsidRPr="00774EDB">
        <w:rPr>
          <w:rFonts w:ascii="Times New Roman" w:hAnsi="Times New Roman" w:cs="Times New Roman"/>
          <w:sz w:val="24"/>
          <w:szCs w:val="24"/>
        </w:rPr>
        <w:t xml:space="preserve">. </w:t>
      </w:r>
      <w:r w:rsidR="00AD3650">
        <w:rPr>
          <w:rFonts w:ascii="Times New Roman" w:hAnsi="Times New Roman" w:cs="Times New Roman"/>
          <w:sz w:val="24"/>
          <w:szCs w:val="24"/>
        </w:rPr>
        <w:t>A</w:t>
      </w:r>
      <w:r w:rsidR="00231011" w:rsidRPr="00774EDB">
        <w:rPr>
          <w:rFonts w:ascii="Times New Roman" w:hAnsi="Times New Roman" w:cs="Times New Roman"/>
          <w:sz w:val="24"/>
          <w:szCs w:val="24"/>
        </w:rPr>
        <w:t xml:space="preserve">ttention should still be paid to such kind of </w:t>
      </w:r>
      <w:r w:rsidR="00AD3650">
        <w:rPr>
          <w:rFonts w:ascii="Times New Roman" w:hAnsi="Times New Roman" w:cs="Times New Roman"/>
          <w:sz w:val="24"/>
          <w:szCs w:val="24"/>
        </w:rPr>
        <w:t xml:space="preserve">activities </w:t>
      </w:r>
      <w:r w:rsidR="000F182C">
        <w:rPr>
          <w:rFonts w:ascii="Times New Roman" w:hAnsi="Times New Roman" w:cs="Times New Roman"/>
          <w:sz w:val="24"/>
          <w:szCs w:val="24"/>
        </w:rPr>
        <w:t>including the</w:t>
      </w:r>
      <w:r w:rsidR="00946E6D" w:rsidRPr="00774EDB">
        <w:rPr>
          <w:rFonts w:ascii="Times New Roman" w:hAnsi="Times New Roman" w:cs="Times New Roman"/>
          <w:sz w:val="24"/>
          <w:szCs w:val="24"/>
        </w:rPr>
        <w:t xml:space="preserve"> underlying algorithms, </w:t>
      </w:r>
      <w:r w:rsidR="00AD3650">
        <w:rPr>
          <w:rFonts w:ascii="Times New Roman" w:hAnsi="Times New Roman" w:cs="Times New Roman"/>
          <w:sz w:val="24"/>
          <w:szCs w:val="24"/>
        </w:rPr>
        <w:t>which would arouse further concerns going beyond access and interoperability.</w:t>
      </w:r>
      <w:r w:rsidR="0022179F">
        <w:rPr>
          <w:rFonts w:ascii="Times New Roman" w:hAnsi="Times New Roman" w:cs="Times New Roman"/>
          <w:sz w:val="24"/>
          <w:szCs w:val="24"/>
        </w:rPr>
        <w:t xml:space="preserve"> That is to say, </w:t>
      </w:r>
      <w:r w:rsidR="00231011" w:rsidRPr="00774EDB">
        <w:rPr>
          <w:rFonts w:ascii="Times New Roman" w:hAnsi="Times New Roman" w:cs="Times New Roman"/>
          <w:sz w:val="24"/>
          <w:szCs w:val="24"/>
        </w:rPr>
        <w:t xml:space="preserve">even </w:t>
      </w:r>
      <w:r w:rsidR="00946E6D" w:rsidRPr="00774EDB">
        <w:rPr>
          <w:rFonts w:ascii="Times New Roman" w:hAnsi="Times New Roman" w:cs="Times New Roman"/>
          <w:sz w:val="24"/>
          <w:szCs w:val="24"/>
        </w:rPr>
        <w:t>in case</w:t>
      </w:r>
      <w:r w:rsidR="002765E7" w:rsidRPr="00774EDB">
        <w:rPr>
          <w:rFonts w:ascii="Times New Roman" w:hAnsi="Times New Roman" w:cs="Times New Roman"/>
          <w:sz w:val="24"/>
          <w:szCs w:val="24"/>
        </w:rPr>
        <w:t xml:space="preserve"> interoperability</w:t>
      </w:r>
      <w:r w:rsidR="00946E6D" w:rsidRPr="00774EDB">
        <w:rPr>
          <w:rFonts w:ascii="Times New Roman" w:hAnsi="Times New Roman" w:cs="Times New Roman"/>
          <w:sz w:val="24"/>
          <w:szCs w:val="24"/>
        </w:rPr>
        <w:t xml:space="preserve"> gaps</w:t>
      </w:r>
      <w:r w:rsidR="002765E7" w:rsidRPr="00774EDB">
        <w:rPr>
          <w:rFonts w:ascii="Times New Roman" w:hAnsi="Times New Roman" w:cs="Times New Roman"/>
          <w:sz w:val="24"/>
          <w:szCs w:val="24"/>
        </w:rPr>
        <w:t xml:space="preserve"> </w:t>
      </w:r>
      <w:r w:rsidR="00946E6D" w:rsidRPr="00774EDB">
        <w:rPr>
          <w:rFonts w:ascii="Times New Roman" w:hAnsi="Times New Roman" w:cs="Times New Roman"/>
          <w:sz w:val="24"/>
          <w:szCs w:val="24"/>
        </w:rPr>
        <w:t xml:space="preserve">and problems </w:t>
      </w:r>
      <w:r w:rsidR="00231011" w:rsidRPr="00774EDB">
        <w:rPr>
          <w:rFonts w:ascii="Times New Roman" w:hAnsi="Times New Roman" w:cs="Times New Roman"/>
          <w:sz w:val="24"/>
          <w:szCs w:val="24"/>
        </w:rPr>
        <w:t xml:space="preserve">are </w:t>
      </w:r>
      <w:r w:rsidR="002765E7" w:rsidRPr="00774EDB">
        <w:rPr>
          <w:rFonts w:ascii="Times New Roman" w:hAnsi="Times New Roman" w:cs="Times New Roman"/>
          <w:sz w:val="24"/>
          <w:szCs w:val="24"/>
        </w:rPr>
        <w:t>diminish</w:t>
      </w:r>
      <w:r w:rsidR="00231011" w:rsidRPr="00774EDB">
        <w:rPr>
          <w:rFonts w:ascii="Times New Roman" w:hAnsi="Times New Roman" w:cs="Times New Roman"/>
          <w:sz w:val="24"/>
          <w:szCs w:val="24"/>
        </w:rPr>
        <w:t>ed</w:t>
      </w:r>
      <w:r w:rsidR="00946E6D" w:rsidRPr="00774EDB">
        <w:rPr>
          <w:rFonts w:ascii="Times New Roman" w:hAnsi="Times New Roman" w:cs="Times New Roman"/>
          <w:sz w:val="24"/>
          <w:szCs w:val="24"/>
        </w:rPr>
        <w:t xml:space="preserve"> through self-regulatory ecosystems</w:t>
      </w:r>
      <w:r w:rsidR="0022179F">
        <w:rPr>
          <w:rFonts w:ascii="Times New Roman" w:hAnsi="Times New Roman" w:cs="Times New Roman"/>
          <w:sz w:val="24"/>
          <w:szCs w:val="24"/>
        </w:rPr>
        <w:t>, additional remedies would need to be invoked for a sustainable ICT landscape</w:t>
      </w:r>
      <w:r w:rsidR="00946E6D" w:rsidRPr="00774EDB">
        <w:rPr>
          <w:rFonts w:ascii="Times New Roman" w:hAnsi="Times New Roman" w:cs="Times New Roman"/>
          <w:sz w:val="24"/>
          <w:szCs w:val="24"/>
        </w:rPr>
        <w:t>.</w:t>
      </w:r>
      <w:r w:rsidR="002765E7" w:rsidRPr="00774EDB">
        <w:rPr>
          <w:rFonts w:ascii="Times New Roman" w:hAnsi="Times New Roman" w:cs="Times New Roman"/>
          <w:sz w:val="24"/>
          <w:szCs w:val="24"/>
        </w:rPr>
        <w:t xml:space="preserve">         </w:t>
      </w:r>
      <w:r w:rsidR="00C50572" w:rsidRPr="00774EDB">
        <w:rPr>
          <w:rFonts w:ascii="Times New Roman" w:hAnsi="Times New Roman" w:cs="Times New Roman"/>
          <w:sz w:val="24"/>
          <w:szCs w:val="24"/>
        </w:rPr>
        <w:t xml:space="preserve"> </w:t>
      </w:r>
      <w:r w:rsidR="00B6756B" w:rsidRPr="00774EDB">
        <w:rPr>
          <w:rFonts w:ascii="Times New Roman" w:hAnsi="Times New Roman" w:cs="Times New Roman"/>
          <w:sz w:val="24"/>
          <w:szCs w:val="24"/>
        </w:rPr>
        <w:t xml:space="preserve">  </w:t>
      </w:r>
      <w:r w:rsidR="00285286" w:rsidRPr="00774EDB">
        <w:rPr>
          <w:rFonts w:ascii="Times New Roman" w:hAnsi="Times New Roman" w:cs="Times New Roman"/>
          <w:sz w:val="24"/>
          <w:szCs w:val="24"/>
        </w:rPr>
        <w:t xml:space="preserve"> </w:t>
      </w:r>
      <w:r w:rsidR="00DC4975" w:rsidRPr="00774EDB">
        <w:rPr>
          <w:rFonts w:ascii="Times New Roman" w:hAnsi="Times New Roman" w:cs="Times New Roman"/>
          <w:sz w:val="24"/>
          <w:szCs w:val="24"/>
        </w:rPr>
        <w:t xml:space="preserve">    </w:t>
      </w:r>
      <w:r w:rsidR="007E6D8C" w:rsidRPr="00774EDB">
        <w:rPr>
          <w:rFonts w:ascii="Times New Roman" w:hAnsi="Times New Roman" w:cs="Times New Roman"/>
          <w:sz w:val="24"/>
          <w:szCs w:val="24"/>
        </w:rPr>
        <w:t xml:space="preserve"> </w:t>
      </w:r>
    </w:p>
    <w:p w14:paraId="3B95E7E2" w14:textId="052E7980" w:rsidR="00144F7C" w:rsidRDefault="0022179F" w:rsidP="00A70042">
      <w:pPr>
        <w:spacing w:before="360"/>
        <w:jc w:val="both"/>
        <w:rPr>
          <w:rFonts w:ascii="Times New Roman" w:hAnsi="Times New Roman" w:cs="Times New Roman"/>
          <w:sz w:val="24"/>
          <w:szCs w:val="24"/>
        </w:rPr>
      </w:pPr>
      <w:r>
        <w:rPr>
          <w:rFonts w:ascii="Times New Roman" w:hAnsi="Times New Roman" w:cs="Times New Roman"/>
          <w:sz w:val="24"/>
          <w:szCs w:val="24"/>
        </w:rPr>
        <w:t>According to</w:t>
      </w:r>
      <w:r w:rsidR="00285889" w:rsidRPr="00774EDB">
        <w:rPr>
          <w:rFonts w:ascii="Times New Roman" w:hAnsi="Times New Roman" w:cs="Times New Roman"/>
          <w:sz w:val="24"/>
          <w:szCs w:val="24"/>
        </w:rPr>
        <w:t xml:space="preserve"> the response taken from the ICT players and </w:t>
      </w:r>
      <w:r>
        <w:rPr>
          <w:rFonts w:ascii="Times New Roman" w:hAnsi="Times New Roman" w:cs="Times New Roman"/>
          <w:sz w:val="24"/>
          <w:szCs w:val="24"/>
        </w:rPr>
        <w:t xml:space="preserve">their </w:t>
      </w:r>
      <w:r w:rsidR="0039171E">
        <w:rPr>
          <w:rFonts w:ascii="Times New Roman" w:hAnsi="Times New Roman" w:cs="Times New Roman"/>
          <w:sz w:val="24"/>
          <w:szCs w:val="24"/>
        </w:rPr>
        <w:t>level of commitment to</w:t>
      </w:r>
      <w:r>
        <w:rPr>
          <w:rFonts w:ascii="Times New Roman" w:hAnsi="Times New Roman" w:cs="Times New Roman"/>
          <w:sz w:val="24"/>
          <w:szCs w:val="24"/>
        </w:rPr>
        <w:t xml:space="preserve"> the </w:t>
      </w:r>
      <w:r w:rsidR="0039171E">
        <w:rPr>
          <w:rFonts w:ascii="Times New Roman" w:hAnsi="Times New Roman" w:cs="Times New Roman"/>
          <w:sz w:val="24"/>
          <w:szCs w:val="24"/>
        </w:rPr>
        <w:t xml:space="preserve">governing </w:t>
      </w:r>
      <w:r>
        <w:rPr>
          <w:rFonts w:ascii="Times New Roman" w:hAnsi="Times New Roman" w:cs="Times New Roman"/>
          <w:sz w:val="24"/>
          <w:szCs w:val="24"/>
        </w:rPr>
        <w:t>principles</w:t>
      </w:r>
      <w:r w:rsidR="0039171E">
        <w:rPr>
          <w:rFonts w:ascii="Times New Roman" w:hAnsi="Times New Roman" w:cs="Times New Roman"/>
          <w:sz w:val="24"/>
          <w:szCs w:val="24"/>
        </w:rPr>
        <w:t>,</w:t>
      </w:r>
      <w:r>
        <w:rPr>
          <w:rFonts w:ascii="Times New Roman" w:hAnsi="Times New Roman" w:cs="Times New Roman"/>
          <w:sz w:val="24"/>
          <w:szCs w:val="24"/>
        </w:rPr>
        <w:t xml:space="preserve"> further</w:t>
      </w:r>
      <w:r w:rsidR="00285889" w:rsidRPr="00774EDB">
        <w:rPr>
          <w:rFonts w:ascii="Times New Roman" w:hAnsi="Times New Roman" w:cs="Times New Roman"/>
          <w:sz w:val="24"/>
          <w:szCs w:val="24"/>
        </w:rPr>
        <w:t xml:space="preserve"> remedies</w:t>
      </w:r>
      <w:r>
        <w:rPr>
          <w:rFonts w:ascii="Times New Roman" w:hAnsi="Times New Roman" w:cs="Times New Roman"/>
          <w:sz w:val="24"/>
          <w:szCs w:val="24"/>
        </w:rPr>
        <w:t xml:space="preserve"> may always be necessary</w:t>
      </w:r>
      <w:r w:rsidR="00285889" w:rsidRPr="00774EDB">
        <w:rPr>
          <w:rFonts w:ascii="Times New Roman" w:hAnsi="Times New Roman" w:cs="Times New Roman"/>
          <w:sz w:val="24"/>
          <w:szCs w:val="24"/>
        </w:rPr>
        <w:t xml:space="preserve">. </w:t>
      </w:r>
      <w:r w:rsidR="0039171E" w:rsidRPr="0039171E">
        <w:rPr>
          <w:rFonts w:ascii="Times New Roman" w:hAnsi="Times New Roman" w:cs="Times New Roman"/>
          <w:sz w:val="24"/>
          <w:szCs w:val="24"/>
        </w:rPr>
        <w:t xml:space="preserve">In this regard, </w:t>
      </w:r>
      <w:r w:rsidR="000F182C">
        <w:rPr>
          <w:rFonts w:ascii="Times New Roman" w:hAnsi="Times New Roman" w:cs="Times New Roman"/>
          <w:sz w:val="24"/>
          <w:szCs w:val="24"/>
        </w:rPr>
        <w:t>a ‘one size fits all’ approach would not respond</w:t>
      </w:r>
      <w:r w:rsidR="000F182C" w:rsidRPr="0039171E">
        <w:rPr>
          <w:rFonts w:ascii="Times New Roman" w:hAnsi="Times New Roman" w:cs="Times New Roman"/>
          <w:sz w:val="24"/>
          <w:szCs w:val="24"/>
        </w:rPr>
        <w:t xml:space="preserve"> </w:t>
      </w:r>
      <w:r w:rsidR="0039171E" w:rsidRPr="0039171E">
        <w:rPr>
          <w:rFonts w:ascii="Times New Roman" w:hAnsi="Times New Roman" w:cs="Times New Roman"/>
          <w:sz w:val="24"/>
          <w:szCs w:val="24"/>
        </w:rPr>
        <w:t>each layer</w:t>
      </w:r>
      <w:r w:rsidR="000F182C">
        <w:rPr>
          <w:rFonts w:ascii="Times New Roman" w:hAnsi="Times New Roman" w:cs="Times New Roman"/>
          <w:sz w:val="24"/>
          <w:szCs w:val="24"/>
        </w:rPr>
        <w:t>’s</w:t>
      </w:r>
      <w:r w:rsidR="0039171E" w:rsidRPr="0039171E">
        <w:rPr>
          <w:rFonts w:ascii="Times New Roman" w:hAnsi="Times New Roman" w:cs="Times New Roman"/>
          <w:sz w:val="24"/>
          <w:szCs w:val="24"/>
        </w:rPr>
        <w:t xml:space="preserve"> distinctive gatekeeping activities</w:t>
      </w:r>
      <w:r w:rsidR="00325A41">
        <w:rPr>
          <w:rFonts w:ascii="Times New Roman" w:hAnsi="Times New Roman" w:cs="Times New Roman"/>
          <w:sz w:val="24"/>
          <w:szCs w:val="24"/>
        </w:rPr>
        <w:t>,</w:t>
      </w:r>
      <w:r w:rsidR="0039171E" w:rsidRPr="0039171E">
        <w:rPr>
          <w:rFonts w:ascii="Times New Roman" w:hAnsi="Times New Roman" w:cs="Times New Roman"/>
          <w:sz w:val="24"/>
          <w:szCs w:val="24"/>
        </w:rPr>
        <w:t xml:space="preserve"> </w:t>
      </w:r>
      <w:r w:rsidR="000F182C">
        <w:rPr>
          <w:rFonts w:ascii="Times New Roman" w:hAnsi="Times New Roman" w:cs="Times New Roman"/>
          <w:sz w:val="24"/>
          <w:szCs w:val="24"/>
        </w:rPr>
        <w:t>some of which could be</w:t>
      </w:r>
      <w:r w:rsidR="0039171E" w:rsidRPr="0039171E">
        <w:rPr>
          <w:rFonts w:ascii="Times New Roman" w:hAnsi="Times New Roman" w:cs="Times New Roman"/>
          <w:sz w:val="24"/>
          <w:szCs w:val="24"/>
        </w:rPr>
        <w:t xml:space="preserve"> addressed </w:t>
      </w:r>
      <w:r w:rsidR="00325A41">
        <w:rPr>
          <w:rFonts w:ascii="Times New Roman" w:hAnsi="Times New Roman" w:cs="Times New Roman"/>
          <w:sz w:val="24"/>
          <w:szCs w:val="24"/>
        </w:rPr>
        <w:t>more easily or effectively than others</w:t>
      </w:r>
      <w:r w:rsidR="0039171E" w:rsidRPr="0039171E">
        <w:rPr>
          <w:rFonts w:ascii="Times New Roman" w:hAnsi="Times New Roman" w:cs="Times New Roman"/>
          <w:sz w:val="24"/>
          <w:szCs w:val="24"/>
        </w:rPr>
        <w:t xml:space="preserve">. </w:t>
      </w:r>
      <w:r w:rsidR="0039171E">
        <w:rPr>
          <w:rFonts w:ascii="Times New Roman" w:hAnsi="Times New Roman" w:cs="Times New Roman"/>
          <w:sz w:val="24"/>
          <w:szCs w:val="24"/>
        </w:rPr>
        <w:t>T</w:t>
      </w:r>
      <w:r w:rsidR="00285889" w:rsidRPr="00774EDB">
        <w:rPr>
          <w:rFonts w:ascii="Times New Roman" w:hAnsi="Times New Roman" w:cs="Times New Roman"/>
          <w:sz w:val="24"/>
          <w:szCs w:val="24"/>
        </w:rPr>
        <w:t xml:space="preserve">he principle of </w:t>
      </w:r>
      <w:r w:rsidR="00144F7C">
        <w:rPr>
          <w:rFonts w:ascii="Times New Roman" w:hAnsi="Times New Roman" w:cs="Times New Roman"/>
          <w:sz w:val="24"/>
          <w:szCs w:val="24"/>
        </w:rPr>
        <w:t>‘</w:t>
      </w:r>
      <w:r>
        <w:rPr>
          <w:rFonts w:ascii="Times New Roman" w:hAnsi="Times New Roman" w:cs="Times New Roman"/>
          <w:sz w:val="24"/>
          <w:szCs w:val="24"/>
        </w:rPr>
        <w:t xml:space="preserve">homogenous </w:t>
      </w:r>
      <w:r w:rsidR="00285889" w:rsidRPr="00774EDB">
        <w:rPr>
          <w:rFonts w:ascii="Times New Roman" w:hAnsi="Times New Roman" w:cs="Times New Roman"/>
          <w:sz w:val="24"/>
          <w:szCs w:val="24"/>
        </w:rPr>
        <w:t xml:space="preserve">regulatory </w:t>
      </w:r>
      <w:r>
        <w:rPr>
          <w:rFonts w:ascii="Times New Roman" w:hAnsi="Times New Roman" w:cs="Times New Roman"/>
          <w:sz w:val="24"/>
          <w:szCs w:val="24"/>
        </w:rPr>
        <w:t>treatment’</w:t>
      </w:r>
      <w:r w:rsidRPr="00774EDB">
        <w:rPr>
          <w:rFonts w:ascii="Times New Roman" w:hAnsi="Times New Roman" w:cs="Times New Roman"/>
          <w:sz w:val="24"/>
          <w:szCs w:val="24"/>
        </w:rPr>
        <w:t xml:space="preserve"> </w:t>
      </w:r>
      <w:r w:rsidR="00285889" w:rsidRPr="00774EDB">
        <w:rPr>
          <w:rFonts w:ascii="Times New Roman" w:hAnsi="Times New Roman" w:cs="Times New Roman"/>
          <w:sz w:val="24"/>
          <w:szCs w:val="24"/>
        </w:rPr>
        <w:t xml:space="preserve">does not </w:t>
      </w:r>
      <w:r>
        <w:rPr>
          <w:rFonts w:ascii="Times New Roman" w:hAnsi="Times New Roman" w:cs="Times New Roman"/>
          <w:sz w:val="24"/>
          <w:szCs w:val="24"/>
        </w:rPr>
        <w:t>contradict with</w:t>
      </w:r>
      <w:r w:rsidRPr="00774EDB">
        <w:rPr>
          <w:rFonts w:ascii="Times New Roman" w:hAnsi="Times New Roman" w:cs="Times New Roman"/>
          <w:sz w:val="24"/>
          <w:szCs w:val="24"/>
        </w:rPr>
        <w:t xml:space="preserve"> </w:t>
      </w:r>
      <w:r w:rsidR="00285889" w:rsidRPr="00774EDB">
        <w:rPr>
          <w:rFonts w:ascii="Times New Roman" w:hAnsi="Times New Roman" w:cs="Times New Roman"/>
          <w:sz w:val="24"/>
          <w:szCs w:val="24"/>
        </w:rPr>
        <w:t>applying appropriate</w:t>
      </w:r>
      <w:r w:rsidR="00325A41">
        <w:rPr>
          <w:rFonts w:ascii="Times New Roman" w:hAnsi="Times New Roman" w:cs="Times New Roman"/>
          <w:sz w:val="24"/>
          <w:szCs w:val="24"/>
        </w:rPr>
        <w:t>ly chosen</w:t>
      </w:r>
      <w:r w:rsidR="00285889" w:rsidRPr="00774EDB">
        <w:rPr>
          <w:rFonts w:ascii="Times New Roman" w:hAnsi="Times New Roman" w:cs="Times New Roman"/>
          <w:sz w:val="24"/>
          <w:szCs w:val="24"/>
        </w:rPr>
        <w:t xml:space="preserve"> and</w:t>
      </w:r>
      <w:r w:rsidR="00325A41">
        <w:rPr>
          <w:rFonts w:ascii="Times New Roman" w:hAnsi="Times New Roman" w:cs="Times New Roman"/>
          <w:sz w:val="24"/>
          <w:szCs w:val="24"/>
        </w:rPr>
        <w:t>/or</w:t>
      </w:r>
      <w:r w:rsidR="00285889" w:rsidRPr="00774EDB">
        <w:rPr>
          <w:rFonts w:ascii="Times New Roman" w:hAnsi="Times New Roman" w:cs="Times New Roman"/>
          <w:sz w:val="24"/>
          <w:szCs w:val="24"/>
        </w:rPr>
        <w:t xml:space="preserve"> filtered remedies </w:t>
      </w:r>
      <w:r>
        <w:rPr>
          <w:rFonts w:ascii="Times New Roman" w:hAnsi="Times New Roman" w:cs="Times New Roman"/>
          <w:sz w:val="24"/>
          <w:szCs w:val="24"/>
        </w:rPr>
        <w:t>against</w:t>
      </w:r>
      <w:r w:rsidRPr="00774EDB">
        <w:rPr>
          <w:rFonts w:ascii="Times New Roman" w:hAnsi="Times New Roman" w:cs="Times New Roman"/>
          <w:sz w:val="24"/>
          <w:szCs w:val="24"/>
        </w:rPr>
        <w:t xml:space="preserve"> </w:t>
      </w:r>
      <w:r w:rsidR="00285889" w:rsidRPr="00774EDB">
        <w:rPr>
          <w:rFonts w:ascii="Times New Roman" w:hAnsi="Times New Roman" w:cs="Times New Roman"/>
          <w:sz w:val="24"/>
          <w:szCs w:val="24"/>
        </w:rPr>
        <w:t xml:space="preserve">the gatekeeping activities </w:t>
      </w:r>
      <w:r w:rsidR="0039171E">
        <w:rPr>
          <w:rFonts w:ascii="Times New Roman" w:hAnsi="Times New Roman" w:cs="Times New Roman"/>
          <w:sz w:val="24"/>
          <w:szCs w:val="24"/>
        </w:rPr>
        <w:t xml:space="preserve">that are </w:t>
      </w:r>
      <w:r w:rsidR="00285889" w:rsidRPr="00774EDB">
        <w:rPr>
          <w:rFonts w:ascii="Times New Roman" w:hAnsi="Times New Roman" w:cs="Times New Roman"/>
          <w:sz w:val="24"/>
          <w:szCs w:val="24"/>
        </w:rPr>
        <w:t xml:space="preserve">encountered in </w:t>
      </w:r>
      <w:r w:rsidR="00946E6D" w:rsidRPr="00774EDB">
        <w:rPr>
          <w:rFonts w:ascii="Times New Roman" w:hAnsi="Times New Roman" w:cs="Times New Roman"/>
          <w:sz w:val="24"/>
          <w:szCs w:val="24"/>
        </w:rPr>
        <w:t>related</w:t>
      </w:r>
      <w:r w:rsidR="00285889" w:rsidRPr="00774EDB">
        <w:rPr>
          <w:rFonts w:ascii="Times New Roman" w:hAnsi="Times New Roman" w:cs="Times New Roman"/>
          <w:sz w:val="24"/>
          <w:szCs w:val="24"/>
        </w:rPr>
        <w:t xml:space="preserve"> layer</w:t>
      </w:r>
      <w:r w:rsidR="00946E6D" w:rsidRPr="00774EDB">
        <w:rPr>
          <w:rFonts w:ascii="Times New Roman" w:hAnsi="Times New Roman" w:cs="Times New Roman"/>
          <w:sz w:val="24"/>
          <w:szCs w:val="24"/>
        </w:rPr>
        <w:t>(s)</w:t>
      </w:r>
      <w:r w:rsidR="00285889" w:rsidRPr="00774EDB">
        <w:rPr>
          <w:rFonts w:ascii="Times New Roman" w:hAnsi="Times New Roman" w:cs="Times New Roman"/>
          <w:sz w:val="24"/>
          <w:szCs w:val="24"/>
        </w:rPr>
        <w:t>.</w:t>
      </w:r>
      <w:r w:rsidR="00144F7C">
        <w:rPr>
          <w:rFonts w:ascii="Times New Roman" w:hAnsi="Times New Roman" w:cs="Times New Roman"/>
          <w:sz w:val="24"/>
          <w:szCs w:val="24"/>
        </w:rPr>
        <w:t xml:space="preserve"> </w:t>
      </w:r>
    </w:p>
    <w:p w14:paraId="0559C7B1" w14:textId="62F7E01D" w:rsidR="00285889" w:rsidRPr="00774EDB" w:rsidRDefault="0028588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For instance, in the application layer would exist a self-regulatory ecosystem, within which access and interoperability problems are already resolved and only the need for certain remedies concerning transparency and accountability. On the other hand, in the </w:t>
      </w:r>
      <w:r w:rsidRPr="00774EDB">
        <w:rPr>
          <w:rFonts w:ascii="Times New Roman" w:hAnsi="Times New Roman" w:cs="Times New Roman"/>
          <w:sz w:val="24"/>
          <w:szCs w:val="24"/>
        </w:rPr>
        <w:lastRenderedPageBreak/>
        <w:t xml:space="preserve">middleware layer the need for ex-ante regulation would embody more obligations, starting with access and interoperability and proceeding with further ones e.g. transparency and redesigning the underlying software and algorithms. It should also be </w:t>
      </w:r>
      <w:r w:rsidR="00521226">
        <w:rPr>
          <w:rFonts w:ascii="Times New Roman" w:hAnsi="Times New Roman" w:cs="Times New Roman"/>
          <w:sz w:val="24"/>
          <w:szCs w:val="24"/>
        </w:rPr>
        <w:t>underlin</w:t>
      </w:r>
      <w:r w:rsidRPr="00774EDB">
        <w:rPr>
          <w:rFonts w:ascii="Times New Roman" w:hAnsi="Times New Roman" w:cs="Times New Roman"/>
          <w:sz w:val="24"/>
          <w:szCs w:val="24"/>
        </w:rPr>
        <w:t xml:space="preserve">ed that many of the gatekeeping activities cut across the layers and would need to be dealt with by cross-layer remedies. While gatekeeping activities usually originate from one layer, their cross-layer nature would require regulators to formulate the obligations in a multi-layered fashion.    </w:t>
      </w:r>
    </w:p>
    <w:p w14:paraId="3EC73DC9" w14:textId="03082D7B" w:rsidR="00EB2AD2" w:rsidRPr="00774EDB" w:rsidRDefault="00285889"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Overall, implementing layer-specific or cross-layer remedies </w:t>
      </w:r>
      <w:r w:rsidR="00521226">
        <w:rPr>
          <w:rFonts w:ascii="Times New Roman" w:hAnsi="Times New Roman" w:cs="Times New Roman"/>
          <w:sz w:val="24"/>
          <w:szCs w:val="24"/>
        </w:rPr>
        <w:t>represent</w:t>
      </w:r>
      <w:r w:rsidRPr="00774EDB">
        <w:rPr>
          <w:rFonts w:ascii="Times New Roman" w:hAnsi="Times New Roman" w:cs="Times New Roman"/>
          <w:sz w:val="24"/>
          <w:szCs w:val="24"/>
        </w:rPr>
        <w:t xml:space="preserve"> </w:t>
      </w:r>
      <w:r w:rsidR="00521226">
        <w:rPr>
          <w:rFonts w:ascii="Times New Roman" w:hAnsi="Times New Roman" w:cs="Times New Roman"/>
          <w:sz w:val="24"/>
          <w:szCs w:val="24"/>
        </w:rPr>
        <w:t>the</w:t>
      </w:r>
      <w:r w:rsidR="00521226" w:rsidRPr="00774EDB">
        <w:rPr>
          <w:rFonts w:ascii="Times New Roman" w:hAnsi="Times New Roman" w:cs="Times New Roman"/>
          <w:sz w:val="24"/>
          <w:szCs w:val="24"/>
        </w:rPr>
        <w:t xml:space="preserve"> </w:t>
      </w:r>
      <w:r w:rsidR="00D3611E" w:rsidRPr="00774EDB">
        <w:rPr>
          <w:rFonts w:ascii="Times New Roman" w:hAnsi="Times New Roman" w:cs="Times New Roman"/>
          <w:sz w:val="24"/>
          <w:szCs w:val="24"/>
        </w:rPr>
        <w:t>final</w:t>
      </w:r>
      <w:r w:rsidR="0039171E">
        <w:rPr>
          <w:rFonts w:ascii="Times New Roman" w:hAnsi="Times New Roman" w:cs="Times New Roman"/>
          <w:sz w:val="24"/>
          <w:szCs w:val="24"/>
        </w:rPr>
        <w:t xml:space="preserve"> phase</w:t>
      </w:r>
      <w:r w:rsidRPr="00774EDB">
        <w:rPr>
          <w:rFonts w:ascii="Times New Roman" w:hAnsi="Times New Roman" w:cs="Times New Roman"/>
          <w:sz w:val="24"/>
          <w:szCs w:val="24"/>
        </w:rPr>
        <w:t xml:space="preserve"> of </w:t>
      </w:r>
      <w:r w:rsidR="006E0761">
        <w:rPr>
          <w:rFonts w:ascii="Times New Roman" w:hAnsi="Times New Roman" w:cs="Times New Roman"/>
          <w:sz w:val="24"/>
          <w:szCs w:val="24"/>
        </w:rPr>
        <w:t>this</w:t>
      </w:r>
      <w:r w:rsidRPr="00774EDB">
        <w:rPr>
          <w:rFonts w:ascii="Times New Roman" w:hAnsi="Times New Roman" w:cs="Times New Roman"/>
          <w:sz w:val="24"/>
          <w:szCs w:val="24"/>
        </w:rPr>
        <w:t xml:space="preserve"> </w:t>
      </w:r>
      <w:r w:rsidR="00F11225" w:rsidRPr="00774EDB">
        <w:rPr>
          <w:rFonts w:ascii="Times New Roman" w:hAnsi="Times New Roman" w:cs="Times New Roman"/>
          <w:sz w:val="24"/>
          <w:szCs w:val="24"/>
        </w:rPr>
        <w:t>dynamic</w:t>
      </w:r>
      <w:r w:rsidR="00D3611E" w:rsidRPr="00774EDB">
        <w:rPr>
          <w:rFonts w:ascii="Times New Roman" w:hAnsi="Times New Roman" w:cs="Times New Roman"/>
          <w:sz w:val="24"/>
          <w:szCs w:val="24"/>
        </w:rPr>
        <w:t xml:space="preserve"> </w:t>
      </w:r>
      <w:r w:rsidR="00521226">
        <w:rPr>
          <w:rFonts w:ascii="Times New Roman" w:hAnsi="Times New Roman" w:cs="Times New Roman"/>
          <w:sz w:val="24"/>
          <w:szCs w:val="24"/>
        </w:rPr>
        <w:t xml:space="preserve">and </w:t>
      </w:r>
      <w:r w:rsidR="0039171E">
        <w:rPr>
          <w:rFonts w:ascii="Times New Roman" w:hAnsi="Times New Roman" w:cs="Times New Roman"/>
          <w:sz w:val="24"/>
          <w:szCs w:val="24"/>
        </w:rPr>
        <w:t xml:space="preserve">bottom-up </w:t>
      </w:r>
      <w:r w:rsidR="006E0761">
        <w:rPr>
          <w:rFonts w:ascii="Times New Roman" w:hAnsi="Times New Roman" w:cs="Times New Roman"/>
          <w:sz w:val="24"/>
          <w:szCs w:val="24"/>
        </w:rPr>
        <w:t xml:space="preserve">process, </w:t>
      </w:r>
      <w:r w:rsidR="0039171E">
        <w:rPr>
          <w:rFonts w:ascii="Times New Roman" w:hAnsi="Times New Roman" w:cs="Times New Roman"/>
          <w:sz w:val="24"/>
          <w:szCs w:val="24"/>
        </w:rPr>
        <w:t xml:space="preserve">through </w:t>
      </w:r>
      <w:r w:rsidR="006E0761">
        <w:rPr>
          <w:rFonts w:ascii="Times New Roman" w:hAnsi="Times New Roman" w:cs="Times New Roman"/>
          <w:sz w:val="24"/>
          <w:szCs w:val="24"/>
        </w:rPr>
        <w:t>which regulator</w:t>
      </w:r>
      <w:r w:rsidR="00521226">
        <w:rPr>
          <w:rFonts w:ascii="Times New Roman" w:hAnsi="Times New Roman" w:cs="Times New Roman"/>
          <w:sz w:val="24"/>
          <w:szCs w:val="24"/>
        </w:rPr>
        <w:t>s</w:t>
      </w:r>
      <w:r w:rsidR="006E0761">
        <w:rPr>
          <w:rFonts w:ascii="Times New Roman" w:hAnsi="Times New Roman" w:cs="Times New Roman"/>
          <w:sz w:val="24"/>
          <w:szCs w:val="24"/>
        </w:rPr>
        <w:t xml:space="preserve"> </w:t>
      </w:r>
      <w:r w:rsidR="00521226">
        <w:rPr>
          <w:rFonts w:ascii="Times New Roman" w:hAnsi="Times New Roman" w:cs="Times New Roman"/>
          <w:sz w:val="24"/>
          <w:szCs w:val="24"/>
        </w:rPr>
        <w:t xml:space="preserve">would </w:t>
      </w:r>
      <w:r w:rsidR="00042585">
        <w:rPr>
          <w:rFonts w:ascii="Times New Roman" w:hAnsi="Times New Roman" w:cs="Times New Roman"/>
          <w:sz w:val="24"/>
          <w:szCs w:val="24"/>
        </w:rPr>
        <w:t>oversee</w:t>
      </w:r>
      <w:r w:rsidR="00DD2E19">
        <w:rPr>
          <w:rFonts w:ascii="Times New Roman" w:hAnsi="Times New Roman" w:cs="Times New Roman"/>
          <w:sz w:val="24"/>
          <w:szCs w:val="24"/>
        </w:rPr>
        <w:t xml:space="preserve"> </w:t>
      </w:r>
      <w:r w:rsidR="000F182C">
        <w:rPr>
          <w:rFonts w:ascii="Times New Roman" w:hAnsi="Times New Roman" w:cs="Times New Roman"/>
          <w:sz w:val="24"/>
          <w:szCs w:val="24"/>
        </w:rPr>
        <w:t xml:space="preserve">and </w:t>
      </w:r>
      <w:r w:rsidR="00D43A95">
        <w:rPr>
          <w:rFonts w:ascii="Times New Roman" w:hAnsi="Times New Roman" w:cs="Times New Roman"/>
          <w:sz w:val="24"/>
          <w:szCs w:val="24"/>
        </w:rPr>
        <w:t>reconsider</w:t>
      </w:r>
      <w:r w:rsidR="000F182C">
        <w:rPr>
          <w:rFonts w:ascii="Times New Roman" w:hAnsi="Times New Roman" w:cs="Times New Roman"/>
          <w:sz w:val="24"/>
          <w:szCs w:val="24"/>
        </w:rPr>
        <w:t xml:space="preserve"> </w:t>
      </w:r>
      <w:r w:rsidRPr="00774EDB">
        <w:rPr>
          <w:rFonts w:ascii="Times New Roman" w:hAnsi="Times New Roman" w:cs="Times New Roman"/>
          <w:sz w:val="24"/>
          <w:szCs w:val="24"/>
        </w:rPr>
        <w:t xml:space="preserve">the </w:t>
      </w:r>
      <w:r w:rsidR="00521226">
        <w:rPr>
          <w:rFonts w:ascii="Times New Roman" w:hAnsi="Times New Roman" w:cs="Times New Roman"/>
          <w:sz w:val="24"/>
          <w:szCs w:val="24"/>
        </w:rPr>
        <w:t>a</w:t>
      </w:r>
      <w:r w:rsidR="00D43A95">
        <w:rPr>
          <w:rFonts w:ascii="Times New Roman" w:hAnsi="Times New Roman" w:cs="Times New Roman"/>
          <w:sz w:val="24"/>
          <w:szCs w:val="24"/>
        </w:rPr>
        <w:t>pplica</w:t>
      </w:r>
      <w:r w:rsidR="00521226">
        <w:rPr>
          <w:rFonts w:ascii="Times New Roman" w:hAnsi="Times New Roman" w:cs="Times New Roman"/>
          <w:sz w:val="24"/>
          <w:szCs w:val="24"/>
        </w:rPr>
        <w:t>ble</w:t>
      </w:r>
      <w:r w:rsidR="00521226" w:rsidRPr="00774EDB">
        <w:rPr>
          <w:rFonts w:ascii="Times New Roman" w:hAnsi="Times New Roman" w:cs="Times New Roman"/>
          <w:sz w:val="24"/>
          <w:szCs w:val="24"/>
        </w:rPr>
        <w:t xml:space="preserve"> </w:t>
      </w:r>
      <w:r w:rsidR="00D43A95">
        <w:rPr>
          <w:rFonts w:ascii="Times New Roman" w:hAnsi="Times New Roman" w:cs="Times New Roman"/>
          <w:sz w:val="24"/>
          <w:szCs w:val="24"/>
        </w:rPr>
        <w:t xml:space="preserve">gatekeeping </w:t>
      </w:r>
      <w:r w:rsidRPr="00774EDB">
        <w:rPr>
          <w:rFonts w:ascii="Times New Roman" w:hAnsi="Times New Roman" w:cs="Times New Roman"/>
          <w:sz w:val="24"/>
          <w:szCs w:val="24"/>
        </w:rPr>
        <w:t>obligations</w:t>
      </w:r>
      <w:r w:rsidR="000F182C">
        <w:rPr>
          <w:rFonts w:ascii="Times New Roman" w:hAnsi="Times New Roman" w:cs="Times New Roman"/>
          <w:sz w:val="24"/>
          <w:szCs w:val="24"/>
        </w:rPr>
        <w:t>, from a holistic perspective</w:t>
      </w:r>
      <w:r w:rsidRPr="00774EDB">
        <w:rPr>
          <w:rFonts w:ascii="Times New Roman" w:hAnsi="Times New Roman" w:cs="Times New Roman"/>
          <w:sz w:val="24"/>
          <w:szCs w:val="24"/>
        </w:rPr>
        <w:t xml:space="preserve">. </w:t>
      </w:r>
      <w:r w:rsidR="008C70B4">
        <w:rPr>
          <w:rFonts w:ascii="Times New Roman" w:hAnsi="Times New Roman" w:cs="Times New Roman"/>
          <w:sz w:val="24"/>
          <w:szCs w:val="24"/>
        </w:rPr>
        <w:t xml:space="preserve">Given the evolving </w:t>
      </w:r>
      <w:r w:rsidR="00150983">
        <w:rPr>
          <w:rFonts w:ascii="Times New Roman" w:hAnsi="Times New Roman" w:cs="Times New Roman"/>
          <w:sz w:val="24"/>
          <w:szCs w:val="24"/>
        </w:rPr>
        <w:t xml:space="preserve">nature of the </w:t>
      </w:r>
      <w:r w:rsidR="008C70B4">
        <w:rPr>
          <w:rFonts w:ascii="Times New Roman" w:hAnsi="Times New Roman" w:cs="Times New Roman"/>
          <w:sz w:val="24"/>
          <w:szCs w:val="24"/>
        </w:rPr>
        <w:t>ICT settings</w:t>
      </w:r>
      <w:r w:rsidRPr="00774EDB">
        <w:rPr>
          <w:rFonts w:ascii="Times New Roman" w:hAnsi="Times New Roman" w:cs="Times New Roman"/>
          <w:sz w:val="24"/>
          <w:szCs w:val="24"/>
        </w:rPr>
        <w:t>, these remedies would need to be re</w:t>
      </w:r>
      <w:r w:rsidR="008C70B4">
        <w:rPr>
          <w:rFonts w:ascii="Times New Roman" w:hAnsi="Times New Roman" w:cs="Times New Roman"/>
          <w:sz w:val="24"/>
          <w:szCs w:val="24"/>
        </w:rPr>
        <w:t>consider</w:t>
      </w:r>
      <w:r w:rsidRPr="00774EDB">
        <w:rPr>
          <w:rFonts w:ascii="Times New Roman" w:hAnsi="Times New Roman" w:cs="Times New Roman"/>
          <w:sz w:val="24"/>
          <w:szCs w:val="24"/>
        </w:rPr>
        <w:t>ed on a re</w:t>
      </w:r>
      <w:r w:rsidR="00F11225" w:rsidRPr="00774EDB">
        <w:rPr>
          <w:rFonts w:ascii="Times New Roman" w:hAnsi="Times New Roman" w:cs="Times New Roman"/>
          <w:sz w:val="24"/>
          <w:szCs w:val="24"/>
        </w:rPr>
        <w:t>curring</w:t>
      </w:r>
      <w:r w:rsidRPr="00774EDB">
        <w:rPr>
          <w:rFonts w:ascii="Times New Roman" w:hAnsi="Times New Roman" w:cs="Times New Roman"/>
          <w:sz w:val="24"/>
          <w:szCs w:val="24"/>
        </w:rPr>
        <w:t xml:space="preserve"> basis i.e. at least every five years</w:t>
      </w:r>
      <w:r w:rsidR="008C70B4">
        <w:rPr>
          <w:rFonts w:ascii="Times New Roman" w:hAnsi="Times New Roman" w:cs="Times New Roman"/>
          <w:sz w:val="24"/>
          <w:szCs w:val="24"/>
        </w:rPr>
        <w:t>,</w:t>
      </w:r>
      <w:r w:rsidR="00BD35F3" w:rsidRPr="00774EDB">
        <w:rPr>
          <w:rFonts w:ascii="Times New Roman" w:hAnsi="Times New Roman" w:cs="Times New Roman"/>
          <w:sz w:val="24"/>
          <w:szCs w:val="24"/>
        </w:rPr>
        <w:t xml:space="preserve"> </w:t>
      </w:r>
      <w:r w:rsidR="00521226">
        <w:rPr>
          <w:rFonts w:ascii="Times New Roman" w:hAnsi="Times New Roman" w:cs="Times New Roman"/>
          <w:sz w:val="24"/>
          <w:szCs w:val="24"/>
        </w:rPr>
        <w:t>or</w:t>
      </w:r>
      <w:r w:rsidR="00BD35F3" w:rsidRPr="00774EDB">
        <w:rPr>
          <w:rFonts w:ascii="Times New Roman" w:hAnsi="Times New Roman" w:cs="Times New Roman"/>
          <w:sz w:val="24"/>
          <w:szCs w:val="24"/>
        </w:rPr>
        <w:t xml:space="preserve"> in case of </w:t>
      </w:r>
      <w:r w:rsidR="00267E61" w:rsidRPr="00774EDB">
        <w:rPr>
          <w:rFonts w:ascii="Times New Roman" w:hAnsi="Times New Roman" w:cs="Times New Roman"/>
          <w:sz w:val="24"/>
          <w:szCs w:val="24"/>
        </w:rPr>
        <w:t>a pressing need for re-evaluation</w:t>
      </w:r>
      <w:r w:rsidRPr="00774EDB">
        <w:rPr>
          <w:rFonts w:ascii="Times New Roman" w:hAnsi="Times New Roman" w:cs="Times New Roman"/>
          <w:sz w:val="24"/>
          <w:szCs w:val="24"/>
        </w:rPr>
        <w:t xml:space="preserve">. </w:t>
      </w:r>
      <w:r w:rsidR="008C70B4">
        <w:rPr>
          <w:rFonts w:ascii="Times New Roman" w:hAnsi="Times New Roman" w:cs="Times New Roman"/>
          <w:sz w:val="24"/>
          <w:szCs w:val="24"/>
        </w:rPr>
        <w:t>Reflecting on this, t</w:t>
      </w:r>
      <w:r w:rsidRPr="00774EDB">
        <w:rPr>
          <w:rFonts w:ascii="Times New Roman" w:hAnsi="Times New Roman" w:cs="Times New Roman"/>
          <w:sz w:val="24"/>
          <w:szCs w:val="24"/>
        </w:rPr>
        <w:t>he figure below illustrates the key stages of the ‘layered regulatory model’.</w:t>
      </w:r>
    </w:p>
    <w:p w14:paraId="51F4EAA2" w14:textId="57C9EE8A" w:rsidR="00223044" w:rsidRPr="00A70042" w:rsidRDefault="00266E1E" w:rsidP="00A70042">
      <w:pPr>
        <w:spacing w:before="360" w:line="240"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02AE35FB" wp14:editId="0764CCF2">
            <wp:extent cx="5219700" cy="5181600"/>
            <wp:effectExtent l="0" t="0" r="0" b="0"/>
            <wp:docPr id="37" name="Resim 37" descr="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Resim 37" descr="Diagram"/>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19700" cy="5181600"/>
                    </a:xfrm>
                    <a:prstGeom prst="rect">
                      <a:avLst/>
                    </a:prstGeom>
                    <a:noFill/>
                    <a:ln>
                      <a:noFill/>
                    </a:ln>
                  </pic:spPr>
                </pic:pic>
              </a:graphicData>
            </a:graphic>
          </wp:inline>
        </w:drawing>
      </w:r>
    </w:p>
    <w:p w14:paraId="51C3BA84" w14:textId="5DB6444B" w:rsidR="00141C0E" w:rsidRPr="00260DA8" w:rsidRDefault="00141C0E" w:rsidP="00A70042">
      <w:pPr>
        <w:spacing w:before="120"/>
        <w:jc w:val="both"/>
        <w:outlineLvl w:val="7"/>
        <w:rPr>
          <w:rFonts w:ascii="Times New Roman" w:hAnsi="Times New Roman" w:cs="Times New Roman"/>
          <w:sz w:val="24"/>
          <w:szCs w:val="24"/>
        </w:rPr>
      </w:pPr>
      <w:bookmarkStart w:id="747" w:name="_Toc17612478"/>
      <w:r w:rsidRPr="00A70042">
        <w:rPr>
          <w:rFonts w:ascii="Times New Roman" w:hAnsi="Times New Roman" w:cs="Times New Roman"/>
          <w:b/>
          <w:bCs/>
          <w:sz w:val="24"/>
          <w:szCs w:val="24"/>
        </w:rPr>
        <w:t>Figure 1</w:t>
      </w:r>
      <w:r w:rsidR="00327E6E">
        <w:rPr>
          <w:rFonts w:ascii="Times New Roman" w:hAnsi="Times New Roman" w:cs="Times New Roman"/>
          <w:b/>
          <w:bCs/>
          <w:sz w:val="24"/>
          <w:szCs w:val="24"/>
        </w:rPr>
        <w:t>5</w:t>
      </w:r>
      <w:r w:rsidRPr="00A70042">
        <w:rPr>
          <w:rFonts w:ascii="Times New Roman" w:hAnsi="Times New Roman" w:cs="Times New Roman"/>
          <w:b/>
          <w:bCs/>
          <w:sz w:val="24"/>
          <w:szCs w:val="24"/>
        </w:rPr>
        <w:t>:</w:t>
      </w:r>
      <w:r w:rsidRPr="00260DA8">
        <w:rPr>
          <w:rFonts w:ascii="Times New Roman" w:hAnsi="Times New Roman" w:cs="Times New Roman"/>
          <w:sz w:val="24"/>
          <w:szCs w:val="24"/>
        </w:rPr>
        <w:t xml:space="preserve"> Key stages of the layered regulatory model</w:t>
      </w:r>
      <w:bookmarkEnd w:id="747"/>
    </w:p>
    <w:p w14:paraId="3A63529F" w14:textId="35A876C1" w:rsidR="005537FE" w:rsidRPr="00A70042" w:rsidRDefault="005537FE" w:rsidP="00A70042">
      <w:pPr>
        <w:spacing w:before="120"/>
        <w:jc w:val="both"/>
        <w:rPr>
          <w:rFonts w:ascii="Times New Roman" w:hAnsi="Times New Roman" w:cs="Times New Roman"/>
          <w:sz w:val="20"/>
          <w:szCs w:val="20"/>
        </w:rPr>
      </w:pPr>
      <w:r w:rsidRPr="00A70042">
        <w:rPr>
          <w:rFonts w:ascii="Times New Roman" w:hAnsi="Times New Roman" w:cs="Times New Roman"/>
          <w:b/>
          <w:bCs/>
          <w:sz w:val="20"/>
          <w:szCs w:val="20"/>
        </w:rPr>
        <w:t>Source:</w:t>
      </w:r>
      <w:r w:rsidRPr="00A70042">
        <w:rPr>
          <w:rFonts w:ascii="Times New Roman" w:hAnsi="Times New Roman" w:cs="Times New Roman"/>
          <w:sz w:val="20"/>
          <w:szCs w:val="20"/>
        </w:rPr>
        <w:t xml:space="preserve"> Constructed by the author</w:t>
      </w:r>
      <w:r w:rsidR="00267E61" w:rsidRPr="00A70042">
        <w:rPr>
          <w:rFonts w:ascii="Times New Roman" w:hAnsi="Times New Roman" w:cs="Times New Roman"/>
          <w:sz w:val="20"/>
          <w:szCs w:val="20"/>
        </w:rPr>
        <w:t xml:space="preserve"> </w:t>
      </w:r>
    </w:p>
    <w:p w14:paraId="6ADD7AC2" w14:textId="77777777" w:rsidR="00DE048D" w:rsidRPr="00774EDB" w:rsidRDefault="00490239" w:rsidP="00A70042">
      <w:pPr>
        <w:pStyle w:val="Heading3"/>
        <w:numPr>
          <w:ilvl w:val="2"/>
          <w:numId w:val="33"/>
        </w:numPr>
        <w:spacing w:before="360"/>
        <w:ind w:left="0" w:firstLine="0"/>
        <w:jc w:val="both"/>
        <w:rPr>
          <w:rFonts w:ascii="Times New Roman" w:hAnsi="Times New Roman" w:cs="Times New Roman"/>
          <w:b/>
          <w:color w:val="auto"/>
        </w:rPr>
      </w:pPr>
      <w:bookmarkStart w:id="748" w:name="_Toc17611521"/>
      <w:bookmarkStart w:id="749" w:name="_Toc17611738"/>
      <w:bookmarkStart w:id="750" w:name="_Toc17611950"/>
      <w:bookmarkStart w:id="751" w:name="_Toc17612164"/>
      <w:bookmarkStart w:id="752" w:name="_Toc17612377"/>
      <w:bookmarkStart w:id="753" w:name="_Toc17611522"/>
      <w:bookmarkStart w:id="754" w:name="_Toc17611739"/>
      <w:bookmarkStart w:id="755" w:name="_Toc17611951"/>
      <w:bookmarkStart w:id="756" w:name="_Toc17612165"/>
      <w:bookmarkStart w:id="757" w:name="_Toc17612378"/>
      <w:bookmarkStart w:id="758" w:name="_Toc17611523"/>
      <w:bookmarkStart w:id="759" w:name="_Toc17611740"/>
      <w:bookmarkStart w:id="760" w:name="_Toc17611952"/>
      <w:bookmarkStart w:id="761" w:name="_Toc17612166"/>
      <w:bookmarkStart w:id="762" w:name="_Toc17612379"/>
      <w:bookmarkStart w:id="763" w:name="_Toc17611524"/>
      <w:bookmarkStart w:id="764" w:name="_Toc17611741"/>
      <w:bookmarkStart w:id="765" w:name="_Toc17611953"/>
      <w:bookmarkStart w:id="766" w:name="_Toc17612167"/>
      <w:bookmarkStart w:id="767" w:name="_Toc17612380"/>
      <w:bookmarkStart w:id="768" w:name="_Toc17611525"/>
      <w:bookmarkStart w:id="769" w:name="_Toc53576133"/>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r w:rsidRPr="00774EDB">
        <w:rPr>
          <w:rFonts w:ascii="Times New Roman" w:hAnsi="Times New Roman" w:cs="Times New Roman"/>
          <w:b/>
          <w:color w:val="auto"/>
        </w:rPr>
        <w:t>Review of the i</w:t>
      </w:r>
      <w:r w:rsidR="00DE048D" w:rsidRPr="00774EDB">
        <w:rPr>
          <w:rFonts w:ascii="Times New Roman" w:hAnsi="Times New Roman" w:cs="Times New Roman"/>
          <w:b/>
          <w:color w:val="auto"/>
        </w:rPr>
        <w:t>nstitutional roles and</w:t>
      </w:r>
      <w:r w:rsidRPr="00774EDB">
        <w:rPr>
          <w:rFonts w:ascii="Times New Roman" w:hAnsi="Times New Roman" w:cs="Times New Roman"/>
          <w:b/>
          <w:color w:val="auto"/>
        </w:rPr>
        <w:t xml:space="preserve"> </w:t>
      </w:r>
      <w:r w:rsidR="000E28F2" w:rsidRPr="00774EDB">
        <w:rPr>
          <w:rFonts w:ascii="Times New Roman" w:hAnsi="Times New Roman" w:cs="Times New Roman"/>
          <w:b/>
          <w:color w:val="auto"/>
        </w:rPr>
        <w:t>responsibilities</w:t>
      </w:r>
      <w:bookmarkEnd w:id="768"/>
      <w:bookmarkEnd w:id="769"/>
    </w:p>
    <w:p w14:paraId="23F8D0C3" w14:textId="05C4651B" w:rsidR="005D0F89" w:rsidRDefault="0003468F" w:rsidP="00DC244A">
      <w:pPr>
        <w:spacing w:before="360"/>
        <w:jc w:val="both"/>
        <w:rPr>
          <w:rFonts w:ascii="Times New Roman" w:hAnsi="Times New Roman" w:cs="Times New Roman"/>
          <w:sz w:val="24"/>
          <w:szCs w:val="24"/>
        </w:rPr>
      </w:pPr>
      <w:bookmarkStart w:id="770" w:name="_Hlk52755027"/>
      <w:r w:rsidRPr="0003468F">
        <w:rPr>
          <w:rFonts w:ascii="Times New Roman" w:hAnsi="Times New Roman" w:cs="Times New Roman"/>
          <w:sz w:val="24"/>
          <w:szCs w:val="24"/>
        </w:rPr>
        <w:t xml:space="preserve">As could be seen above, the proposed model has a dynamic and evolving nature. For the </w:t>
      </w:r>
      <w:r w:rsidR="00165CBE">
        <w:rPr>
          <w:rFonts w:ascii="Times New Roman" w:hAnsi="Times New Roman" w:cs="Times New Roman"/>
          <w:sz w:val="24"/>
          <w:szCs w:val="24"/>
        </w:rPr>
        <w:t xml:space="preserve">smooth and better </w:t>
      </w:r>
      <w:r w:rsidRPr="0003468F">
        <w:rPr>
          <w:rFonts w:ascii="Times New Roman" w:hAnsi="Times New Roman" w:cs="Times New Roman"/>
          <w:sz w:val="24"/>
          <w:szCs w:val="24"/>
        </w:rPr>
        <w:t xml:space="preserve">functioning of the model, top-down measures </w:t>
      </w:r>
      <w:r w:rsidR="00165CBE">
        <w:rPr>
          <w:rFonts w:ascii="Times New Roman" w:hAnsi="Times New Roman" w:cs="Times New Roman"/>
          <w:sz w:val="24"/>
          <w:szCs w:val="24"/>
        </w:rPr>
        <w:t>ar</w:t>
      </w:r>
      <w:r w:rsidRPr="0003468F">
        <w:rPr>
          <w:rFonts w:ascii="Times New Roman" w:hAnsi="Times New Roman" w:cs="Times New Roman"/>
          <w:sz w:val="24"/>
          <w:szCs w:val="24"/>
        </w:rPr>
        <w:t xml:space="preserve">e avoided at all. Given the </w:t>
      </w:r>
      <w:r w:rsidR="00D133FA">
        <w:rPr>
          <w:rFonts w:ascii="Times New Roman" w:hAnsi="Times New Roman" w:cs="Times New Roman"/>
          <w:sz w:val="24"/>
          <w:szCs w:val="24"/>
        </w:rPr>
        <w:t>central tenets</w:t>
      </w:r>
      <w:r w:rsidRPr="0003468F">
        <w:rPr>
          <w:rFonts w:ascii="Times New Roman" w:hAnsi="Times New Roman" w:cs="Times New Roman"/>
          <w:sz w:val="24"/>
          <w:szCs w:val="24"/>
        </w:rPr>
        <w:t xml:space="preserve"> </w:t>
      </w:r>
      <w:r w:rsidR="00D133FA">
        <w:rPr>
          <w:rFonts w:ascii="Times New Roman" w:hAnsi="Times New Roman" w:cs="Times New Roman"/>
          <w:sz w:val="24"/>
          <w:szCs w:val="24"/>
        </w:rPr>
        <w:t xml:space="preserve">of </w:t>
      </w:r>
      <w:r w:rsidRPr="0003468F">
        <w:rPr>
          <w:rFonts w:ascii="Times New Roman" w:hAnsi="Times New Roman" w:cs="Times New Roman"/>
          <w:sz w:val="24"/>
          <w:szCs w:val="24"/>
        </w:rPr>
        <w:t>the proposed model</w:t>
      </w:r>
      <w:r w:rsidR="00D133FA">
        <w:rPr>
          <w:rFonts w:ascii="Times New Roman" w:hAnsi="Times New Roman" w:cs="Times New Roman"/>
          <w:sz w:val="24"/>
          <w:szCs w:val="24"/>
        </w:rPr>
        <w:t xml:space="preserve"> i.e. </w:t>
      </w:r>
      <w:r w:rsidR="00D133FA" w:rsidRPr="0003468F">
        <w:rPr>
          <w:rFonts w:ascii="Times New Roman" w:hAnsi="Times New Roman" w:cs="Times New Roman"/>
          <w:sz w:val="24"/>
          <w:szCs w:val="24"/>
        </w:rPr>
        <w:t>consumer-oriented perspective, holistic and multi-layered nature</w:t>
      </w:r>
      <w:r w:rsidRPr="0003468F">
        <w:rPr>
          <w:rFonts w:ascii="Times New Roman" w:hAnsi="Times New Roman" w:cs="Times New Roman"/>
          <w:sz w:val="24"/>
          <w:szCs w:val="24"/>
        </w:rPr>
        <w:t xml:space="preserve">, there would no longer </w:t>
      </w:r>
      <w:r w:rsidR="007E7A3F">
        <w:rPr>
          <w:rFonts w:ascii="Times New Roman" w:hAnsi="Times New Roman" w:cs="Times New Roman"/>
          <w:sz w:val="24"/>
          <w:szCs w:val="24"/>
        </w:rPr>
        <w:t xml:space="preserve">be </w:t>
      </w:r>
      <w:r w:rsidRPr="0003468F">
        <w:rPr>
          <w:rFonts w:ascii="Times New Roman" w:hAnsi="Times New Roman" w:cs="Times New Roman"/>
          <w:sz w:val="24"/>
          <w:szCs w:val="24"/>
        </w:rPr>
        <w:t xml:space="preserve">a need to the existing access </w:t>
      </w:r>
      <w:r w:rsidR="00165CBE">
        <w:rPr>
          <w:rFonts w:ascii="Times New Roman" w:hAnsi="Times New Roman" w:cs="Times New Roman"/>
          <w:sz w:val="24"/>
          <w:szCs w:val="24"/>
        </w:rPr>
        <w:t>related</w:t>
      </w:r>
      <w:r w:rsidRPr="0003468F">
        <w:rPr>
          <w:rFonts w:ascii="Times New Roman" w:hAnsi="Times New Roman" w:cs="Times New Roman"/>
          <w:sz w:val="24"/>
          <w:szCs w:val="24"/>
        </w:rPr>
        <w:t xml:space="preserve"> measures </w:t>
      </w:r>
      <w:r w:rsidR="00165CBE">
        <w:rPr>
          <w:rFonts w:ascii="Times New Roman" w:hAnsi="Times New Roman" w:cs="Times New Roman"/>
          <w:sz w:val="24"/>
          <w:szCs w:val="24"/>
        </w:rPr>
        <w:t xml:space="preserve">of </w:t>
      </w:r>
      <w:r w:rsidR="00165CBE" w:rsidRPr="0003468F">
        <w:rPr>
          <w:rFonts w:ascii="Times New Roman" w:hAnsi="Times New Roman" w:cs="Times New Roman"/>
          <w:sz w:val="24"/>
          <w:szCs w:val="24"/>
        </w:rPr>
        <w:t xml:space="preserve">the ECRF </w:t>
      </w:r>
      <w:r w:rsidRPr="0003468F">
        <w:rPr>
          <w:rFonts w:ascii="Times New Roman" w:hAnsi="Times New Roman" w:cs="Times New Roman"/>
          <w:sz w:val="24"/>
          <w:szCs w:val="24"/>
        </w:rPr>
        <w:t>e.g. SMP remedies</w:t>
      </w:r>
      <w:r w:rsidR="00165CBE">
        <w:rPr>
          <w:rFonts w:ascii="Times New Roman" w:hAnsi="Times New Roman" w:cs="Times New Roman"/>
          <w:sz w:val="24"/>
          <w:szCs w:val="24"/>
        </w:rPr>
        <w:t xml:space="preserve">, nor to the competition law remedies </w:t>
      </w:r>
      <w:r w:rsidR="00165CBE">
        <w:rPr>
          <w:rFonts w:ascii="Times New Roman" w:hAnsi="Times New Roman" w:cs="Times New Roman"/>
          <w:sz w:val="24"/>
          <w:szCs w:val="24"/>
        </w:rPr>
        <w:lastRenderedPageBreak/>
        <w:t>that aim to designate and penalise the abusive behaviours</w:t>
      </w:r>
      <w:r w:rsidR="00D133FA">
        <w:rPr>
          <w:rFonts w:ascii="Times New Roman" w:hAnsi="Times New Roman" w:cs="Times New Roman"/>
          <w:sz w:val="24"/>
          <w:szCs w:val="24"/>
        </w:rPr>
        <w:t xml:space="preserve"> in field of ICTs</w:t>
      </w:r>
      <w:r w:rsidR="00165CBE">
        <w:rPr>
          <w:rFonts w:ascii="Times New Roman" w:hAnsi="Times New Roman" w:cs="Times New Roman"/>
          <w:sz w:val="24"/>
          <w:szCs w:val="24"/>
        </w:rPr>
        <w:t>.</w:t>
      </w:r>
      <w:r w:rsidR="00FA2279">
        <w:rPr>
          <w:rStyle w:val="FootnoteReference"/>
          <w:rFonts w:ascii="Times New Roman" w:hAnsi="Times New Roman" w:cs="Times New Roman"/>
          <w:sz w:val="24"/>
          <w:szCs w:val="24"/>
        </w:rPr>
        <w:footnoteReference w:id="902"/>
      </w:r>
      <w:r w:rsidR="00165CBE">
        <w:rPr>
          <w:rFonts w:ascii="Times New Roman" w:hAnsi="Times New Roman" w:cs="Times New Roman"/>
          <w:sz w:val="24"/>
          <w:szCs w:val="24"/>
        </w:rPr>
        <w:t xml:space="preserve"> </w:t>
      </w:r>
      <w:r w:rsidR="00D8617D" w:rsidRPr="0003468F">
        <w:rPr>
          <w:rFonts w:ascii="Times New Roman" w:hAnsi="Times New Roman" w:cs="Times New Roman"/>
          <w:sz w:val="24"/>
          <w:szCs w:val="24"/>
        </w:rPr>
        <w:t xml:space="preserve">Therefore, it is suggested </w:t>
      </w:r>
      <w:r w:rsidR="00D8617D">
        <w:rPr>
          <w:rFonts w:ascii="Times New Roman" w:hAnsi="Times New Roman" w:cs="Times New Roman"/>
          <w:sz w:val="24"/>
          <w:szCs w:val="24"/>
        </w:rPr>
        <w:t>the proposed</w:t>
      </w:r>
      <w:r w:rsidR="00D8617D" w:rsidRPr="0003468F">
        <w:rPr>
          <w:rFonts w:ascii="Times New Roman" w:hAnsi="Times New Roman" w:cs="Times New Roman"/>
          <w:sz w:val="24"/>
          <w:szCs w:val="24"/>
        </w:rPr>
        <w:t xml:space="preserve"> </w:t>
      </w:r>
      <w:r w:rsidR="00D8617D">
        <w:rPr>
          <w:rFonts w:ascii="Times New Roman" w:hAnsi="Times New Roman" w:cs="Times New Roman"/>
          <w:sz w:val="24"/>
          <w:szCs w:val="24"/>
        </w:rPr>
        <w:t xml:space="preserve">principles and remedies replace the competition oriented ECRF rules e.g. SMP remedies, and have precedence over the EU competition rules. </w:t>
      </w:r>
      <w:r w:rsidR="00165CBE">
        <w:rPr>
          <w:rFonts w:ascii="Times New Roman" w:hAnsi="Times New Roman" w:cs="Times New Roman"/>
          <w:sz w:val="24"/>
          <w:szCs w:val="24"/>
        </w:rPr>
        <w:t xml:space="preserve">Since both the EU competition law and the ECRF have </w:t>
      </w:r>
      <w:r w:rsidR="00745D26">
        <w:rPr>
          <w:rFonts w:ascii="Times New Roman" w:hAnsi="Times New Roman" w:cs="Times New Roman"/>
          <w:sz w:val="24"/>
          <w:szCs w:val="24"/>
        </w:rPr>
        <w:t>other</w:t>
      </w:r>
      <w:r w:rsidR="007E7A3F">
        <w:rPr>
          <w:rFonts w:ascii="Times New Roman" w:hAnsi="Times New Roman" w:cs="Times New Roman"/>
          <w:sz w:val="24"/>
          <w:szCs w:val="24"/>
        </w:rPr>
        <w:t xml:space="preserve"> </w:t>
      </w:r>
      <w:r w:rsidR="00165CBE">
        <w:rPr>
          <w:rFonts w:ascii="Times New Roman" w:hAnsi="Times New Roman" w:cs="Times New Roman"/>
          <w:sz w:val="24"/>
          <w:szCs w:val="24"/>
        </w:rPr>
        <w:t xml:space="preserve">rules </w:t>
      </w:r>
      <w:r w:rsidR="00745D26">
        <w:rPr>
          <w:rFonts w:ascii="Times New Roman" w:hAnsi="Times New Roman" w:cs="Times New Roman"/>
          <w:sz w:val="24"/>
          <w:szCs w:val="24"/>
        </w:rPr>
        <w:t>than</w:t>
      </w:r>
      <w:r w:rsidR="00165CBE">
        <w:rPr>
          <w:rFonts w:ascii="Times New Roman" w:hAnsi="Times New Roman" w:cs="Times New Roman"/>
          <w:sz w:val="24"/>
          <w:szCs w:val="24"/>
        </w:rPr>
        <w:t xml:space="preserve"> those that target abus</w:t>
      </w:r>
      <w:r w:rsidR="007E7A3F">
        <w:rPr>
          <w:rFonts w:ascii="Times New Roman" w:hAnsi="Times New Roman" w:cs="Times New Roman"/>
          <w:sz w:val="24"/>
          <w:szCs w:val="24"/>
        </w:rPr>
        <w:t>ive conducts</w:t>
      </w:r>
      <w:r w:rsidR="00165CBE">
        <w:rPr>
          <w:rFonts w:ascii="Times New Roman" w:hAnsi="Times New Roman" w:cs="Times New Roman"/>
          <w:sz w:val="24"/>
          <w:szCs w:val="24"/>
        </w:rPr>
        <w:t>,</w:t>
      </w:r>
      <w:r w:rsidR="005D0F89">
        <w:rPr>
          <w:rFonts w:ascii="Times New Roman" w:hAnsi="Times New Roman" w:cs="Times New Roman"/>
          <w:sz w:val="24"/>
          <w:szCs w:val="24"/>
        </w:rPr>
        <w:t xml:space="preserve"> these </w:t>
      </w:r>
      <w:r w:rsidR="00D133FA">
        <w:rPr>
          <w:rFonts w:ascii="Times New Roman" w:hAnsi="Times New Roman" w:cs="Times New Roman"/>
          <w:sz w:val="24"/>
          <w:szCs w:val="24"/>
        </w:rPr>
        <w:t>legal frameworks</w:t>
      </w:r>
      <w:r w:rsidR="005D0F89">
        <w:rPr>
          <w:rFonts w:ascii="Times New Roman" w:hAnsi="Times New Roman" w:cs="Times New Roman"/>
          <w:sz w:val="24"/>
          <w:szCs w:val="24"/>
        </w:rPr>
        <w:t xml:space="preserve"> need to be maintained</w:t>
      </w:r>
      <w:r w:rsidR="00165CBE">
        <w:rPr>
          <w:rFonts w:ascii="Times New Roman" w:hAnsi="Times New Roman" w:cs="Times New Roman"/>
          <w:sz w:val="24"/>
          <w:szCs w:val="24"/>
        </w:rPr>
        <w:t xml:space="preserve"> </w:t>
      </w:r>
      <w:r w:rsidR="005D0F89">
        <w:rPr>
          <w:rFonts w:ascii="Times New Roman" w:hAnsi="Times New Roman" w:cs="Times New Roman"/>
          <w:sz w:val="24"/>
          <w:szCs w:val="24"/>
        </w:rPr>
        <w:t xml:space="preserve">for other </w:t>
      </w:r>
      <w:r w:rsidR="00745D26">
        <w:rPr>
          <w:rFonts w:ascii="Times New Roman" w:hAnsi="Times New Roman" w:cs="Times New Roman"/>
          <w:sz w:val="24"/>
          <w:szCs w:val="24"/>
        </w:rPr>
        <w:t xml:space="preserve">compelling </w:t>
      </w:r>
      <w:r w:rsidR="005D0F89">
        <w:rPr>
          <w:rFonts w:ascii="Times New Roman" w:hAnsi="Times New Roman" w:cs="Times New Roman"/>
          <w:sz w:val="24"/>
          <w:szCs w:val="24"/>
        </w:rPr>
        <w:t xml:space="preserve">reasons i.e. merger control under </w:t>
      </w:r>
      <w:r w:rsidR="007E7A3F">
        <w:rPr>
          <w:rFonts w:ascii="Times New Roman" w:hAnsi="Times New Roman" w:cs="Times New Roman"/>
          <w:sz w:val="24"/>
          <w:szCs w:val="24"/>
        </w:rPr>
        <w:t xml:space="preserve">the </w:t>
      </w:r>
      <w:r w:rsidR="005D0F89">
        <w:rPr>
          <w:rFonts w:ascii="Times New Roman" w:hAnsi="Times New Roman" w:cs="Times New Roman"/>
          <w:sz w:val="24"/>
          <w:szCs w:val="24"/>
        </w:rPr>
        <w:t>EU competition law or</w:t>
      </w:r>
      <w:r w:rsidR="00165CBE">
        <w:rPr>
          <w:rFonts w:ascii="Times New Roman" w:hAnsi="Times New Roman" w:cs="Times New Roman"/>
          <w:sz w:val="24"/>
          <w:szCs w:val="24"/>
        </w:rPr>
        <w:t xml:space="preserve"> </w:t>
      </w:r>
      <w:r w:rsidR="005D0F89">
        <w:rPr>
          <w:rFonts w:ascii="Times New Roman" w:hAnsi="Times New Roman" w:cs="Times New Roman"/>
          <w:sz w:val="24"/>
          <w:szCs w:val="24"/>
        </w:rPr>
        <w:t xml:space="preserve">universal service </w:t>
      </w:r>
      <w:r w:rsidR="00D133FA">
        <w:rPr>
          <w:rFonts w:ascii="Times New Roman" w:hAnsi="Times New Roman" w:cs="Times New Roman"/>
          <w:sz w:val="24"/>
          <w:szCs w:val="24"/>
        </w:rPr>
        <w:t xml:space="preserve">obligations </w:t>
      </w:r>
      <w:r w:rsidR="005D0F89">
        <w:rPr>
          <w:rFonts w:ascii="Times New Roman" w:hAnsi="Times New Roman" w:cs="Times New Roman"/>
          <w:sz w:val="24"/>
          <w:szCs w:val="24"/>
        </w:rPr>
        <w:t>under the ECRF</w:t>
      </w:r>
      <w:r w:rsidR="007E7A3F">
        <w:rPr>
          <w:rFonts w:ascii="Times New Roman" w:hAnsi="Times New Roman" w:cs="Times New Roman"/>
          <w:sz w:val="24"/>
          <w:szCs w:val="24"/>
        </w:rPr>
        <w:t xml:space="preserve">. </w:t>
      </w:r>
      <w:r w:rsidR="005D0F89">
        <w:rPr>
          <w:rFonts w:ascii="Times New Roman" w:hAnsi="Times New Roman" w:cs="Times New Roman"/>
          <w:sz w:val="24"/>
          <w:szCs w:val="24"/>
        </w:rPr>
        <w:t>Notwithstanding</w:t>
      </w:r>
      <w:r w:rsidR="00D133FA">
        <w:rPr>
          <w:rFonts w:ascii="Times New Roman" w:hAnsi="Times New Roman" w:cs="Times New Roman"/>
          <w:sz w:val="24"/>
          <w:szCs w:val="24"/>
        </w:rPr>
        <w:t>,</w:t>
      </w:r>
      <w:r w:rsidR="005D0F89">
        <w:rPr>
          <w:rFonts w:ascii="Times New Roman" w:hAnsi="Times New Roman" w:cs="Times New Roman"/>
          <w:sz w:val="24"/>
          <w:szCs w:val="24"/>
        </w:rPr>
        <w:t xml:space="preserve"> all the ICT-</w:t>
      </w:r>
      <w:r w:rsidR="00D133FA">
        <w:rPr>
          <w:rFonts w:ascii="Times New Roman" w:hAnsi="Times New Roman" w:cs="Times New Roman"/>
          <w:sz w:val="24"/>
          <w:szCs w:val="24"/>
        </w:rPr>
        <w:t>based</w:t>
      </w:r>
      <w:r w:rsidR="005D0F89">
        <w:rPr>
          <w:rFonts w:ascii="Times New Roman" w:hAnsi="Times New Roman" w:cs="Times New Roman"/>
          <w:sz w:val="24"/>
          <w:szCs w:val="24"/>
        </w:rPr>
        <w:t xml:space="preserve"> competition concerns already captured by either EU competition law or ECRF need to be first and foremost dealt with through the ‘layered regulatory model’ for its </w:t>
      </w:r>
      <w:r w:rsidR="00D133FA">
        <w:rPr>
          <w:rFonts w:ascii="Times New Roman" w:hAnsi="Times New Roman" w:cs="Times New Roman"/>
          <w:sz w:val="24"/>
          <w:szCs w:val="24"/>
        </w:rPr>
        <w:t>wider scope and overarching nature</w:t>
      </w:r>
      <w:r w:rsidR="005D0F89">
        <w:rPr>
          <w:rFonts w:ascii="Times New Roman" w:hAnsi="Times New Roman" w:cs="Times New Roman"/>
          <w:sz w:val="24"/>
          <w:szCs w:val="24"/>
        </w:rPr>
        <w:t xml:space="preserve">. </w:t>
      </w:r>
      <w:bookmarkEnd w:id="770"/>
    </w:p>
    <w:p w14:paraId="5487C53F" w14:textId="2B919C02" w:rsidR="00083DD6" w:rsidRDefault="00C237D5" w:rsidP="0003468F">
      <w:pPr>
        <w:spacing w:before="360"/>
        <w:jc w:val="both"/>
        <w:rPr>
          <w:rFonts w:ascii="Times New Roman" w:hAnsi="Times New Roman" w:cs="Times New Roman"/>
          <w:sz w:val="24"/>
          <w:szCs w:val="24"/>
        </w:rPr>
      </w:pPr>
      <w:r>
        <w:rPr>
          <w:rFonts w:ascii="Times New Roman" w:hAnsi="Times New Roman" w:cs="Times New Roman"/>
          <w:sz w:val="24"/>
          <w:szCs w:val="24"/>
        </w:rPr>
        <w:t>This proposition stems from the normative framework presented above</w:t>
      </w:r>
      <w:r w:rsidR="00EC573C">
        <w:rPr>
          <w:rFonts w:ascii="Times New Roman" w:hAnsi="Times New Roman" w:cs="Times New Roman"/>
          <w:sz w:val="24"/>
          <w:szCs w:val="24"/>
        </w:rPr>
        <w:t>,</w:t>
      </w:r>
      <w:r>
        <w:rPr>
          <w:rFonts w:ascii="Times New Roman" w:hAnsi="Times New Roman" w:cs="Times New Roman"/>
          <w:sz w:val="24"/>
          <w:szCs w:val="24"/>
        </w:rPr>
        <w:t xml:space="preserve"> considering it </w:t>
      </w:r>
      <w:r w:rsidR="00EC573C">
        <w:rPr>
          <w:rFonts w:ascii="Times New Roman" w:hAnsi="Times New Roman" w:cs="Times New Roman"/>
          <w:sz w:val="24"/>
          <w:szCs w:val="24"/>
        </w:rPr>
        <w:t>all</w:t>
      </w:r>
      <w:r w:rsidR="00D8617D">
        <w:rPr>
          <w:rFonts w:ascii="Times New Roman" w:hAnsi="Times New Roman" w:cs="Times New Roman"/>
          <w:sz w:val="24"/>
          <w:szCs w:val="24"/>
        </w:rPr>
        <w:t xml:space="preserve"> </w:t>
      </w:r>
      <w:r>
        <w:rPr>
          <w:rFonts w:ascii="Times New Roman" w:hAnsi="Times New Roman" w:cs="Times New Roman"/>
          <w:sz w:val="24"/>
          <w:szCs w:val="24"/>
        </w:rPr>
        <w:t>encompass</w:t>
      </w:r>
      <w:r w:rsidR="00D8617D">
        <w:rPr>
          <w:rFonts w:ascii="Times New Roman" w:hAnsi="Times New Roman" w:cs="Times New Roman"/>
          <w:sz w:val="24"/>
          <w:szCs w:val="24"/>
        </w:rPr>
        <w:t>es</w:t>
      </w:r>
      <w:r>
        <w:rPr>
          <w:rFonts w:ascii="Times New Roman" w:hAnsi="Times New Roman" w:cs="Times New Roman"/>
          <w:sz w:val="24"/>
          <w:szCs w:val="24"/>
        </w:rPr>
        <w:t xml:space="preserve"> </w:t>
      </w:r>
      <w:r w:rsidR="00D8617D">
        <w:rPr>
          <w:rFonts w:ascii="Times New Roman" w:hAnsi="Times New Roman" w:cs="Times New Roman"/>
          <w:sz w:val="24"/>
          <w:szCs w:val="24"/>
        </w:rPr>
        <w:t xml:space="preserve">and addresses </w:t>
      </w:r>
      <w:r>
        <w:rPr>
          <w:rFonts w:ascii="Times New Roman" w:hAnsi="Times New Roman" w:cs="Times New Roman"/>
          <w:sz w:val="24"/>
          <w:szCs w:val="24"/>
        </w:rPr>
        <w:t xml:space="preserve">the behavioural aspects that are </w:t>
      </w:r>
      <w:r w:rsidR="007B4BE9">
        <w:rPr>
          <w:rFonts w:ascii="Times New Roman" w:hAnsi="Times New Roman" w:cs="Times New Roman"/>
          <w:sz w:val="24"/>
          <w:szCs w:val="24"/>
        </w:rPr>
        <w:t xml:space="preserve">underlaid </w:t>
      </w:r>
      <w:r w:rsidR="00A3030C">
        <w:rPr>
          <w:rFonts w:ascii="Times New Roman" w:hAnsi="Times New Roman" w:cs="Times New Roman"/>
          <w:sz w:val="24"/>
          <w:szCs w:val="24"/>
        </w:rPr>
        <w:t>with</w:t>
      </w:r>
      <w:r>
        <w:rPr>
          <w:rFonts w:ascii="Times New Roman" w:hAnsi="Times New Roman" w:cs="Times New Roman"/>
          <w:sz w:val="24"/>
          <w:szCs w:val="24"/>
        </w:rPr>
        <w:t xml:space="preserve"> gatekeeping roles and functionalities</w:t>
      </w:r>
      <w:r w:rsidR="00D8617D">
        <w:rPr>
          <w:rFonts w:ascii="Times New Roman" w:hAnsi="Times New Roman" w:cs="Times New Roman"/>
          <w:sz w:val="24"/>
          <w:szCs w:val="24"/>
        </w:rPr>
        <w:t xml:space="preserve"> across the IP layers</w:t>
      </w:r>
      <w:r>
        <w:rPr>
          <w:rFonts w:ascii="Times New Roman" w:hAnsi="Times New Roman" w:cs="Times New Roman"/>
          <w:sz w:val="24"/>
          <w:szCs w:val="24"/>
        </w:rPr>
        <w:t xml:space="preserve">. </w:t>
      </w:r>
      <w:r w:rsidR="007B4BE9">
        <w:rPr>
          <w:rFonts w:ascii="Times New Roman" w:hAnsi="Times New Roman" w:cs="Times New Roman"/>
          <w:sz w:val="24"/>
          <w:szCs w:val="24"/>
        </w:rPr>
        <w:t xml:space="preserve">Given the </w:t>
      </w:r>
      <w:r w:rsidR="00D8617D">
        <w:rPr>
          <w:rFonts w:ascii="Times New Roman" w:hAnsi="Times New Roman" w:cs="Times New Roman"/>
          <w:sz w:val="24"/>
          <w:szCs w:val="24"/>
        </w:rPr>
        <w:t xml:space="preserve">wide-ranging </w:t>
      </w:r>
      <w:r w:rsidR="007B4BE9">
        <w:rPr>
          <w:rFonts w:ascii="Times New Roman" w:hAnsi="Times New Roman" w:cs="Times New Roman"/>
          <w:sz w:val="24"/>
          <w:szCs w:val="24"/>
        </w:rPr>
        <w:t>competition and techno-social concerns surfac</w:t>
      </w:r>
      <w:r w:rsidR="00D2073B">
        <w:rPr>
          <w:rFonts w:ascii="Times New Roman" w:hAnsi="Times New Roman" w:cs="Times New Roman"/>
          <w:sz w:val="24"/>
          <w:szCs w:val="24"/>
        </w:rPr>
        <w:t>ing</w:t>
      </w:r>
      <w:r w:rsidR="007B4BE9">
        <w:rPr>
          <w:rFonts w:ascii="Times New Roman" w:hAnsi="Times New Roman" w:cs="Times New Roman"/>
          <w:sz w:val="24"/>
          <w:szCs w:val="24"/>
        </w:rPr>
        <w:t xml:space="preserve"> in </w:t>
      </w:r>
      <w:r>
        <w:rPr>
          <w:rFonts w:ascii="Times New Roman" w:hAnsi="Times New Roman" w:cs="Times New Roman"/>
          <w:sz w:val="24"/>
          <w:szCs w:val="24"/>
        </w:rPr>
        <w:t>th</w:t>
      </w:r>
      <w:r w:rsidR="00D2073B">
        <w:rPr>
          <w:rFonts w:ascii="Times New Roman" w:hAnsi="Times New Roman" w:cs="Times New Roman"/>
          <w:sz w:val="24"/>
          <w:szCs w:val="24"/>
        </w:rPr>
        <w:t>is</w:t>
      </w:r>
      <w:r>
        <w:rPr>
          <w:rFonts w:ascii="Times New Roman" w:hAnsi="Times New Roman" w:cs="Times New Roman"/>
          <w:sz w:val="24"/>
          <w:szCs w:val="24"/>
        </w:rPr>
        <w:t xml:space="preserve"> </w:t>
      </w:r>
      <w:r w:rsidR="00D2073B">
        <w:rPr>
          <w:rFonts w:ascii="Times New Roman" w:hAnsi="Times New Roman" w:cs="Times New Roman"/>
          <w:sz w:val="24"/>
          <w:szCs w:val="24"/>
        </w:rPr>
        <w:t xml:space="preserve">context </w:t>
      </w:r>
      <w:r w:rsidR="007B4BE9">
        <w:rPr>
          <w:rFonts w:ascii="Times New Roman" w:hAnsi="Times New Roman" w:cs="Times New Roman"/>
          <w:sz w:val="24"/>
          <w:szCs w:val="24"/>
        </w:rPr>
        <w:t>and the response developed by the</w:t>
      </w:r>
      <w:r>
        <w:rPr>
          <w:rFonts w:ascii="Times New Roman" w:hAnsi="Times New Roman" w:cs="Times New Roman"/>
          <w:sz w:val="24"/>
          <w:szCs w:val="24"/>
        </w:rPr>
        <w:t xml:space="preserve"> proposed model</w:t>
      </w:r>
      <w:r w:rsidR="007B4BE9">
        <w:rPr>
          <w:rFonts w:ascii="Times New Roman" w:hAnsi="Times New Roman" w:cs="Times New Roman"/>
          <w:sz w:val="24"/>
          <w:szCs w:val="24"/>
        </w:rPr>
        <w:t>, th</w:t>
      </w:r>
      <w:r w:rsidR="00745D26">
        <w:rPr>
          <w:rFonts w:ascii="Times New Roman" w:hAnsi="Times New Roman" w:cs="Times New Roman"/>
          <w:sz w:val="24"/>
          <w:szCs w:val="24"/>
        </w:rPr>
        <w:t>is</w:t>
      </w:r>
      <w:r w:rsidR="007B4BE9">
        <w:rPr>
          <w:rFonts w:ascii="Times New Roman" w:hAnsi="Times New Roman" w:cs="Times New Roman"/>
          <w:sz w:val="24"/>
          <w:szCs w:val="24"/>
        </w:rPr>
        <w:t xml:space="preserve"> model</w:t>
      </w:r>
      <w:r w:rsidR="00D2073B">
        <w:rPr>
          <w:rFonts w:ascii="Times New Roman" w:hAnsi="Times New Roman" w:cs="Times New Roman"/>
          <w:sz w:val="24"/>
          <w:szCs w:val="24"/>
        </w:rPr>
        <w:t xml:space="preserve"> </w:t>
      </w:r>
      <w:r w:rsidR="007B4BE9">
        <w:rPr>
          <w:rFonts w:ascii="Times New Roman" w:hAnsi="Times New Roman" w:cs="Times New Roman"/>
          <w:sz w:val="24"/>
          <w:szCs w:val="24"/>
        </w:rPr>
        <w:t>should have</w:t>
      </w:r>
      <w:r>
        <w:rPr>
          <w:rFonts w:ascii="Times New Roman" w:hAnsi="Times New Roman" w:cs="Times New Roman"/>
          <w:sz w:val="24"/>
          <w:szCs w:val="24"/>
        </w:rPr>
        <w:t xml:space="preserve"> an overreaching </w:t>
      </w:r>
      <w:r w:rsidR="007B4BE9">
        <w:rPr>
          <w:rFonts w:ascii="Times New Roman" w:hAnsi="Times New Roman" w:cs="Times New Roman"/>
          <w:sz w:val="24"/>
          <w:szCs w:val="24"/>
        </w:rPr>
        <w:t>role to play against</w:t>
      </w:r>
      <w:r>
        <w:rPr>
          <w:rFonts w:ascii="Times New Roman" w:hAnsi="Times New Roman" w:cs="Times New Roman"/>
          <w:sz w:val="24"/>
          <w:szCs w:val="24"/>
        </w:rPr>
        <w:t xml:space="preserve"> </w:t>
      </w:r>
      <w:r w:rsidR="00327DEE">
        <w:rPr>
          <w:rFonts w:ascii="Times New Roman" w:hAnsi="Times New Roman" w:cs="Times New Roman"/>
          <w:sz w:val="24"/>
          <w:szCs w:val="24"/>
        </w:rPr>
        <w:t>the existing</w:t>
      </w:r>
      <w:r w:rsidR="00D2073B">
        <w:rPr>
          <w:rFonts w:ascii="Times New Roman" w:hAnsi="Times New Roman" w:cs="Times New Roman"/>
          <w:sz w:val="24"/>
          <w:szCs w:val="24"/>
        </w:rPr>
        <w:t xml:space="preserve"> ex ante and ex post </w:t>
      </w:r>
      <w:r>
        <w:rPr>
          <w:rFonts w:ascii="Times New Roman" w:hAnsi="Times New Roman" w:cs="Times New Roman"/>
          <w:sz w:val="24"/>
          <w:szCs w:val="24"/>
        </w:rPr>
        <w:t>competition rules</w:t>
      </w:r>
      <w:r w:rsidR="00D2073B">
        <w:rPr>
          <w:rFonts w:ascii="Times New Roman" w:hAnsi="Times New Roman" w:cs="Times New Roman"/>
          <w:sz w:val="24"/>
          <w:szCs w:val="24"/>
        </w:rPr>
        <w:t xml:space="preserve">, </w:t>
      </w:r>
      <w:r w:rsidR="00327DEE">
        <w:rPr>
          <w:rFonts w:ascii="Times New Roman" w:hAnsi="Times New Roman" w:cs="Times New Roman"/>
          <w:sz w:val="24"/>
          <w:szCs w:val="24"/>
        </w:rPr>
        <w:t xml:space="preserve">except </w:t>
      </w:r>
      <w:r w:rsidR="00745D26">
        <w:rPr>
          <w:rFonts w:ascii="Times New Roman" w:hAnsi="Times New Roman" w:cs="Times New Roman"/>
          <w:sz w:val="24"/>
          <w:szCs w:val="24"/>
        </w:rPr>
        <w:t>for</w:t>
      </w:r>
      <w:r w:rsidR="00D2073B">
        <w:rPr>
          <w:rFonts w:ascii="Times New Roman" w:hAnsi="Times New Roman" w:cs="Times New Roman"/>
          <w:sz w:val="24"/>
          <w:szCs w:val="24"/>
        </w:rPr>
        <w:t xml:space="preserve"> the dedicated areas</w:t>
      </w:r>
      <w:r w:rsidR="00745D26">
        <w:rPr>
          <w:rFonts w:ascii="Times New Roman" w:hAnsi="Times New Roman" w:cs="Times New Roman"/>
          <w:sz w:val="24"/>
          <w:szCs w:val="24"/>
        </w:rPr>
        <w:t xml:space="preserve"> </w:t>
      </w:r>
      <w:r w:rsidR="00D8617D">
        <w:rPr>
          <w:rFonts w:ascii="Times New Roman" w:hAnsi="Times New Roman" w:cs="Times New Roman"/>
          <w:sz w:val="24"/>
          <w:szCs w:val="24"/>
        </w:rPr>
        <w:t>to be ascertained</w:t>
      </w:r>
      <w:r>
        <w:rPr>
          <w:rFonts w:ascii="Times New Roman" w:hAnsi="Times New Roman" w:cs="Times New Roman"/>
          <w:sz w:val="24"/>
          <w:szCs w:val="24"/>
        </w:rPr>
        <w:t>.</w:t>
      </w:r>
      <w:r w:rsidR="00083DD6">
        <w:rPr>
          <w:rFonts w:ascii="Times New Roman" w:hAnsi="Times New Roman" w:cs="Times New Roman"/>
          <w:sz w:val="24"/>
          <w:szCs w:val="24"/>
        </w:rPr>
        <w:t xml:space="preserve"> From this point of view, the complementarity between the sector-specific regulation and </w:t>
      </w:r>
      <w:r w:rsidR="007B4BE9">
        <w:rPr>
          <w:rFonts w:ascii="Times New Roman" w:hAnsi="Times New Roman" w:cs="Times New Roman"/>
          <w:sz w:val="24"/>
          <w:szCs w:val="24"/>
        </w:rPr>
        <w:t xml:space="preserve">the </w:t>
      </w:r>
      <w:r w:rsidR="00083DD6">
        <w:rPr>
          <w:rFonts w:ascii="Times New Roman" w:hAnsi="Times New Roman" w:cs="Times New Roman"/>
          <w:sz w:val="24"/>
          <w:szCs w:val="24"/>
        </w:rPr>
        <w:t xml:space="preserve">EU competition law needs to be revised from a broader perspective, rendering a prioritised role to the former </w:t>
      </w:r>
      <w:r w:rsidR="003F6A8F">
        <w:rPr>
          <w:rFonts w:ascii="Times New Roman" w:hAnsi="Times New Roman" w:cs="Times New Roman"/>
          <w:sz w:val="24"/>
          <w:szCs w:val="24"/>
        </w:rPr>
        <w:t>since</w:t>
      </w:r>
      <w:r w:rsidR="007B4BE9">
        <w:rPr>
          <w:rFonts w:ascii="Times New Roman" w:hAnsi="Times New Roman" w:cs="Times New Roman"/>
          <w:sz w:val="24"/>
          <w:szCs w:val="24"/>
        </w:rPr>
        <w:t xml:space="preserve"> </w:t>
      </w:r>
      <w:r w:rsidR="00327DEE">
        <w:rPr>
          <w:rFonts w:ascii="Times New Roman" w:hAnsi="Times New Roman" w:cs="Times New Roman"/>
          <w:sz w:val="24"/>
          <w:szCs w:val="24"/>
        </w:rPr>
        <w:t>the</w:t>
      </w:r>
      <w:r w:rsidR="007B4BE9">
        <w:rPr>
          <w:rFonts w:ascii="Times New Roman" w:hAnsi="Times New Roman" w:cs="Times New Roman"/>
          <w:sz w:val="24"/>
          <w:szCs w:val="24"/>
        </w:rPr>
        <w:t xml:space="preserve"> propos</w:t>
      </w:r>
      <w:r w:rsidR="00DE23D2">
        <w:rPr>
          <w:rFonts w:ascii="Times New Roman" w:hAnsi="Times New Roman" w:cs="Times New Roman"/>
          <w:sz w:val="24"/>
          <w:szCs w:val="24"/>
        </w:rPr>
        <w:t xml:space="preserve">ed model </w:t>
      </w:r>
      <w:r w:rsidR="00327DEE">
        <w:rPr>
          <w:rFonts w:ascii="Times New Roman" w:hAnsi="Times New Roman" w:cs="Times New Roman"/>
          <w:sz w:val="24"/>
          <w:szCs w:val="24"/>
        </w:rPr>
        <w:t>is constructed to</w:t>
      </w:r>
      <w:r w:rsidR="00DE23D2">
        <w:rPr>
          <w:rFonts w:ascii="Times New Roman" w:hAnsi="Times New Roman" w:cs="Times New Roman"/>
          <w:sz w:val="24"/>
          <w:szCs w:val="24"/>
        </w:rPr>
        <w:t xml:space="preserve"> </w:t>
      </w:r>
      <w:r w:rsidR="007B4BE9">
        <w:rPr>
          <w:rFonts w:ascii="Times New Roman" w:hAnsi="Times New Roman" w:cs="Times New Roman"/>
          <w:sz w:val="24"/>
          <w:szCs w:val="24"/>
        </w:rPr>
        <w:t>deal with the</w:t>
      </w:r>
      <w:r w:rsidR="003F6A8F">
        <w:rPr>
          <w:rFonts w:ascii="Times New Roman" w:hAnsi="Times New Roman" w:cs="Times New Roman"/>
          <w:sz w:val="24"/>
          <w:szCs w:val="24"/>
        </w:rPr>
        <w:t xml:space="preserve"> </w:t>
      </w:r>
      <w:r w:rsidR="0088384B">
        <w:rPr>
          <w:rFonts w:ascii="Times New Roman" w:hAnsi="Times New Roman" w:cs="Times New Roman"/>
          <w:sz w:val="24"/>
          <w:szCs w:val="24"/>
        </w:rPr>
        <w:t>related</w:t>
      </w:r>
      <w:r w:rsidR="007B4BE9">
        <w:rPr>
          <w:rFonts w:ascii="Times New Roman" w:hAnsi="Times New Roman" w:cs="Times New Roman"/>
          <w:sz w:val="24"/>
          <w:szCs w:val="24"/>
        </w:rPr>
        <w:t xml:space="preserve"> </w:t>
      </w:r>
      <w:r w:rsidR="00DE23D2">
        <w:rPr>
          <w:rFonts w:ascii="Times New Roman" w:hAnsi="Times New Roman" w:cs="Times New Roman"/>
          <w:sz w:val="24"/>
          <w:szCs w:val="24"/>
        </w:rPr>
        <w:t xml:space="preserve">concerns </w:t>
      </w:r>
      <w:r w:rsidR="0088384B">
        <w:rPr>
          <w:rFonts w:ascii="Times New Roman" w:hAnsi="Times New Roman" w:cs="Times New Roman"/>
          <w:sz w:val="24"/>
          <w:szCs w:val="24"/>
        </w:rPr>
        <w:t>from a holistic manner,</w:t>
      </w:r>
      <w:r w:rsidR="00A949B6">
        <w:rPr>
          <w:rFonts w:ascii="Times New Roman" w:hAnsi="Times New Roman" w:cs="Times New Roman"/>
          <w:sz w:val="24"/>
          <w:szCs w:val="24"/>
        </w:rPr>
        <w:t xml:space="preserve"> </w:t>
      </w:r>
      <w:r w:rsidR="0088384B">
        <w:rPr>
          <w:rFonts w:ascii="Times New Roman" w:hAnsi="Times New Roman" w:cs="Times New Roman"/>
          <w:sz w:val="24"/>
          <w:szCs w:val="24"/>
        </w:rPr>
        <w:t>replacing the ECRF</w:t>
      </w:r>
      <w:r w:rsidR="00083DD6">
        <w:rPr>
          <w:rFonts w:ascii="Times New Roman" w:hAnsi="Times New Roman" w:cs="Times New Roman"/>
          <w:sz w:val="24"/>
          <w:szCs w:val="24"/>
        </w:rPr>
        <w:t xml:space="preserve">. </w:t>
      </w:r>
    </w:p>
    <w:p w14:paraId="7BE537B0" w14:textId="3247DD8C" w:rsidR="00095479" w:rsidRDefault="00E42486" w:rsidP="0003468F">
      <w:pPr>
        <w:spacing w:before="360"/>
        <w:jc w:val="both"/>
        <w:rPr>
          <w:rFonts w:ascii="Times New Roman" w:hAnsi="Times New Roman" w:cs="Times New Roman"/>
          <w:sz w:val="24"/>
          <w:szCs w:val="24"/>
        </w:rPr>
      </w:pPr>
      <w:r>
        <w:rPr>
          <w:rFonts w:ascii="Times New Roman" w:hAnsi="Times New Roman" w:cs="Times New Roman"/>
          <w:sz w:val="24"/>
          <w:szCs w:val="24"/>
        </w:rPr>
        <w:lastRenderedPageBreak/>
        <w:t>T</w:t>
      </w:r>
      <w:r w:rsidR="00083DD6">
        <w:rPr>
          <w:rFonts w:ascii="Times New Roman" w:hAnsi="Times New Roman" w:cs="Times New Roman"/>
          <w:sz w:val="24"/>
          <w:szCs w:val="24"/>
        </w:rPr>
        <w:t xml:space="preserve">he perspective upheld </w:t>
      </w:r>
      <w:r w:rsidR="003F6A8F">
        <w:rPr>
          <w:rFonts w:ascii="Times New Roman" w:hAnsi="Times New Roman" w:cs="Times New Roman"/>
          <w:sz w:val="24"/>
          <w:szCs w:val="24"/>
        </w:rPr>
        <w:t xml:space="preserve">by the model </w:t>
      </w:r>
      <w:r w:rsidR="00083DD6">
        <w:rPr>
          <w:rFonts w:ascii="Times New Roman" w:hAnsi="Times New Roman" w:cs="Times New Roman"/>
          <w:sz w:val="24"/>
          <w:szCs w:val="24"/>
        </w:rPr>
        <w:t>expands based on th</w:t>
      </w:r>
      <w:r w:rsidR="00675B1B">
        <w:rPr>
          <w:rFonts w:ascii="Times New Roman" w:hAnsi="Times New Roman" w:cs="Times New Roman"/>
          <w:sz w:val="24"/>
          <w:szCs w:val="24"/>
        </w:rPr>
        <w:t>e main</w:t>
      </w:r>
      <w:r w:rsidR="00083DD6">
        <w:rPr>
          <w:rFonts w:ascii="Times New Roman" w:hAnsi="Times New Roman" w:cs="Times New Roman"/>
          <w:sz w:val="24"/>
          <w:szCs w:val="24"/>
        </w:rPr>
        <w:t xml:space="preserve"> thread</w:t>
      </w:r>
      <w:r w:rsidR="00675B1B">
        <w:rPr>
          <w:rFonts w:ascii="Times New Roman" w:hAnsi="Times New Roman" w:cs="Times New Roman"/>
          <w:sz w:val="24"/>
          <w:szCs w:val="24"/>
        </w:rPr>
        <w:t xml:space="preserve"> of </w:t>
      </w:r>
      <w:r w:rsidR="00675B1B" w:rsidRPr="00692824">
        <w:rPr>
          <w:rFonts w:ascii="Times New Roman" w:hAnsi="Times New Roman" w:cs="Times New Roman"/>
          <w:sz w:val="24"/>
          <w:szCs w:val="24"/>
        </w:rPr>
        <w:t>ICT interoperability</w:t>
      </w:r>
      <w:r w:rsidR="00083DD6">
        <w:rPr>
          <w:rFonts w:ascii="Times New Roman" w:hAnsi="Times New Roman" w:cs="Times New Roman"/>
          <w:sz w:val="24"/>
          <w:szCs w:val="24"/>
        </w:rPr>
        <w:t>, reach</w:t>
      </w:r>
      <w:r>
        <w:rPr>
          <w:rFonts w:ascii="Times New Roman" w:hAnsi="Times New Roman" w:cs="Times New Roman"/>
          <w:sz w:val="24"/>
          <w:szCs w:val="24"/>
        </w:rPr>
        <w:t>ing</w:t>
      </w:r>
      <w:r w:rsidR="00083DD6">
        <w:rPr>
          <w:rFonts w:ascii="Times New Roman" w:hAnsi="Times New Roman" w:cs="Times New Roman"/>
          <w:sz w:val="24"/>
          <w:szCs w:val="24"/>
        </w:rPr>
        <w:t xml:space="preserve"> out to the </w:t>
      </w:r>
      <w:r w:rsidR="00D90C8B">
        <w:rPr>
          <w:rFonts w:ascii="Times New Roman" w:hAnsi="Times New Roman" w:cs="Times New Roman"/>
          <w:sz w:val="24"/>
          <w:szCs w:val="24"/>
        </w:rPr>
        <w:t>non-transparent, unfair, algorithmically biased or discriminatory</w:t>
      </w:r>
      <w:r w:rsidR="00095479">
        <w:rPr>
          <w:rFonts w:ascii="Times New Roman" w:hAnsi="Times New Roman" w:cs="Times New Roman"/>
          <w:sz w:val="24"/>
          <w:szCs w:val="24"/>
        </w:rPr>
        <w:t xml:space="preserve">, democratically unjustifiable </w:t>
      </w:r>
      <w:r w:rsidR="003F6A8F">
        <w:rPr>
          <w:rFonts w:ascii="Times New Roman" w:hAnsi="Times New Roman" w:cs="Times New Roman"/>
          <w:sz w:val="24"/>
          <w:szCs w:val="24"/>
        </w:rPr>
        <w:t>cross-</w:t>
      </w:r>
      <w:r w:rsidR="00095479">
        <w:rPr>
          <w:rFonts w:ascii="Times New Roman" w:hAnsi="Times New Roman" w:cs="Times New Roman"/>
          <w:sz w:val="24"/>
          <w:szCs w:val="24"/>
        </w:rPr>
        <w:t xml:space="preserve">layer activities. Against such activities, the model </w:t>
      </w:r>
      <w:r>
        <w:rPr>
          <w:rFonts w:ascii="Times New Roman" w:hAnsi="Times New Roman" w:cs="Times New Roman"/>
          <w:sz w:val="24"/>
          <w:szCs w:val="24"/>
        </w:rPr>
        <w:t>develops</w:t>
      </w:r>
      <w:r w:rsidR="00095479">
        <w:rPr>
          <w:rFonts w:ascii="Times New Roman" w:hAnsi="Times New Roman" w:cs="Times New Roman"/>
          <w:sz w:val="24"/>
          <w:szCs w:val="24"/>
        </w:rPr>
        <w:t xml:space="preserve"> </w:t>
      </w:r>
      <w:r>
        <w:rPr>
          <w:rFonts w:ascii="Times New Roman" w:hAnsi="Times New Roman" w:cs="Times New Roman"/>
          <w:sz w:val="24"/>
          <w:szCs w:val="24"/>
        </w:rPr>
        <w:t xml:space="preserve">its </w:t>
      </w:r>
      <w:r w:rsidR="000F6D4C">
        <w:rPr>
          <w:rFonts w:ascii="Times New Roman" w:hAnsi="Times New Roman" w:cs="Times New Roman"/>
          <w:sz w:val="24"/>
          <w:szCs w:val="24"/>
        </w:rPr>
        <w:t>safeguards</w:t>
      </w:r>
      <w:r w:rsidR="00095479">
        <w:rPr>
          <w:rFonts w:ascii="Times New Roman" w:hAnsi="Times New Roman" w:cs="Times New Roman"/>
          <w:sz w:val="24"/>
          <w:szCs w:val="24"/>
        </w:rPr>
        <w:t xml:space="preserve"> </w:t>
      </w:r>
      <w:r>
        <w:rPr>
          <w:rFonts w:ascii="Times New Roman" w:hAnsi="Times New Roman" w:cs="Times New Roman"/>
          <w:sz w:val="24"/>
          <w:szCs w:val="24"/>
        </w:rPr>
        <w:t xml:space="preserve">by instructing </w:t>
      </w:r>
      <w:r w:rsidR="000F6D4C">
        <w:rPr>
          <w:rFonts w:ascii="Times New Roman" w:hAnsi="Times New Roman" w:cs="Times New Roman"/>
          <w:sz w:val="24"/>
          <w:szCs w:val="24"/>
        </w:rPr>
        <w:t xml:space="preserve">and forcing </w:t>
      </w:r>
      <w:r w:rsidR="00095479">
        <w:rPr>
          <w:rFonts w:ascii="Times New Roman" w:hAnsi="Times New Roman" w:cs="Times New Roman"/>
          <w:sz w:val="24"/>
          <w:szCs w:val="24"/>
        </w:rPr>
        <w:t>the ICT players to comply with the governing principles</w:t>
      </w:r>
      <w:r w:rsidR="000F6D4C">
        <w:rPr>
          <w:rFonts w:ascii="Times New Roman" w:hAnsi="Times New Roman" w:cs="Times New Roman"/>
          <w:sz w:val="24"/>
          <w:szCs w:val="24"/>
        </w:rPr>
        <w:t xml:space="preserve"> and remedies,</w:t>
      </w:r>
      <w:r w:rsidR="00095479">
        <w:rPr>
          <w:rFonts w:ascii="Times New Roman" w:hAnsi="Times New Roman" w:cs="Times New Roman"/>
          <w:sz w:val="24"/>
          <w:szCs w:val="24"/>
        </w:rPr>
        <w:t xml:space="preserve"> </w:t>
      </w:r>
      <w:r w:rsidR="000279C6">
        <w:rPr>
          <w:rFonts w:ascii="Times New Roman" w:hAnsi="Times New Roman" w:cs="Times New Roman"/>
          <w:sz w:val="24"/>
          <w:szCs w:val="24"/>
        </w:rPr>
        <w:t>and</w:t>
      </w:r>
      <w:r w:rsidR="000F6D4C">
        <w:rPr>
          <w:rFonts w:ascii="Times New Roman" w:hAnsi="Times New Roman" w:cs="Times New Roman"/>
          <w:sz w:val="24"/>
          <w:szCs w:val="24"/>
        </w:rPr>
        <w:t xml:space="preserve"> operationally</w:t>
      </w:r>
      <w:r w:rsidR="000279C6">
        <w:rPr>
          <w:rFonts w:ascii="Times New Roman" w:hAnsi="Times New Roman" w:cs="Times New Roman"/>
          <w:sz w:val="24"/>
          <w:szCs w:val="24"/>
        </w:rPr>
        <w:t xml:space="preserve"> </w:t>
      </w:r>
      <w:r w:rsidR="00095479">
        <w:rPr>
          <w:rFonts w:ascii="Times New Roman" w:hAnsi="Times New Roman" w:cs="Times New Roman"/>
          <w:sz w:val="24"/>
          <w:szCs w:val="24"/>
        </w:rPr>
        <w:t>not to perpetrat</w:t>
      </w:r>
      <w:r w:rsidR="000279C6">
        <w:rPr>
          <w:rFonts w:ascii="Times New Roman" w:hAnsi="Times New Roman" w:cs="Times New Roman"/>
          <w:sz w:val="24"/>
          <w:szCs w:val="24"/>
        </w:rPr>
        <w:t>e</w:t>
      </w:r>
      <w:r w:rsidR="00095479">
        <w:rPr>
          <w:rFonts w:ascii="Times New Roman" w:hAnsi="Times New Roman" w:cs="Times New Roman"/>
          <w:sz w:val="24"/>
          <w:szCs w:val="24"/>
        </w:rPr>
        <w:t xml:space="preserve"> </w:t>
      </w:r>
      <w:r w:rsidR="00870E78">
        <w:rPr>
          <w:rFonts w:ascii="Times New Roman" w:hAnsi="Times New Roman" w:cs="Times New Roman"/>
          <w:sz w:val="24"/>
          <w:szCs w:val="24"/>
        </w:rPr>
        <w:t>any</w:t>
      </w:r>
      <w:r w:rsidR="00095479">
        <w:rPr>
          <w:rFonts w:ascii="Times New Roman" w:hAnsi="Times New Roman" w:cs="Times New Roman"/>
          <w:sz w:val="24"/>
          <w:szCs w:val="24"/>
        </w:rPr>
        <w:t xml:space="preserve"> restrictive </w:t>
      </w:r>
      <w:r w:rsidR="00870E78">
        <w:rPr>
          <w:rFonts w:ascii="Times New Roman" w:hAnsi="Times New Roman" w:cs="Times New Roman"/>
          <w:sz w:val="24"/>
          <w:szCs w:val="24"/>
        </w:rPr>
        <w:t>e.g.</w:t>
      </w:r>
      <w:r w:rsidR="00095479">
        <w:rPr>
          <w:rFonts w:ascii="Times New Roman" w:hAnsi="Times New Roman" w:cs="Times New Roman"/>
          <w:sz w:val="24"/>
          <w:szCs w:val="24"/>
        </w:rPr>
        <w:t xml:space="preserve"> discriminatory, biased, unfairly selective</w:t>
      </w:r>
      <w:r w:rsidR="000F6D4C">
        <w:rPr>
          <w:rFonts w:ascii="Times New Roman" w:hAnsi="Times New Roman" w:cs="Times New Roman"/>
          <w:sz w:val="24"/>
          <w:szCs w:val="24"/>
        </w:rPr>
        <w:t>, non-transparent,</w:t>
      </w:r>
      <w:r w:rsidR="00095479">
        <w:rPr>
          <w:rFonts w:ascii="Times New Roman" w:hAnsi="Times New Roman" w:cs="Times New Roman"/>
          <w:sz w:val="24"/>
          <w:szCs w:val="24"/>
        </w:rPr>
        <w:t xml:space="preserve"> </w:t>
      </w:r>
      <w:r w:rsidR="000F6D4C">
        <w:rPr>
          <w:rFonts w:ascii="Times New Roman" w:hAnsi="Times New Roman" w:cs="Times New Roman"/>
          <w:sz w:val="24"/>
          <w:szCs w:val="24"/>
        </w:rPr>
        <w:t>activity</w:t>
      </w:r>
      <w:r w:rsidR="00870E78">
        <w:rPr>
          <w:rFonts w:ascii="Times New Roman" w:hAnsi="Times New Roman" w:cs="Times New Roman"/>
          <w:sz w:val="24"/>
          <w:szCs w:val="24"/>
        </w:rPr>
        <w:t xml:space="preserve">. Since this </w:t>
      </w:r>
      <w:r w:rsidR="003F6A8F">
        <w:rPr>
          <w:rFonts w:ascii="Times New Roman" w:hAnsi="Times New Roman" w:cs="Times New Roman"/>
          <w:sz w:val="24"/>
          <w:szCs w:val="24"/>
        </w:rPr>
        <w:t>features</w:t>
      </w:r>
      <w:r w:rsidR="00870E78">
        <w:rPr>
          <w:rFonts w:ascii="Times New Roman" w:hAnsi="Times New Roman" w:cs="Times New Roman"/>
          <w:sz w:val="24"/>
          <w:szCs w:val="24"/>
        </w:rPr>
        <w:t xml:space="preserve"> a behavioural roadmap by and large, </w:t>
      </w:r>
      <w:r w:rsidR="003F6A8F">
        <w:rPr>
          <w:rFonts w:ascii="Times New Roman" w:hAnsi="Times New Roman" w:cs="Times New Roman"/>
          <w:sz w:val="24"/>
          <w:szCs w:val="24"/>
        </w:rPr>
        <w:t xml:space="preserve">it might be argued </w:t>
      </w:r>
      <w:r w:rsidR="00870E78">
        <w:rPr>
          <w:rFonts w:ascii="Times New Roman" w:hAnsi="Times New Roman" w:cs="Times New Roman"/>
          <w:sz w:val="24"/>
          <w:szCs w:val="24"/>
        </w:rPr>
        <w:t xml:space="preserve">the </w:t>
      </w:r>
      <w:r w:rsidR="000279C6">
        <w:rPr>
          <w:rFonts w:ascii="Times New Roman" w:hAnsi="Times New Roman" w:cs="Times New Roman"/>
          <w:sz w:val="24"/>
          <w:szCs w:val="24"/>
        </w:rPr>
        <w:t xml:space="preserve">proposed model </w:t>
      </w:r>
      <w:r w:rsidR="003F6A8F">
        <w:rPr>
          <w:rFonts w:ascii="Times New Roman" w:hAnsi="Times New Roman" w:cs="Times New Roman"/>
          <w:sz w:val="24"/>
          <w:szCs w:val="24"/>
        </w:rPr>
        <w:t xml:space="preserve">and its underlying </w:t>
      </w:r>
      <w:r w:rsidR="00870E78">
        <w:rPr>
          <w:rFonts w:ascii="Times New Roman" w:hAnsi="Times New Roman" w:cs="Times New Roman"/>
          <w:sz w:val="24"/>
          <w:szCs w:val="24"/>
        </w:rPr>
        <w:t xml:space="preserve">normative </w:t>
      </w:r>
      <w:r w:rsidR="003F6A8F">
        <w:rPr>
          <w:rFonts w:ascii="Times New Roman" w:hAnsi="Times New Roman" w:cs="Times New Roman"/>
          <w:sz w:val="24"/>
          <w:szCs w:val="24"/>
        </w:rPr>
        <w:t>framework</w:t>
      </w:r>
      <w:r w:rsidR="000279C6">
        <w:rPr>
          <w:rFonts w:ascii="Times New Roman" w:hAnsi="Times New Roman" w:cs="Times New Roman"/>
          <w:sz w:val="24"/>
          <w:szCs w:val="24"/>
        </w:rPr>
        <w:t xml:space="preserve"> </w:t>
      </w:r>
      <w:r w:rsidR="005E0CAB">
        <w:rPr>
          <w:rFonts w:ascii="Times New Roman" w:hAnsi="Times New Roman" w:cs="Times New Roman"/>
          <w:sz w:val="24"/>
          <w:szCs w:val="24"/>
        </w:rPr>
        <w:t>should</w:t>
      </w:r>
      <w:r w:rsidR="00870E78">
        <w:rPr>
          <w:rFonts w:ascii="Times New Roman" w:hAnsi="Times New Roman" w:cs="Times New Roman"/>
          <w:sz w:val="24"/>
          <w:szCs w:val="24"/>
        </w:rPr>
        <w:t xml:space="preserve"> not affect any given right including IPRs. </w:t>
      </w:r>
    </w:p>
    <w:p w14:paraId="2484A498" w14:textId="6650EB6C" w:rsidR="007E594D" w:rsidRDefault="00870E78" w:rsidP="0003468F">
      <w:pPr>
        <w:spacing w:before="360"/>
        <w:jc w:val="both"/>
        <w:rPr>
          <w:rFonts w:ascii="Times New Roman" w:hAnsi="Times New Roman"/>
          <w:sz w:val="24"/>
          <w:szCs w:val="24"/>
        </w:rPr>
      </w:pPr>
      <w:r>
        <w:rPr>
          <w:rFonts w:ascii="Times New Roman" w:hAnsi="Times New Roman" w:cs="Times New Roman"/>
          <w:sz w:val="24"/>
          <w:szCs w:val="24"/>
        </w:rPr>
        <w:t xml:space="preserve">Notwithstanding, </w:t>
      </w:r>
      <w:r w:rsidR="005E0CAB">
        <w:rPr>
          <w:rFonts w:ascii="Times New Roman" w:hAnsi="Times New Roman" w:cs="Times New Roman"/>
          <w:sz w:val="24"/>
          <w:szCs w:val="24"/>
        </w:rPr>
        <w:t xml:space="preserve">some IPRs </w:t>
      </w:r>
      <w:r w:rsidR="001779E2">
        <w:rPr>
          <w:rFonts w:ascii="Times New Roman" w:hAnsi="Times New Roman" w:cs="Times New Roman"/>
          <w:sz w:val="24"/>
          <w:szCs w:val="24"/>
        </w:rPr>
        <w:t xml:space="preserve">as well as TPMs </w:t>
      </w:r>
      <w:r w:rsidR="005E0CAB">
        <w:rPr>
          <w:rFonts w:ascii="Times New Roman" w:hAnsi="Times New Roman" w:cs="Times New Roman"/>
          <w:sz w:val="24"/>
          <w:szCs w:val="24"/>
        </w:rPr>
        <w:t xml:space="preserve">would enable </w:t>
      </w:r>
      <w:r w:rsidR="002C7886">
        <w:rPr>
          <w:rFonts w:ascii="Times New Roman" w:hAnsi="Times New Roman" w:cs="Times New Roman"/>
          <w:sz w:val="24"/>
          <w:szCs w:val="24"/>
        </w:rPr>
        <w:t xml:space="preserve">overprotection </w:t>
      </w:r>
      <w:r w:rsidR="00675B1B">
        <w:rPr>
          <w:rFonts w:ascii="Times New Roman" w:hAnsi="Times New Roman" w:cs="Times New Roman"/>
          <w:sz w:val="24"/>
          <w:szCs w:val="24"/>
        </w:rPr>
        <w:t>o</w:t>
      </w:r>
      <w:r w:rsidR="001779E2">
        <w:rPr>
          <w:rFonts w:ascii="Times New Roman" w:hAnsi="Times New Roman" w:cs="Times New Roman"/>
          <w:sz w:val="24"/>
          <w:szCs w:val="24"/>
        </w:rPr>
        <w:t>n</w:t>
      </w:r>
      <w:r w:rsidR="002C7886">
        <w:rPr>
          <w:rFonts w:ascii="Times New Roman" w:hAnsi="Times New Roman" w:cs="Times New Roman"/>
          <w:sz w:val="24"/>
          <w:szCs w:val="24"/>
        </w:rPr>
        <w:t xml:space="preserve"> the </w:t>
      </w:r>
      <w:r w:rsidR="000F6D4C">
        <w:rPr>
          <w:rFonts w:ascii="Times New Roman" w:hAnsi="Times New Roman" w:cs="Times New Roman"/>
          <w:sz w:val="24"/>
          <w:szCs w:val="24"/>
        </w:rPr>
        <w:t xml:space="preserve">ICT </w:t>
      </w:r>
      <w:r w:rsidR="002C7886">
        <w:rPr>
          <w:rFonts w:ascii="Times New Roman" w:hAnsi="Times New Roman" w:cs="Times New Roman"/>
          <w:sz w:val="24"/>
          <w:szCs w:val="24"/>
        </w:rPr>
        <w:t xml:space="preserve">interfaces </w:t>
      </w:r>
      <w:r w:rsidR="005E0CAB">
        <w:rPr>
          <w:rFonts w:ascii="Times New Roman" w:hAnsi="Times New Roman" w:cs="Times New Roman"/>
          <w:sz w:val="24"/>
          <w:szCs w:val="24"/>
        </w:rPr>
        <w:t>sometimes jeopardising the very nature of interoperability</w:t>
      </w:r>
      <w:r w:rsidR="007B6C08">
        <w:rPr>
          <w:rFonts w:ascii="Times New Roman" w:hAnsi="Times New Roman" w:cs="Times New Roman"/>
          <w:sz w:val="24"/>
          <w:szCs w:val="24"/>
        </w:rPr>
        <w:t>,</w:t>
      </w:r>
      <w:r w:rsidR="005E0CAB">
        <w:rPr>
          <w:rFonts w:ascii="Times New Roman" w:hAnsi="Times New Roman" w:cs="Times New Roman"/>
          <w:sz w:val="24"/>
          <w:szCs w:val="24"/>
        </w:rPr>
        <w:t xml:space="preserve"> </w:t>
      </w:r>
      <w:r w:rsidR="00647800">
        <w:rPr>
          <w:rFonts w:ascii="Times New Roman" w:hAnsi="Times New Roman" w:cs="Times New Roman"/>
          <w:sz w:val="24"/>
          <w:szCs w:val="24"/>
        </w:rPr>
        <w:t>which entails</w:t>
      </w:r>
      <w:r w:rsidR="005E0CAB">
        <w:rPr>
          <w:rFonts w:ascii="Times New Roman" w:hAnsi="Times New Roman" w:cs="Times New Roman"/>
          <w:sz w:val="24"/>
          <w:szCs w:val="24"/>
        </w:rPr>
        <w:t xml:space="preserve"> behavioural freedoms, </w:t>
      </w:r>
      <w:r w:rsidR="008D2BCE">
        <w:rPr>
          <w:rFonts w:ascii="Times New Roman" w:hAnsi="Times New Roman" w:cs="Times New Roman"/>
          <w:sz w:val="24"/>
          <w:szCs w:val="24"/>
        </w:rPr>
        <w:t>innovation and information flows</w:t>
      </w:r>
      <w:r w:rsidR="005E0CAB">
        <w:rPr>
          <w:rFonts w:ascii="Times New Roman" w:hAnsi="Times New Roman" w:cs="Times New Roman"/>
          <w:sz w:val="24"/>
          <w:szCs w:val="24"/>
        </w:rPr>
        <w:t xml:space="preserve">. </w:t>
      </w:r>
      <w:r w:rsidR="008D2BCE">
        <w:rPr>
          <w:rFonts w:ascii="Times New Roman" w:hAnsi="Times New Roman" w:cs="Times New Roman"/>
          <w:sz w:val="24"/>
          <w:szCs w:val="24"/>
        </w:rPr>
        <w:t>T</w:t>
      </w:r>
      <w:r w:rsidR="005E0CAB">
        <w:rPr>
          <w:rFonts w:ascii="Times New Roman" w:hAnsi="Times New Roman" w:cs="Times New Roman"/>
          <w:sz w:val="24"/>
          <w:szCs w:val="24"/>
        </w:rPr>
        <w:t xml:space="preserve">his often comes up with the </w:t>
      </w:r>
      <w:r w:rsidR="00647800">
        <w:rPr>
          <w:rFonts w:ascii="Times New Roman" w:hAnsi="Times New Roman" w:cs="Times New Roman"/>
          <w:sz w:val="24"/>
          <w:szCs w:val="24"/>
        </w:rPr>
        <w:t xml:space="preserve">protective </w:t>
      </w:r>
      <w:r w:rsidR="008D2BCE">
        <w:rPr>
          <w:rFonts w:ascii="Times New Roman" w:hAnsi="Times New Roman" w:cs="Times New Roman"/>
          <w:sz w:val="24"/>
          <w:szCs w:val="24"/>
        </w:rPr>
        <w:t>statutory rule</w:t>
      </w:r>
      <w:r w:rsidR="005E0CAB">
        <w:rPr>
          <w:rFonts w:ascii="Times New Roman" w:hAnsi="Times New Roman" w:cs="Times New Roman"/>
          <w:sz w:val="24"/>
          <w:szCs w:val="24"/>
        </w:rPr>
        <w:t xml:space="preserve">s </w:t>
      </w:r>
      <w:r w:rsidR="008D2BCE">
        <w:rPr>
          <w:rFonts w:ascii="Times New Roman" w:hAnsi="Times New Roman" w:cs="Times New Roman"/>
          <w:sz w:val="24"/>
          <w:szCs w:val="24"/>
        </w:rPr>
        <w:t>and would result in a potential</w:t>
      </w:r>
      <w:r w:rsidR="005E0CAB">
        <w:rPr>
          <w:rFonts w:ascii="Times New Roman" w:hAnsi="Times New Roman" w:cs="Times New Roman"/>
          <w:sz w:val="24"/>
          <w:szCs w:val="24"/>
        </w:rPr>
        <w:t xml:space="preserve"> clash between the exploitation of IPRs</w:t>
      </w:r>
      <w:r w:rsidR="001779E2">
        <w:rPr>
          <w:rFonts w:ascii="Times New Roman" w:hAnsi="Times New Roman" w:cs="Times New Roman"/>
          <w:sz w:val="24"/>
          <w:szCs w:val="24"/>
        </w:rPr>
        <w:t>/TPMs</w:t>
      </w:r>
      <w:r w:rsidR="005E0CAB">
        <w:rPr>
          <w:rFonts w:ascii="Times New Roman" w:hAnsi="Times New Roman" w:cs="Times New Roman"/>
          <w:sz w:val="24"/>
          <w:szCs w:val="24"/>
        </w:rPr>
        <w:t xml:space="preserve"> and appl</w:t>
      </w:r>
      <w:r w:rsidR="008D2BCE">
        <w:rPr>
          <w:rFonts w:ascii="Times New Roman" w:hAnsi="Times New Roman" w:cs="Times New Roman"/>
          <w:sz w:val="24"/>
          <w:szCs w:val="24"/>
        </w:rPr>
        <w:t>ication of</w:t>
      </w:r>
      <w:r w:rsidR="005E0CAB">
        <w:rPr>
          <w:rFonts w:ascii="Times New Roman" w:hAnsi="Times New Roman" w:cs="Times New Roman"/>
          <w:sz w:val="24"/>
          <w:szCs w:val="24"/>
        </w:rPr>
        <w:t xml:space="preserve"> the layered regulatory model. In case of such </w:t>
      </w:r>
      <w:r w:rsidR="004441BD">
        <w:rPr>
          <w:rFonts w:ascii="Times New Roman" w:hAnsi="Times New Roman" w:cs="Times New Roman"/>
          <w:sz w:val="24"/>
          <w:szCs w:val="24"/>
        </w:rPr>
        <w:t xml:space="preserve">a </w:t>
      </w:r>
      <w:r w:rsidR="005E0CAB">
        <w:rPr>
          <w:rFonts w:ascii="Times New Roman" w:hAnsi="Times New Roman" w:cs="Times New Roman"/>
          <w:sz w:val="24"/>
          <w:szCs w:val="24"/>
        </w:rPr>
        <w:t xml:space="preserve">clash, the broadened vision of the proposed model needs to </w:t>
      </w:r>
      <w:r w:rsidR="007B6C08">
        <w:rPr>
          <w:rFonts w:ascii="Times New Roman" w:hAnsi="Times New Roman" w:cs="Times New Roman"/>
          <w:sz w:val="24"/>
          <w:szCs w:val="24"/>
        </w:rPr>
        <w:t>step</w:t>
      </w:r>
      <w:r w:rsidR="005E0CAB">
        <w:rPr>
          <w:rFonts w:ascii="Times New Roman" w:hAnsi="Times New Roman" w:cs="Times New Roman"/>
          <w:sz w:val="24"/>
          <w:szCs w:val="24"/>
        </w:rPr>
        <w:t xml:space="preserve"> in for the </w:t>
      </w:r>
      <w:r w:rsidR="008D2BCE">
        <w:rPr>
          <w:rFonts w:ascii="Times New Roman" w:hAnsi="Times New Roman" w:cs="Times New Roman"/>
          <w:sz w:val="24"/>
          <w:szCs w:val="24"/>
        </w:rPr>
        <w:t>encroaching</w:t>
      </w:r>
      <w:r w:rsidR="005E0CAB">
        <w:rPr>
          <w:rFonts w:ascii="Times New Roman" w:hAnsi="Times New Roman" w:cs="Times New Roman"/>
          <w:sz w:val="24"/>
          <w:szCs w:val="24"/>
        </w:rPr>
        <w:t xml:space="preserve"> </w:t>
      </w:r>
      <w:r w:rsidR="001779E2">
        <w:rPr>
          <w:rFonts w:ascii="Times New Roman" w:hAnsi="Times New Roman" w:cs="Times New Roman"/>
          <w:sz w:val="24"/>
          <w:szCs w:val="24"/>
        </w:rPr>
        <w:t>rights and technological measures,</w:t>
      </w:r>
      <w:r w:rsidR="000061C7">
        <w:rPr>
          <w:rFonts w:ascii="Times New Roman" w:hAnsi="Times New Roman" w:cs="Times New Roman"/>
          <w:sz w:val="24"/>
          <w:szCs w:val="24"/>
        </w:rPr>
        <w:t xml:space="preserve"> should</w:t>
      </w:r>
      <w:r w:rsidR="005E0CAB">
        <w:rPr>
          <w:rFonts w:ascii="Times New Roman" w:hAnsi="Times New Roman" w:cs="Times New Roman"/>
          <w:sz w:val="24"/>
          <w:szCs w:val="24"/>
        </w:rPr>
        <w:t xml:space="preserve"> they </w:t>
      </w:r>
      <w:r w:rsidR="008D2BCE">
        <w:rPr>
          <w:rFonts w:ascii="Times New Roman" w:hAnsi="Times New Roman" w:cs="Times New Roman"/>
          <w:sz w:val="24"/>
          <w:szCs w:val="24"/>
        </w:rPr>
        <w:t>intervene</w:t>
      </w:r>
      <w:r w:rsidR="004441BD">
        <w:rPr>
          <w:rFonts w:ascii="Times New Roman" w:hAnsi="Times New Roman" w:cs="Times New Roman"/>
          <w:sz w:val="24"/>
          <w:szCs w:val="24"/>
        </w:rPr>
        <w:t xml:space="preserve"> </w:t>
      </w:r>
      <w:r w:rsidR="008D2BCE">
        <w:rPr>
          <w:rFonts w:ascii="Times New Roman" w:hAnsi="Times New Roman" w:cs="Times New Roman"/>
          <w:sz w:val="24"/>
          <w:szCs w:val="24"/>
        </w:rPr>
        <w:t xml:space="preserve">users’ </w:t>
      </w:r>
      <w:r w:rsidR="004441BD">
        <w:rPr>
          <w:rFonts w:ascii="Times New Roman" w:hAnsi="Times New Roman" w:cs="Times New Roman"/>
          <w:sz w:val="24"/>
          <w:szCs w:val="24"/>
        </w:rPr>
        <w:t>freedo</w:t>
      </w:r>
      <w:r w:rsidR="008D2BCE">
        <w:rPr>
          <w:rFonts w:ascii="Times New Roman" w:hAnsi="Times New Roman" w:cs="Times New Roman"/>
          <w:sz w:val="24"/>
          <w:szCs w:val="24"/>
        </w:rPr>
        <w:t xml:space="preserve">m to choose </w:t>
      </w:r>
      <w:r w:rsidR="000061C7">
        <w:rPr>
          <w:rFonts w:ascii="Times New Roman" w:hAnsi="Times New Roman" w:cs="Times New Roman"/>
          <w:sz w:val="24"/>
          <w:szCs w:val="24"/>
        </w:rPr>
        <w:t>disseminated</w:t>
      </w:r>
      <w:r w:rsidR="008D2BCE">
        <w:rPr>
          <w:rFonts w:ascii="Times New Roman" w:hAnsi="Times New Roman" w:cs="Times New Roman"/>
          <w:sz w:val="24"/>
          <w:szCs w:val="24"/>
        </w:rPr>
        <w:t xml:space="preserve"> content, applications, services</w:t>
      </w:r>
      <w:r w:rsidR="004441BD">
        <w:rPr>
          <w:rFonts w:ascii="Times New Roman" w:hAnsi="Times New Roman" w:cs="Times New Roman"/>
          <w:sz w:val="24"/>
          <w:szCs w:val="24"/>
        </w:rPr>
        <w:t xml:space="preserve"> </w:t>
      </w:r>
      <w:r w:rsidR="008D2BCE">
        <w:rPr>
          <w:rFonts w:ascii="Times New Roman" w:hAnsi="Times New Roman" w:cs="Times New Roman"/>
          <w:sz w:val="24"/>
          <w:szCs w:val="24"/>
        </w:rPr>
        <w:t>and networks</w:t>
      </w:r>
      <w:r w:rsidR="004441BD">
        <w:rPr>
          <w:rFonts w:ascii="Times New Roman" w:hAnsi="Times New Roman" w:cs="Times New Roman"/>
          <w:sz w:val="24"/>
          <w:szCs w:val="24"/>
        </w:rPr>
        <w:t xml:space="preserve">. This </w:t>
      </w:r>
      <w:r w:rsidR="007B6C08">
        <w:rPr>
          <w:rFonts w:ascii="Times New Roman" w:hAnsi="Times New Roman" w:cs="Times New Roman"/>
          <w:sz w:val="24"/>
          <w:szCs w:val="24"/>
        </w:rPr>
        <w:t>very</w:t>
      </w:r>
      <w:r w:rsidR="004441BD">
        <w:rPr>
          <w:rFonts w:ascii="Times New Roman" w:hAnsi="Times New Roman" w:cs="Times New Roman"/>
          <w:sz w:val="24"/>
          <w:szCs w:val="24"/>
        </w:rPr>
        <w:t xml:space="preserve"> notion is crystallised </w:t>
      </w:r>
      <w:r w:rsidR="00647800">
        <w:rPr>
          <w:rFonts w:ascii="Times New Roman" w:hAnsi="Times New Roman" w:cs="Times New Roman"/>
          <w:sz w:val="24"/>
          <w:szCs w:val="24"/>
        </w:rPr>
        <w:t xml:space="preserve">and rooted </w:t>
      </w:r>
      <w:r w:rsidR="004441BD">
        <w:rPr>
          <w:rFonts w:ascii="Times New Roman" w:hAnsi="Times New Roman" w:cs="Times New Roman"/>
          <w:sz w:val="24"/>
          <w:szCs w:val="24"/>
        </w:rPr>
        <w:t>within the first governing principle of the model</w:t>
      </w:r>
      <w:r w:rsidR="007B6C08">
        <w:rPr>
          <w:rFonts w:ascii="Times New Roman" w:hAnsi="Times New Roman" w:cs="Times New Roman"/>
          <w:sz w:val="24"/>
          <w:szCs w:val="24"/>
        </w:rPr>
        <w:t>,</w:t>
      </w:r>
      <w:r w:rsidR="004441BD">
        <w:rPr>
          <w:rFonts w:ascii="Times New Roman" w:hAnsi="Times New Roman" w:cs="Times New Roman"/>
          <w:sz w:val="24"/>
          <w:szCs w:val="24"/>
        </w:rPr>
        <w:t xml:space="preserve"> which stipulates ICT players </w:t>
      </w:r>
      <w:r w:rsidR="004441BD">
        <w:rPr>
          <w:rFonts w:ascii="Times New Roman" w:hAnsi="Times New Roman"/>
          <w:sz w:val="24"/>
          <w:szCs w:val="24"/>
        </w:rPr>
        <w:t>not</w:t>
      </w:r>
      <w:r w:rsidR="004441BD" w:rsidRPr="00774EDB">
        <w:rPr>
          <w:rFonts w:ascii="Times New Roman" w:hAnsi="Times New Roman"/>
          <w:sz w:val="24"/>
          <w:szCs w:val="24"/>
        </w:rPr>
        <w:t xml:space="preserve"> </w:t>
      </w:r>
      <w:r w:rsidR="004441BD">
        <w:rPr>
          <w:rFonts w:ascii="Times New Roman" w:hAnsi="Times New Roman"/>
          <w:sz w:val="24"/>
          <w:szCs w:val="24"/>
        </w:rPr>
        <w:t xml:space="preserve">to </w:t>
      </w:r>
      <w:r w:rsidR="004441BD" w:rsidRPr="00774EDB">
        <w:rPr>
          <w:rFonts w:ascii="Times New Roman" w:hAnsi="Times New Roman"/>
          <w:sz w:val="24"/>
          <w:szCs w:val="24"/>
        </w:rPr>
        <w:t xml:space="preserve">restrict access </w:t>
      </w:r>
      <w:r w:rsidR="004441BD">
        <w:rPr>
          <w:rFonts w:ascii="Times New Roman" w:hAnsi="Times New Roman"/>
          <w:sz w:val="24"/>
          <w:szCs w:val="24"/>
        </w:rPr>
        <w:t xml:space="preserve">and interoperability </w:t>
      </w:r>
      <w:r w:rsidR="004441BD" w:rsidRPr="00774EDB">
        <w:rPr>
          <w:rFonts w:ascii="Times New Roman" w:hAnsi="Times New Roman"/>
          <w:sz w:val="24"/>
          <w:szCs w:val="24"/>
        </w:rPr>
        <w:t>at the expense of limit</w:t>
      </w:r>
      <w:r w:rsidR="004441BD">
        <w:rPr>
          <w:rFonts w:ascii="Times New Roman" w:hAnsi="Times New Roman"/>
          <w:sz w:val="24"/>
          <w:szCs w:val="24"/>
        </w:rPr>
        <w:t>ing</w:t>
      </w:r>
      <w:r w:rsidR="004441BD" w:rsidRPr="00774EDB">
        <w:rPr>
          <w:rFonts w:ascii="Times New Roman" w:hAnsi="Times New Roman"/>
          <w:sz w:val="24"/>
          <w:szCs w:val="24"/>
        </w:rPr>
        <w:t xml:space="preserve"> consumer choices</w:t>
      </w:r>
      <w:r w:rsidR="004441BD">
        <w:rPr>
          <w:rFonts w:ascii="Times New Roman" w:hAnsi="Times New Roman"/>
          <w:sz w:val="24"/>
          <w:szCs w:val="24"/>
        </w:rPr>
        <w:t xml:space="preserve">. Since this principle </w:t>
      </w:r>
      <w:r w:rsidR="00DE6194">
        <w:rPr>
          <w:rFonts w:ascii="Times New Roman" w:hAnsi="Times New Roman"/>
          <w:sz w:val="24"/>
          <w:szCs w:val="24"/>
        </w:rPr>
        <w:t xml:space="preserve">is a </w:t>
      </w:r>
      <w:r w:rsidR="00647800">
        <w:rPr>
          <w:rFonts w:ascii="Times New Roman" w:hAnsi="Times New Roman"/>
          <w:sz w:val="24"/>
          <w:szCs w:val="24"/>
        </w:rPr>
        <w:t xml:space="preserve">clear </w:t>
      </w:r>
      <w:r w:rsidR="00DE6194">
        <w:rPr>
          <w:rFonts w:ascii="Times New Roman" w:hAnsi="Times New Roman"/>
          <w:sz w:val="24"/>
          <w:szCs w:val="24"/>
        </w:rPr>
        <w:t>signal to</w:t>
      </w:r>
      <w:r w:rsidR="007E594D">
        <w:rPr>
          <w:rFonts w:ascii="Times New Roman" w:hAnsi="Times New Roman"/>
          <w:sz w:val="24"/>
          <w:szCs w:val="24"/>
        </w:rPr>
        <w:t xml:space="preserve"> the over-intrusive controlling mechanisms including the IPRs</w:t>
      </w:r>
      <w:r w:rsidR="001779E2">
        <w:rPr>
          <w:rFonts w:ascii="Times New Roman" w:hAnsi="Times New Roman"/>
          <w:sz w:val="24"/>
          <w:szCs w:val="24"/>
        </w:rPr>
        <w:t xml:space="preserve"> and TPMs</w:t>
      </w:r>
      <w:r w:rsidR="007E594D">
        <w:rPr>
          <w:rFonts w:ascii="Times New Roman" w:hAnsi="Times New Roman"/>
          <w:sz w:val="24"/>
          <w:szCs w:val="24"/>
        </w:rPr>
        <w:t xml:space="preserve">, </w:t>
      </w:r>
      <w:r w:rsidR="00DE6194">
        <w:rPr>
          <w:rFonts w:ascii="Times New Roman" w:hAnsi="Times New Roman"/>
          <w:sz w:val="24"/>
          <w:szCs w:val="24"/>
        </w:rPr>
        <w:t xml:space="preserve">an </w:t>
      </w:r>
      <w:r w:rsidR="007E594D">
        <w:rPr>
          <w:rFonts w:ascii="Times New Roman" w:hAnsi="Times New Roman"/>
          <w:sz w:val="24"/>
          <w:szCs w:val="24"/>
        </w:rPr>
        <w:t>ICT player need</w:t>
      </w:r>
      <w:r w:rsidR="00DE6194">
        <w:rPr>
          <w:rFonts w:ascii="Times New Roman" w:hAnsi="Times New Roman"/>
          <w:sz w:val="24"/>
          <w:szCs w:val="24"/>
        </w:rPr>
        <w:t>s</w:t>
      </w:r>
      <w:r w:rsidR="007E594D">
        <w:rPr>
          <w:rFonts w:ascii="Times New Roman" w:hAnsi="Times New Roman"/>
          <w:sz w:val="24"/>
          <w:szCs w:val="24"/>
        </w:rPr>
        <w:t xml:space="preserve"> to pay extra attention while exercising their IPRs </w:t>
      </w:r>
      <w:r w:rsidR="000061C7">
        <w:rPr>
          <w:rFonts w:ascii="Times New Roman" w:hAnsi="Times New Roman"/>
          <w:sz w:val="24"/>
          <w:szCs w:val="24"/>
        </w:rPr>
        <w:t>as</w:t>
      </w:r>
      <w:r w:rsidR="007E594D">
        <w:rPr>
          <w:rFonts w:ascii="Times New Roman" w:hAnsi="Times New Roman"/>
          <w:sz w:val="24"/>
          <w:szCs w:val="24"/>
        </w:rPr>
        <w:t xml:space="preserve"> th</w:t>
      </w:r>
      <w:r w:rsidR="00DE6194">
        <w:rPr>
          <w:rFonts w:ascii="Times New Roman" w:hAnsi="Times New Roman"/>
          <w:sz w:val="24"/>
          <w:szCs w:val="24"/>
        </w:rPr>
        <w:t>ese</w:t>
      </w:r>
      <w:r w:rsidR="007E594D">
        <w:rPr>
          <w:rFonts w:ascii="Times New Roman" w:hAnsi="Times New Roman"/>
          <w:sz w:val="24"/>
          <w:szCs w:val="24"/>
        </w:rPr>
        <w:t xml:space="preserve"> </w:t>
      </w:r>
      <w:r w:rsidR="000061C7">
        <w:rPr>
          <w:rFonts w:ascii="Times New Roman" w:hAnsi="Times New Roman"/>
          <w:sz w:val="24"/>
          <w:szCs w:val="24"/>
        </w:rPr>
        <w:t xml:space="preserve">would </w:t>
      </w:r>
      <w:r w:rsidR="007E594D">
        <w:rPr>
          <w:rFonts w:ascii="Times New Roman" w:hAnsi="Times New Roman"/>
          <w:sz w:val="24"/>
          <w:szCs w:val="24"/>
        </w:rPr>
        <w:t xml:space="preserve">have the effect of limiting the consumers’ choices </w:t>
      </w:r>
      <w:r w:rsidR="00647800">
        <w:rPr>
          <w:rFonts w:ascii="Times New Roman" w:hAnsi="Times New Roman"/>
          <w:sz w:val="24"/>
          <w:szCs w:val="24"/>
        </w:rPr>
        <w:t>along with</w:t>
      </w:r>
      <w:r w:rsidR="007E594D">
        <w:rPr>
          <w:rFonts w:ascii="Times New Roman" w:hAnsi="Times New Roman"/>
          <w:sz w:val="24"/>
          <w:szCs w:val="24"/>
        </w:rPr>
        <w:t xml:space="preserve"> hindered interoperability.</w:t>
      </w:r>
      <w:r w:rsidR="001779E2">
        <w:rPr>
          <w:rFonts w:ascii="Times New Roman" w:hAnsi="Times New Roman"/>
          <w:sz w:val="24"/>
          <w:szCs w:val="24"/>
        </w:rPr>
        <w:t xml:space="preserve"> On the other hand, unless the utilised rights and technological measures restrict access and interoperability </w:t>
      </w:r>
      <w:r w:rsidR="001779E2">
        <w:rPr>
          <w:rFonts w:ascii="Times New Roman" w:hAnsi="Times New Roman"/>
          <w:sz w:val="24"/>
          <w:szCs w:val="24"/>
        </w:rPr>
        <w:lastRenderedPageBreak/>
        <w:t xml:space="preserve">across the layers, there </w:t>
      </w:r>
      <w:r w:rsidR="0081188E">
        <w:rPr>
          <w:rFonts w:ascii="Times New Roman" w:hAnsi="Times New Roman"/>
          <w:sz w:val="24"/>
          <w:szCs w:val="24"/>
        </w:rPr>
        <w:t>would be minimum or</w:t>
      </w:r>
      <w:r w:rsidR="001779E2">
        <w:rPr>
          <w:rFonts w:ascii="Times New Roman" w:hAnsi="Times New Roman"/>
          <w:sz w:val="24"/>
          <w:szCs w:val="24"/>
        </w:rPr>
        <w:t xml:space="preserve"> no room for competition or techno-social concerns that potentially denote a gatekeeping activity.</w:t>
      </w:r>
      <w:r w:rsidR="0081188E">
        <w:rPr>
          <w:rStyle w:val="FootnoteReference"/>
          <w:rFonts w:ascii="Times New Roman" w:hAnsi="Times New Roman"/>
          <w:sz w:val="24"/>
          <w:szCs w:val="24"/>
        </w:rPr>
        <w:footnoteReference w:id="903"/>
      </w:r>
      <w:r w:rsidR="0081188E">
        <w:rPr>
          <w:rFonts w:ascii="Times New Roman" w:hAnsi="Times New Roman"/>
          <w:sz w:val="24"/>
          <w:szCs w:val="24"/>
        </w:rPr>
        <w:t xml:space="preserve"> </w:t>
      </w:r>
      <w:r w:rsidR="001779E2">
        <w:rPr>
          <w:rFonts w:ascii="Times New Roman" w:hAnsi="Times New Roman"/>
          <w:sz w:val="24"/>
          <w:szCs w:val="24"/>
        </w:rPr>
        <w:t xml:space="preserve">  </w:t>
      </w:r>
    </w:p>
    <w:p w14:paraId="334D57B4" w14:textId="66B1300E" w:rsidR="009263D6" w:rsidRDefault="007E594D" w:rsidP="007737AB">
      <w:pPr>
        <w:spacing w:before="360"/>
        <w:jc w:val="both"/>
        <w:rPr>
          <w:rFonts w:ascii="Times New Roman" w:hAnsi="Times New Roman"/>
          <w:sz w:val="24"/>
          <w:szCs w:val="24"/>
        </w:rPr>
      </w:pPr>
      <w:r>
        <w:rPr>
          <w:rFonts w:ascii="Times New Roman" w:hAnsi="Times New Roman"/>
          <w:sz w:val="24"/>
          <w:szCs w:val="24"/>
        </w:rPr>
        <w:t xml:space="preserve">From a broader perspective, the proposed model would accommodate libertarian views </w:t>
      </w:r>
      <w:r w:rsidR="002403CA">
        <w:rPr>
          <w:rFonts w:ascii="Times New Roman" w:hAnsi="Times New Roman"/>
          <w:sz w:val="24"/>
          <w:szCs w:val="24"/>
        </w:rPr>
        <w:t xml:space="preserve">regarding information flows </w:t>
      </w:r>
      <w:r>
        <w:rPr>
          <w:rFonts w:ascii="Times New Roman" w:hAnsi="Times New Roman"/>
          <w:sz w:val="24"/>
          <w:szCs w:val="24"/>
        </w:rPr>
        <w:t xml:space="preserve">and </w:t>
      </w:r>
      <w:r w:rsidR="00DE6194">
        <w:rPr>
          <w:rFonts w:ascii="Times New Roman" w:hAnsi="Times New Roman"/>
          <w:sz w:val="24"/>
          <w:szCs w:val="24"/>
        </w:rPr>
        <w:t xml:space="preserve">scholarly </w:t>
      </w:r>
      <w:r>
        <w:rPr>
          <w:rFonts w:ascii="Times New Roman" w:hAnsi="Times New Roman"/>
          <w:sz w:val="24"/>
          <w:szCs w:val="24"/>
        </w:rPr>
        <w:t xml:space="preserve">calls for </w:t>
      </w:r>
      <w:r w:rsidR="002403CA">
        <w:rPr>
          <w:rFonts w:ascii="Times New Roman" w:hAnsi="Times New Roman"/>
          <w:sz w:val="24"/>
          <w:szCs w:val="24"/>
        </w:rPr>
        <w:t>‘</w:t>
      </w:r>
      <w:r>
        <w:rPr>
          <w:rFonts w:ascii="Times New Roman" w:hAnsi="Times New Roman"/>
          <w:sz w:val="24"/>
          <w:szCs w:val="24"/>
        </w:rPr>
        <w:t>information justice</w:t>
      </w:r>
      <w:r w:rsidR="002403CA">
        <w:rPr>
          <w:rFonts w:ascii="Times New Roman" w:hAnsi="Times New Roman"/>
          <w:sz w:val="24"/>
          <w:szCs w:val="24"/>
        </w:rPr>
        <w:t>’</w:t>
      </w:r>
      <w:r w:rsidR="00DE6194">
        <w:rPr>
          <w:rFonts w:ascii="Times New Roman" w:hAnsi="Times New Roman"/>
          <w:sz w:val="24"/>
          <w:szCs w:val="24"/>
        </w:rPr>
        <w:t>.</w:t>
      </w:r>
      <w:r w:rsidR="00DE6194">
        <w:rPr>
          <w:rStyle w:val="FootnoteReference"/>
          <w:rFonts w:ascii="Times New Roman" w:hAnsi="Times New Roman"/>
          <w:sz w:val="24"/>
          <w:szCs w:val="24"/>
        </w:rPr>
        <w:footnoteReference w:id="904"/>
      </w:r>
      <w:r>
        <w:rPr>
          <w:rFonts w:ascii="Times New Roman" w:hAnsi="Times New Roman"/>
          <w:sz w:val="24"/>
          <w:szCs w:val="24"/>
        </w:rPr>
        <w:t xml:space="preserve"> </w:t>
      </w:r>
      <w:r w:rsidR="00DE6194">
        <w:rPr>
          <w:rFonts w:ascii="Times New Roman" w:hAnsi="Times New Roman"/>
          <w:sz w:val="24"/>
          <w:szCs w:val="24"/>
        </w:rPr>
        <w:t xml:space="preserve">It </w:t>
      </w:r>
      <w:r w:rsidR="00154237">
        <w:rPr>
          <w:rFonts w:ascii="Times New Roman" w:hAnsi="Times New Roman"/>
          <w:sz w:val="24"/>
          <w:szCs w:val="24"/>
        </w:rPr>
        <w:t xml:space="preserve">underpins and aims to </w:t>
      </w:r>
      <w:r w:rsidR="00DE6194">
        <w:rPr>
          <w:rFonts w:ascii="Times New Roman" w:hAnsi="Times New Roman"/>
          <w:sz w:val="24"/>
          <w:szCs w:val="24"/>
        </w:rPr>
        <w:t>pr</w:t>
      </w:r>
      <w:r w:rsidR="00154237">
        <w:rPr>
          <w:rFonts w:ascii="Times New Roman" w:hAnsi="Times New Roman"/>
          <w:sz w:val="24"/>
          <w:szCs w:val="24"/>
        </w:rPr>
        <w:t>otect</w:t>
      </w:r>
      <w:r w:rsidR="00DE6194">
        <w:rPr>
          <w:rFonts w:ascii="Times New Roman" w:hAnsi="Times New Roman"/>
          <w:sz w:val="24"/>
          <w:szCs w:val="24"/>
        </w:rPr>
        <w:t xml:space="preserve"> the </w:t>
      </w:r>
      <w:r w:rsidR="0038414E" w:rsidRPr="0038414E">
        <w:rPr>
          <w:rFonts w:ascii="Times New Roman" w:hAnsi="Times New Roman"/>
          <w:sz w:val="24"/>
          <w:szCs w:val="24"/>
        </w:rPr>
        <w:t xml:space="preserve">consumers’ freedom to choose, communicate and access to the information, </w:t>
      </w:r>
      <w:r w:rsidR="004A70F8">
        <w:rPr>
          <w:rFonts w:ascii="Times New Roman" w:hAnsi="Times New Roman"/>
          <w:sz w:val="24"/>
          <w:szCs w:val="24"/>
        </w:rPr>
        <w:t xml:space="preserve">over which considerable control is exerted across the </w:t>
      </w:r>
      <w:r w:rsidR="00154237">
        <w:rPr>
          <w:rFonts w:ascii="Times New Roman" w:hAnsi="Times New Roman"/>
          <w:sz w:val="24"/>
          <w:szCs w:val="24"/>
        </w:rPr>
        <w:t>technological</w:t>
      </w:r>
      <w:r w:rsidR="004A70F8">
        <w:rPr>
          <w:rFonts w:ascii="Times New Roman" w:hAnsi="Times New Roman"/>
          <w:sz w:val="24"/>
          <w:szCs w:val="24"/>
        </w:rPr>
        <w:t xml:space="preserve"> layers</w:t>
      </w:r>
      <w:r w:rsidR="000061C7">
        <w:rPr>
          <w:rFonts w:ascii="Times New Roman" w:hAnsi="Times New Roman"/>
          <w:sz w:val="24"/>
          <w:szCs w:val="24"/>
        </w:rPr>
        <w:t xml:space="preserve">, increasingly </w:t>
      </w:r>
      <w:r w:rsidR="007B6C08">
        <w:rPr>
          <w:rFonts w:ascii="Times New Roman" w:hAnsi="Times New Roman"/>
          <w:sz w:val="24"/>
          <w:szCs w:val="24"/>
        </w:rPr>
        <w:t>by means of</w:t>
      </w:r>
      <w:r w:rsidR="000061C7">
        <w:rPr>
          <w:rFonts w:ascii="Times New Roman" w:hAnsi="Times New Roman"/>
          <w:sz w:val="24"/>
          <w:szCs w:val="24"/>
        </w:rPr>
        <w:t xml:space="preserve"> AI-based algorithms</w:t>
      </w:r>
      <w:r w:rsidR="004A70F8">
        <w:rPr>
          <w:rFonts w:ascii="Times New Roman" w:hAnsi="Times New Roman"/>
          <w:sz w:val="24"/>
          <w:szCs w:val="24"/>
        </w:rPr>
        <w:t>.</w:t>
      </w:r>
      <w:r w:rsidR="000061C7">
        <w:rPr>
          <w:rFonts w:ascii="Times New Roman" w:hAnsi="Times New Roman"/>
          <w:sz w:val="24"/>
          <w:szCs w:val="24"/>
        </w:rPr>
        <w:t xml:space="preserve"> </w:t>
      </w:r>
      <w:r w:rsidR="00581AC9">
        <w:rPr>
          <w:rFonts w:ascii="Times New Roman" w:hAnsi="Times New Roman"/>
          <w:sz w:val="24"/>
          <w:szCs w:val="24"/>
        </w:rPr>
        <w:t xml:space="preserve">While the onus is to </w:t>
      </w:r>
      <w:r w:rsidR="007B6C08">
        <w:rPr>
          <w:rFonts w:ascii="Times New Roman" w:hAnsi="Times New Roman"/>
          <w:sz w:val="24"/>
          <w:szCs w:val="24"/>
        </w:rPr>
        <w:t>enhance</w:t>
      </w:r>
      <w:r w:rsidR="00581AC9">
        <w:rPr>
          <w:rFonts w:ascii="Times New Roman" w:hAnsi="Times New Roman"/>
          <w:sz w:val="24"/>
          <w:szCs w:val="24"/>
        </w:rPr>
        <w:t xml:space="preserve"> the access and interoperability </w:t>
      </w:r>
      <w:r w:rsidR="007737AB">
        <w:rPr>
          <w:rFonts w:ascii="Times New Roman" w:hAnsi="Times New Roman"/>
          <w:sz w:val="24"/>
          <w:szCs w:val="24"/>
        </w:rPr>
        <w:t xml:space="preserve">links and </w:t>
      </w:r>
      <w:r w:rsidR="00581AC9">
        <w:rPr>
          <w:rFonts w:ascii="Times New Roman" w:hAnsi="Times New Roman"/>
          <w:sz w:val="24"/>
          <w:szCs w:val="24"/>
        </w:rPr>
        <w:t xml:space="preserve">channels, </w:t>
      </w:r>
      <w:r w:rsidR="007B6C08">
        <w:rPr>
          <w:rFonts w:ascii="Times New Roman" w:hAnsi="Times New Roman"/>
          <w:sz w:val="24"/>
          <w:szCs w:val="24"/>
        </w:rPr>
        <w:t xml:space="preserve">the </w:t>
      </w:r>
      <w:r w:rsidR="005C44B8">
        <w:rPr>
          <w:rFonts w:ascii="Times New Roman" w:hAnsi="Times New Roman"/>
          <w:sz w:val="24"/>
          <w:szCs w:val="24"/>
        </w:rPr>
        <w:t>driving</w:t>
      </w:r>
      <w:r w:rsidR="00581AC9">
        <w:rPr>
          <w:rFonts w:ascii="Times New Roman" w:hAnsi="Times New Roman"/>
          <w:sz w:val="24"/>
          <w:szCs w:val="24"/>
        </w:rPr>
        <w:t xml:space="preserve"> </w:t>
      </w:r>
      <w:r w:rsidR="007737AB">
        <w:rPr>
          <w:rFonts w:ascii="Times New Roman" w:hAnsi="Times New Roman"/>
          <w:sz w:val="24"/>
          <w:szCs w:val="24"/>
        </w:rPr>
        <w:t>reasons</w:t>
      </w:r>
      <w:r w:rsidR="007B6C08">
        <w:rPr>
          <w:rFonts w:ascii="Times New Roman" w:hAnsi="Times New Roman"/>
          <w:sz w:val="24"/>
          <w:szCs w:val="24"/>
        </w:rPr>
        <w:t xml:space="preserve"> </w:t>
      </w:r>
      <w:r w:rsidR="007737AB">
        <w:rPr>
          <w:rFonts w:ascii="Times New Roman" w:hAnsi="Times New Roman"/>
          <w:sz w:val="24"/>
          <w:szCs w:val="24"/>
        </w:rPr>
        <w:t xml:space="preserve">that need to be highlighted </w:t>
      </w:r>
      <w:r w:rsidR="007B6C08">
        <w:rPr>
          <w:rFonts w:ascii="Times New Roman" w:hAnsi="Times New Roman"/>
          <w:sz w:val="24"/>
          <w:szCs w:val="24"/>
        </w:rPr>
        <w:t>is</w:t>
      </w:r>
      <w:r w:rsidR="00581AC9">
        <w:rPr>
          <w:rFonts w:ascii="Times New Roman" w:hAnsi="Times New Roman"/>
          <w:sz w:val="24"/>
          <w:szCs w:val="24"/>
        </w:rPr>
        <w:t xml:space="preserve"> to </w:t>
      </w:r>
      <w:r w:rsidR="007737AB">
        <w:rPr>
          <w:rFonts w:ascii="Times New Roman" w:hAnsi="Times New Roman"/>
          <w:sz w:val="24"/>
          <w:szCs w:val="24"/>
        </w:rPr>
        <w:t>unlock the gateways against the consumer choices and give leeway to free information flows</w:t>
      </w:r>
      <w:r w:rsidR="00581AC9">
        <w:rPr>
          <w:rFonts w:ascii="Times New Roman" w:hAnsi="Times New Roman"/>
          <w:sz w:val="24"/>
          <w:szCs w:val="24"/>
        </w:rPr>
        <w:t>. Proposed m</w:t>
      </w:r>
      <w:r w:rsidR="004A70F8">
        <w:rPr>
          <w:rFonts w:ascii="Times New Roman" w:hAnsi="Times New Roman"/>
          <w:sz w:val="24"/>
          <w:szCs w:val="24"/>
        </w:rPr>
        <w:t>odel</w:t>
      </w:r>
      <w:r w:rsidR="00581AC9">
        <w:rPr>
          <w:rFonts w:ascii="Times New Roman" w:hAnsi="Times New Roman"/>
          <w:sz w:val="24"/>
          <w:szCs w:val="24"/>
        </w:rPr>
        <w:t xml:space="preserve"> </w:t>
      </w:r>
      <w:r w:rsidR="00154237">
        <w:rPr>
          <w:rFonts w:ascii="Times New Roman" w:hAnsi="Times New Roman"/>
          <w:sz w:val="24"/>
          <w:szCs w:val="24"/>
        </w:rPr>
        <w:t>envision</w:t>
      </w:r>
      <w:r w:rsidR="00581AC9">
        <w:rPr>
          <w:rFonts w:ascii="Times New Roman" w:hAnsi="Times New Roman"/>
          <w:sz w:val="24"/>
          <w:szCs w:val="24"/>
        </w:rPr>
        <w:t>s</w:t>
      </w:r>
      <w:r w:rsidR="004A70F8">
        <w:rPr>
          <w:rFonts w:ascii="Times New Roman" w:hAnsi="Times New Roman"/>
          <w:sz w:val="24"/>
          <w:szCs w:val="24"/>
        </w:rPr>
        <w:t xml:space="preserve"> </w:t>
      </w:r>
      <w:r w:rsidR="00DE6194">
        <w:rPr>
          <w:rFonts w:ascii="Times New Roman" w:hAnsi="Times New Roman"/>
          <w:sz w:val="24"/>
          <w:szCs w:val="24"/>
        </w:rPr>
        <w:t>information</w:t>
      </w:r>
      <w:r w:rsidR="007737AB">
        <w:rPr>
          <w:rFonts w:ascii="Times New Roman" w:hAnsi="Times New Roman"/>
          <w:sz w:val="24"/>
          <w:szCs w:val="24"/>
        </w:rPr>
        <w:t xml:space="preserve">al barriers </w:t>
      </w:r>
      <w:r w:rsidR="00154237">
        <w:rPr>
          <w:rFonts w:ascii="Times New Roman" w:hAnsi="Times New Roman"/>
          <w:sz w:val="24"/>
          <w:szCs w:val="24"/>
        </w:rPr>
        <w:t>ar</w:t>
      </w:r>
      <w:r w:rsidR="007737AB">
        <w:rPr>
          <w:rFonts w:ascii="Times New Roman" w:hAnsi="Times New Roman"/>
          <w:sz w:val="24"/>
          <w:szCs w:val="24"/>
        </w:rPr>
        <w:t xml:space="preserve">e removed across </w:t>
      </w:r>
      <w:r w:rsidR="00154237">
        <w:rPr>
          <w:rFonts w:ascii="Times New Roman" w:hAnsi="Times New Roman"/>
          <w:sz w:val="24"/>
          <w:szCs w:val="24"/>
        </w:rPr>
        <w:t xml:space="preserve">all </w:t>
      </w:r>
      <w:r w:rsidR="007737AB">
        <w:rPr>
          <w:rFonts w:ascii="Times New Roman" w:hAnsi="Times New Roman"/>
          <w:sz w:val="24"/>
          <w:szCs w:val="24"/>
        </w:rPr>
        <w:t xml:space="preserve">the </w:t>
      </w:r>
      <w:r w:rsidR="00154237">
        <w:rPr>
          <w:rFonts w:ascii="Times New Roman" w:hAnsi="Times New Roman"/>
          <w:sz w:val="24"/>
          <w:szCs w:val="24"/>
        </w:rPr>
        <w:t xml:space="preserve">IP </w:t>
      </w:r>
      <w:r w:rsidR="007737AB">
        <w:rPr>
          <w:rFonts w:ascii="Times New Roman" w:hAnsi="Times New Roman"/>
          <w:sz w:val="24"/>
          <w:szCs w:val="24"/>
        </w:rPr>
        <w:t>layers,</w:t>
      </w:r>
      <w:r w:rsidR="00DE6194">
        <w:rPr>
          <w:rFonts w:ascii="Times New Roman" w:hAnsi="Times New Roman"/>
          <w:sz w:val="24"/>
          <w:szCs w:val="24"/>
        </w:rPr>
        <w:t xml:space="preserve"> </w:t>
      </w:r>
      <w:r w:rsidR="007737AB">
        <w:rPr>
          <w:rFonts w:ascii="Times New Roman" w:hAnsi="Times New Roman"/>
          <w:sz w:val="24"/>
          <w:szCs w:val="24"/>
        </w:rPr>
        <w:t xml:space="preserve">where necessary </w:t>
      </w:r>
      <w:r w:rsidR="00A40398">
        <w:rPr>
          <w:rFonts w:ascii="Times New Roman" w:hAnsi="Times New Roman"/>
          <w:sz w:val="24"/>
          <w:szCs w:val="24"/>
        </w:rPr>
        <w:t xml:space="preserve">by </w:t>
      </w:r>
      <w:r w:rsidR="00154237">
        <w:rPr>
          <w:rFonts w:ascii="Times New Roman" w:hAnsi="Times New Roman"/>
          <w:sz w:val="24"/>
          <w:szCs w:val="24"/>
        </w:rPr>
        <w:t>means of coercive tools and mechanisms</w:t>
      </w:r>
      <w:r w:rsidR="001E473C">
        <w:rPr>
          <w:rFonts w:ascii="Times New Roman" w:hAnsi="Times New Roman"/>
          <w:sz w:val="24"/>
          <w:szCs w:val="24"/>
        </w:rPr>
        <w:t>,</w:t>
      </w:r>
      <w:r w:rsidR="00154237">
        <w:rPr>
          <w:rFonts w:ascii="Times New Roman" w:hAnsi="Times New Roman"/>
          <w:sz w:val="24"/>
          <w:szCs w:val="24"/>
        </w:rPr>
        <w:t xml:space="preserve"> </w:t>
      </w:r>
      <w:r w:rsidR="001E473C">
        <w:rPr>
          <w:rFonts w:ascii="Times New Roman" w:hAnsi="Times New Roman"/>
          <w:sz w:val="24"/>
          <w:szCs w:val="24"/>
        </w:rPr>
        <w:t xml:space="preserve">and </w:t>
      </w:r>
      <w:r w:rsidR="00154237">
        <w:rPr>
          <w:rFonts w:ascii="Times New Roman" w:hAnsi="Times New Roman"/>
          <w:sz w:val="24"/>
          <w:szCs w:val="24"/>
        </w:rPr>
        <w:t>supplanting c</w:t>
      </w:r>
      <w:r w:rsidR="001E473C">
        <w:rPr>
          <w:rFonts w:ascii="Times New Roman" w:hAnsi="Times New Roman"/>
          <w:sz w:val="24"/>
          <w:szCs w:val="24"/>
        </w:rPr>
        <w:t>ontradicting</w:t>
      </w:r>
      <w:r w:rsidR="00154237">
        <w:rPr>
          <w:rFonts w:ascii="Times New Roman" w:hAnsi="Times New Roman"/>
          <w:sz w:val="24"/>
          <w:szCs w:val="24"/>
        </w:rPr>
        <w:t xml:space="preserve"> statutory rules</w:t>
      </w:r>
      <w:r w:rsidR="0038414E">
        <w:rPr>
          <w:rFonts w:ascii="Times New Roman" w:hAnsi="Times New Roman"/>
          <w:sz w:val="24"/>
          <w:szCs w:val="24"/>
        </w:rPr>
        <w:t>.</w:t>
      </w:r>
      <w:r w:rsidR="004A70F8">
        <w:rPr>
          <w:rFonts w:ascii="Times New Roman" w:hAnsi="Times New Roman"/>
          <w:sz w:val="24"/>
          <w:szCs w:val="24"/>
        </w:rPr>
        <w:t xml:space="preserve"> </w:t>
      </w:r>
      <w:r w:rsidR="00F629AB">
        <w:rPr>
          <w:rFonts w:ascii="Times New Roman" w:hAnsi="Times New Roman"/>
          <w:sz w:val="24"/>
          <w:szCs w:val="24"/>
        </w:rPr>
        <w:t xml:space="preserve">It is noteworthy that </w:t>
      </w:r>
      <w:r w:rsidR="00581AC9">
        <w:rPr>
          <w:rFonts w:ascii="Times New Roman" w:hAnsi="Times New Roman"/>
          <w:sz w:val="24"/>
          <w:szCs w:val="24"/>
        </w:rPr>
        <w:t>this</w:t>
      </w:r>
      <w:r w:rsidR="00F629AB">
        <w:rPr>
          <w:rFonts w:ascii="Times New Roman" w:hAnsi="Times New Roman"/>
          <w:sz w:val="24"/>
          <w:szCs w:val="24"/>
        </w:rPr>
        <w:t xml:space="preserve"> </w:t>
      </w:r>
      <w:r w:rsidR="00A40398">
        <w:rPr>
          <w:rFonts w:ascii="Times New Roman" w:hAnsi="Times New Roman"/>
          <w:sz w:val="24"/>
          <w:szCs w:val="24"/>
        </w:rPr>
        <w:t>broadened vision</w:t>
      </w:r>
      <w:r w:rsidR="00F629AB">
        <w:rPr>
          <w:rFonts w:ascii="Times New Roman" w:hAnsi="Times New Roman"/>
          <w:sz w:val="24"/>
          <w:szCs w:val="24"/>
        </w:rPr>
        <w:t xml:space="preserve"> </w:t>
      </w:r>
      <w:r w:rsidR="001E473C">
        <w:rPr>
          <w:rFonts w:ascii="Times New Roman" w:hAnsi="Times New Roman"/>
          <w:sz w:val="24"/>
          <w:szCs w:val="24"/>
        </w:rPr>
        <w:t xml:space="preserve">reveals </w:t>
      </w:r>
      <w:r w:rsidR="00F629AB">
        <w:rPr>
          <w:rFonts w:ascii="Times New Roman" w:hAnsi="Times New Roman"/>
          <w:sz w:val="24"/>
          <w:szCs w:val="24"/>
        </w:rPr>
        <w:t xml:space="preserve">the flip side of </w:t>
      </w:r>
      <w:r w:rsidR="00A40398">
        <w:rPr>
          <w:rFonts w:ascii="Times New Roman" w:hAnsi="Times New Roman"/>
          <w:sz w:val="24"/>
          <w:szCs w:val="24"/>
        </w:rPr>
        <w:t xml:space="preserve">the </w:t>
      </w:r>
      <w:r w:rsidR="00F629AB">
        <w:rPr>
          <w:rFonts w:ascii="Times New Roman" w:hAnsi="Times New Roman"/>
          <w:sz w:val="24"/>
          <w:szCs w:val="24"/>
        </w:rPr>
        <w:t xml:space="preserve">constitutional </w:t>
      </w:r>
      <w:r w:rsidR="001E473C">
        <w:rPr>
          <w:rFonts w:ascii="Times New Roman" w:hAnsi="Times New Roman"/>
          <w:sz w:val="24"/>
          <w:szCs w:val="24"/>
        </w:rPr>
        <w:t xml:space="preserve">human </w:t>
      </w:r>
      <w:r w:rsidR="00F629AB">
        <w:rPr>
          <w:rFonts w:ascii="Times New Roman" w:hAnsi="Times New Roman"/>
          <w:sz w:val="24"/>
          <w:szCs w:val="24"/>
        </w:rPr>
        <w:t xml:space="preserve">rights </w:t>
      </w:r>
      <w:r w:rsidR="00AD0B96">
        <w:rPr>
          <w:rFonts w:ascii="Times New Roman" w:hAnsi="Times New Roman"/>
          <w:sz w:val="24"/>
          <w:szCs w:val="24"/>
        </w:rPr>
        <w:t>including</w:t>
      </w:r>
      <w:r w:rsidR="00F629AB">
        <w:rPr>
          <w:rFonts w:ascii="Times New Roman" w:hAnsi="Times New Roman"/>
          <w:sz w:val="24"/>
          <w:szCs w:val="24"/>
        </w:rPr>
        <w:t xml:space="preserve"> freedom of expression</w:t>
      </w:r>
      <w:r w:rsidR="00A40398">
        <w:rPr>
          <w:rFonts w:ascii="Times New Roman" w:hAnsi="Times New Roman"/>
          <w:sz w:val="24"/>
          <w:szCs w:val="24"/>
        </w:rPr>
        <w:t>,</w:t>
      </w:r>
      <w:r w:rsidR="00A40398">
        <w:rPr>
          <w:rStyle w:val="FootnoteReference"/>
          <w:rFonts w:ascii="Times New Roman" w:hAnsi="Times New Roman"/>
          <w:sz w:val="24"/>
          <w:szCs w:val="24"/>
        </w:rPr>
        <w:footnoteReference w:id="905"/>
      </w:r>
      <w:r w:rsidR="00A40398">
        <w:rPr>
          <w:rFonts w:ascii="Times New Roman" w:hAnsi="Times New Roman"/>
          <w:sz w:val="24"/>
          <w:szCs w:val="24"/>
        </w:rPr>
        <w:t xml:space="preserve"> which</w:t>
      </w:r>
      <w:r w:rsidR="00F629AB">
        <w:rPr>
          <w:rFonts w:ascii="Times New Roman" w:hAnsi="Times New Roman"/>
          <w:sz w:val="24"/>
          <w:szCs w:val="24"/>
        </w:rPr>
        <w:t xml:space="preserve"> need</w:t>
      </w:r>
      <w:r w:rsidR="00AD0B96">
        <w:rPr>
          <w:rFonts w:ascii="Times New Roman" w:hAnsi="Times New Roman"/>
          <w:sz w:val="24"/>
          <w:szCs w:val="24"/>
        </w:rPr>
        <w:t>s</w:t>
      </w:r>
      <w:r w:rsidR="00F629AB">
        <w:rPr>
          <w:rFonts w:ascii="Times New Roman" w:hAnsi="Times New Roman"/>
          <w:sz w:val="24"/>
          <w:szCs w:val="24"/>
        </w:rPr>
        <w:t xml:space="preserve"> to be free of chains</w:t>
      </w:r>
      <w:r w:rsidR="00A40398">
        <w:rPr>
          <w:rFonts w:ascii="Times New Roman" w:hAnsi="Times New Roman"/>
          <w:sz w:val="24"/>
          <w:szCs w:val="24"/>
        </w:rPr>
        <w:t xml:space="preserve"> </w:t>
      </w:r>
      <w:r w:rsidR="001E473C">
        <w:rPr>
          <w:rFonts w:ascii="Times New Roman" w:hAnsi="Times New Roman"/>
          <w:sz w:val="24"/>
          <w:szCs w:val="24"/>
        </w:rPr>
        <w:t>and reinforced as such</w:t>
      </w:r>
      <w:r w:rsidR="00F629AB">
        <w:rPr>
          <w:rFonts w:ascii="Times New Roman" w:hAnsi="Times New Roman"/>
          <w:sz w:val="24"/>
          <w:szCs w:val="24"/>
        </w:rPr>
        <w:t>.</w:t>
      </w:r>
    </w:p>
    <w:p w14:paraId="589A7417" w14:textId="4506E665" w:rsidR="004A70F8" w:rsidRDefault="005C44B8" w:rsidP="0003468F">
      <w:pPr>
        <w:spacing w:before="360"/>
        <w:jc w:val="both"/>
        <w:rPr>
          <w:rFonts w:ascii="Times New Roman" w:hAnsi="Times New Roman"/>
          <w:sz w:val="24"/>
          <w:szCs w:val="24"/>
        </w:rPr>
      </w:pPr>
      <w:r>
        <w:rPr>
          <w:rFonts w:ascii="Times New Roman" w:hAnsi="Times New Roman"/>
          <w:sz w:val="24"/>
          <w:szCs w:val="24"/>
        </w:rPr>
        <w:lastRenderedPageBreak/>
        <w:t>While a</w:t>
      </w:r>
      <w:r w:rsidR="004A70F8">
        <w:rPr>
          <w:rFonts w:ascii="Times New Roman" w:hAnsi="Times New Roman"/>
          <w:sz w:val="24"/>
          <w:szCs w:val="24"/>
        </w:rPr>
        <w:t>t the centre of the model l</w:t>
      </w:r>
      <w:r>
        <w:rPr>
          <w:rFonts w:ascii="Times New Roman" w:hAnsi="Times New Roman"/>
          <w:sz w:val="24"/>
          <w:szCs w:val="24"/>
        </w:rPr>
        <w:t>ies</w:t>
      </w:r>
      <w:r w:rsidR="004A70F8">
        <w:rPr>
          <w:rFonts w:ascii="Times New Roman" w:hAnsi="Times New Roman"/>
          <w:sz w:val="24"/>
          <w:szCs w:val="24"/>
        </w:rPr>
        <w:t xml:space="preserve"> the </w:t>
      </w:r>
      <w:r w:rsidR="0025555B">
        <w:rPr>
          <w:rFonts w:ascii="Times New Roman" w:hAnsi="Times New Roman"/>
          <w:sz w:val="24"/>
          <w:szCs w:val="24"/>
        </w:rPr>
        <w:t>safeguards</w:t>
      </w:r>
      <w:r w:rsidR="004A70F8">
        <w:rPr>
          <w:rFonts w:ascii="Times New Roman" w:hAnsi="Times New Roman"/>
          <w:sz w:val="24"/>
          <w:szCs w:val="24"/>
        </w:rPr>
        <w:t xml:space="preserve"> to </w:t>
      </w:r>
      <w:r w:rsidR="0025555B">
        <w:rPr>
          <w:rFonts w:ascii="Times New Roman" w:hAnsi="Times New Roman"/>
          <w:sz w:val="24"/>
          <w:szCs w:val="24"/>
        </w:rPr>
        <w:t>enabl</w:t>
      </w:r>
      <w:r w:rsidR="0000522D">
        <w:rPr>
          <w:rFonts w:ascii="Times New Roman" w:hAnsi="Times New Roman"/>
          <w:sz w:val="24"/>
          <w:szCs w:val="24"/>
        </w:rPr>
        <w:t>e</w:t>
      </w:r>
      <w:r w:rsidR="009263D6">
        <w:rPr>
          <w:rFonts w:ascii="Times New Roman" w:hAnsi="Times New Roman"/>
          <w:sz w:val="24"/>
          <w:szCs w:val="24"/>
        </w:rPr>
        <w:t xml:space="preserve"> </w:t>
      </w:r>
      <w:r w:rsidR="0000522D">
        <w:rPr>
          <w:rFonts w:ascii="Times New Roman" w:hAnsi="Times New Roman"/>
          <w:sz w:val="24"/>
          <w:szCs w:val="24"/>
        </w:rPr>
        <w:t xml:space="preserve">ICT </w:t>
      </w:r>
      <w:r w:rsidR="004A70F8">
        <w:rPr>
          <w:rFonts w:ascii="Times New Roman" w:hAnsi="Times New Roman"/>
          <w:sz w:val="24"/>
          <w:szCs w:val="24"/>
        </w:rPr>
        <w:t>interopera</w:t>
      </w:r>
      <w:r w:rsidR="0000522D">
        <w:rPr>
          <w:rFonts w:ascii="Times New Roman" w:hAnsi="Times New Roman"/>
          <w:sz w:val="24"/>
          <w:szCs w:val="24"/>
        </w:rPr>
        <w:t>bility</w:t>
      </w:r>
      <w:r w:rsidR="004A70F8">
        <w:rPr>
          <w:rFonts w:ascii="Times New Roman" w:hAnsi="Times New Roman"/>
          <w:sz w:val="24"/>
          <w:szCs w:val="24"/>
        </w:rPr>
        <w:t>,</w:t>
      </w:r>
      <w:r>
        <w:rPr>
          <w:rFonts w:ascii="Times New Roman" w:hAnsi="Times New Roman"/>
          <w:sz w:val="24"/>
          <w:szCs w:val="24"/>
        </w:rPr>
        <w:t xml:space="preserve"> it</w:t>
      </w:r>
      <w:r w:rsidR="00582A1D">
        <w:rPr>
          <w:rFonts w:ascii="Times New Roman" w:hAnsi="Times New Roman"/>
          <w:sz w:val="24"/>
          <w:szCs w:val="24"/>
        </w:rPr>
        <w:t>s</w:t>
      </w:r>
      <w:r>
        <w:rPr>
          <w:rFonts w:ascii="Times New Roman" w:hAnsi="Times New Roman"/>
          <w:sz w:val="24"/>
          <w:szCs w:val="24"/>
        </w:rPr>
        <w:t xml:space="preserve"> implications</w:t>
      </w:r>
      <w:r w:rsidR="004A70F8">
        <w:rPr>
          <w:rFonts w:ascii="Times New Roman" w:hAnsi="Times New Roman"/>
          <w:sz w:val="24"/>
          <w:szCs w:val="24"/>
        </w:rPr>
        <w:t xml:space="preserve"> </w:t>
      </w:r>
      <w:r>
        <w:rPr>
          <w:rFonts w:ascii="Times New Roman" w:hAnsi="Times New Roman"/>
          <w:sz w:val="24"/>
          <w:szCs w:val="24"/>
        </w:rPr>
        <w:t>reach out to</w:t>
      </w:r>
      <w:r w:rsidR="0025555B">
        <w:rPr>
          <w:rFonts w:ascii="Times New Roman" w:hAnsi="Times New Roman"/>
          <w:sz w:val="24"/>
          <w:szCs w:val="24"/>
        </w:rPr>
        <w:t xml:space="preserve"> </w:t>
      </w:r>
      <w:r>
        <w:rPr>
          <w:rFonts w:ascii="Times New Roman" w:hAnsi="Times New Roman"/>
          <w:sz w:val="24"/>
          <w:szCs w:val="24"/>
        </w:rPr>
        <w:t xml:space="preserve">the </w:t>
      </w:r>
      <w:r w:rsidR="004A70F8">
        <w:rPr>
          <w:rFonts w:ascii="Times New Roman" w:hAnsi="Times New Roman"/>
          <w:sz w:val="24"/>
          <w:szCs w:val="24"/>
        </w:rPr>
        <w:t xml:space="preserve">democratic and free society </w:t>
      </w:r>
      <w:r w:rsidR="00A40398">
        <w:rPr>
          <w:rFonts w:ascii="Times New Roman" w:hAnsi="Times New Roman"/>
          <w:sz w:val="24"/>
          <w:szCs w:val="24"/>
        </w:rPr>
        <w:t>whereby</w:t>
      </w:r>
      <w:r w:rsidR="004A70F8">
        <w:rPr>
          <w:rFonts w:ascii="Times New Roman" w:hAnsi="Times New Roman"/>
          <w:sz w:val="24"/>
          <w:szCs w:val="24"/>
        </w:rPr>
        <w:t xml:space="preserve"> informational barriers are </w:t>
      </w:r>
      <w:r w:rsidR="00A40398">
        <w:rPr>
          <w:rFonts w:ascii="Times New Roman" w:hAnsi="Times New Roman"/>
          <w:sz w:val="24"/>
          <w:szCs w:val="24"/>
        </w:rPr>
        <w:t>remov</w:t>
      </w:r>
      <w:r w:rsidR="004A70F8">
        <w:rPr>
          <w:rFonts w:ascii="Times New Roman" w:hAnsi="Times New Roman"/>
          <w:sz w:val="24"/>
          <w:szCs w:val="24"/>
        </w:rPr>
        <w:t>ed. As informational barriers embody over-intrusive IPRs</w:t>
      </w:r>
      <w:r w:rsidR="00A40398">
        <w:rPr>
          <w:rFonts w:ascii="Times New Roman" w:hAnsi="Times New Roman"/>
          <w:sz w:val="24"/>
          <w:szCs w:val="24"/>
        </w:rPr>
        <w:t>, TPMs</w:t>
      </w:r>
      <w:r w:rsidR="004A70F8">
        <w:rPr>
          <w:rFonts w:ascii="Times New Roman" w:hAnsi="Times New Roman"/>
          <w:sz w:val="24"/>
          <w:szCs w:val="24"/>
        </w:rPr>
        <w:t xml:space="preserve"> </w:t>
      </w:r>
      <w:r w:rsidR="00FD1726">
        <w:rPr>
          <w:rFonts w:ascii="Times New Roman" w:hAnsi="Times New Roman"/>
          <w:sz w:val="24"/>
          <w:szCs w:val="24"/>
        </w:rPr>
        <w:t xml:space="preserve">as well as </w:t>
      </w:r>
      <w:r w:rsidR="00A40398">
        <w:rPr>
          <w:rFonts w:ascii="Times New Roman" w:hAnsi="Times New Roman"/>
          <w:sz w:val="24"/>
          <w:szCs w:val="24"/>
        </w:rPr>
        <w:t xml:space="preserve">AI based </w:t>
      </w:r>
      <w:r w:rsidR="00FD1726">
        <w:rPr>
          <w:rFonts w:ascii="Times New Roman" w:hAnsi="Times New Roman"/>
          <w:sz w:val="24"/>
          <w:szCs w:val="24"/>
        </w:rPr>
        <w:t>algorithm</w:t>
      </w:r>
      <w:r w:rsidR="00582A1D">
        <w:rPr>
          <w:rFonts w:ascii="Times New Roman" w:hAnsi="Times New Roman"/>
          <w:sz w:val="24"/>
          <w:szCs w:val="24"/>
        </w:rPr>
        <w:t>s</w:t>
      </w:r>
      <w:r w:rsidR="00FD1726">
        <w:rPr>
          <w:rFonts w:ascii="Times New Roman" w:hAnsi="Times New Roman"/>
          <w:sz w:val="24"/>
          <w:szCs w:val="24"/>
        </w:rPr>
        <w:t xml:space="preserve"> that </w:t>
      </w:r>
      <w:r w:rsidR="00582A1D">
        <w:rPr>
          <w:rFonts w:ascii="Times New Roman" w:hAnsi="Times New Roman"/>
          <w:sz w:val="24"/>
          <w:szCs w:val="24"/>
        </w:rPr>
        <w:t>manipulate</w:t>
      </w:r>
      <w:r w:rsidR="00FD1726">
        <w:rPr>
          <w:rFonts w:ascii="Times New Roman" w:hAnsi="Times New Roman"/>
          <w:sz w:val="24"/>
          <w:szCs w:val="24"/>
        </w:rPr>
        <w:t xml:space="preserve"> the </w:t>
      </w:r>
      <w:r w:rsidR="00D842D0">
        <w:rPr>
          <w:rFonts w:ascii="Times New Roman" w:hAnsi="Times New Roman"/>
          <w:sz w:val="24"/>
          <w:szCs w:val="24"/>
        </w:rPr>
        <w:t>consumers</w:t>
      </w:r>
      <w:r w:rsidR="0000522D">
        <w:rPr>
          <w:rFonts w:ascii="Times New Roman" w:hAnsi="Times New Roman"/>
          <w:sz w:val="24"/>
          <w:szCs w:val="24"/>
        </w:rPr>
        <w:t xml:space="preserve"> </w:t>
      </w:r>
      <w:r w:rsidR="00582A1D">
        <w:rPr>
          <w:rFonts w:ascii="Times New Roman" w:hAnsi="Times New Roman"/>
          <w:sz w:val="24"/>
          <w:szCs w:val="24"/>
        </w:rPr>
        <w:t xml:space="preserve">by </w:t>
      </w:r>
      <w:r w:rsidR="0000522D">
        <w:rPr>
          <w:rFonts w:ascii="Times New Roman" w:hAnsi="Times New Roman"/>
          <w:sz w:val="24"/>
          <w:szCs w:val="24"/>
        </w:rPr>
        <w:t xml:space="preserve">restricting their </w:t>
      </w:r>
      <w:r w:rsidR="00D842D0">
        <w:rPr>
          <w:rFonts w:ascii="Times New Roman" w:hAnsi="Times New Roman"/>
          <w:sz w:val="24"/>
          <w:szCs w:val="24"/>
        </w:rPr>
        <w:t xml:space="preserve">freedom to </w:t>
      </w:r>
      <w:r w:rsidR="00D842D0" w:rsidRPr="0038414E">
        <w:rPr>
          <w:rFonts w:ascii="Times New Roman" w:hAnsi="Times New Roman"/>
          <w:sz w:val="24"/>
          <w:szCs w:val="24"/>
        </w:rPr>
        <w:t>access to the information</w:t>
      </w:r>
      <w:r w:rsidR="004A70F8">
        <w:rPr>
          <w:rFonts w:ascii="Times New Roman" w:hAnsi="Times New Roman"/>
          <w:sz w:val="24"/>
          <w:szCs w:val="24"/>
        </w:rPr>
        <w:t xml:space="preserve">, and given the </w:t>
      </w:r>
      <w:r w:rsidR="00A40398">
        <w:rPr>
          <w:rFonts w:ascii="Times New Roman" w:hAnsi="Times New Roman"/>
          <w:sz w:val="24"/>
          <w:szCs w:val="24"/>
        </w:rPr>
        <w:t>key nature of information flows against</w:t>
      </w:r>
      <w:r w:rsidR="009263D6">
        <w:rPr>
          <w:rFonts w:ascii="Times New Roman" w:hAnsi="Times New Roman"/>
          <w:sz w:val="24"/>
          <w:szCs w:val="24"/>
        </w:rPr>
        <w:t xml:space="preserve"> </w:t>
      </w:r>
      <w:r w:rsidR="004A70F8">
        <w:rPr>
          <w:rFonts w:ascii="Times New Roman" w:hAnsi="Times New Roman"/>
          <w:sz w:val="24"/>
          <w:szCs w:val="24"/>
        </w:rPr>
        <w:t>th</w:t>
      </w:r>
      <w:r w:rsidR="00FD1726">
        <w:rPr>
          <w:rFonts w:ascii="Times New Roman" w:hAnsi="Times New Roman"/>
          <w:sz w:val="24"/>
          <w:szCs w:val="24"/>
        </w:rPr>
        <w:t>e gatekeeping activities</w:t>
      </w:r>
      <w:r w:rsidR="00F629AB">
        <w:rPr>
          <w:rFonts w:ascii="Times New Roman" w:hAnsi="Times New Roman"/>
          <w:sz w:val="24"/>
          <w:szCs w:val="24"/>
        </w:rPr>
        <w:t xml:space="preserve">, it is proposed that the </w:t>
      </w:r>
      <w:r w:rsidR="009263D6">
        <w:rPr>
          <w:rFonts w:ascii="Times New Roman" w:hAnsi="Times New Roman"/>
          <w:sz w:val="24"/>
          <w:szCs w:val="24"/>
        </w:rPr>
        <w:t xml:space="preserve">proposed model </w:t>
      </w:r>
      <w:r w:rsidR="00F629AB">
        <w:rPr>
          <w:rFonts w:ascii="Times New Roman" w:hAnsi="Times New Roman"/>
          <w:sz w:val="24"/>
          <w:szCs w:val="24"/>
        </w:rPr>
        <w:t xml:space="preserve">have a superior </w:t>
      </w:r>
      <w:r w:rsidR="009263D6">
        <w:rPr>
          <w:rFonts w:ascii="Times New Roman" w:hAnsi="Times New Roman"/>
          <w:sz w:val="24"/>
          <w:szCs w:val="24"/>
        </w:rPr>
        <w:t>role</w:t>
      </w:r>
      <w:r w:rsidR="00A40398">
        <w:rPr>
          <w:rFonts w:ascii="Times New Roman" w:hAnsi="Times New Roman"/>
          <w:sz w:val="24"/>
          <w:szCs w:val="24"/>
        </w:rPr>
        <w:t xml:space="preserve">, </w:t>
      </w:r>
      <w:r w:rsidR="004726FB">
        <w:rPr>
          <w:rFonts w:ascii="Times New Roman" w:hAnsi="Times New Roman"/>
          <w:sz w:val="24"/>
          <w:szCs w:val="24"/>
        </w:rPr>
        <w:t>ideal</w:t>
      </w:r>
      <w:r w:rsidR="00A40398">
        <w:rPr>
          <w:rFonts w:ascii="Times New Roman" w:hAnsi="Times New Roman"/>
          <w:sz w:val="24"/>
          <w:szCs w:val="24"/>
        </w:rPr>
        <w:t xml:space="preserve">ly </w:t>
      </w:r>
      <w:r w:rsidR="0025555B">
        <w:rPr>
          <w:rFonts w:ascii="Times New Roman" w:hAnsi="Times New Roman"/>
          <w:sz w:val="24"/>
          <w:szCs w:val="24"/>
        </w:rPr>
        <w:t xml:space="preserve">with </w:t>
      </w:r>
      <w:r w:rsidR="004726FB">
        <w:rPr>
          <w:rFonts w:ascii="Times New Roman" w:hAnsi="Times New Roman"/>
          <w:sz w:val="24"/>
          <w:szCs w:val="24"/>
        </w:rPr>
        <w:t xml:space="preserve">a </w:t>
      </w:r>
      <w:r w:rsidR="00A40398">
        <w:rPr>
          <w:rFonts w:ascii="Times New Roman" w:hAnsi="Times New Roman"/>
          <w:sz w:val="24"/>
          <w:szCs w:val="24"/>
        </w:rPr>
        <w:t>‘meta law’ character</w:t>
      </w:r>
      <w:r w:rsidR="004726FB">
        <w:rPr>
          <w:rFonts w:ascii="Times New Roman" w:hAnsi="Times New Roman"/>
          <w:sz w:val="24"/>
          <w:szCs w:val="24"/>
        </w:rPr>
        <w:t>,</w:t>
      </w:r>
      <w:r w:rsidR="00F629AB">
        <w:rPr>
          <w:rFonts w:ascii="Times New Roman" w:hAnsi="Times New Roman"/>
          <w:sz w:val="24"/>
          <w:szCs w:val="24"/>
        </w:rPr>
        <w:t xml:space="preserve"> over the applicable </w:t>
      </w:r>
      <w:r w:rsidR="00D842D0">
        <w:rPr>
          <w:rFonts w:ascii="Times New Roman" w:hAnsi="Times New Roman"/>
          <w:sz w:val="24"/>
          <w:szCs w:val="24"/>
        </w:rPr>
        <w:t xml:space="preserve">laws </w:t>
      </w:r>
      <w:r w:rsidR="00386613">
        <w:rPr>
          <w:rFonts w:ascii="Times New Roman" w:hAnsi="Times New Roman"/>
          <w:sz w:val="24"/>
          <w:szCs w:val="24"/>
        </w:rPr>
        <w:t xml:space="preserve">and rights </w:t>
      </w:r>
      <w:r w:rsidR="00D9751B">
        <w:rPr>
          <w:rFonts w:ascii="Times New Roman" w:hAnsi="Times New Roman"/>
          <w:sz w:val="24"/>
          <w:szCs w:val="24"/>
        </w:rPr>
        <w:t>including IPR</w:t>
      </w:r>
      <w:r w:rsidR="00386613">
        <w:rPr>
          <w:rFonts w:ascii="Times New Roman" w:hAnsi="Times New Roman"/>
          <w:sz w:val="24"/>
          <w:szCs w:val="24"/>
        </w:rPr>
        <w:t>s</w:t>
      </w:r>
      <w:r w:rsidR="009263D6">
        <w:rPr>
          <w:rFonts w:ascii="Times New Roman" w:hAnsi="Times New Roman"/>
          <w:sz w:val="24"/>
          <w:szCs w:val="24"/>
        </w:rPr>
        <w:t xml:space="preserve"> in </w:t>
      </w:r>
      <w:r w:rsidR="00D842D0">
        <w:rPr>
          <w:rFonts w:ascii="Times New Roman" w:hAnsi="Times New Roman"/>
          <w:sz w:val="24"/>
          <w:szCs w:val="24"/>
        </w:rPr>
        <w:t>view</w:t>
      </w:r>
      <w:r w:rsidR="009263D6">
        <w:rPr>
          <w:rFonts w:ascii="Times New Roman" w:hAnsi="Times New Roman"/>
          <w:sz w:val="24"/>
          <w:szCs w:val="24"/>
        </w:rPr>
        <w:t xml:space="preserve"> of any </w:t>
      </w:r>
      <w:r w:rsidR="00D842D0">
        <w:rPr>
          <w:rFonts w:ascii="Times New Roman" w:hAnsi="Times New Roman"/>
          <w:sz w:val="24"/>
          <w:szCs w:val="24"/>
        </w:rPr>
        <w:t xml:space="preserve">potential </w:t>
      </w:r>
      <w:r w:rsidR="009263D6">
        <w:rPr>
          <w:rFonts w:ascii="Times New Roman" w:hAnsi="Times New Roman"/>
          <w:sz w:val="24"/>
          <w:szCs w:val="24"/>
        </w:rPr>
        <w:t>conflict</w:t>
      </w:r>
      <w:r w:rsidR="00FD1726">
        <w:rPr>
          <w:rFonts w:ascii="Times New Roman" w:hAnsi="Times New Roman"/>
          <w:sz w:val="24"/>
          <w:szCs w:val="24"/>
        </w:rPr>
        <w:t xml:space="preserve"> regarding implementation</w:t>
      </w:r>
      <w:r w:rsidR="00F629AB">
        <w:rPr>
          <w:rFonts w:ascii="Times New Roman" w:hAnsi="Times New Roman"/>
          <w:sz w:val="24"/>
          <w:szCs w:val="24"/>
        </w:rPr>
        <w:t xml:space="preserve">. </w:t>
      </w:r>
      <w:r w:rsidR="004A70F8">
        <w:rPr>
          <w:rFonts w:ascii="Times New Roman" w:hAnsi="Times New Roman"/>
          <w:sz w:val="24"/>
          <w:szCs w:val="24"/>
        </w:rPr>
        <w:t xml:space="preserve"> </w:t>
      </w:r>
    </w:p>
    <w:p w14:paraId="0FD3A60F" w14:textId="50F31C3A" w:rsidR="009F7231" w:rsidRPr="00774EDB" w:rsidRDefault="007E594D" w:rsidP="00A70042">
      <w:pPr>
        <w:spacing w:before="360"/>
        <w:jc w:val="both"/>
        <w:rPr>
          <w:rFonts w:ascii="Times New Roman" w:hAnsi="Times New Roman" w:cs="Times New Roman"/>
          <w:sz w:val="24"/>
          <w:szCs w:val="24"/>
        </w:rPr>
      </w:pPr>
      <w:r>
        <w:rPr>
          <w:rFonts w:ascii="Times New Roman" w:hAnsi="Times New Roman" w:cs="Times New Roman"/>
          <w:sz w:val="24"/>
          <w:szCs w:val="24"/>
        </w:rPr>
        <w:t>Summing up</w:t>
      </w:r>
      <w:r w:rsidR="0003468F" w:rsidRPr="0003468F">
        <w:rPr>
          <w:rFonts w:ascii="Times New Roman" w:hAnsi="Times New Roman" w:cs="Times New Roman"/>
          <w:sz w:val="24"/>
          <w:szCs w:val="24"/>
        </w:rPr>
        <w:t>, the layered regulatory model would offer a</w:t>
      </w:r>
      <w:r w:rsidR="007D00B5">
        <w:rPr>
          <w:rFonts w:ascii="Times New Roman" w:hAnsi="Times New Roman" w:cs="Times New Roman"/>
          <w:sz w:val="24"/>
          <w:szCs w:val="24"/>
        </w:rPr>
        <w:t>n</w:t>
      </w:r>
      <w:r w:rsidR="0003468F" w:rsidRPr="0003468F">
        <w:rPr>
          <w:rFonts w:ascii="Times New Roman" w:hAnsi="Times New Roman" w:cs="Times New Roman"/>
          <w:sz w:val="24"/>
          <w:szCs w:val="24"/>
        </w:rPr>
        <w:t xml:space="preserve"> </w:t>
      </w:r>
      <w:r w:rsidR="007D00B5">
        <w:rPr>
          <w:rFonts w:ascii="Times New Roman" w:hAnsi="Times New Roman" w:cs="Times New Roman"/>
          <w:sz w:val="24"/>
          <w:szCs w:val="24"/>
        </w:rPr>
        <w:t>effective</w:t>
      </w:r>
      <w:r w:rsidR="0003468F" w:rsidRPr="0003468F">
        <w:rPr>
          <w:rFonts w:ascii="Times New Roman" w:hAnsi="Times New Roman" w:cs="Times New Roman"/>
          <w:sz w:val="24"/>
          <w:szCs w:val="24"/>
        </w:rPr>
        <w:t xml:space="preserve"> </w:t>
      </w:r>
      <w:r w:rsidR="007D00B5">
        <w:rPr>
          <w:rFonts w:ascii="Times New Roman" w:hAnsi="Times New Roman" w:cs="Times New Roman"/>
          <w:sz w:val="24"/>
          <w:szCs w:val="24"/>
        </w:rPr>
        <w:t>and</w:t>
      </w:r>
      <w:r w:rsidR="0003468F" w:rsidRPr="0003468F">
        <w:rPr>
          <w:rFonts w:ascii="Times New Roman" w:hAnsi="Times New Roman" w:cs="Times New Roman"/>
          <w:sz w:val="24"/>
          <w:szCs w:val="24"/>
        </w:rPr>
        <w:t xml:space="preserve"> </w:t>
      </w:r>
      <w:r w:rsidR="009263D6">
        <w:rPr>
          <w:rFonts w:ascii="Times New Roman" w:hAnsi="Times New Roman" w:cs="Times New Roman"/>
          <w:sz w:val="24"/>
          <w:szCs w:val="24"/>
        </w:rPr>
        <w:t>overarching</w:t>
      </w:r>
      <w:r w:rsidR="0003468F" w:rsidRPr="0003468F">
        <w:rPr>
          <w:rFonts w:ascii="Times New Roman" w:hAnsi="Times New Roman" w:cs="Times New Roman"/>
          <w:sz w:val="24"/>
          <w:szCs w:val="24"/>
        </w:rPr>
        <w:t xml:space="preserve"> response to the interoperability based problems, going beyond the narrow-minded </w:t>
      </w:r>
      <w:r w:rsidR="007D00B5">
        <w:rPr>
          <w:rFonts w:ascii="Times New Roman" w:hAnsi="Times New Roman" w:cs="Times New Roman"/>
          <w:sz w:val="24"/>
          <w:szCs w:val="24"/>
        </w:rPr>
        <w:t xml:space="preserve">and fragmented </w:t>
      </w:r>
      <w:r w:rsidR="0003468F" w:rsidRPr="0003468F">
        <w:rPr>
          <w:rFonts w:ascii="Times New Roman" w:hAnsi="Times New Roman" w:cs="Times New Roman"/>
          <w:sz w:val="24"/>
          <w:szCs w:val="24"/>
        </w:rPr>
        <w:t xml:space="preserve">European perspective. </w:t>
      </w:r>
      <w:r w:rsidR="00386613">
        <w:rPr>
          <w:rFonts w:ascii="Times New Roman" w:hAnsi="Times New Roman" w:cs="Times New Roman"/>
          <w:sz w:val="24"/>
          <w:szCs w:val="24"/>
        </w:rPr>
        <w:t>Among the examined EU</w:t>
      </w:r>
      <w:r w:rsidR="00386613" w:rsidRPr="0003468F">
        <w:rPr>
          <w:rFonts w:ascii="Times New Roman" w:hAnsi="Times New Roman" w:cs="Times New Roman"/>
          <w:sz w:val="24"/>
          <w:szCs w:val="24"/>
        </w:rPr>
        <w:t xml:space="preserve"> </w:t>
      </w:r>
      <w:r w:rsidR="00386613">
        <w:rPr>
          <w:rFonts w:ascii="Times New Roman" w:hAnsi="Times New Roman" w:cs="Times New Roman"/>
          <w:sz w:val="24"/>
          <w:szCs w:val="24"/>
        </w:rPr>
        <w:t xml:space="preserve">bodies of law including </w:t>
      </w:r>
      <w:r w:rsidR="00386613" w:rsidRPr="0003468F">
        <w:rPr>
          <w:rFonts w:ascii="Times New Roman" w:hAnsi="Times New Roman" w:cs="Times New Roman"/>
          <w:sz w:val="24"/>
          <w:szCs w:val="24"/>
        </w:rPr>
        <w:t>competition</w:t>
      </w:r>
      <w:r w:rsidR="00386613">
        <w:rPr>
          <w:rFonts w:ascii="Times New Roman" w:hAnsi="Times New Roman" w:cs="Times New Roman"/>
          <w:sz w:val="24"/>
          <w:szCs w:val="24"/>
        </w:rPr>
        <w:t xml:space="preserve"> law</w:t>
      </w:r>
      <w:r w:rsidR="00386613" w:rsidRPr="0003468F">
        <w:rPr>
          <w:rFonts w:ascii="Times New Roman" w:hAnsi="Times New Roman" w:cs="Times New Roman"/>
          <w:sz w:val="24"/>
          <w:szCs w:val="24"/>
        </w:rPr>
        <w:t xml:space="preserve">, IPR </w:t>
      </w:r>
      <w:r w:rsidR="00386613">
        <w:rPr>
          <w:rFonts w:ascii="Times New Roman" w:hAnsi="Times New Roman" w:cs="Times New Roman"/>
          <w:sz w:val="24"/>
          <w:szCs w:val="24"/>
        </w:rPr>
        <w:t xml:space="preserve">and ECRF </w:t>
      </w:r>
      <w:r w:rsidR="00386613" w:rsidRPr="0003468F">
        <w:rPr>
          <w:rFonts w:ascii="Times New Roman" w:hAnsi="Times New Roman" w:cs="Times New Roman"/>
          <w:sz w:val="24"/>
          <w:szCs w:val="24"/>
        </w:rPr>
        <w:t>rules</w:t>
      </w:r>
      <w:r w:rsidR="00386613">
        <w:rPr>
          <w:rFonts w:ascii="Times New Roman" w:hAnsi="Times New Roman" w:cs="Times New Roman"/>
          <w:sz w:val="24"/>
          <w:szCs w:val="24"/>
        </w:rPr>
        <w:t>, t</w:t>
      </w:r>
      <w:r w:rsidR="0003468F" w:rsidRPr="0003468F">
        <w:rPr>
          <w:rFonts w:ascii="Times New Roman" w:hAnsi="Times New Roman" w:cs="Times New Roman"/>
          <w:sz w:val="24"/>
          <w:szCs w:val="24"/>
        </w:rPr>
        <w:t xml:space="preserve">he </w:t>
      </w:r>
      <w:r w:rsidR="003C36E0">
        <w:rPr>
          <w:rFonts w:ascii="Times New Roman" w:hAnsi="Times New Roman" w:cs="Times New Roman"/>
          <w:sz w:val="24"/>
          <w:szCs w:val="24"/>
        </w:rPr>
        <w:t>ECRF</w:t>
      </w:r>
      <w:r w:rsidR="0003468F" w:rsidRPr="0003468F">
        <w:rPr>
          <w:rFonts w:ascii="Times New Roman" w:hAnsi="Times New Roman" w:cs="Times New Roman"/>
          <w:sz w:val="24"/>
          <w:szCs w:val="24"/>
        </w:rPr>
        <w:t xml:space="preserve"> </w:t>
      </w:r>
      <w:r w:rsidR="00D842D0">
        <w:rPr>
          <w:rFonts w:ascii="Times New Roman" w:hAnsi="Times New Roman" w:cs="Times New Roman"/>
          <w:sz w:val="24"/>
          <w:szCs w:val="24"/>
        </w:rPr>
        <w:t>appears</w:t>
      </w:r>
      <w:r w:rsidR="0003468F" w:rsidRPr="0003468F">
        <w:rPr>
          <w:rFonts w:ascii="Times New Roman" w:hAnsi="Times New Roman" w:cs="Times New Roman"/>
          <w:sz w:val="24"/>
          <w:szCs w:val="24"/>
        </w:rPr>
        <w:t xml:space="preserve"> </w:t>
      </w:r>
      <w:r w:rsidR="00D842D0">
        <w:rPr>
          <w:rFonts w:ascii="Times New Roman" w:hAnsi="Times New Roman" w:cs="Times New Roman"/>
          <w:sz w:val="24"/>
          <w:szCs w:val="24"/>
        </w:rPr>
        <w:t xml:space="preserve">as </w:t>
      </w:r>
      <w:r w:rsidR="0003468F" w:rsidRPr="0003468F">
        <w:rPr>
          <w:rFonts w:ascii="Times New Roman" w:hAnsi="Times New Roman" w:cs="Times New Roman"/>
          <w:sz w:val="24"/>
          <w:szCs w:val="24"/>
        </w:rPr>
        <w:t xml:space="preserve">the </w:t>
      </w:r>
      <w:r w:rsidR="004726FB">
        <w:rPr>
          <w:rFonts w:ascii="Times New Roman" w:hAnsi="Times New Roman" w:cs="Times New Roman"/>
          <w:sz w:val="24"/>
          <w:szCs w:val="24"/>
        </w:rPr>
        <w:t>befitting</w:t>
      </w:r>
      <w:r w:rsidR="0003468F" w:rsidRPr="0003468F">
        <w:rPr>
          <w:rFonts w:ascii="Times New Roman" w:hAnsi="Times New Roman" w:cs="Times New Roman"/>
          <w:sz w:val="24"/>
          <w:szCs w:val="24"/>
        </w:rPr>
        <w:t xml:space="preserve"> </w:t>
      </w:r>
      <w:r>
        <w:rPr>
          <w:rFonts w:ascii="Times New Roman" w:hAnsi="Times New Roman" w:cs="Times New Roman"/>
          <w:sz w:val="24"/>
          <w:szCs w:val="24"/>
        </w:rPr>
        <w:t>place</w:t>
      </w:r>
      <w:r w:rsidR="0003468F" w:rsidRPr="0003468F">
        <w:rPr>
          <w:rFonts w:ascii="Times New Roman" w:hAnsi="Times New Roman" w:cs="Times New Roman"/>
          <w:sz w:val="24"/>
          <w:szCs w:val="24"/>
        </w:rPr>
        <w:t xml:space="preserve"> for the integration of this model into the EU legal system </w:t>
      </w:r>
      <w:r w:rsidR="007D00B5">
        <w:rPr>
          <w:rFonts w:ascii="Times New Roman" w:hAnsi="Times New Roman" w:cs="Times New Roman"/>
          <w:sz w:val="24"/>
          <w:szCs w:val="24"/>
        </w:rPr>
        <w:t>in view of</w:t>
      </w:r>
      <w:r w:rsidR="0003468F" w:rsidRPr="0003468F">
        <w:rPr>
          <w:rFonts w:ascii="Times New Roman" w:hAnsi="Times New Roman" w:cs="Times New Roman"/>
          <w:sz w:val="24"/>
          <w:szCs w:val="24"/>
        </w:rPr>
        <w:t xml:space="preserve"> </w:t>
      </w:r>
      <w:r w:rsidR="007D00B5">
        <w:rPr>
          <w:rFonts w:ascii="Times New Roman" w:hAnsi="Times New Roman" w:cs="Times New Roman"/>
          <w:sz w:val="24"/>
          <w:szCs w:val="24"/>
        </w:rPr>
        <w:t>its</w:t>
      </w:r>
      <w:r w:rsidR="0003468F" w:rsidRPr="0003468F">
        <w:rPr>
          <w:rFonts w:ascii="Times New Roman" w:hAnsi="Times New Roman" w:cs="Times New Roman"/>
          <w:sz w:val="24"/>
          <w:szCs w:val="24"/>
        </w:rPr>
        <w:t xml:space="preserve"> ex ante and consumer-oriented </w:t>
      </w:r>
      <w:r w:rsidR="003C36E0">
        <w:rPr>
          <w:rFonts w:ascii="Times New Roman" w:hAnsi="Times New Roman" w:cs="Times New Roman"/>
          <w:sz w:val="24"/>
          <w:szCs w:val="24"/>
        </w:rPr>
        <w:t>na</w:t>
      </w:r>
      <w:r w:rsidR="007D00B5">
        <w:rPr>
          <w:rFonts w:ascii="Times New Roman" w:hAnsi="Times New Roman" w:cs="Times New Roman"/>
          <w:sz w:val="24"/>
          <w:szCs w:val="24"/>
        </w:rPr>
        <w:t>ture</w:t>
      </w:r>
      <w:r w:rsidR="0003468F" w:rsidRPr="0003468F">
        <w:rPr>
          <w:rFonts w:ascii="Times New Roman" w:hAnsi="Times New Roman" w:cs="Times New Roman"/>
          <w:sz w:val="24"/>
          <w:szCs w:val="24"/>
        </w:rPr>
        <w:t>. This integration</w:t>
      </w:r>
      <w:r w:rsidR="003C36E0">
        <w:rPr>
          <w:rFonts w:ascii="Times New Roman" w:hAnsi="Times New Roman" w:cs="Times New Roman"/>
          <w:sz w:val="24"/>
          <w:szCs w:val="24"/>
        </w:rPr>
        <w:t>,</w:t>
      </w:r>
      <w:r w:rsidR="0003468F" w:rsidRPr="0003468F">
        <w:rPr>
          <w:rFonts w:ascii="Times New Roman" w:hAnsi="Times New Roman" w:cs="Times New Roman"/>
          <w:sz w:val="24"/>
          <w:szCs w:val="24"/>
        </w:rPr>
        <w:t xml:space="preserve"> mean</w:t>
      </w:r>
      <w:r w:rsidR="00D9751B">
        <w:rPr>
          <w:rFonts w:ascii="Times New Roman" w:hAnsi="Times New Roman" w:cs="Times New Roman"/>
          <w:sz w:val="24"/>
          <w:szCs w:val="24"/>
        </w:rPr>
        <w:t>ing</w:t>
      </w:r>
      <w:r w:rsidR="0003468F" w:rsidRPr="0003468F">
        <w:rPr>
          <w:rFonts w:ascii="Times New Roman" w:hAnsi="Times New Roman" w:cs="Times New Roman"/>
          <w:sz w:val="24"/>
          <w:szCs w:val="24"/>
        </w:rPr>
        <w:t xml:space="preserve"> replacement of the core</w:t>
      </w:r>
      <w:r>
        <w:rPr>
          <w:rFonts w:ascii="Times New Roman" w:hAnsi="Times New Roman" w:cs="Times New Roman"/>
          <w:sz w:val="24"/>
          <w:szCs w:val="24"/>
        </w:rPr>
        <w:t>,</w:t>
      </w:r>
      <w:r w:rsidR="0003468F" w:rsidRPr="0003468F">
        <w:rPr>
          <w:rFonts w:ascii="Times New Roman" w:hAnsi="Times New Roman" w:cs="Times New Roman"/>
          <w:sz w:val="24"/>
          <w:szCs w:val="24"/>
        </w:rPr>
        <w:t xml:space="preserve"> </w:t>
      </w:r>
      <w:r>
        <w:rPr>
          <w:rFonts w:ascii="Times New Roman" w:hAnsi="Times New Roman" w:cs="Times New Roman"/>
          <w:sz w:val="24"/>
          <w:szCs w:val="24"/>
        </w:rPr>
        <w:t xml:space="preserve">mainly </w:t>
      </w:r>
      <w:r w:rsidR="0003468F" w:rsidRPr="0003468F">
        <w:rPr>
          <w:rFonts w:ascii="Times New Roman" w:hAnsi="Times New Roman" w:cs="Times New Roman"/>
          <w:sz w:val="24"/>
          <w:szCs w:val="24"/>
        </w:rPr>
        <w:t>SMP oriented</w:t>
      </w:r>
      <w:r>
        <w:rPr>
          <w:rFonts w:ascii="Times New Roman" w:hAnsi="Times New Roman" w:cs="Times New Roman"/>
          <w:sz w:val="24"/>
          <w:szCs w:val="24"/>
        </w:rPr>
        <w:t>,</w:t>
      </w:r>
      <w:r w:rsidR="0003468F" w:rsidRPr="0003468F">
        <w:rPr>
          <w:rFonts w:ascii="Times New Roman" w:hAnsi="Times New Roman" w:cs="Times New Roman"/>
          <w:sz w:val="24"/>
          <w:szCs w:val="24"/>
        </w:rPr>
        <w:t xml:space="preserve"> principles of the ECRF</w:t>
      </w:r>
      <w:r w:rsidR="003C36E0">
        <w:rPr>
          <w:rFonts w:ascii="Times New Roman" w:hAnsi="Times New Roman" w:cs="Times New Roman"/>
          <w:sz w:val="24"/>
          <w:szCs w:val="24"/>
        </w:rPr>
        <w:t>,</w:t>
      </w:r>
      <w:r w:rsidR="0003468F" w:rsidRPr="0003468F">
        <w:rPr>
          <w:rFonts w:ascii="Times New Roman" w:hAnsi="Times New Roman" w:cs="Times New Roman"/>
          <w:sz w:val="24"/>
          <w:szCs w:val="24"/>
        </w:rPr>
        <w:t xml:space="preserve"> would give way to far-reaching implications in terms of regulatory governance</w:t>
      </w:r>
      <w:r w:rsidR="003513F0">
        <w:rPr>
          <w:rFonts w:ascii="Times New Roman" w:hAnsi="Times New Roman" w:cs="Times New Roman"/>
          <w:sz w:val="24"/>
          <w:szCs w:val="24"/>
        </w:rPr>
        <w:t xml:space="preserve"> and institutional structure of the EU</w:t>
      </w:r>
      <w:r>
        <w:rPr>
          <w:rFonts w:ascii="Times New Roman" w:hAnsi="Times New Roman" w:cs="Times New Roman"/>
          <w:sz w:val="24"/>
          <w:szCs w:val="24"/>
        </w:rPr>
        <w:t>.</w:t>
      </w:r>
      <w:r w:rsidR="009263D6">
        <w:rPr>
          <w:rFonts w:ascii="Times New Roman" w:hAnsi="Times New Roman" w:cs="Times New Roman"/>
          <w:sz w:val="24"/>
          <w:szCs w:val="24"/>
        </w:rPr>
        <w:t xml:space="preserve"> </w:t>
      </w:r>
      <w:r w:rsidR="00675A8C">
        <w:rPr>
          <w:rFonts w:ascii="Times New Roman" w:hAnsi="Times New Roman" w:cs="Times New Roman"/>
          <w:sz w:val="24"/>
          <w:szCs w:val="24"/>
        </w:rPr>
        <w:t>T</w:t>
      </w:r>
      <w:r w:rsidR="003C36E0">
        <w:rPr>
          <w:rFonts w:ascii="Times New Roman" w:hAnsi="Times New Roman" w:cs="Times New Roman"/>
          <w:sz w:val="24"/>
          <w:szCs w:val="24"/>
        </w:rPr>
        <w:t>his study sets the ground for a potential debate along with the proposed model</w:t>
      </w:r>
      <w:r w:rsidR="009263D6">
        <w:rPr>
          <w:rFonts w:ascii="Times New Roman" w:hAnsi="Times New Roman" w:cs="Times New Roman"/>
          <w:sz w:val="24"/>
          <w:szCs w:val="24"/>
        </w:rPr>
        <w:t>,</w:t>
      </w:r>
      <w:r w:rsidR="00675A8C">
        <w:rPr>
          <w:rFonts w:ascii="Times New Roman" w:hAnsi="Times New Roman" w:cs="Times New Roman"/>
          <w:sz w:val="24"/>
          <w:szCs w:val="24"/>
        </w:rPr>
        <w:t xml:space="preserve"> whereby it is</w:t>
      </w:r>
      <w:r w:rsidR="00D133FA">
        <w:rPr>
          <w:rFonts w:ascii="Times New Roman" w:hAnsi="Times New Roman" w:cs="Times New Roman"/>
          <w:sz w:val="24"/>
          <w:szCs w:val="24"/>
        </w:rPr>
        <w:t xml:space="preserve"> </w:t>
      </w:r>
      <w:r w:rsidR="00675A8C">
        <w:rPr>
          <w:rFonts w:ascii="Times New Roman" w:hAnsi="Times New Roman" w:cs="Times New Roman"/>
          <w:sz w:val="24"/>
          <w:szCs w:val="24"/>
        </w:rPr>
        <w:t xml:space="preserve">envisaged that </w:t>
      </w:r>
      <w:r w:rsidR="003C36E0">
        <w:rPr>
          <w:rFonts w:ascii="Times New Roman" w:hAnsi="Times New Roman" w:cs="Times New Roman"/>
          <w:sz w:val="24"/>
          <w:szCs w:val="24"/>
        </w:rPr>
        <w:t xml:space="preserve">how to </w:t>
      </w:r>
      <w:r w:rsidR="009263D6">
        <w:rPr>
          <w:rFonts w:ascii="Times New Roman" w:hAnsi="Times New Roman" w:cs="Times New Roman"/>
          <w:sz w:val="24"/>
          <w:szCs w:val="24"/>
        </w:rPr>
        <w:t>transpos</w:t>
      </w:r>
      <w:r w:rsidR="003C36E0">
        <w:rPr>
          <w:rFonts w:ascii="Times New Roman" w:hAnsi="Times New Roman" w:cs="Times New Roman"/>
          <w:sz w:val="24"/>
          <w:szCs w:val="24"/>
        </w:rPr>
        <w:t>e</w:t>
      </w:r>
      <w:r w:rsidR="009263D6">
        <w:rPr>
          <w:rFonts w:ascii="Times New Roman" w:hAnsi="Times New Roman" w:cs="Times New Roman"/>
          <w:sz w:val="24"/>
          <w:szCs w:val="24"/>
        </w:rPr>
        <w:t xml:space="preserve"> this model</w:t>
      </w:r>
      <w:r w:rsidR="0003468F" w:rsidRPr="0003468F">
        <w:rPr>
          <w:rFonts w:ascii="Times New Roman" w:hAnsi="Times New Roman" w:cs="Times New Roman"/>
          <w:sz w:val="24"/>
          <w:szCs w:val="24"/>
        </w:rPr>
        <w:t xml:space="preserve"> </w:t>
      </w:r>
      <w:r w:rsidR="009263D6">
        <w:rPr>
          <w:rFonts w:ascii="Times New Roman" w:hAnsi="Times New Roman" w:cs="Times New Roman"/>
          <w:sz w:val="24"/>
          <w:szCs w:val="24"/>
        </w:rPr>
        <w:t>into the E</w:t>
      </w:r>
      <w:r w:rsidR="007D00B5">
        <w:rPr>
          <w:rFonts w:ascii="Times New Roman" w:hAnsi="Times New Roman" w:cs="Times New Roman"/>
          <w:sz w:val="24"/>
          <w:szCs w:val="24"/>
        </w:rPr>
        <w:t>U legal system</w:t>
      </w:r>
      <w:r w:rsidR="003513F0">
        <w:rPr>
          <w:rFonts w:ascii="Times New Roman" w:hAnsi="Times New Roman" w:cs="Times New Roman"/>
          <w:sz w:val="24"/>
          <w:szCs w:val="24"/>
        </w:rPr>
        <w:t xml:space="preserve"> and its far-reaching implications</w:t>
      </w:r>
      <w:r w:rsidR="009263D6">
        <w:rPr>
          <w:rFonts w:ascii="Times New Roman" w:hAnsi="Times New Roman" w:cs="Times New Roman"/>
          <w:sz w:val="24"/>
          <w:szCs w:val="24"/>
        </w:rPr>
        <w:t xml:space="preserve"> </w:t>
      </w:r>
      <w:r w:rsidR="0003468F" w:rsidRPr="0003468F">
        <w:rPr>
          <w:rFonts w:ascii="Times New Roman" w:hAnsi="Times New Roman" w:cs="Times New Roman"/>
          <w:sz w:val="24"/>
          <w:szCs w:val="24"/>
        </w:rPr>
        <w:t>would be subject matter of further research</w:t>
      </w:r>
      <w:r w:rsidR="00162E6E" w:rsidRPr="00774EDB">
        <w:rPr>
          <w:rFonts w:ascii="Times New Roman" w:hAnsi="Times New Roman" w:cs="Times New Roman"/>
          <w:sz w:val="24"/>
          <w:szCs w:val="24"/>
        </w:rPr>
        <w:t>.</w:t>
      </w:r>
    </w:p>
    <w:p w14:paraId="45965A07" w14:textId="0A9C4EF7" w:rsidR="005B4C8E" w:rsidRPr="00774EDB" w:rsidRDefault="005B4C8E" w:rsidP="00A70042">
      <w:pPr>
        <w:pStyle w:val="Heading2"/>
        <w:numPr>
          <w:ilvl w:val="1"/>
          <w:numId w:val="33"/>
        </w:numPr>
        <w:tabs>
          <w:tab w:val="left" w:pos="426"/>
        </w:tabs>
        <w:spacing w:before="360"/>
        <w:ind w:left="0" w:firstLine="0"/>
        <w:jc w:val="both"/>
        <w:rPr>
          <w:rFonts w:ascii="Times New Roman" w:hAnsi="Times New Roman" w:cs="Times New Roman"/>
          <w:b/>
          <w:color w:val="auto"/>
          <w:sz w:val="24"/>
          <w:szCs w:val="24"/>
        </w:rPr>
      </w:pPr>
      <w:bookmarkStart w:id="771" w:name="_Toc17611526"/>
      <w:bookmarkStart w:id="772" w:name="_Toc53576134"/>
      <w:r w:rsidRPr="00774EDB">
        <w:rPr>
          <w:rFonts w:ascii="Times New Roman" w:hAnsi="Times New Roman" w:cs="Times New Roman"/>
          <w:b/>
          <w:color w:val="auto"/>
          <w:sz w:val="24"/>
          <w:szCs w:val="24"/>
        </w:rPr>
        <w:t>Concluding remarks</w:t>
      </w:r>
      <w:r w:rsidR="009F65E9" w:rsidRPr="00774EDB">
        <w:rPr>
          <w:rFonts w:ascii="Times New Roman" w:hAnsi="Times New Roman" w:cs="Times New Roman"/>
          <w:b/>
          <w:color w:val="auto"/>
          <w:sz w:val="24"/>
          <w:szCs w:val="24"/>
        </w:rPr>
        <w:t>: Brief summary</w:t>
      </w:r>
      <w:r w:rsidRPr="00774EDB">
        <w:rPr>
          <w:rFonts w:ascii="Times New Roman" w:hAnsi="Times New Roman" w:cs="Times New Roman"/>
          <w:b/>
          <w:color w:val="auto"/>
          <w:sz w:val="24"/>
          <w:szCs w:val="24"/>
        </w:rPr>
        <w:t xml:space="preserve"> </w:t>
      </w:r>
      <w:r w:rsidR="006D4457" w:rsidRPr="00774EDB">
        <w:rPr>
          <w:rFonts w:ascii="Times New Roman" w:hAnsi="Times New Roman" w:cs="Times New Roman"/>
          <w:b/>
          <w:color w:val="auto"/>
          <w:sz w:val="24"/>
          <w:szCs w:val="24"/>
        </w:rPr>
        <w:t>and further research</w:t>
      </w:r>
      <w:bookmarkEnd w:id="771"/>
      <w:bookmarkEnd w:id="772"/>
    </w:p>
    <w:p w14:paraId="05099C29" w14:textId="2110ACEA" w:rsidR="00162E6E" w:rsidRPr="00774EDB" w:rsidRDefault="00162E6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This thesis mainly examines the regulatory governance of ICT interoperability across a number of legal disciplines and is based on </w:t>
      </w:r>
      <w:r w:rsidR="00675A8C">
        <w:rPr>
          <w:rFonts w:ascii="Times New Roman" w:hAnsi="Times New Roman" w:cs="Times New Roman"/>
          <w:sz w:val="24"/>
          <w:szCs w:val="24"/>
        </w:rPr>
        <w:t xml:space="preserve">multiple </w:t>
      </w:r>
      <w:r w:rsidRPr="00774EDB">
        <w:rPr>
          <w:rFonts w:ascii="Times New Roman" w:hAnsi="Times New Roman" w:cs="Times New Roman"/>
          <w:sz w:val="24"/>
          <w:szCs w:val="24"/>
        </w:rPr>
        <w:t>case studies</w:t>
      </w:r>
      <w:r w:rsidR="00675A8C">
        <w:rPr>
          <w:rFonts w:ascii="Times New Roman" w:hAnsi="Times New Roman" w:cs="Times New Roman"/>
          <w:sz w:val="24"/>
          <w:szCs w:val="24"/>
        </w:rPr>
        <w:t xml:space="preserve"> following the doctrinal analysis</w:t>
      </w:r>
      <w:r w:rsidRPr="00774EDB">
        <w:rPr>
          <w:rFonts w:ascii="Times New Roman" w:hAnsi="Times New Roman" w:cs="Times New Roman"/>
          <w:sz w:val="24"/>
          <w:szCs w:val="24"/>
        </w:rPr>
        <w:t>. While</w:t>
      </w:r>
      <w:r w:rsidR="006C7014" w:rsidRPr="00774EDB">
        <w:rPr>
          <w:rFonts w:ascii="Times New Roman" w:hAnsi="Times New Roman" w:cs="Times New Roman"/>
          <w:sz w:val="24"/>
          <w:szCs w:val="24"/>
        </w:rPr>
        <w:t xml:space="preserve"> lack of interoperability raises several significant concerns, </w:t>
      </w:r>
      <w:r w:rsidR="006C7014" w:rsidRPr="00774EDB">
        <w:rPr>
          <w:rFonts w:ascii="Times New Roman" w:hAnsi="Times New Roman" w:cs="Times New Roman"/>
          <w:sz w:val="24"/>
          <w:szCs w:val="24"/>
        </w:rPr>
        <w:lastRenderedPageBreak/>
        <w:t>inc</w:t>
      </w:r>
      <w:r w:rsidR="00675A8C">
        <w:rPr>
          <w:rFonts w:ascii="Times New Roman" w:hAnsi="Times New Roman" w:cs="Times New Roman"/>
          <w:sz w:val="24"/>
          <w:szCs w:val="24"/>
        </w:rPr>
        <w:t>orporat</w:t>
      </w:r>
      <w:r w:rsidR="006C7014" w:rsidRPr="00774EDB">
        <w:rPr>
          <w:rFonts w:ascii="Times New Roman" w:hAnsi="Times New Roman" w:cs="Times New Roman"/>
          <w:sz w:val="24"/>
          <w:szCs w:val="24"/>
        </w:rPr>
        <w:t xml:space="preserve">ing vendor lock-in, switching costs, </w:t>
      </w:r>
      <w:r w:rsidR="00675A8C">
        <w:rPr>
          <w:rFonts w:ascii="Times New Roman" w:hAnsi="Times New Roman" w:cs="Times New Roman"/>
          <w:sz w:val="24"/>
          <w:szCs w:val="24"/>
        </w:rPr>
        <w:t xml:space="preserve">follow-on </w:t>
      </w:r>
      <w:r w:rsidR="006C7014" w:rsidRPr="00774EDB">
        <w:rPr>
          <w:rFonts w:ascii="Times New Roman" w:hAnsi="Times New Roman" w:cs="Times New Roman"/>
          <w:sz w:val="24"/>
          <w:szCs w:val="24"/>
        </w:rPr>
        <w:t xml:space="preserve">innovation and </w:t>
      </w:r>
      <w:r w:rsidR="001E5817">
        <w:rPr>
          <w:rFonts w:ascii="Times New Roman" w:hAnsi="Times New Roman" w:cs="Times New Roman"/>
          <w:sz w:val="24"/>
          <w:szCs w:val="24"/>
        </w:rPr>
        <w:t>information flows</w:t>
      </w:r>
      <w:r w:rsidR="006C7014" w:rsidRPr="00774EDB">
        <w:rPr>
          <w:rFonts w:ascii="Times New Roman" w:hAnsi="Times New Roman" w:cs="Times New Roman"/>
          <w:sz w:val="24"/>
          <w:szCs w:val="24"/>
        </w:rPr>
        <w:t xml:space="preserve">, </w:t>
      </w:r>
      <w:r w:rsidR="00675A8C">
        <w:rPr>
          <w:rFonts w:ascii="Times New Roman" w:hAnsi="Times New Roman" w:cs="Times New Roman"/>
          <w:sz w:val="24"/>
          <w:szCs w:val="24"/>
        </w:rPr>
        <w:t>regulation</w:t>
      </w:r>
      <w:r w:rsidRPr="00774EDB">
        <w:rPr>
          <w:rFonts w:ascii="Times New Roman" w:hAnsi="Times New Roman" w:cs="Times New Roman"/>
          <w:sz w:val="24"/>
          <w:szCs w:val="24"/>
        </w:rPr>
        <w:t xml:space="preserve"> of interoperability has differing reflections within the distinct </w:t>
      </w:r>
      <w:r w:rsidR="00967F89">
        <w:rPr>
          <w:rFonts w:ascii="Times New Roman" w:hAnsi="Times New Roman" w:cs="Times New Roman"/>
          <w:sz w:val="24"/>
          <w:szCs w:val="24"/>
        </w:rPr>
        <w:t>areas of EU law</w:t>
      </w:r>
      <w:r w:rsidRPr="00774EDB">
        <w:rPr>
          <w:rFonts w:ascii="Times New Roman" w:hAnsi="Times New Roman" w:cs="Times New Roman"/>
          <w:sz w:val="24"/>
          <w:szCs w:val="24"/>
        </w:rPr>
        <w:t xml:space="preserve"> i.e. IPR </w:t>
      </w:r>
      <w:r w:rsidR="004726FB">
        <w:rPr>
          <w:rFonts w:ascii="Times New Roman" w:hAnsi="Times New Roman" w:cs="Times New Roman"/>
          <w:sz w:val="24"/>
          <w:szCs w:val="24"/>
        </w:rPr>
        <w:t>rules</w:t>
      </w:r>
      <w:r w:rsidRPr="00774EDB">
        <w:rPr>
          <w:rFonts w:ascii="Times New Roman" w:hAnsi="Times New Roman" w:cs="Times New Roman"/>
          <w:sz w:val="24"/>
          <w:szCs w:val="24"/>
        </w:rPr>
        <w:t xml:space="preserve">, competition law and ECRF. The lack of interoperability being dealt with on the disparate grounds of the </w:t>
      </w:r>
      <w:r w:rsidR="00675A8C">
        <w:rPr>
          <w:rFonts w:ascii="Times New Roman" w:hAnsi="Times New Roman" w:cs="Times New Roman"/>
          <w:sz w:val="24"/>
          <w:szCs w:val="24"/>
        </w:rPr>
        <w:t>EU law</w:t>
      </w:r>
      <w:r w:rsidRPr="00774EDB">
        <w:rPr>
          <w:rFonts w:ascii="Times New Roman" w:hAnsi="Times New Roman" w:cs="Times New Roman"/>
          <w:sz w:val="24"/>
          <w:szCs w:val="24"/>
        </w:rPr>
        <w:t xml:space="preserve">, often with shortcomings and partial solutions, signifies the absence of a coherent and holistic approach </w:t>
      </w:r>
      <w:r w:rsidR="000527AA">
        <w:rPr>
          <w:rFonts w:ascii="Times New Roman" w:hAnsi="Times New Roman" w:cs="Times New Roman"/>
          <w:sz w:val="24"/>
          <w:szCs w:val="24"/>
        </w:rPr>
        <w:t>under the</w:t>
      </w:r>
      <w:r w:rsidR="00675A8C">
        <w:rPr>
          <w:rFonts w:ascii="Times New Roman" w:hAnsi="Times New Roman" w:cs="Times New Roman"/>
          <w:sz w:val="24"/>
          <w:szCs w:val="24"/>
        </w:rPr>
        <w:t xml:space="preserve"> </w:t>
      </w:r>
      <w:r w:rsidR="00675A8C" w:rsidRPr="00774EDB">
        <w:rPr>
          <w:rFonts w:ascii="Times New Roman" w:hAnsi="Times New Roman" w:cs="Times New Roman"/>
          <w:sz w:val="24"/>
          <w:szCs w:val="24"/>
        </w:rPr>
        <w:t xml:space="preserve">given legal disciplines </w:t>
      </w:r>
      <w:r w:rsidRPr="00774EDB">
        <w:rPr>
          <w:rFonts w:ascii="Times New Roman" w:hAnsi="Times New Roman" w:cs="Times New Roman"/>
          <w:sz w:val="24"/>
          <w:szCs w:val="24"/>
        </w:rPr>
        <w:t>against the so</w:t>
      </w:r>
      <w:r w:rsidR="001E5817">
        <w:rPr>
          <w:rFonts w:ascii="Times New Roman" w:hAnsi="Times New Roman" w:cs="Times New Roman"/>
          <w:sz w:val="24"/>
          <w:szCs w:val="24"/>
        </w:rPr>
        <w:t xml:space="preserve"> </w:t>
      </w:r>
      <w:r w:rsidRPr="00774EDB">
        <w:rPr>
          <w:rFonts w:ascii="Times New Roman" w:hAnsi="Times New Roman" w:cs="Times New Roman"/>
          <w:sz w:val="24"/>
          <w:szCs w:val="24"/>
        </w:rPr>
        <w:t>called concerns.</w:t>
      </w:r>
      <w:r w:rsidR="00967F89">
        <w:rPr>
          <w:rFonts w:ascii="Times New Roman" w:hAnsi="Times New Roman" w:cs="Times New Roman"/>
          <w:sz w:val="24"/>
          <w:szCs w:val="24"/>
        </w:rPr>
        <w:t xml:space="preserve"> </w:t>
      </w:r>
      <w:r w:rsidR="00967F89" w:rsidRPr="00774EDB">
        <w:rPr>
          <w:rFonts w:ascii="Times New Roman" w:hAnsi="Times New Roman" w:cs="Times New Roman"/>
          <w:sz w:val="24"/>
          <w:szCs w:val="24"/>
        </w:rPr>
        <w:t xml:space="preserve">It is </w:t>
      </w:r>
      <w:r w:rsidR="00967F89">
        <w:rPr>
          <w:rFonts w:ascii="Times New Roman" w:hAnsi="Times New Roman" w:cs="Times New Roman"/>
          <w:sz w:val="24"/>
          <w:szCs w:val="24"/>
        </w:rPr>
        <w:t>also important to note</w:t>
      </w:r>
      <w:r w:rsidR="00967F89" w:rsidRPr="00774EDB">
        <w:rPr>
          <w:rFonts w:ascii="Times New Roman" w:hAnsi="Times New Roman" w:cs="Times New Roman"/>
          <w:sz w:val="24"/>
          <w:szCs w:val="24"/>
        </w:rPr>
        <w:t xml:space="preserve"> that </w:t>
      </w:r>
      <w:r w:rsidR="00967F89">
        <w:rPr>
          <w:rFonts w:ascii="Times New Roman" w:hAnsi="Times New Roman" w:cs="Times New Roman"/>
          <w:sz w:val="24"/>
          <w:szCs w:val="24"/>
        </w:rPr>
        <w:t>applicable</w:t>
      </w:r>
      <w:r w:rsidR="00967F89" w:rsidRPr="00774EDB">
        <w:rPr>
          <w:rFonts w:ascii="Times New Roman" w:hAnsi="Times New Roman" w:cs="Times New Roman"/>
          <w:sz w:val="24"/>
          <w:szCs w:val="24"/>
        </w:rPr>
        <w:t xml:space="preserve"> legal tools under EU law, when </w:t>
      </w:r>
      <w:r w:rsidR="00E02FE0">
        <w:rPr>
          <w:rFonts w:ascii="Times New Roman" w:hAnsi="Times New Roman" w:cs="Times New Roman"/>
          <w:sz w:val="24"/>
          <w:szCs w:val="24"/>
        </w:rPr>
        <w:t>provid</w:t>
      </w:r>
      <w:r w:rsidR="00967F89" w:rsidRPr="00774EDB">
        <w:rPr>
          <w:rFonts w:ascii="Times New Roman" w:hAnsi="Times New Roman" w:cs="Times New Roman"/>
          <w:sz w:val="24"/>
          <w:szCs w:val="24"/>
        </w:rPr>
        <w:t xml:space="preserve">ing </w:t>
      </w:r>
      <w:r w:rsidR="00E02FE0">
        <w:rPr>
          <w:rFonts w:ascii="Times New Roman" w:hAnsi="Times New Roman" w:cs="Times New Roman"/>
          <w:sz w:val="24"/>
          <w:szCs w:val="24"/>
        </w:rPr>
        <w:t>insufficient and partial</w:t>
      </w:r>
      <w:r w:rsidR="00967F89" w:rsidRPr="00774EDB">
        <w:rPr>
          <w:rFonts w:ascii="Times New Roman" w:hAnsi="Times New Roman" w:cs="Times New Roman"/>
          <w:sz w:val="24"/>
          <w:szCs w:val="24"/>
        </w:rPr>
        <w:t xml:space="preserve"> response</w:t>
      </w:r>
      <w:r w:rsidR="00E02FE0">
        <w:rPr>
          <w:rFonts w:ascii="Times New Roman" w:hAnsi="Times New Roman" w:cs="Times New Roman"/>
          <w:sz w:val="24"/>
          <w:szCs w:val="24"/>
        </w:rPr>
        <w:t>s</w:t>
      </w:r>
      <w:r w:rsidR="00967F89" w:rsidRPr="00774EDB">
        <w:rPr>
          <w:rFonts w:ascii="Times New Roman" w:hAnsi="Times New Roman" w:cs="Times New Roman"/>
          <w:sz w:val="24"/>
          <w:szCs w:val="24"/>
        </w:rPr>
        <w:t>, do not keep pace with the ICT dynamics</w:t>
      </w:r>
      <w:r w:rsidR="00967F89">
        <w:rPr>
          <w:rFonts w:ascii="Times New Roman" w:hAnsi="Times New Roman" w:cs="Times New Roman"/>
          <w:sz w:val="24"/>
          <w:szCs w:val="24"/>
        </w:rPr>
        <w:t xml:space="preserve"> e.g. cross-layer interdependencies</w:t>
      </w:r>
      <w:r w:rsidR="004726FB">
        <w:rPr>
          <w:rFonts w:ascii="Times New Roman" w:hAnsi="Times New Roman" w:cs="Times New Roman"/>
          <w:sz w:val="24"/>
          <w:szCs w:val="24"/>
        </w:rPr>
        <w:t xml:space="preserve">, </w:t>
      </w:r>
      <w:r w:rsidR="00E02FE0">
        <w:rPr>
          <w:rFonts w:ascii="Times New Roman" w:hAnsi="Times New Roman" w:cs="Times New Roman"/>
          <w:sz w:val="24"/>
          <w:szCs w:val="24"/>
        </w:rPr>
        <w:t>pursue the traditional harm theories i.e. consumer welfare, and overlook the</w:t>
      </w:r>
      <w:r w:rsidR="001E5817">
        <w:rPr>
          <w:rFonts w:ascii="Times New Roman" w:hAnsi="Times New Roman" w:cs="Times New Roman"/>
          <w:sz w:val="24"/>
          <w:szCs w:val="24"/>
        </w:rPr>
        <w:t xml:space="preserve"> </w:t>
      </w:r>
      <w:r w:rsidR="004726FB">
        <w:rPr>
          <w:rFonts w:ascii="Times New Roman" w:hAnsi="Times New Roman" w:cs="Times New Roman"/>
          <w:sz w:val="24"/>
          <w:szCs w:val="24"/>
        </w:rPr>
        <w:t>fast</w:t>
      </w:r>
      <w:r w:rsidR="00853E30">
        <w:rPr>
          <w:rFonts w:ascii="Times New Roman" w:hAnsi="Times New Roman" w:cs="Times New Roman"/>
          <w:sz w:val="24"/>
          <w:szCs w:val="24"/>
        </w:rPr>
        <w:t>-</w:t>
      </w:r>
      <w:r w:rsidR="004726FB">
        <w:rPr>
          <w:rFonts w:ascii="Times New Roman" w:hAnsi="Times New Roman" w:cs="Times New Roman"/>
          <w:sz w:val="24"/>
          <w:szCs w:val="24"/>
        </w:rPr>
        <w:t>evolving</w:t>
      </w:r>
      <w:r w:rsidR="001E5817">
        <w:rPr>
          <w:rFonts w:ascii="Times New Roman" w:hAnsi="Times New Roman" w:cs="Times New Roman"/>
          <w:sz w:val="24"/>
          <w:szCs w:val="24"/>
        </w:rPr>
        <w:t xml:space="preserve"> gatekeeping activities</w:t>
      </w:r>
      <w:r w:rsidR="00853E30">
        <w:rPr>
          <w:rFonts w:ascii="Times New Roman" w:hAnsi="Times New Roman" w:cs="Times New Roman"/>
          <w:sz w:val="24"/>
          <w:szCs w:val="24"/>
        </w:rPr>
        <w:t xml:space="preserve"> </w:t>
      </w:r>
      <w:r w:rsidR="00E02FE0">
        <w:rPr>
          <w:rFonts w:ascii="Times New Roman" w:hAnsi="Times New Roman" w:cs="Times New Roman"/>
          <w:sz w:val="24"/>
          <w:szCs w:val="24"/>
        </w:rPr>
        <w:t>based on</w:t>
      </w:r>
      <w:r w:rsidR="00853E30">
        <w:rPr>
          <w:rFonts w:ascii="Times New Roman" w:hAnsi="Times New Roman" w:cs="Times New Roman"/>
          <w:sz w:val="24"/>
          <w:szCs w:val="24"/>
        </w:rPr>
        <w:t xml:space="preserve"> </w:t>
      </w:r>
      <w:r w:rsidR="00E02FE0">
        <w:rPr>
          <w:rFonts w:ascii="Times New Roman" w:hAnsi="Times New Roman" w:cs="Times New Roman"/>
          <w:sz w:val="24"/>
          <w:szCs w:val="24"/>
        </w:rPr>
        <w:t xml:space="preserve">the </w:t>
      </w:r>
      <w:r w:rsidR="00853E30">
        <w:rPr>
          <w:rFonts w:ascii="Times New Roman" w:hAnsi="Times New Roman" w:cs="Times New Roman"/>
          <w:sz w:val="24"/>
          <w:szCs w:val="24"/>
        </w:rPr>
        <w:t xml:space="preserve">controlling </w:t>
      </w:r>
      <w:r w:rsidR="00E02FE0">
        <w:rPr>
          <w:rFonts w:ascii="Times New Roman" w:hAnsi="Times New Roman" w:cs="Times New Roman"/>
          <w:sz w:val="24"/>
          <w:szCs w:val="24"/>
        </w:rPr>
        <w:t>mechanism</w:t>
      </w:r>
      <w:r w:rsidR="00853E30">
        <w:rPr>
          <w:rFonts w:ascii="Times New Roman" w:hAnsi="Times New Roman" w:cs="Times New Roman"/>
          <w:sz w:val="24"/>
          <w:szCs w:val="24"/>
        </w:rPr>
        <w:t xml:space="preserve">s </w:t>
      </w:r>
      <w:r w:rsidR="00E02FE0">
        <w:rPr>
          <w:rFonts w:ascii="Times New Roman" w:hAnsi="Times New Roman" w:cs="Times New Roman"/>
          <w:sz w:val="24"/>
          <w:szCs w:val="24"/>
        </w:rPr>
        <w:t>including</w:t>
      </w:r>
      <w:r w:rsidR="00853E30">
        <w:rPr>
          <w:rFonts w:ascii="Times New Roman" w:hAnsi="Times New Roman" w:cs="Times New Roman"/>
          <w:sz w:val="24"/>
          <w:szCs w:val="24"/>
        </w:rPr>
        <w:t xml:space="preserve"> IPRs, TPMs and AI-based algorithms</w:t>
      </w:r>
      <w:r w:rsidR="00967F89">
        <w:rPr>
          <w:rFonts w:ascii="Times New Roman" w:hAnsi="Times New Roman" w:cs="Times New Roman"/>
          <w:sz w:val="24"/>
          <w:szCs w:val="24"/>
        </w:rPr>
        <w:t>.</w:t>
      </w:r>
      <w:r w:rsidRPr="00774EDB">
        <w:rPr>
          <w:rFonts w:ascii="Times New Roman" w:hAnsi="Times New Roman" w:cs="Times New Roman"/>
          <w:sz w:val="24"/>
          <w:szCs w:val="24"/>
        </w:rPr>
        <w:t xml:space="preserve">  </w:t>
      </w:r>
    </w:p>
    <w:p w14:paraId="124FED17" w14:textId="00426C54" w:rsidR="00D500FE" w:rsidRPr="00774EDB" w:rsidRDefault="00162E6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From this point of view, this study endeavours to build up a</w:t>
      </w:r>
      <w:r w:rsidR="00200E55" w:rsidRPr="00774EDB">
        <w:rPr>
          <w:rFonts w:ascii="Times New Roman" w:hAnsi="Times New Roman" w:cs="Times New Roman"/>
          <w:sz w:val="24"/>
          <w:szCs w:val="24"/>
        </w:rPr>
        <w:t xml:space="preserve"> normative </w:t>
      </w:r>
      <w:r w:rsidRPr="00774EDB">
        <w:rPr>
          <w:rFonts w:ascii="Times New Roman" w:hAnsi="Times New Roman" w:cs="Times New Roman"/>
          <w:sz w:val="24"/>
          <w:szCs w:val="24"/>
        </w:rPr>
        <w:t xml:space="preserve">framework </w:t>
      </w:r>
      <w:r w:rsidR="00200E55" w:rsidRPr="00774EDB">
        <w:rPr>
          <w:rFonts w:ascii="Times New Roman" w:hAnsi="Times New Roman" w:cs="Times New Roman"/>
          <w:sz w:val="24"/>
          <w:szCs w:val="24"/>
        </w:rPr>
        <w:t xml:space="preserve">focusing on the EU legal system and </w:t>
      </w:r>
      <w:r w:rsidRPr="00774EDB">
        <w:rPr>
          <w:rFonts w:ascii="Times New Roman" w:hAnsi="Times New Roman" w:cs="Times New Roman"/>
          <w:sz w:val="24"/>
          <w:szCs w:val="24"/>
        </w:rPr>
        <w:t xml:space="preserve">reaching out to </w:t>
      </w:r>
      <w:r w:rsidR="00853E30">
        <w:rPr>
          <w:rFonts w:ascii="Times New Roman" w:hAnsi="Times New Roman" w:cs="Times New Roman"/>
          <w:sz w:val="24"/>
          <w:szCs w:val="24"/>
        </w:rPr>
        <w:t>broadly figured</w:t>
      </w:r>
      <w:r w:rsidR="00853E30"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interoperability-based concerns </w:t>
      </w:r>
      <w:r w:rsidR="00C81AF0">
        <w:rPr>
          <w:rFonts w:ascii="Times New Roman" w:hAnsi="Times New Roman" w:cs="Times New Roman"/>
          <w:sz w:val="24"/>
          <w:szCs w:val="24"/>
        </w:rPr>
        <w:t>in</w:t>
      </w:r>
      <w:r w:rsidRPr="00774EDB">
        <w:rPr>
          <w:rFonts w:ascii="Times New Roman" w:hAnsi="Times New Roman" w:cs="Times New Roman"/>
          <w:sz w:val="24"/>
          <w:szCs w:val="24"/>
        </w:rPr>
        <w:t xml:space="preserve"> the ICT field. </w:t>
      </w:r>
      <w:r w:rsidR="00363B45">
        <w:rPr>
          <w:rFonts w:ascii="Times New Roman" w:hAnsi="Times New Roman" w:cs="Times New Roman"/>
          <w:sz w:val="24"/>
          <w:szCs w:val="24"/>
        </w:rPr>
        <w:t xml:space="preserve">After the multi-disciplinary </w:t>
      </w:r>
      <w:r w:rsidR="00853E30">
        <w:rPr>
          <w:rFonts w:ascii="Times New Roman" w:hAnsi="Times New Roman" w:cs="Times New Roman"/>
          <w:sz w:val="24"/>
          <w:szCs w:val="24"/>
        </w:rPr>
        <w:t>doctrinal</w:t>
      </w:r>
      <w:r w:rsidR="00363B45">
        <w:rPr>
          <w:rFonts w:ascii="Times New Roman" w:hAnsi="Times New Roman" w:cs="Times New Roman"/>
          <w:sz w:val="24"/>
          <w:szCs w:val="24"/>
        </w:rPr>
        <w:t xml:space="preserve"> analysis</w:t>
      </w:r>
      <w:r w:rsidRPr="00774EDB">
        <w:rPr>
          <w:rFonts w:ascii="Times New Roman" w:hAnsi="Times New Roman" w:cs="Times New Roman"/>
          <w:sz w:val="24"/>
          <w:szCs w:val="24"/>
        </w:rPr>
        <w:t xml:space="preserve">, </w:t>
      </w:r>
      <w:r w:rsidR="00363B45">
        <w:rPr>
          <w:rFonts w:ascii="Times New Roman" w:hAnsi="Times New Roman" w:cs="Times New Roman"/>
          <w:sz w:val="24"/>
          <w:szCs w:val="24"/>
        </w:rPr>
        <w:t xml:space="preserve">it is found that </w:t>
      </w:r>
      <w:r w:rsidRPr="00774EDB">
        <w:rPr>
          <w:rFonts w:ascii="Times New Roman" w:hAnsi="Times New Roman" w:cs="Times New Roman"/>
          <w:sz w:val="24"/>
          <w:szCs w:val="24"/>
        </w:rPr>
        <w:t xml:space="preserve">a holistic and multi-layered approach </w:t>
      </w:r>
      <w:r w:rsidR="00DC244A">
        <w:rPr>
          <w:rFonts w:ascii="Times New Roman" w:hAnsi="Times New Roman" w:cs="Times New Roman"/>
          <w:sz w:val="24"/>
          <w:szCs w:val="24"/>
        </w:rPr>
        <w:t xml:space="preserve">is lacking and </w:t>
      </w:r>
      <w:r w:rsidRPr="00774EDB">
        <w:rPr>
          <w:rFonts w:ascii="Times New Roman" w:hAnsi="Times New Roman" w:cs="Times New Roman"/>
          <w:sz w:val="24"/>
          <w:szCs w:val="24"/>
        </w:rPr>
        <w:t xml:space="preserve">appears a pressing need across and to the limitedness of the EU </w:t>
      </w:r>
      <w:r w:rsidR="00363B45">
        <w:rPr>
          <w:rFonts w:ascii="Times New Roman" w:hAnsi="Times New Roman" w:cs="Times New Roman"/>
          <w:sz w:val="24"/>
          <w:szCs w:val="24"/>
        </w:rPr>
        <w:t>law</w:t>
      </w:r>
      <w:r w:rsidRPr="00774EDB">
        <w:rPr>
          <w:rFonts w:ascii="Times New Roman" w:hAnsi="Times New Roman" w:cs="Times New Roman"/>
          <w:sz w:val="24"/>
          <w:szCs w:val="24"/>
        </w:rPr>
        <w:t>. This need surfac</w:t>
      </w:r>
      <w:r w:rsidR="00853E30">
        <w:rPr>
          <w:rFonts w:ascii="Times New Roman" w:hAnsi="Times New Roman" w:cs="Times New Roman"/>
          <w:sz w:val="24"/>
          <w:szCs w:val="24"/>
        </w:rPr>
        <w:t>ing</w:t>
      </w:r>
      <w:r w:rsidRPr="00774EDB">
        <w:rPr>
          <w:rFonts w:ascii="Times New Roman" w:hAnsi="Times New Roman" w:cs="Times New Roman"/>
          <w:sz w:val="24"/>
          <w:szCs w:val="24"/>
        </w:rPr>
        <w:t xml:space="preserve"> </w:t>
      </w:r>
      <w:r w:rsidR="00967F89" w:rsidRPr="00774EDB">
        <w:rPr>
          <w:rFonts w:ascii="Times New Roman" w:hAnsi="Times New Roman" w:cs="Times New Roman"/>
          <w:sz w:val="24"/>
          <w:szCs w:val="24"/>
        </w:rPr>
        <w:t>during</w:t>
      </w:r>
      <w:r w:rsidRPr="00774EDB">
        <w:rPr>
          <w:rFonts w:ascii="Times New Roman" w:hAnsi="Times New Roman" w:cs="Times New Roman"/>
          <w:sz w:val="24"/>
          <w:szCs w:val="24"/>
        </w:rPr>
        <w:t xml:space="preserve"> </w:t>
      </w:r>
      <w:r w:rsidR="00967F89">
        <w:rPr>
          <w:rFonts w:ascii="Times New Roman" w:hAnsi="Times New Roman" w:cs="Times New Roman"/>
          <w:sz w:val="24"/>
          <w:szCs w:val="24"/>
        </w:rPr>
        <w:t xml:space="preserve">the </w:t>
      </w:r>
      <w:r w:rsidRPr="00774EDB">
        <w:rPr>
          <w:rFonts w:ascii="Times New Roman" w:hAnsi="Times New Roman" w:cs="Times New Roman"/>
          <w:sz w:val="24"/>
          <w:szCs w:val="24"/>
        </w:rPr>
        <w:t xml:space="preserve">doctrinal analysis </w:t>
      </w:r>
      <w:r w:rsidR="00853E30">
        <w:rPr>
          <w:rFonts w:ascii="Times New Roman" w:hAnsi="Times New Roman" w:cs="Times New Roman"/>
          <w:sz w:val="24"/>
          <w:szCs w:val="24"/>
        </w:rPr>
        <w:t>has</w:t>
      </w:r>
      <w:r w:rsidRPr="00774EDB">
        <w:rPr>
          <w:rFonts w:ascii="Times New Roman" w:hAnsi="Times New Roman" w:cs="Times New Roman"/>
          <w:sz w:val="24"/>
          <w:szCs w:val="24"/>
        </w:rPr>
        <w:t xml:space="preserve"> become more apparent in the case studies</w:t>
      </w:r>
      <w:r w:rsidR="00967F89">
        <w:rPr>
          <w:rFonts w:ascii="Times New Roman" w:hAnsi="Times New Roman" w:cs="Times New Roman"/>
          <w:sz w:val="24"/>
          <w:szCs w:val="24"/>
        </w:rPr>
        <w:t xml:space="preserve"> conducted in this research</w:t>
      </w:r>
      <w:r w:rsidRPr="00774EDB">
        <w:rPr>
          <w:rFonts w:ascii="Times New Roman" w:hAnsi="Times New Roman" w:cs="Times New Roman"/>
          <w:sz w:val="24"/>
          <w:szCs w:val="24"/>
        </w:rPr>
        <w:t>.</w:t>
      </w:r>
      <w:r w:rsidR="003A0366">
        <w:rPr>
          <w:rFonts w:ascii="Times New Roman" w:hAnsi="Times New Roman" w:cs="Times New Roman"/>
          <w:sz w:val="24"/>
          <w:szCs w:val="24"/>
        </w:rPr>
        <w:t xml:space="preserve"> </w:t>
      </w:r>
      <w:r w:rsidR="00051DA0">
        <w:rPr>
          <w:rFonts w:ascii="Times New Roman" w:hAnsi="Times New Roman" w:cs="Times New Roman"/>
          <w:sz w:val="24"/>
          <w:szCs w:val="24"/>
        </w:rPr>
        <w:t xml:space="preserve">While the EU law does not have a holistic perspective and all-encompassing framework, gatekeeping activities being </w:t>
      </w:r>
      <w:r w:rsidR="00853E30">
        <w:rPr>
          <w:rFonts w:ascii="Times New Roman" w:hAnsi="Times New Roman" w:cs="Times New Roman"/>
          <w:sz w:val="24"/>
          <w:szCs w:val="24"/>
        </w:rPr>
        <w:t>addressed</w:t>
      </w:r>
      <w:r w:rsidR="00051DA0">
        <w:rPr>
          <w:rFonts w:ascii="Times New Roman" w:hAnsi="Times New Roman" w:cs="Times New Roman"/>
          <w:sz w:val="24"/>
          <w:szCs w:val="24"/>
        </w:rPr>
        <w:t xml:space="preserve"> to a limited extent e.g. </w:t>
      </w:r>
      <w:r w:rsidR="00DD15FB">
        <w:rPr>
          <w:rFonts w:ascii="Times New Roman" w:hAnsi="Times New Roman" w:cs="Times New Roman"/>
          <w:sz w:val="24"/>
          <w:szCs w:val="24"/>
        </w:rPr>
        <w:t>under</w:t>
      </w:r>
      <w:r w:rsidR="00051DA0">
        <w:rPr>
          <w:rFonts w:ascii="Times New Roman" w:hAnsi="Times New Roman" w:cs="Times New Roman"/>
          <w:sz w:val="24"/>
          <w:szCs w:val="24"/>
        </w:rPr>
        <w:t xml:space="preserve"> net neutrality </w:t>
      </w:r>
      <w:r w:rsidR="00DD15FB">
        <w:rPr>
          <w:rFonts w:ascii="Times New Roman" w:hAnsi="Times New Roman" w:cs="Times New Roman"/>
          <w:sz w:val="24"/>
          <w:szCs w:val="24"/>
        </w:rPr>
        <w:t xml:space="preserve">and CAS regulations, </w:t>
      </w:r>
      <w:r w:rsidR="00051DA0">
        <w:rPr>
          <w:rFonts w:ascii="Times New Roman" w:hAnsi="Times New Roman" w:cs="Times New Roman"/>
          <w:sz w:val="24"/>
          <w:szCs w:val="24"/>
        </w:rPr>
        <w:t xml:space="preserve">also needs to be </w:t>
      </w:r>
      <w:r w:rsidR="00B615F0">
        <w:rPr>
          <w:rFonts w:ascii="Times New Roman" w:hAnsi="Times New Roman" w:cs="Times New Roman"/>
          <w:sz w:val="24"/>
          <w:szCs w:val="24"/>
        </w:rPr>
        <w:t xml:space="preserve">stressed, as </w:t>
      </w:r>
      <w:r w:rsidR="00DD15FB">
        <w:rPr>
          <w:rFonts w:ascii="Times New Roman" w:hAnsi="Times New Roman" w:cs="Times New Roman"/>
          <w:sz w:val="24"/>
          <w:szCs w:val="24"/>
        </w:rPr>
        <w:t>elaborated</w:t>
      </w:r>
      <w:r w:rsidR="00B615F0">
        <w:rPr>
          <w:rFonts w:ascii="Times New Roman" w:hAnsi="Times New Roman" w:cs="Times New Roman"/>
          <w:sz w:val="24"/>
          <w:szCs w:val="24"/>
        </w:rPr>
        <w:t xml:space="preserve"> while examining the ECRF</w:t>
      </w:r>
      <w:r w:rsidR="00051DA0">
        <w:rPr>
          <w:rFonts w:ascii="Times New Roman" w:hAnsi="Times New Roman" w:cs="Times New Roman"/>
          <w:sz w:val="24"/>
          <w:szCs w:val="24"/>
        </w:rPr>
        <w:t xml:space="preserve">. </w:t>
      </w:r>
      <w:r w:rsidR="00B615F0">
        <w:rPr>
          <w:rFonts w:ascii="Times New Roman" w:hAnsi="Times New Roman" w:cs="Times New Roman"/>
          <w:sz w:val="24"/>
          <w:szCs w:val="24"/>
        </w:rPr>
        <w:t xml:space="preserve">Following </w:t>
      </w:r>
      <w:r w:rsidR="00DD15FB">
        <w:rPr>
          <w:rFonts w:ascii="Times New Roman" w:hAnsi="Times New Roman" w:cs="Times New Roman"/>
          <w:sz w:val="24"/>
          <w:szCs w:val="24"/>
        </w:rPr>
        <w:t xml:space="preserve">up on </w:t>
      </w:r>
      <w:r w:rsidR="00B615F0">
        <w:rPr>
          <w:rFonts w:ascii="Times New Roman" w:hAnsi="Times New Roman" w:cs="Times New Roman"/>
          <w:sz w:val="24"/>
          <w:szCs w:val="24"/>
        </w:rPr>
        <w:t>this</w:t>
      </w:r>
      <w:r w:rsidR="00DD15FB">
        <w:rPr>
          <w:rFonts w:ascii="Times New Roman" w:hAnsi="Times New Roman" w:cs="Times New Roman"/>
          <w:sz w:val="24"/>
          <w:szCs w:val="24"/>
        </w:rPr>
        <w:t xml:space="preserve"> analysis</w:t>
      </w:r>
      <w:r w:rsidR="00B615F0">
        <w:rPr>
          <w:rFonts w:ascii="Times New Roman" w:hAnsi="Times New Roman" w:cs="Times New Roman"/>
          <w:sz w:val="24"/>
          <w:szCs w:val="24"/>
        </w:rPr>
        <w:t>, m</w:t>
      </w:r>
      <w:r w:rsidR="003A0366">
        <w:rPr>
          <w:rFonts w:ascii="Times New Roman" w:hAnsi="Times New Roman" w:cs="Times New Roman"/>
          <w:sz w:val="24"/>
          <w:szCs w:val="24"/>
        </w:rPr>
        <w:t>ultiple case studies</w:t>
      </w:r>
      <w:r w:rsidR="00D500FE" w:rsidRPr="00774EDB">
        <w:rPr>
          <w:rFonts w:ascii="Times New Roman" w:hAnsi="Times New Roman" w:cs="Times New Roman"/>
          <w:sz w:val="24"/>
          <w:szCs w:val="24"/>
        </w:rPr>
        <w:t xml:space="preserve"> </w:t>
      </w:r>
      <w:r w:rsidR="003A0366">
        <w:rPr>
          <w:rFonts w:ascii="Times New Roman" w:hAnsi="Times New Roman" w:cs="Times New Roman"/>
          <w:sz w:val="24"/>
          <w:szCs w:val="24"/>
        </w:rPr>
        <w:t xml:space="preserve">have </w:t>
      </w:r>
      <w:r w:rsidR="00DD15FB">
        <w:rPr>
          <w:rFonts w:ascii="Times New Roman" w:hAnsi="Times New Roman" w:cs="Times New Roman"/>
          <w:sz w:val="24"/>
          <w:szCs w:val="24"/>
        </w:rPr>
        <w:t>revea</w:t>
      </w:r>
      <w:r w:rsidR="003A0366">
        <w:rPr>
          <w:rFonts w:ascii="Times New Roman" w:hAnsi="Times New Roman" w:cs="Times New Roman"/>
          <w:sz w:val="24"/>
          <w:szCs w:val="24"/>
        </w:rPr>
        <w:t>led</w:t>
      </w:r>
      <w:r w:rsidR="00D500FE" w:rsidRPr="00774EDB">
        <w:rPr>
          <w:rFonts w:ascii="Times New Roman" w:hAnsi="Times New Roman" w:cs="Times New Roman"/>
          <w:sz w:val="24"/>
          <w:szCs w:val="24"/>
        </w:rPr>
        <w:t xml:space="preserve"> that cross-layer interrelationships, whether fraught with walled gardens or </w:t>
      </w:r>
      <w:r w:rsidR="00DD15FB">
        <w:rPr>
          <w:rFonts w:ascii="Times New Roman" w:hAnsi="Times New Roman" w:cs="Times New Roman"/>
          <w:sz w:val="24"/>
          <w:szCs w:val="24"/>
        </w:rPr>
        <w:t>not</w:t>
      </w:r>
      <w:r w:rsidR="00D500FE" w:rsidRPr="00774EDB">
        <w:rPr>
          <w:rFonts w:ascii="Times New Roman" w:hAnsi="Times New Roman" w:cs="Times New Roman"/>
          <w:sz w:val="24"/>
          <w:szCs w:val="24"/>
        </w:rPr>
        <w:t xml:space="preserve">, </w:t>
      </w:r>
      <w:r w:rsidR="001579F4">
        <w:rPr>
          <w:rFonts w:ascii="Times New Roman" w:hAnsi="Times New Roman" w:cs="Times New Roman"/>
          <w:sz w:val="24"/>
          <w:szCs w:val="24"/>
        </w:rPr>
        <w:t>w</w:t>
      </w:r>
      <w:r w:rsidR="00D500FE" w:rsidRPr="00774EDB">
        <w:rPr>
          <w:rFonts w:ascii="Times New Roman" w:hAnsi="Times New Roman" w:cs="Times New Roman"/>
          <w:sz w:val="24"/>
          <w:szCs w:val="24"/>
        </w:rPr>
        <w:t xml:space="preserve">ould </w:t>
      </w:r>
      <w:r w:rsidR="001579F4">
        <w:rPr>
          <w:rFonts w:ascii="Times New Roman" w:hAnsi="Times New Roman" w:cs="Times New Roman"/>
          <w:sz w:val="24"/>
          <w:szCs w:val="24"/>
        </w:rPr>
        <w:t xml:space="preserve">ideally be </w:t>
      </w:r>
      <w:r w:rsidR="00D500FE" w:rsidRPr="00774EDB">
        <w:rPr>
          <w:rFonts w:ascii="Times New Roman" w:hAnsi="Times New Roman" w:cs="Times New Roman"/>
          <w:sz w:val="24"/>
          <w:szCs w:val="24"/>
        </w:rPr>
        <w:t>treated by a layer</w:t>
      </w:r>
      <w:r w:rsidR="00051DA0">
        <w:rPr>
          <w:rFonts w:ascii="Times New Roman" w:hAnsi="Times New Roman" w:cs="Times New Roman"/>
          <w:sz w:val="24"/>
          <w:szCs w:val="24"/>
        </w:rPr>
        <w:t>ing</w:t>
      </w:r>
      <w:r w:rsidR="00D500FE" w:rsidRPr="00774EDB">
        <w:rPr>
          <w:rFonts w:ascii="Times New Roman" w:hAnsi="Times New Roman" w:cs="Times New Roman"/>
          <w:sz w:val="24"/>
          <w:szCs w:val="24"/>
        </w:rPr>
        <w:t xml:space="preserve">-based </w:t>
      </w:r>
      <w:r w:rsidR="000609C2" w:rsidRPr="00774EDB">
        <w:rPr>
          <w:rFonts w:ascii="Times New Roman" w:hAnsi="Times New Roman" w:cs="Times New Roman"/>
          <w:sz w:val="24"/>
          <w:szCs w:val="24"/>
        </w:rPr>
        <w:t xml:space="preserve">ex ante </w:t>
      </w:r>
      <w:r w:rsidR="00864D4F" w:rsidRPr="00774EDB">
        <w:rPr>
          <w:rFonts w:ascii="Times New Roman" w:hAnsi="Times New Roman" w:cs="Times New Roman"/>
          <w:sz w:val="24"/>
          <w:szCs w:val="24"/>
        </w:rPr>
        <w:t xml:space="preserve">regulatory </w:t>
      </w:r>
      <w:r w:rsidR="00D500FE" w:rsidRPr="00774EDB">
        <w:rPr>
          <w:rFonts w:ascii="Times New Roman" w:hAnsi="Times New Roman" w:cs="Times New Roman"/>
          <w:sz w:val="24"/>
          <w:szCs w:val="24"/>
        </w:rPr>
        <w:t xml:space="preserve">policy. </w:t>
      </w:r>
      <w:r w:rsidR="00B615F0">
        <w:rPr>
          <w:rFonts w:ascii="Times New Roman" w:hAnsi="Times New Roman" w:cs="Times New Roman"/>
          <w:sz w:val="24"/>
          <w:szCs w:val="24"/>
        </w:rPr>
        <w:t xml:space="preserve">In other words, layering approach </w:t>
      </w:r>
      <w:r w:rsidR="00853E30">
        <w:rPr>
          <w:rFonts w:ascii="Times New Roman" w:hAnsi="Times New Roman" w:cs="Times New Roman"/>
          <w:sz w:val="24"/>
          <w:szCs w:val="24"/>
        </w:rPr>
        <w:t>h</w:t>
      </w:r>
      <w:r w:rsidR="00B615F0">
        <w:rPr>
          <w:rFonts w:ascii="Times New Roman" w:hAnsi="Times New Roman" w:cs="Times New Roman"/>
          <w:sz w:val="24"/>
          <w:szCs w:val="24"/>
        </w:rPr>
        <w:t xml:space="preserve">as </w:t>
      </w:r>
      <w:r w:rsidR="00853E30">
        <w:rPr>
          <w:rFonts w:ascii="Times New Roman" w:hAnsi="Times New Roman" w:cs="Times New Roman"/>
          <w:sz w:val="24"/>
          <w:szCs w:val="24"/>
        </w:rPr>
        <w:t xml:space="preserve">been </w:t>
      </w:r>
      <w:r w:rsidR="00B615F0">
        <w:rPr>
          <w:rFonts w:ascii="Times New Roman" w:hAnsi="Times New Roman" w:cs="Times New Roman"/>
          <w:sz w:val="24"/>
          <w:szCs w:val="24"/>
        </w:rPr>
        <w:t xml:space="preserve">found to offer the needed holisticness and </w:t>
      </w:r>
      <w:r w:rsidR="00B615F0">
        <w:rPr>
          <w:rFonts w:ascii="Times New Roman" w:hAnsi="Times New Roman" w:cs="Times New Roman"/>
          <w:sz w:val="24"/>
          <w:szCs w:val="24"/>
        </w:rPr>
        <w:lastRenderedPageBreak/>
        <w:t xml:space="preserve">flexibility </w:t>
      </w:r>
      <w:r w:rsidR="00DC244A">
        <w:rPr>
          <w:rFonts w:ascii="Times New Roman" w:hAnsi="Times New Roman" w:cs="Times New Roman"/>
          <w:sz w:val="24"/>
          <w:szCs w:val="24"/>
        </w:rPr>
        <w:t xml:space="preserve">through which </w:t>
      </w:r>
      <w:r w:rsidR="00B615F0">
        <w:rPr>
          <w:rFonts w:ascii="Times New Roman" w:hAnsi="Times New Roman" w:cs="Times New Roman"/>
          <w:sz w:val="24"/>
          <w:szCs w:val="24"/>
        </w:rPr>
        <w:t xml:space="preserve">responsive tools </w:t>
      </w:r>
      <w:r w:rsidR="00DC244A">
        <w:rPr>
          <w:rFonts w:ascii="Times New Roman" w:hAnsi="Times New Roman" w:cs="Times New Roman"/>
          <w:sz w:val="24"/>
          <w:szCs w:val="24"/>
        </w:rPr>
        <w:t>could be designed against</w:t>
      </w:r>
      <w:r w:rsidR="00B615F0">
        <w:rPr>
          <w:rFonts w:ascii="Times New Roman" w:hAnsi="Times New Roman" w:cs="Times New Roman"/>
          <w:sz w:val="24"/>
          <w:szCs w:val="24"/>
        </w:rPr>
        <w:t xml:space="preserve"> the </w:t>
      </w:r>
      <w:r w:rsidR="00853E30">
        <w:rPr>
          <w:rFonts w:ascii="Times New Roman" w:hAnsi="Times New Roman" w:cs="Times New Roman"/>
          <w:sz w:val="24"/>
          <w:szCs w:val="24"/>
        </w:rPr>
        <w:t>major</w:t>
      </w:r>
      <w:r w:rsidR="00B615F0">
        <w:rPr>
          <w:rFonts w:ascii="Times New Roman" w:hAnsi="Times New Roman" w:cs="Times New Roman"/>
          <w:sz w:val="24"/>
          <w:szCs w:val="24"/>
        </w:rPr>
        <w:t xml:space="preserve"> </w:t>
      </w:r>
      <w:r w:rsidR="00853E30">
        <w:rPr>
          <w:rFonts w:ascii="Times New Roman" w:hAnsi="Times New Roman" w:cs="Times New Roman"/>
          <w:sz w:val="24"/>
          <w:szCs w:val="24"/>
        </w:rPr>
        <w:t xml:space="preserve">concerns </w:t>
      </w:r>
      <w:r w:rsidR="00DC244A">
        <w:rPr>
          <w:rFonts w:ascii="Times New Roman" w:hAnsi="Times New Roman" w:cs="Times New Roman"/>
          <w:sz w:val="24"/>
          <w:szCs w:val="24"/>
        </w:rPr>
        <w:t xml:space="preserve">and the </w:t>
      </w:r>
      <w:r w:rsidR="002014BD">
        <w:rPr>
          <w:rFonts w:ascii="Times New Roman" w:hAnsi="Times New Roman" w:cs="Times New Roman"/>
          <w:sz w:val="24"/>
          <w:szCs w:val="24"/>
        </w:rPr>
        <w:t>surround</w:t>
      </w:r>
      <w:r w:rsidR="00DC244A">
        <w:rPr>
          <w:rFonts w:ascii="Times New Roman" w:hAnsi="Times New Roman" w:cs="Times New Roman"/>
          <w:sz w:val="24"/>
          <w:szCs w:val="24"/>
        </w:rPr>
        <w:t>ing gatekeeping activities</w:t>
      </w:r>
      <w:r w:rsidR="00B615F0">
        <w:rPr>
          <w:rFonts w:ascii="Times New Roman" w:hAnsi="Times New Roman" w:cs="Times New Roman"/>
          <w:sz w:val="24"/>
          <w:szCs w:val="24"/>
        </w:rPr>
        <w:t>.</w:t>
      </w:r>
      <w:r w:rsidR="00D500FE" w:rsidRPr="00774EDB">
        <w:rPr>
          <w:rFonts w:ascii="Times New Roman" w:hAnsi="Times New Roman" w:cs="Times New Roman"/>
          <w:sz w:val="24"/>
          <w:szCs w:val="24"/>
        </w:rPr>
        <w:t xml:space="preserve">  </w:t>
      </w:r>
    </w:p>
    <w:p w14:paraId="0C9853AA" w14:textId="14C22EAE" w:rsidR="00162E6E" w:rsidRPr="00774EDB" w:rsidRDefault="00162E6E" w:rsidP="00A70042">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Against this background, the layers of the IP stack, from the bottom to the top, are revisited, </w:t>
      </w:r>
      <w:r w:rsidR="00494ED1">
        <w:rPr>
          <w:rFonts w:ascii="Times New Roman" w:hAnsi="Times New Roman" w:cs="Times New Roman"/>
          <w:sz w:val="24"/>
          <w:szCs w:val="24"/>
        </w:rPr>
        <w:t>elaborat</w:t>
      </w:r>
      <w:r w:rsidR="00494ED1" w:rsidRPr="00774EDB">
        <w:rPr>
          <w:rFonts w:ascii="Times New Roman" w:hAnsi="Times New Roman" w:cs="Times New Roman"/>
          <w:sz w:val="24"/>
          <w:szCs w:val="24"/>
        </w:rPr>
        <w:t xml:space="preserve">ed </w:t>
      </w:r>
      <w:r w:rsidRPr="00774EDB">
        <w:rPr>
          <w:rFonts w:ascii="Times New Roman" w:hAnsi="Times New Roman" w:cs="Times New Roman"/>
          <w:sz w:val="24"/>
          <w:szCs w:val="24"/>
        </w:rPr>
        <w:t xml:space="preserve">and then </w:t>
      </w:r>
      <w:r w:rsidR="004760AA">
        <w:rPr>
          <w:rFonts w:ascii="Times New Roman" w:hAnsi="Times New Roman" w:cs="Times New Roman"/>
          <w:sz w:val="24"/>
          <w:szCs w:val="24"/>
        </w:rPr>
        <w:t>adapt</w:t>
      </w:r>
      <w:r w:rsidRPr="00774EDB">
        <w:rPr>
          <w:rFonts w:ascii="Times New Roman" w:hAnsi="Times New Roman" w:cs="Times New Roman"/>
          <w:sz w:val="24"/>
          <w:szCs w:val="24"/>
        </w:rPr>
        <w:t>ed into a</w:t>
      </w:r>
      <w:r w:rsidR="00D743FE" w:rsidRPr="00774EDB">
        <w:rPr>
          <w:rFonts w:ascii="Times New Roman" w:hAnsi="Times New Roman" w:cs="Times New Roman"/>
          <w:sz w:val="24"/>
          <w:szCs w:val="24"/>
        </w:rPr>
        <w:t xml:space="preserve">n ex ante </w:t>
      </w:r>
      <w:r w:rsidRPr="00774EDB">
        <w:rPr>
          <w:rFonts w:ascii="Times New Roman" w:hAnsi="Times New Roman" w:cs="Times New Roman"/>
          <w:sz w:val="24"/>
          <w:szCs w:val="24"/>
        </w:rPr>
        <w:t xml:space="preserve">model </w:t>
      </w:r>
      <w:r w:rsidR="00D743FE" w:rsidRPr="00774EDB">
        <w:rPr>
          <w:rFonts w:ascii="Times New Roman" w:hAnsi="Times New Roman" w:cs="Times New Roman"/>
          <w:sz w:val="24"/>
          <w:szCs w:val="24"/>
        </w:rPr>
        <w:t>called ‘layered regulatory model’</w:t>
      </w:r>
      <w:r w:rsidRPr="00774EDB">
        <w:rPr>
          <w:rFonts w:ascii="Times New Roman" w:hAnsi="Times New Roman" w:cs="Times New Roman"/>
          <w:sz w:val="24"/>
          <w:szCs w:val="24"/>
        </w:rPr>
        <w:t xml:space="preserve">. </w:t>
      </w:r>
      <w:r w:rsidR="00A36497">
        <w:rPr>
          <w:rFonts w:ascii="Times New Roman" w:hAnsi="Times New Roman" w:cs="Times New Roman"/>
          <w:sz w:val="24"/>
          <w:szCs w:val="24"/>
        </w:rPr>
        <w:t xml:space="preserve">This model proposal constitutes the most remarkable </w:t>
      </w:r>
      <w:r w:rsidR="004760AA">
        <w:rPr>
          <w:rFonts w:ascii="Times New Roman" w:hAnsi="Times New Roman" w:cs="Times New Roman"/>
          <w:sz w:val="24"/>
          <w:szCs w:val="24"/>
        </w:rPr>
        <w:t>‘</w:t>
      </w:r>
      <w:r w:rsidR="00A36497">
        <w:rPr>
          <w:rFonts w:ascii="Times New Roman" w:hAnsi="Times New Roman" w:cs="Times New Roman"/>
          <w:sz w:val="24"/>
          <w:szCs w:val="24"/>
        </w:rPr>
        <w:t>contribution to knowledge</w:t>
      </w:r>
      <w:r w:rsidR="004760AA">
        <w:rPr>
          <w:rFonts w:ascii="Times New Roman" w:hAnsi="Times New Roman" w:cs="Times New Roman"/>
          <w:sz w:val="24"/>
          <w:szCs w:val="24"/>
        </w:rPr>
        <w:t>’</w:t>
      </w:r>
      <w:r w:rsidR="00A36497">
        <w:rPr>
          <w:rFonts w:ascii="Times New Roman" w:hAnsi="Times New Roman" w:cs="Times New Roman"/>
          <w:sz w:val="24"/>
          <w:szCs w:val="24"/>
        </w:rPr>
        <w:t xml:space="preserve"> of this thesis. </w:t>
      </w:r>
      <w:r w:rsidRPr="00774EDB">
        <w:rPr>
          <w:rFonts w:ascii="Times New Roman" w:hAnsi="Times New Roman" w:cs="Times New Roman"/>
          <w:sz w:val="24"/>
          <w:szCs w:val="24"/>
        </w:rPr>
        <w:t>According to th</w:t>
      </w:r>
      <w:r w:rsidR="00D743FE" w:rsidRPr="00774EDB">
        <w:rPr>
          <w:rFonts w:ascii="Times New Roman" w:hAnsi="Times New Roman" w:cs="Times New Roman"/>
          <w:sz w:val="24"/>
          <w:szCs w:val="24"/>
        </w:rPr>
        <w:t>is</w:t>
      </w:r>
      <w:r w:rsidRPr="00774EDB">
        <w:rPr>
          <w:rFonts w:ascii="Times New Roman" w:hAnsi="Times New Roman" w:cs="Times New Roman"/>
          <w:sz w:val="24"/>
          <w:szCs w:val="24"/>
        </w:rPr>
        <w:t xml:space="preserve"> proposed model, the ‘access’, ‘middleware’, ‘application’ and ‘content’ layers </w:t>
      </w:r>
      <w:r w:rsidR="0081022A">
        <w:rPr>
          <w:rFonts w:ascii="Times New Roman" w:hAnsi="Times New Roman" w:cs="Times New Roman"/>
          <w:sz w:val="24"/>
          <w:szCs w:val="24"/>
        </w:rPr>
        <w:t>build up</w:t>
      </w:r>
      <w:r w:rsidR="0081022A"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the layout, which </w:t>
      </w:r>
      <w:r w:rsidR="0081022A">
        <w:rPr>
          <w:rFonts w:ascii="Times New Roman" w:hAnsi="Times New Roman" w:cs="Times New Roman"/>
          <w:sz w:val="24"/>
          <w:szCs w:val="24"/>
        </w:rPr>
        <w:t>mean</w:t>
      </w:r>
      <w:r w:rsidR="00E3288C">
        <w:rPr>
          <w:rFonts w:ascii="Times New Roman" w:hAnsi="Times New Roman" w:cs="Times New Roman"/>
          <w:sz w:val="24"/>
          <w:szCs w:val="24"/>
        </w:rPr>
        <w:t>s</w:t>
      </w:r>
      <w:r w:rsidR="0081022A"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the </w:t>
      </w:r>
      <w:r w:rsidR="0081022A">
        <w:rPr>
          <w:rFonts w:ascii="Times New Roman" w:hAnsi="Times New Roman" w:cs="Times New Roman"/>
          <w:sz w:val="24"/>
          <w:szCs w:val="24"/>
        </w:rPr>
        <w:t>regulatory field</w:t>
      </w:r>
      <w:r w:rsidRPr="00774EDB">
        <w:rPr>
          <w:rFonts w:ascii="Times New Roman" w:hAnsi="Times New Roman" w:cs="Times New Roman"/>
          <w:sz w:val="24"/>
          <w:szCs w:val="24"/>
        </w:rPr>
        <w:t xml:space="preserve"> for the </w:t>
      </w:r>
      <w:r w:rsidR="00D743FE" w:rsidRPr="00774EDB">
        <w:rPr>
          <w:rFonts w:ascii="Times New Roman" w:hAnsi="Times New Roman" w:cs="Times New Roman"/>
          <w:sz w:val="24"/>
          <w:szCs w:val="24"/>
        </w:rPr>
        <w:t xml:space="preserve">technologically-neutral </w:t>
      </w:r>
      <w:r w:rsidRPr="00774EDB">
        <w:rPr>
          <w:rFonts w:ascii="Times New Roman" w:hAnsi="Times New Roman" w:cs="Times New Roman"/>
          <w:sz w:val="24"/>
          <w:szCs w:val="24"/>
        </w:rPr>
        <w:t xml:space="preserve">treatment of interoperability related problems. </w:t>
      </w:r>
      <w:r w:rsidR="0081022A">
        <w:rPr>
          <w:rFonts w:ascii="Times New Roman" w:hAnsi="Times New Roman" w:cs="Times New Roman"/>
          <w:sz w:val="24"/>
          <w:szCs w:val="24"/>
        </w:rPr>
        <w:t>Crucial</w:t>
      </w:r>
      <w:r w:rsidR="0081022A" w:rsidRPr="00774EDB">
        <w:rPr>
          <w:rFonts w:ascii="Times New Roman" w:hAnsi="Times New Roman" w:cs="Times New Roman"/>
          <w:sz w:val="24"/>
          <w:szCs w:val="24"/>
        </w:rPr>
        <w:t>ly</w:t>
      </w:r>
      <w:r w:rsidRPr="00774EDB">
        <w:rPr>
          <w:rFonts w:ascii="Times New Roman" w:hAnsi="Times New Roman" w:cs="Times New Roman"/>
          <w:sz w:val="24"/>
          <w:szCs w:val="24"/>
        </w:rPr>
        <w:t xml:space="preserve">, it is considered that this ‘layered regulatory model’ is fit-for-purpose in dealing with the </w:t>
      </w:r>
      <w:r w:rsidR="00E3288C">
        <w:rPr>
          <w:rFonts w:ascii="Times New Roman" w:hAnsi="Times New Roman" w:cs="Times New Roman"/>
          <w:sz w:val="24"/>
          <w:szCs w:val="24"/>
        </w:rPr>
        <w:t>related</w:t>
      </w:r>
      <w:r w:rsidR="00D743FE" w:rsidRPr="00774EDB">
        <w:rPr>
          <w:rFonts w:ascii="Times New Roman" w:hAnsi="Times New Roman" w:cs="Times New Roman"/>
          <w:sz w:val="24"/>
          <w:szCs w:val="24"/>
        </w:rPr>
        <w:t xml:space="preserve"> </w:t>
      </w:r>
      <w:r w:rsidR="00853E30">
        <w:rPr>
          <w:rFonts w:ascii="Times New Roman" w:hAnsi="Times New Roman" w:cs="Times New Roman"/>
          <w:sz w:val="24"/>
          <w:szCs w:val="24"/>
        </w:rPr>
        <w:t xml:space="preserve">(competition and techno-social) </w:t>
      </w:r>
      <w:r w:rsidR="002014BD">
        <w:rPr>
          <w:rFonts w:ascii="Times New Roman" w:hAnsi="Times New Roman" w:cs="Times New Roman"/>
          <w:sz w:val="24"/>
          <w:szCs w:val="24"/>
        </w:rPr>
        <w:t>concerns</w:t>
      </w:r>
      <w:r w:rsidRPr="00774EDB">
        <w:rPr>
          <w:rFonts w:ascii="Times New Roman" w:hAnsi="Times New Roman" w:cs="Times New Roman"/>
          <w:sz w:val="24"/>
          <w:szCs w:val="24"/>
        </w:rPr>
        <w:t xml:space="preserve">, with a </w:t>
      </w:r>
      <w:r w:rsidR="004760AA" w:rsidRPr="00774EDB">
        <w:rPr>
          <w:rFonts w:ascii="Times New Roman" w:hAnsi="Times New Roman" w:cs="Times New Roman"/>
          <w:sz w:val="24"/>
          <w:szCs w:val="24"/>
        </w:rPr>
        <w:t>holistic</w:t>
      </w:r>
      <w:r w:rsidRPr="00774EDB">
        <w:rPr>
          <w:rFonts w:ascii="Times New Roman" w:hAnsi="Times New Roman" w:cs="Times New Roman"/>
          <w:sz w:val="24"/>
          <w:szCs w:val="24"/>
        </w:rPr>
        <w:t xml:space="preserve"> outlook encompassing both ecosystem and non-ecosystem settings.  </w:t>
      </w:r>
    </w:p>
    <w:p w14:paraId="69B025E3" w14:textId="2A3DDE7D" w:rsidR="000609C2" w:rsidRPr="00774EDB" w:rsidRDefault="0079572F" w:rsidP="00B653B4">
      <w:pPr>
        <w:spacing w:before="360"/>
        <w:jc w:val="both"/>
        <w:rPr>
          <w:rFonts w:ascii="Times New Roman" w:hAnsi="Times New Roman" w:cs="Times New Roman"/>
          <w:sz w:val="24"/>
          <w:szCs w:val="24"/>
        </w:rPr>
      </w:pPr>
      <w:r>
        <w:rPr>
          <w:rFonts w:ascii="Times New Roman" w:hAnsi="Times New Roman" w:cs="Times New Roman"/>
          <w:sz w:val="24"/>
          <w:szCs w:val="24"/>
        </w:rPr>
        <w:t>Based on</w:t>
      </w:r>
      <w:r w:rsidR="00162E6E" w:rsidRPr="00774EDB">
        <w:rPr>
          <w:rFonts w:ascii="Times New Roman" w:hAnsi="Times New Roman" w:cs="Times New Roman"/>
          <w:sz w:val="24"/>
          <w:szCs w:val="24"/>
        </w:rPr>
        <w:t xml:space="preserve"> </w:t>
      </w:r>
      <w:r w:rsidR="00046B2E">
        <w:rPr>
          <w:rFonts w:ascii="Times New Roman" w:hAnsi="Times New Roman" w:cs="Times New Roman"/>
          <w:sz w:val="24"/>
          <w:szCs w:val="24"/>
        </w:rPr>
        <w:t>this</w:t>
      </w:r>
      <w:r w:rsidR="00046B2E" w:rsidRPr="00774EDB">
        <w:rPr>
          <w:rFonts w:ascii="Times New Roman" w:hAnsi="Times New Roman" w:cs="Times New Roman"/>
          <w:sz w:val="24"/>
          <w:szCs w:val="24"/>
        </w:rPr>
        <w:t xml:space="preserve"> </w:t>
      </w:r>
      <w:r w:rsidR="00162E6E" w:rsidRPr="00774EDB">
        <w:rPr>
          <w:rFonts w:ascii="Times New Roman" w:hAnsi="Times New Roman" w:cs="Times New Roman"/>
          <w:sz w:val="24"/>
          <w:szCs w:val="24"/>
        </w:rPr>
        <w:t>layer</w:t>
      </w:r>
      <w:r w:rsidR="000609C2" w:rsidRPr="00774EDB">
        <w:rPr>
          <w:rFonts w:ascii="Times New Roman" w:hAnsi="Times New Roman" w:cs="Times New Roman"/>
          <w:sz w:val="24"/>
          <w:szCs w:val="24"/>
        </w:rPr>
        <w:t>ed</w:t>
      </w:r>
      <w:r w:rsidR="00162E6E" w:rsidRPr="00774EDB">
        <w:rPr>
          <w:rFonts w:ascii="Times New Roman" w:hAnsi="Times New Roman" w:cs="Times New Roman"/>
          <w:sz w:val="24"/>
          <w:szCs w:val="24"/>
        </w:rPr>
        <w:t xml:space="preserve"> </w:t>
      </w:r>
      <w:r w:rsidR="004760AA">
        <w:rPr>
          <w:rFonts w:ascii="Times New Roman" w:hAnsi="Times New Roman" w:cs="Times New Roman"/>
          <w:sz w:val="24"/>
          <w:szCs w:val="24"/>
        </w:rPr>
        <w:t>structure</w:t>
      </w:r>
      <w:r w:rsidR="00162E6E" w:rsidRPr="00774EDB">
        <w:rPr>
          <w:rFonts w:ascii="Times New Roman" w:hAnsi="Times New Roman" w:cs="Times New Roman"/>
          <w:sz w:val="24"/>
          <w:szCs w:val="24"/>
        </w:rPr>
        <w:t xml:space="preserve">, </w:t>
      </w:r>
      <w:r w:rsidR="00CD79DA">
        <w:rPr>
          <w:rFonts w:ascii="Times New Roman" w:hAnsi="Times New Roman" w:cs="Times New Roman"/>
          <w:sz w:val="24"/>
          <w:szCs w:val="24"/>
        </w:rPr>
        <w:t xml:space="preserve">the concept of ‘gatekeeping’ to which attention </w:t>
      </w:r>
      <w:r w:rsidR="000C00CE">
        <w:rPr>
          <w:rFonts w:ascii="Times New Roman" w:hAnsi="Times New Roman" w:cs="Times New Roman"/>
          <w:sz w:val="24"/>
          <w:szCs w:val="24"/>
        </w:rPr>
        <w:t>is</w:t>
      </w:r>
      <w:r w:rsidR="00CD79DA">
        <w:rPr>
          <w:rFonts w:ascii="Times New Roman" w:hAnsi="Times New Roman" w:cs="Times New Roman"/>
          <w:sz w:val="24"/>
          <w:szCs w:val="24"/>
        </w:rPr>
        <w:t xml:space="preserve"> drawn at the outset </w:t>
      </w:r>
      <w:r w:rsidR="004760AA">
        <w:rPr>
          <w:rFonts w:ascii="Times New Roman" w:hAnsi="Times New Roman" w:cs="Times New Roman"/>
          <w:sz w:val="24"/>
          <w:szCs w:val="24"/>
        </w:rPr>
        <w:t xml:space="preserve">morphs into </w:t>
      </w:r>
      <w:r w:rsidR="000C00CE">
        <w:rPr>
          <w:rFonts w:ascii="Times New Roman" w:hAnsi="Times New Roman" w:cs="Times New Roman"/>
          <w:sz w:val="24"/>
          <w:szCs w:val="24"/>
        </w:rPr>
        <w:t xml:space="preserve">a key term </w:t>
      </w:r>
      <w:r w:rsidR="00326EC8">
        <w:rPr>
          <w:rFonts w:ascii="Times New Roman" w:hAnsi="Times New Roman" w:cs="Times New Roman"/>
          <w:sz w:val="24"/>
          <w:szCs w:val="24"/>
        </w:rPr>
        <w:t xml:space="preserve">particularly </w:t>
      </w:r>
      <w:r w:rsidR="004760AA">
        <w:rPr>
          <w:rFonts w:ascii="Times New Roman" w:hAnsi="Times New Roman" w:cs="Times New Roman"/>
          <w:sz w:val="24"/>
          <w:szCs w:val="24"/>
        </w:rPr>
        <w:t>against</w:t>
      </w:r>
      <w:r w:rsidR="000C00CE">
        <w:rPr>
          <w:rFonts w:ascii="Times New Roman" w:hAnsi="Times New Roman" w:cs="Times New Roman"/>
          <w:sz w:val="24"/>
          <w:szCs w:val="24"/>
        </w:rPr>
        <w:t xml:space="preserve"> the </w:t>
      </w:r>
      <w:r w:rsidR="004760AA">
        <w:rPr>
          <w:rFonts w:ascii="Times New Roman" w:hAnsi="Times New Roman" w:cs="Times New Roman"/>
          <w:sz w:val="24"/>
          <w:szCs w:val="24"/>
        </w:rPr>
        <w:t xml:space="preserve">interfaces </w:t>
      </w:r>
      <w:r w:rsidR="006D2F95">
        <w:rPr>
          <w:rFonts w:ascii="Times New Roman" w:hAnsi="Times New Roman" w:cs="Times New Roman"/>
          <w:sz w:val="24"/>
          <w:szCs w:val="24"/>
        </w:rPr>
        <w:t xml:space="preserve">between the layers </w:t>
      </w:r>
      <w:r w:rsidR="004760AA">
        <w:rPr>
          <w:rFonts w:ascii="Times New Roman" w:hAnsi="Times New Roman" w:cs="Times New Roman"/>
          <w:sz w:val="24"/>
          <w:szCs w:val="24"/>
        </w:rPr>
        <w:t xml:space="preserve">that are </w:t>
      </w:r>
      <w:r w:rsidR="007F4DDE">
        <w:rPr>
          <w:rFonts w:ascii="Times New Roman" w:hAnsi="Times New Roman" w:cs="Times New Roman"/>
          <w:sz w:val="24"/>
          <w:szCs w:val="24"/>
        </w:rPr>
        <w:t>exploited to manipulate</w:t>
      </w:r>
      <w:r w:rsidR="004760AA">
        <w:rPr>
          <w:rFonts w:ascii="Times New Roman" w:hAnsi="Times New Roman" w:cs="Times New Roman"/>
          <w:sz w:val="24"/>
          <w:szCs w:val="24"/>
        </w:rPr>
        <w:t xml:space="preserve"> or filter the consumers’ online activities</w:t>
      </w:r>
      <w:r w:rsidR="000C00CE">
        <w:rPr>
          <w:rFonts w:ascii="Times New Roman" w:hAnsi="Times New Roman" w:cs="Times New Roman"/>
          <w:sz w:val="24"/>
          <w:szCs w:val="24"/>
        </w:rPr>
        <w:t xml:space="preserve">. </w:t>
      </w:r>
      <w:r w:rsidR="007F4DDE">
        <w:rPr>
          <w:rFonts w:ascii="Times New Roman" w:hAnsi="Times New Roman" w:cs="Times New Roman"/>
          <w:sz w:val="24"/>
          <w:szCs w:val="24"/>
        </w:rPr>
        <w:t>Given</w:t>
      </w:r>
      <w:r w:rsidR="002C54D6">
        <w:rPr>
          <w:rFonts w:ascii="Times New Roman" w:hAnsi="Times New Roman" w:cs="Times New Roman"/>
          <w:sz w:val="24"/>
          <w:szCs w:val="24"/>
        </w:rPr>
        <w:t xml:space="preserve"> th</w:t>
      </w:r>
      <w:r w:rsidR="007F4DDE">
        <w:rPr>
          <w:rFonts w:ascii="Times New Roman" w:hAnsi="Times New Roman" w:cs="Times New Roman"/>
          <w:sz w:val="24"/>
          <w:szCs w:val="24"/>
        </w:rPr>
        <w:t>e</w:t>
      </w:r>
      <w:r w:rsidR="002C54D6">
        <w:rPr>
          <w:rFonts w:ascii="Times New Roman" w:hAnsi="Times New Roman" w:cs="Times New Roman"/>
          <w:sz w:val="24"/>
          <w:szCs w:val="24"/>
        </w:rPr>
        <w:t xml:space="preserve"> need </w:t>
      </w:r>
      <w:r w:rsidR="005E51D5">
        <w:rPr>
          <w:rFonts w:ascii="Times New Roman" w:hAnsi="Times New Roman" w:cs="Times New Roman"/>
          <w:sz w:val="24"/>
          <w:szCs w:val="24"/>
        </w:rPr>
        <w:t xml:space="preserve">for </w:t>
      </w:r>
      <w:r w:rsidR="005E51D5" w:rsidRPr="00774EDB">
        <w:rPr>
          <w:rFonts w:ascii="Times New Roman" w:hAnsi="Times New Roman" w:cs="Times New Roman"/>
          <w:sz w:val="24"/>
          <w:szCs w:val="24"/>
        </w:rPr>
        <w:t xml:space="preserve">holistic </w:t>
      </w:r>
      <w:r w:rsidR="00326EC8">
        <w:rPr>
          <w:rFonts w:ascii="Times New Roman" w:hAnsi="Times New Roman" w:cs="Times New Roman"/>
          <w:sz w:val="24"/>
          <w:szCs w:val="24"/>
        </w:rPr>
        <w:t xml:space="preserve">and homogenous </w:t>
      </w:r>
      <w:r w:rsidR="005E51D5" w:rsidRPr="00774EDB">
        <w:rPr>
          <w:rFonts w:ascii="Times New Roman" w:hAnsi="Times New Roman" w:cs="Times New Roman"/>
          <w:sz w:val="24"/>
          <w:szCs w:val="24"/>
        </w:rPr>
        <w:t>regulatory treatment</w:t>
      </w:r>
      <w:r w:rsidR="00046B2E">
        <w:rPr>
          <w:rFonts w:ascii="Times New Roman" w:hAnsi="Times New Roman" w:cs="Times New Roman"/>
          <w:sz w:val="24"/>
          <w:szCs w:val="24"/>
        </w:rPr>
        <w:t>, the thesis propos</w:t>
      </w:r>
      <w:r w:rsidR="00326EC8">
        <w:rPr>
          <w:rFonts w:ascii="Times New Roman" w:hAnsi="Times New Roman" w:cs="Times New Roman"/>
          <w:sz w:val="24"/>
          <w:szCs w:val="24"/>
        </w:rPr>
        <w:t>es</w:t>
      </w:r>
      <w:r w:rsidR="00046B2E">
        <w:rPr>
          <w:rFonts w:ascii="Times New Roman" w:hAnsi="Times New Roman" w:cs="Times New Roman"/>
          <w:sz w:val="24"/>
          <w:szCs w:val="24"/>
        </w:rPr>
        <w:t xml:space="preserve"> that layered model be </w:t>
      </w:r>
      <w:r w:rsidR="002014BD">
        <w:rPr>
          <w:rFonts w:ascii="Times New Roman" w:hAnsi="Times New Roman" w:cs="Times New Roman"/>
          <w:sz w:val="24"/>
          <w:szCs w:val="24"/>
        </w:rPr>
        <w:t xml:space="preserve">invigorated </w:t>
      </w:r>
      <w:r w:rsidR="00046B2E">
        <w:rPr>
          <w:rFonts w:ascii="Times New Roman" w:hAnsi="Times New Roman" w:cs="Times New Roman"/>
          <w:sz w:val="24"/>
          <w:szCs w:val="24"/>
        </w:rPr>
        <w:t xml:space="preserve">with </w:t>
      </w:r>
      <w:r w:rsidR="007F4DDE">
        <w:rPr>
          <w:rFonts w:ascii="Times New Roman" w:hAnsi="Times New Roman" w:cs="Times New Roman"/>
          <w:sz w:val="24"/>
          <w:szCs w:val="24"/>
        </w:rPr>
        <w:t>a revit</w:t>
      </w:r>
      <w:r w:rsidR="00326EC8">
        <w:rPr>
          <w:rFonts w:ascii="Times New Roman" w:hAnsi="Times New Roman" w:cs="Times New Roman"/>
          <w:sz w:val="24"/>
          <w:szCs w:val="24"/>
        </w:rPr>
        <w:t>alised</w:t>
      </w:r>
      <w:r w:rsidR="002C54D6">
        <w:rPr>
          <w:rFonts w:ascii="Times New Roman" w:hAnsi="Times New Roman" w:cs="Times New Roman"/>
          <w:sz w:val="24"/>
          <w:szCs w:val="24"/>
        </w:rPr>
        <w:t xml:space="preserve"> </w:t>
      </w:r>
      <w:r w:rsidR="007F4DDE">
        <w:rPr>
          <w:rFonts w:ascii="Times New Roman" w:hAnsi="Times New Roman" w:cs="Times New Roman"/>
          <w:sz w:val="24"/>
          <w:szCs w:val="24"/>
        </w:rPr>
        <w:t>conception</w:t>
      </w:r>
      <w:r w:rsidR="00326EC8">
        <w:rPr>
          <w:rFonts w:ascii="Times New Roman" w:hAnsi="Times New Roman" w:cs="Times New Roman"/>
          <w:sz w:val="24"/>
          <w:szCs w:val="24"/>
        </w:rPr>
        <w:t xml:space="preserve"> </w:t>
      </w:r>
      <w:r w:rsidR="002C54D6">
        <w:rPr>
          <w:rFonts w:ascii="Times New Roman" w:hAnsi="Times New Roman" w:cs="Times New Roman"/>
          <w:sz w:val="24"/>
          <w:szCs w:val="24"/>
        </w:rPr>
        <w:t>of</w:t>
      </w:r>
      <w:r w:rsidR="00046B2E">
        <w:rPr>
          <w:rFonts w:ascii="Times New Roman" w:hAnsi="Times New Roman" w:cs="Times New Roman"/>
          <w:sz w:val="24"/>
          <w:szCs w:val="24"/>
        </w:rPr>
        <w:t xml:space="preserve"> ‘gatekeeping’</w:t>
      </w:r>
      <w:r w:rsidR="007F4DDE">
        <w:rPr>
          <w:rFonts w:ascii="Times New Roman" w:hAnsi="Times New Roman" w:cs="Times New Roman"/>
          <w:sz w:val="24"/>
          <w:szCs w:val="24"/>
        </w:rPr>
        <w:t xml:space="preserve"> by which to comprehend and respond both </w:t>
      </w:r>
      <w:r w:rsidR="00531A22">
        <w:rPr>
          <w:rFonts w:ascii="Times New Roman" w:hAnsi="Times New Roman" w:cs="Times New Roman"/>
          <w:sz w:val="24"/>
          <w:szCs w:val="24"/>
        </w:rPr>
        <w:t>‘</w:t>
      </w:r>
      <w:r w:rsidR="007F4DDE">
        <w:rPr>
          <w:rFonts w:ascii="Times New Roman" w:hAnsi="Times New Roman" w:cs="Times New Roman"/>
          <w:sz w:val="24"/>
          <w:szCs w:val="24"/>
        </w:rPr>
        <w:t>competition</w:t>
      </w:r>
      <w:r w:rsidR="00531A22">
        <w:rPr>
          <w:rFonts w:ascii="Times New Roman" w:hAnsi="Times New Roman" w:cs="Times New Roman"/>
          <w:sz w:val="24"/>
          <w:szCs w:val="24"/>
        </w:rPr>
        <w:t>’</w:t>
      </w:r>
      <w:r w:rsidR="007F4DDE">
        <w:rPr>
          <w:rFonts w:ascii="Times New Roman" w:hAnsi="Times New Roman" w:cs="Times New Roman"/>
          <w:sz w:val="24"/>
          <w:szCs w:val="24"/>
        </w:rPr>
        <w:t xml:space="preserve"> and </w:t>
      </w:r>
      <w:r w:rsidR="00531A22">
        <w:rPr>
          <w:rFonts w:ascii="Times New Roman" w:hAnsi="Times New Roman" w:cs="Times New Roman"/>
          <w:sz w:val="24"/>
          <w:szCs w:val="24"/>
        </w:rPr>
        <w:t>‘</w:t>
      </w:r>
      <w:r w:rsidR="007F4DDE">
        <w:rPr>
          <w:rFonts w:ascii="Times New Roman" w:hAnsi="Times New Roman" w:cs="Times New Roman"/>
          <w:sz w:val="24"/>
          <w:szCs w:val="24"/>
        </w:rPr>
        <w:t>techno-social</w:t>
      </w:r>
      <w:r w:rsidR="00531A22">
        <w:rPr>
          <w:rFonts w:ascii="Times New Roman" w:hAnsi="Times New Roman" w:cs="Times New Roman"/>
          <w:sz w:val="24"/>
          <w:szCs w:val="24"/>
        </w:rPr>
        <w:t>’</w:t>
      </w:r>
      <w:r w:rsidR="007F4DDE">
        <w:rPr>
          <w:rFonts w:ascii="Times New Roman" w:hAnsi="Times New Roman" w:cs="Times New Roman"/>
          <w:sz w:val="24"/>
          <w:szCs w:val="24"/>
        </w:rPr>
        <w:t xml:space="preserve"> concerns</w:t>
      </w:r>
      <w:r w:rsidR="00046B2E">
        <w:rPr>
          <w:rFonts w:ascii="Times New Roman" w:hAnsi="Times New Roman" w:cs="Times New Roman"/>
          <w:sz w:val="24"/>
          <w:szCs w:val="24"/>
        </w:rPr>
        <w:t xml:space="preserve">. </w:t>
      </w:r>
      <w:r w:rsidR="005F5E8F">
        <w:rPr>
          <w:rFonts w:ascii="Times New Roman" w:hAnsi="Times New Roman" w:cs="Times New Roman"/>
          <w:sz w:val="24"/>
          <w:szCs w:val="24"/>
        </w:rPr>
        <w:t xml:space="preserve">That is to say, </w:t>
      </w:r>
      <w:r w:rsidR="00EA10F0">
        <w:rPr>
          <w:rFonts w:ascii="Times New Roman" w:hAnsi="Times New Roman" w:cs="Times New Roman"/>
          <w:sz w:val="24"/>
          <w:szCs w:val="24"/>
        </w:rPr>
        <w:t>‘</w:t>
      </w:r>
      <w:r w:rsidR="000609C2" w:rsidRPr="00774EDB">
        <w:rPr>
          <w:rFonts w:ascii="Times New Roman" w:hAnsi="Times New Roman" w:cs="Times New Roman"/>
          <w:sz w:val="24"/>
          <w:szCs w:val="24"/>
        </w:rPr>
        <w:t>interoperability</w:t>
      </w:r>
      <w:r w:rsidR="00EA10F0">
        <w:rPr>
          <w:rFonts w:ascii="Times New Roman" w:hAnsi="Times New Roman" w:cs="Times New Roman"/>
          <w:sz w:val="24"/>
          <w:szCs w:val="24"/>
        </w:rPr>
        <w:t>’</w:t>
      </w:r>
      <w:r w:rsidR="000609C2" w:rsidRPr="00774EDB">
        <w:rPr>
          <w:rFonts w:ascii="Times New Roman" w:hAnsi="Times New Roman" w:cs="Times New Roman"/>
          <w:sz w:val="24"/>
          <w:szCs w:val="24"/>
        </w:rPr>
        <w:t xml:space="preserve"> </w:t>
      </w:r>
      <w:r w:rsidR="00531A22">
        <w:rPr>
          <w:rFonts w:ascii="Times New Roman" w:hAnsi="Times New Roman" w:cs="Times New Roman"/>
          <w:sz w:val="24"/>
          <w:szCs w:val="24"/>
        </w:rPr>
        <w:t>l</w:t>
      </w:r>
      <w:r w:rsidR="00FA7D14" w:rsidRPr="00774EDB">
        <w:rPr>
          <w:rFonts w:ascii="Times New Roman" w:hAnsi="Times New Roman" w:cs="Times New Roman"/>
          <w:sz w:val="24"/>
          <w:szCs w:val="24"/>
        </w:rPr>
        <w:t xml:space="preserve">ying at the core of such layer interdependencies, should be elaborated with </w:t>
      </w:r>
      <w:r w:rsidR="002014BD">
        <w:rPr>
          <w:rFonts w:ascii="Times New Roman" w:hAnsi="Times New Roman" w:cs="Times New Roman"/>
          <w:sz w:val="24"/>
          <w:szCs w:val="24"/>
        </w:rPr>
        <w:t>the</w:t>
      </w:r>
      <w:r w:rsidR="00FA7D14" w:rsidRPr="00774EDB">
        <w:rPr>
          <w:rFonts w:ascii="Times New Roman" w:hAnsi="Times New Roman" w:cs="Times New Roman"/>
          <w:sz w:val="24"/>
          <w:szCs w:val="24"/>
        </w:rPr>
        <w:t xml:space="preserve"> surrounding </w:t>
      </w:r>
      <w:r w:rsidR="00A16846" w:rsidRPr="00774EDB">
        <w:rPr>
          <w:rFonts w:ascii="Times New Roman" w:hAnsi="Times New Roman" w:cs="Times New Roman"/>
          <w:sz w:val="24"/>
          <w:szCs w:val="24"/>
        </w:rPr>
        <w:t>‘</w:t>
      </w:r>
      <w:r w:rsidR="00FA7D14" w:rsidRPr="00774EDB">
        <w:rPr>
          <w:rFonts w:ascii="Times New Roman" w:hAnsi="Times New Roman" w:cs="Times New Roman"/>
          <w:sz w:val="24"/>
          <w:szCs w:val="24"/>
        </w:rPr>
        <w:t>gatekeeping</w:t>
      </w:r>
      <w:r w:rsidR="00A16846" w:rsidRPr="00774EDB">
        <w:rPr>
          <w:rFonts w:ascii="Times New Roman" w:hAnsi="Times New Roman" w:cs="Times New Roman"/>
          <w:sz w:val="24"/>
          <w:szCs w:val="24"/>
        </w:rPr>
        <w:t>’</w:t>
      </w:r>
      <w:r w:rsidR="00FA7D14" w:rsidRPr="00774EDB">
        <w:rPr>
          <w:rFonts w:ascii="Times New Roman" w:hAnsi="Times New Roman" w:cs="Times New Roman"/>
          <w:sz w:val="24"/>
          <w:szCs w:val="24"/>
        </w:rPr>
        <w:t xml:space="preserve"> </w:t>
      </w:r>
      <w:r w:rsidR="007F4DDE">
        <w:rPr>
          <w:rFonts w:ascii="Times New Roman" w:hAnsi="Times New Roman" w:cs="Times New Roman"/>
          <w:sz w:val="24"/>
          <w:szCs w:val="24"/>
        </w:rPr>
        <w:t>concept</w:t>
      </w:r>
      <w:r w:rsidR="002014BD">
        <w:rPr>
          <w:rFonts w:ascii="Times New Roman" w:hAnsi="Times New Roman" w:cs="Times New Roman"/>
          <w:sz w:val="24"/>
          <w:szCs w:val="24"/>
        </w:rPr>
        <w:t xml:space="preserve"> </w:t>
      </w:r>
      <w:r w:rsidR="007F4DDE">
        <w:rPr>
          <w:rFonts w:ascii="Times New Roman" w:hAnsi="Times New Roman" w:cs="Times New Roman"/>
          <w:sz w:val="24"/>
          <w:szCs w:val="24"/>
        </w:rPr>
        <w:t xml:space="preserve">and related (gatekeeping) activities </w:t>
      </w:r>
      <w:r w:rsidR="002014BD">
        <w:rPr>
          <w:rFonts w:ascii="Times New Roman" w:hAnsi="Times New Roman" w:cs="Times New Roman"/>
          <w:sz w:val="24"/>
          <w:szCs w:val="24"/>
        </w:rPr>
        <w:t xml:space="preserve">that </w:t>
      </w:r>
      <w:r w:rsidR="00326EC8">
        <w:rPr>
          <w:rFonts w:ascii="Times New Roman" w:hAnsi="Times New Roman" w:cs="Times New Roman"/>
          <w:sz w:val="24"/>
          <w:szCs w:val="24"/>
        </w:rPr>
        <w:t>capture</w:t>
      </w:r>
      <w:r w:rsidR="002014BD">
        <w:rPr>
          <w:rFonts w:ascii="Times New Roman" w:hAnsi="Times New Roman" w:cs="Times New Roman"/>
          <w:sz w:val="24"/>
          <w:szCs w:val="24"/>
        </w:rPr>
        <w:t xml:space="preserve"> the underlying concerns on a cumulative ground</w:t>
      </w:r>
      <w:r w:rsidR="004B1E46">
        <w:rPr>
          <w:rFonts w:ascii="Times New Roman" w:hAnsi="Times New Roman" w:cs="Times New Roman"/>
          <w:sz w:val="24"/>
          <w:szCs w:val="24"/>
        </w:rPr>
        <w:t xml:space="preserve">. This </w:t>
      </w:r>
      <w:r w:rsidR="007F4DDE">
        <w:rPr>
          <w:rFonts w:ascii="Times New Roman" w:hAnsi="Times New Roman" w:cs="Times New Roman"/>
          <w:sz w:val="24"/>
          <w:szCs w:val="24"/>
        </w:rPr>
        <w:t>ex</w:t>
      </w:r>
      <w:r w:rsidR="004B1E46">
        <w:rPr>
          <w:rFonts w:ascii="Times New Roman" w:hAnsi="Times New Roman" w:cs="Times New Roman"/>
          <w:sz w:val="24"/>
          <w:szCs w:val="24"/>
        </w:rPr>
        <w:t>pos</w:t>
      </w:r>
      <w:r w:rsidR="00EA10F0">
        <w:rPr>
          <w:rFonts w:ascii="Times New Roman" w:hAnsi="Times New Roman" w:cs="Times New Roman"/>
          <w:sz w:val="24"/>
          <w:szCs w:val="24"/>
        </w:rPr>
        <w:t xml:space="preserve">ition </w:t>
      </w:r>
      <w:r w:rsidR="007F4DDE">
        <w:rPr>
          <w:rFonts w:ascii="Times New Roman" w:hAnsi="Times New Roman" w:cs="Times New Roman"/>
          <w:sz w:val="24"/>
          <w:szCs w:val="24"/>
        </w:rPr>
        <w:t xml:space="preserve">based </w:t>
      </w:r>
      <w:r w:rsidR="00EA10F0">
        <w:rPr>
          <w:rFonts w:ascii="Times New Roman" w:hAnsi="Times New Roman" w:cs="Times New Roman"/>
          <w:sz w:val="24"/>
          <w:szCs w:val="24"/>
        </w:rPr>
        <w:t xml:space="preserve">on </w:t>
      </w:r>
      <w:r w:rsidR="007F4DDE">
        <w:rPr>
          <w:rFonts w:ascii="Times New Roman" w:hAnsi="Times New Roman" w:cs="Times New Roman"/>
          <w:sz w:val="24"/>
          <w:szCs w:val="24"/>
        </w:rPr>
        <w:t>the</w:t>
      </w:r>
      <w:r w:rsidR="00EA10F0">
        <w:rPr>
          <w:rFonts w:ascii="Times New Roman" w:hAnsi="Times New Roman" w:cs="Times New Roman"/>
          <w:sz w:val="24"/>
          <w:szCs w:val="24"/>
        </w:rPr>
        <w:t xml:space="preserve"> layering approach</w:t>
      </w:r>
      <w:r w:rsidR="004B1E46">
        <w:rPr>
          <w:rFonts w:ascii="Times New Roman" w:hAnsi="Times New Roman" w:cs="Times New Roman"/>
          <w:sz w:val="24"/>
          <w:szCs w:val="24"/>
        </w:rPr>
        <w:t xml:space="preserve"> constitutes another major </w:t>
      </w:r>
      <w:r w:rsidR="008F45CD">
        <w:rPr>
          <w:rFonts w:ascii="Times New Roman" w:hAnsi="Times New Roman" w:cs="Times New Roman"/>
          <w:sz w:val="24"/>
          <w:szCs w:val="24"/>
        </w:rPr>
        <w:t>‘</w:t>
      </w:r>
      <w:r w:rsidR="004B1E46">
        <w:rPr>
          <w:rFonts w:ascii="Times New Roman" w:hAnsi="Times New Roman" w:cs="Times New Roman"/>
          <w:sz w:val="24"/>
          <w:szCs w:val="24"/>
        </w:rPr>
        <w:t>contribution to knowledge</w:t>
      </w:r>
      <w:r w:rsidR="008F45CD">
        <w:rPr>
          <w:rFonts w:ascii="Times New Roman" w:hAnsi="Times New Roman" w:cs="Times New Roman"/>
          <w:sz w:val="24"/>
          <w:szCs w:val="24"/>
        </w:rPr>
        <w:t>’</w:t>
      </w:r>
      <w:r w:rsidR="004B1E46">
        <w:rPr>
          <w:rFonts w:ascii="Times New Roman" w:hAnsi="Times New Roman" w:cs="Times New Roman"/>
          <w:sz w:val="24"/>
          <w:szCs w:val="24"/>
        </w:rPr>
        <w:t xml:space="preserve"> of this thesis.</w:t>
      </w:r>
      <w:r w:rsidR="00FA7D14" w:rsidRPr="00774EDB">
        <w:rPr>
          <w:rFonts w:ascii="Times New Roman" w:hAnsi="Times New Roman" w:cs="Times New Roman"/>
          <w:sz w:val="24"/>
          <w:szCs w:val="24"/>
        </w:rPr>
        <w:t xml:space="preserve">  </w:t>
      </w:r>
    </w:p>
    <w:p w14:paraId="15C4A611" w14:textId="2436BEC6" w:rsidR="00162E6E" w:rsidRPr="00774EDB" w:rsidRDefault="00EA10F0" w:rsidP="00A70042">
      <w:pPr>
        <w:spacing w:before="360"/>
        <w:jc w:val="both"/>
        <w:rPr>
          <w:rFonts w:ascii="Times New Roman" w:hAnsi="Times New Roman" w:cs="Times New Roman"/>
          <w:sz w:val="24"/>
          <w:szCs w:val="24"/>
        </w:rPr>
      </w:pPr>
      <w:r>
        <w:rPr>
          <w:rFonts w:ascii="Times New Roman" w:hAnsi="Times New Roman" w:cs="Times New Roman"/>
          <w:sz w:val="24"/>
          <w:szCs w:val="24"/>
        </w:rPr>
        <w:lastRenderedPageBreak/>
        <w:t xml:space="preserve">From this </w:t>
      </w:r>
      <w:r w:rsidR="008F45CD">
        <w:rPr>
          <w:rFonts w:ascii="Times New Roman" w:hAnsi="Times New Roman" w:cs="Times New Roman"/>
          <w:sz w:val="24"/>
          <w:szCs w:val="24"/>
        </w:rPr>
        <w:t>point of view</w:t>
      </w:r>
      <w:r w:rsidR="00162E6E" w:rsidRPr="00774EDB">
        <w:rPr>
          <w:rFonts w:ascii="Times New Roman" w:hAnsi="Times New Roman" w:cs="Times New Roman"/>
          <w:sz w:val="24"/>
          <w:szCs w:val="24"/>
        </w:rPr>
        <w:t xml:space="preserve">, the concept of ‘gatekeeping’ is </w:t>
      </w:r>
      <w:r w:rsidR="008F45CD">
        <w:rPr>
          <w:rFonts w:ascii="Times New Roman" w:hAnsi="Times New Roman" w:cs="Times New Roman"/>
          <w:sz w:val="24"/>
          <w:szCs w:val="24"/>
        </w:rPr>
        <w:t>us</w:t>
      </w:r>
      <w:r w:rsidR="008F45CD" w:rsidRPr="00774EDB">
        <w:rPr>
          <w:rFonts w:ascii="Times New Roman" w:hAnsi="Times New Roman" w:cs="Times New Roman"/>
          <w:sz w:val="24"/>
          <w:szCs w:val="24"/>
        </w:rPr>
        <w:t xml:space="preserve">ed </w:t>
      </w:r>
      <w:r w:rsidR="00162E6E" w:rsidRPr="00774EDB">
        <w:rPr>
          <w:rFonts w:ascii="Times New Roman" w:hAnsi="Times New Roman" w:cs="Times New Roman"/>
          <w:sz w:val="24"/>
          <w:szCs w:val="24"/>
        </w:rPr>
        <w:t xml:space="preserve">to </w:t>
      </w:r>
      <w:r w:rsidR="008F45CD">
        <w:rPr>
          <w:rFonts w:ascii="Times New Roman" w:hAnsi="Times New Roman" w:cs="Times New Roman"/>
          <w:sz w:val="24"/>
          <w:szCs w:val="24"/>
        </w:rPr>
        <w:t>mean restrictive control features incorporating the IPRs, TPMs, and algorithmic design and preferences whereby</w:t>
      </w:r>
      <w:r w:rsidR="0037353D" w:rsidRPr="00774EDB">
        <w:rPr>
          <w:rFonts w:ascii="Times New Roman" w:hAnsi="Times New Roman" w:cs="Times New Roman"/>
          <w:sz w:val="24"/>
          <w:szCs w:val="24"/>
        </w:rPr>
        <w:t xml:space="preserve"> </w:t>
      </w:r>
      <w:r w:rsidR="00B35B97" w:rsidRPr="00774EDB">
        <w:rPr>
          <w:rFonts w:ascii="Times New Roman" w:hAnsi="Times New Roman" w:cs="Times New Roman"/>
          <w:sz w:val="24"/>
          <w:szCs w:val="24"/>
        </w:rPr>
        <w:t xml:space="preserve">discriminatory, </w:t>
      </w:r>
      <w:r>
        <w:rPr>
          <w:rFonts w:ascii="Times New Roman" w:hAnsi="Times New Roman" w:cs="Times New Roman"/>
          <w:sz w:val="24"/>
          <w:szCs w:val="24"/>
        </w:rPr>
        <w:t xml:space="preserve">unfairly </w:t>
      </w:r>
      <w:r w:rsidR="00B35B97" w:rsidRPr="00774EDB">
        <w:rPr>
          <w:rFonts w:ascii="Times New Roman" w:hAnsi="Times New Roman" w:cs="Times New Roman"/>
          <w:sz w:val="24"/>
          <w:szCs w:val="24"/>
        </w:rPr>
        <w:t xml:space="preserve">selective, </w:t>
      </w:r>
      <w:r w:rsidR="00EB3ACE">
        <w:rPr>
          <w:rFonts w:ascii="Times New Roman" w:hAnsi="Times New Roman" w:cs="Times New Roman"/>
          <w:sz w:val="24"/>
          <w:szCs w:val="24"/>
        </w:rPr>
        <w:t>biased</w:t>
      </w:r>
      <w:r w:rsidR="00B35B97" w:rsidRPr="00774EDB">
        <w:rPr>
          <w:rFonts w:ascii="Times New Roman" w:hAnsi="Times New Roman" w:cs="Times New Roman"/>
          <w:sz w:val="24"/>
          <w:szCs w:val="24"/>
        </w:rPr>
        <w:t xml:space="preserve"> or </w:t>
      </w:r>
      <w:r w:rsidR="00534AF1">
        <w:rPr>
          <w:rFonts w:ascii="Times New Roman" w:hAnsi="Times New Roman" w:cs="Times New Roman"/>
          <w:sz w:val="24"/>
          <w:szCs w:val="24"/>
        </w:rPr>
        <w:t xml:space="preserve">democratically unjustifiable </w:t>
      </w:r>
      <w:r w:rsidR="008F45CD">
        <w:rPr>
          <w:rFonts w:ascii="Times New Roman" w:hAnsi="Times New Roman" w:cs="Times New Roman"/>
          <w:sz w:val="24"/>
          <w:szCs w:val="24"/>
        </w:rPr>
        <w:t>AI</w:t>
      </w:r>
      <w:r w:rsidR="00FB1FCB">
        <w:rPr>
          <w:rFonts w:ascii="Times New Roman" w:hAnsi="Times New Roman" w:cs="Times New Roman"/>
          <w:sz w:val="24"/>
          <w:szCs w:val="24"/>
        </w:rPr>
        <w:t>-driven</w:t>
      </w:r>
      <w:r w:rsidR="008F45CD">
        <w:rPr>
          <w:rFonts w:ascii="Times New Roman" w:hAnsi="Times New Roman" w:cs="Times New Roman"/>
          <w:sz w:val="24"/>
          <w:szCs w:val="24"/>
        </w:rPr>
        <w:t xml:space="preserve"> </w:t>
      </w:r>
      <w:r w:rsidR="00FB1FCB">
        <w:rPr>
          <w:rFonts w:ascii="Times New Roman" w:hAnsi="Times New Roman" w:cs="Times New Roman"/>
          <w:sz w:val="24"/>
          <w:szCs w:val="24"/>
        </w:rPr>
        <w:t>activitie</w:t>
      </w:r>
      <w:r w:rsidR="008F45CD">
        <w:rPr>
          <w:rFonts w:ascii="Times New Roman" w:hAnsi="Times New Roman" w:cs="Times New Roman"/>
          <w:sz w:val="24"/>
          <w:szCs w:val="24"/>
        </w:rPr>
        <w:t>s are e</w:t>
      </w:r>
      <w:r w:rsidR="00531A22">
        <w:rPr>
          <w:rFonts w:ascii="Times New Roman" w:hAnsi="Times New Roman" w:cs="Times New Roman"/>
          <w:sz w:val="24"/>
          <w:szCs w:val="24"/>
        </w:rPr>
        <w:t>ncompass</w:t>
      </w:r>
      <w:r w:rsidR="008F45CD">
        <w:rPr>
          <w:rFonts w:ascii="Times New Roman" w:hAnsi="Times New Roman" w:cs="Times New Roman"/>
          <w:sz w:val="24"/>
          <w:szCs w:val="24"/>
        </w:rPr>
        <w:t>ed</w:t>
      </w:r>
      <w:r w:rsidR="00162E6E" w:rsidRPr="00774EDB">
        <w:rPr>
          <w:rFonts w:ascii="Times New Roman" w:hAnsi="Times New Roman" w:cs="Times New Roman"/>
          <w:sz w:val="24"/>
          <w:szCs w:val="24"/>
        </w:rPr>
        <w:t xml:space="preserve">. Based on a number of principles and </w:t>
      </w:r>
      <w:r w:rsidR="00B35B97" w:rsidRPr="00774EDB">
        <w:rPr>
          <w:rFonts w:ascii="Times New Roman" w:hAnsi="Times New Roman" w:cs="Times New Roman"/>
          <w:sz w:val="24"/>
          <w:szCs w:val="24"/>
        </w:rPr>
        <w:t>corresponding</w:t>
      </w:r>
      <w:r w:rsidR="0037353D" w:rsidRPr="00774EDB">
        <w:rPr>
          <w:rFonts w:ascii="Times New Roman" w:hAnsi="Times New Roman" w:cs="Times New Roman"/>
          <w:sz w:val="24"/>
          <w:szCs w:val="24"/>
        </w:rPr>
        <w:t xml:space="preserve"> </w:t>
      </w:r>
      <w:r w:rsidR="00162E6E" w:rsidRPr="00774EDB">
        <w:rPr>
          <w:rFonts w:ascii="Times New Roman" w:hAnsi="Times New Roman" w:cs="Times New Roman"/>
          <w:sz w:val="24"/>
          <w:szCs w:val="24"/>
        </w:rPr>
        <w:t>remedies, th</w:t>
      </w:r>
      <w:r w:rsidR="00FB1FCB">
        <w:rPr>
          <w:rFonts w:ascii="Times New Roman" w:hAnsi="Times New Roman" w:cs="Times New Roman"/>
          <w:sz w:val="24"/>
          <w:szCs w:val="24"/>
        </w:rPr>
        <w:t>e model aims that</w:t>
      </w:r>
      <w:r w:rsidR="00162E6E" w:rsidRPr="00774EDB">
        <w:rPr>
          <w:rFonts w:ascii="Times New Roman" w:hAnsi="Times New Roman" w:cs="Times New Roman"/>
          <w:sz w:val="24"/>
          <w:szCs w:val="24"/>
        </w:rPr>
        <w:t xml:space="preserve"> gatekeeping</w:t>
      </w:r>
      <w:r w:rsidR="00FB1FCB">
        <w:rPr>
          <w:rFonts w:ascii="Times New Roman" w:hAnsi="Times New Roman" w:cs="Times New Roman"/>
          <w:sz w:val="24"/>
          <w:szCs w:val="24"/>
        </w:rPr>
        <w:t xml:space="preserve"> activities that</w:t>
      </w:r>
      <w:r w:rsidR="00162E6E" w:rsidRPr="00774EDB">
        <w:rPr>
          <w:rFonts w:ascii="Times New Roman" w:hAnsi="Times New Roman" w:cs="Times New Roman"/>
          <w:sz w:val="24"/>
          <w:szCs w:val="24"/>
        </w:rPr>
        <w:t xml:space="preserve"> </w:t>
      </w:r>
      <w:r w:rsidR="001F0E01">
        <w:rPr>
          <w:rFonts w:ascii="Times New Roman" w:hAnsi="Times New Roman" w:cs="Times New Roman"/>
          <w:sz w:val="24"/>
          <w:szCs w:val="24"/>
        </w:rPr>
        <w:t xml:space="preserve">restrict </w:t>
      </w:r>
      <w:r w:rsidR="00162E6E" w:rsidRPr="00774EDB">
        <w:rPr>
          <w:rFonts w:ascii="Times New Roman" w:hAnsi="Times New Roman" w:cs="Times New Roman"/>
          <w:sz w:val="24"/>
          <w:szCs w:val="24"/>
        </w:rPr>
        <w:t>access</w:t>
      </w:r>
      <w:r w:rsidR="00FB1FCB">
        <w:rPr>
          <w:rFonts w:ascii="Times New Roman" w:hAnsi="Times New Roman" w:cs="Times New Roman"/>
          <w:sz w:val="24"/>
          <w:szCs w:val="24"/>
        </w:rPr>
        <w:t xml:space="preserve"> and </w:t>
      </w:r>
      <w:r w:rsidR="001F0E01">
        <w:rPr>
          <w:rFonts w:ascii="Times New Roman" w:hAnsi="Times New Roman" w:cs="Times New Roman"/>
          <w:sz w:val="24"/>
          <w:szCs w:val="24"/>
        </w:rPr>
        <w:t>interoperability</w:t>
      </w:r>
      <w:r w:rsidR="00162E6E" w:rsidRPr="00774EDB">
        <w:rPr>
          <w:rFonts w:ascii="Times New Roman" w:hAnsi="Times New Roman" w:cs="Times New Roman"/>
          <w:sz w:val="24"/>
          <w:szCs w:val="24"/>
        </w:rPr>
        <w:t xml:space="preserve"> </w:t>
      </w:r>
      <w:r w:rsidR="00FB1FCB">
        <w:rPr>
          <w:rFonts w:ascii="Times New Roman" w:hAnsi="Times New Roman" w:cs="Times New Roman"/>
          <w:sz w:val="24"/>
          <w:szCs w:val="24"/>
        </w:rPr>
        <w:t>in the described ways are d</w:t>
      </w:r>
      <w:r w:rsidR="00531A22">
        <w:rPr>
          <w:rFonts w:ascii="Times New Roman" w:hAnsi="Times New Roman" w:cs="Times New Roman"/>
          <w:sz w:val="24"/>
          <w:szCs w:val="24"/>
        </w:rPr>
        <w:t>iminish</w:t>
      </w:r>
      <w:r w:rsidR="00FB1FCB">
        <w:rPr>
          <w:rFonts w:ascii="Times New Roman" w:hAnsi="Times New Roman" w:cs="Times New Roman"/>
          <w:sz w:val="24"/>
          <w:szCs w:val="24"/>
        </w:rPr>
        <w:t xml:space="preserve">ed. To that end, the proposed model </w:t>
      </w:r>
      <w:r w:rsidR="00132E45">
        <w:rPr>
          <w:rFonts w:ascii="Times New Roman" w:hAnsi="Times New Roman" w:cs="Times New Roman"/>
          <w:sz w:val="24"/>
          <w:szCs w:val="24"/>
        </w:rPr>
        <w:t xml:space="preserve">brings out </w:t>
      </w:r>
      <w:r w:rsidR="00FB1FCB" w:rsidRPr="00774EDB">
        <w:rPr>
          <w:rFonts w:ascii="Times New Roman" w:hAnsi="Times New Roman" w:cs="Times New Roman"/>
          <w:sz w:val="24"/>
          <w:szCs w:val="24"/>
        </w:rPr>
        <w:t>the ma</w:t>
      </w:r>
      <w:r w:rsidR="00132E45">
        <w:rPr>
          <w:rFonts w:ascii="Times New Roman" w:hAnsi="Times New Roman" w:cs="Times New Roman"/>
          <w:sz w:val="24"/>
          <w:szCs w:val="24"/>
        </w:rPr>
        <w:t>jor</w:t>
      </w:r>
      <w:r w:rsidR="00FB1FCB" w:rsidRPr="00774EDB">
        <w:rPr>
          <w:rFonts w:ascii="Times New Roman" w:hAnsi="Times New Roman" w:cs="Times New Roman"/>
          <w:sz w:val="24"/>
          <w:szCs w:val="24"/>
        </w:rPr>
        <w:t xml:space="preserve"> prohibition over “restricting access</w:t>
      </w:r>
      <w:r w:rsidR="00FB1FCB">
        <w:rPr>
          <w:rFonts w:ascii="Times New Roman" w:hAnsi="Times New Roman" w:cs="Times New Roman"/>
          <w:sz w:val="24"/>
          <w:szCs w:val="24"/>
        </w:rPr>
        <w:t xml:space="preserve"> and interoperability</w:t>
      </w:r>
      <w:r w:rsidR="00FB1FCB" w:rsidRPr="00774EDB">
        <w:rPr>
          <w:rFonts w:ascii="Times New Roman" w:hAnsi="Times New Roman" w:cs="Times New Roman"/>
          <w:sz w:val="24"/>
          <w:szCs w:val="24"/>
        </w:rPr>
        <w:t xml:space="preserve"> at the expense of limit</w:t>
      </w:r>
      <w:r w:rsidR="00FB1FCB">
        <w:rPr>
          <w:rFonts w:ascii="Times New Roman" w:hAnsi="Times New Roman" w:cs="Times New Roman"/>
          <w:sz w:val="24"/>
          <w:szCs w:val="24"/>
        </w:rPr>
        <w:t>ing</w:t>
      </w:r>
      <w:r w:rsidR="00FB1FCB" w:rsidRPr="00774EDB">
        <w:rPr>
          <w:rFonts w:ascii="Times New Roman" w:hAnsi="Times New Roman" w:cs="Times New Roman"/>
          <w:sz w:val="24"/>
          <w:szCs w:val="24"/>
        </w:rPr>
        <w:t xml:space="preserve"> consumer choices”</w:t>
      </w:r>
      <w:r w:rsidR="00162E6E" w:rsidRPr="00774EDB">
        <w:rPr>
          <w:rFonts w:ascii="Times New Roman" w:hAnsi="Times New Roman" w:cs="Times New Roman"/>
          <w:sz w:val="24"/>
          <w:szCs w:val="24"/>
        </w:rPr>
        <w:t xml:space="preserve">. </w:t>
      </w:r>
      <w:r w:rsidR="00694508" w:rsidRPr="00774EDB">
        <w:rPr>
          <w:rFonts w:ascii="Times New Roman" w:hAnsi="Times New Roman" w:cs="Times New Roman"/>
          <w:sz w:val="24"/>
          <w:szCs w:val="24"/>
        </w:rPr>
        <w:t xml:space="preserve">This representing the baseline principle, </w:t>
      </w:r>
      <w:r w:rsidR="00162E6E" w:rsidRPr="00774EDB">
        <w:rPr>
          <w:rFonts w:ascii="Times New Roman" w:hAnsi="Times New Roman" w:cs="Times New Roman"/>
          <w:sz w:val="24"/>
          <w:szCs w:val="24"/>
        </w:rPr>
        <w:t>the further principles of ‘</w:t>
      </w:r>
      <w:r w:rsidR="00FC0255">
        <w:rPr>
          <w:rFonts w:ascii="Times New Roman" w:hAnsi="Times New Roman" w:cs="Times New Roman"/>
          <w:sz w:val="24"/>
          <w:szCs w:val="24"/>
        </w:rPr>
        <w:t>fairness</w:t>
      </w:r>
      <w:r w:rsidR="00162E6E" w:rsidRPr="00774EDB">
        <w:rPr>
          <w:rFonts w:ascii="Times New Roman" w:hAnsi="Times New Roman" w:cs="Times New Roman"/>
          <w:sz w:val="24"/>
          <w:szCs w:val="24"/>
        </w:rPr>
        <w:t>’</w:t>
      </w:r>
      <w:r w:rsidR="00FC0255">
        <w:rPr>
          <w:rFonts w:ascii="Times New Roman" w:hAnsi="Times New Roman" w:cs="Times New Roman"/>
          <w:sz w:val="24"/>
          <w:szCs w:val="24"/>
        </w:rPr>
        <w:t xml:space="preserve">, </w:t>
      </w:r>
      <w:r w:rsidR="00FC0255" w:rsidRPr="00774EDB">
        <w:rPr>
          <w:rFonts w:ascii="Times New Roman" w:hAnsi="Times New Roman" w:cs="Times New Roman"/>
          <w:sz w:val="24"/>
          <w:szCs w:val="24"/>
        </w:rPr>
        <w:t>‘transparency’</w:t>
      </w:r>
      <w:r w:rsidR="00162E6E" w:rsidRPr="00774EDB">
        <w:rPr>
          <w:rFonts w:ascii="Times New Roman" w:hAnsi="Times New Roman" w:cs="Times New Roman"/>
          <w:sz w:val="24"/>
          <w:szCs w:val="24"/>
        </w:rPr>
        <w:t xml:space="preserve"> and ‘accountability’ </w:t>
      </w:r>
      <w:r w:rsidR="001F0E01">
        <w:rPr>
          <w:rFonts w:ascii="Times New Roman" w:hAnsi="Times New Roman" w:cs="Times New Roman"/>
          <w:sz w:val="24"/>
          <w:szCs w:val="24"/>
        </w:rPr>
        <w:t>are</w:t>
      </w:r>
      <w:r w:rsidR="00162E6E" w:rsidRPr="00774EDB">
        <w:rPr>
          <w:rFonts w:ascii="Times New Roman" w:hAnsi="Times New Roman" w:cs="Times New Roman"/>
          <w:sz w:val="24"/>
          <w:szCs w:val="24"/>
        </w:rPr>
        <w:t xml:space="preserve"> </w:t>
      </w:r>
      <w:r w:rsidR="00694508" w:rsidRPr="00774EDB">
        <w:rPr>
          <w:rFonts w:ascii="Times New Roman" w:hAnsi="Times New Roman" w:cs="Times New Roman"/>
          <w:sz w:val="24"/>
          <w:szCs w:val="24"/>
        </w:rPr>
        <w:t>integrated into the model</w:t>
      </w:r>
      <w:r w:rsidR="002F48FC" w:rsidRPr="00774EDB">
        <w:rPr>
          <w:rFonts w:ascii="Times New Roman" w:hAnsi="Times New Roman" w:cs="Times New Roman"/>
          <w:sz w:val="24"/>
          <w:szCs w:val="24"/>
        </w:rPr>
        <w:t xml:space="preserve"> </w:t>
      </w:r>
      <w:r w:rsidR="00FC0255">
        <w:rPr>
          <w:rFonts w:ascii="Times New Roman" w:hAnsi="Times New Roman" w:cs="Times New Roman"/>
          <w:sz w:val="24"/>
          <w:szCs w:val="24"/>
        </w:rPr>
        <w:t xml:space="preserve">by which </w:t>
      </w:r>
      <w:r w:rsidR="00162E6E" w:rsidRPr="00774EDB">
        <w:rPr>
          <w:rFonts w:ascii="Times New Roman" w:hAnsi="Times New Roman" w:cs="Times New Roman"/>
          <w:sz w:val="24"/>
          <w:szCs w:val="24"/>
        </w:rPr>
        <w:t xml:space="preserve">to </w:t>
      </w:r>
      <w:r w:rsidR="00EB3ACE">
        <w:rPr>
          <w:rFonts w:ascii="Times New Roman" w:hAnsi="Times New Roman" w:cs="Times New Roman"/>
          <w:sz w:val="24"/>
          <w:szCs w:val="24"/>
        </w:rPr>
        <w:t xml:space="preserve">diagnose and </w:t>
      </w:r>
      <w:r w:rsidR="00FC0255">
        <w:rPr>
          <w:rFonts w:ascii="Times New Roman" w:hAnsi="Times New Roman" w:cs="Times New Roman"/>
          <w:sz w:val="24"/>
          <w:szCs w:val="24"/>
        </w:rPr>
        <w:t xml:space="preserve">deter the </w:t>
      </w:r>
      <w:r w:rsidR="00694508" w:rsidRPr="00774EDB">
        <w:rPr>
          <w:rFonts w:ascii="Times New Roman" w:hAnsi="Times New Roman" w:cs="Times New Roman"/>
          <w:sz w:val="24"/>
          <w:szCs w:val="24"/>
        </w:rPr>
        <w:t>gatekeeping activities</w:t>
      </w:r>
      <w:r w:rsidR="00162E6E" w:rsidRPr="00774EDB">
        <w:rPr>
          <w:rFonts w:ascii="Times New Roman" w:hAnsi="Times New Roman" w:cs="Times New Roman"/>
          <w:sz w:val="24"/>
          <w:szCs w:val="24"/>
        </w:rPr>
        <w:t xml:space="preserve">. </w:t>
      </w:r>
      <w:r w:rsidR="00EB3ACE">
        <w:rPr>
          <w:rFonts w:ascii="Times New Roman" w:hAnsi="Times New Roman" w:cs="Times New Roman"/>
          <w:sz w:val="24"/>
          <w:szCs w:val="24"/>
        </w:rPr>
        <w:t xml:space="preserve">Furthermore, </w:t>
      </w:r>
      <w:r w:rsidR="00D73B64">
        <w:rPr>
          <w:rFonts w:ascii="Times New Roman" w:hAnsi="Times New Roman" w:cs="Times New Roman"/>
          <w:sz w:val="24"/>
          <w:szCs w:val="24"/>
        </w:rPr>
        <w:t xml:space="preserve">a set of </w:t>
      </w:r>
      <w:r w:rsidR="00EB3ACE">
        <w:rPr>
          <w:rFonts w:ascii="Times New Roman" w:hAnsi="Times New Roman" w:cs="Times New Roman"/>
          <w:sz w:val="24"/>
          <w:szCs w:val="24"/>
        </w:rPr>
        <w:t xml:space="preserve">remedies </w:t>
      </w:r>
      <w:r w:rsidR="00D73B64">
        <w:rPr>
          <w:rFonts w:ascii="Times New Roman" w:hAnsi="Times New Roman" w:cs="Times New Roman"/>
          <w:sz w:val="24"/>
          <w:szCs w:val="24"/>
        </w:rPr>
        <w:t xml:space="preserve">translated from the principles </w:t>
      </w:r>
      <w:r w:rsidR="00EB3ACE">
        <w:rPr>
          <w:rFonts w:ascii="Times New Roman" w:hAnsi="Times New Roman" w:cs="Times New Roman"/>
          <w:sz w:val="24"/>
          <w:szCs w:val="24"/>
        </w:rPr>
        <w:t xml:space="preserve">are </w:t>
      </w:r>
      <w:r w:rsidR="00132E45">
        <w:rPr>
          <w:rFonts w:ascii="Times New Roman" w:hAnsi="Times New Roman" w:cs="Times New Roman"/>
          <w:sz w:val="24"/>
          <w:szCs w:val="24"/>
        </w:rPr>
        <w:t>design</w:t>
      </w:r>
      <w:r w:rsidR="00EB3ACE">
        <w:rPr>
          <w:rFonts w:ascii="Times New Roman" w:hAnsi="Times New Roman" w:cs="Times New Roman"/>
          <w:sz w:val="24"/>
          <w:szCs w:val="24"/>
        </w:rPr>
        <w:t xml:space="preserve">ed in </w:t>
      </w:r>
      <w:r w:rsidR="00132E45">
        <w:rPr>
          <w:rFonts w:ascii="Times New Roman" w:hAnsi="Times New Roman" w:cs="Times New Roman"/>
          <w:sz w:val="24"/>
          <w:szCs w:val="24"/>
        </w:rPr>
        <w:t xml:space="preserve">view of the potential scenarios whereby </w:t>
      </w:r>
      <w:r w:rsidR="00EB3ACE">
        <w:rPr>
          <w:rFonts w:ascii="Times New Roman" w:hAnsi="Times New Roman" w:cs="Times New Roman"/>
          <w:sz w:val="24"/>
          <w:szCs w:val="24"/>
        </w:rPr>
        <w:t xml:space="preserve">gatekeeper(s) do not </w:t>
      </w:r>
      <w:r w:rsidR="002C76B9">
        <w:rPr>
          <w:rFonts w:ascii="Times New Roman" w:hAnsi="Times New Roman" w:cs="Times New Roman"/>
          <w:sz w:val="24"/>
          <w:szCs w:val="24"/>
        </w:rPr>
        <w:t>adhere</w:t>
      </w:r>
      <w:r w:rsidR="00EB3ACE">
        <w:rPr>
          <w:rFonts w:ascii="Times New Roman" w:hAnsi="Times New Roman" w:cs="Times New Roman"/>
          <w:sz w:val="24"/>
          <w:szCs w:val="24"/>
        </w:rPr>
        <w:t xml:space="preserve"> </w:t>
      </w:r>
      <w:r w:rsidR="002C76B9">
        <w:rPr>
          <w:rFonts w:ascii="Times New Roman" w:hAnsi="Times New Roman" w:cs="Times New Roman"/>
          <w:sz w:val="24"/>
          <w:szCs w:val="24"/>
        </w:rPr>
        <w:t>to</w:t>
      </w:r>
      <w:r w:rsidR="00EB3ACE">
        <w:rPr>
          <w:rFonts w:ascii="Times New Roman" w:hAnsi="Times New Roman" w:cs="Times New Roman"/>
          <w:sz w:val="24"/>
          <w:szCs w:val="24"/>
        </w:rPr>
        <w:t xml:space="preserve"> </w:t>
      </w:r>
      <w:r w:rsidR="00D73B64">
        <w:rPr>
          <w:rFonts w:ascii="Times New Roman" w:hAnsi="Times New Roman" w:cs="Times New Roman"/>
          <w:sz w:val="24"/>
          <w:szCs w:val="24"/>
        </w:rPr>
        <w:t>the governing principles.</w:t>
      </w:r>
      <w:r w:rsidR="00EB3ACE">
        <w:rPr>
          <w:rFonts w:ascii="Times New Roman" w:hAnsi="Times New Roman" w:cs="Times New Roman"/>
          <w:sz w:val="24"/>
          <w:szCs w:val="24"/>
        </w:rPr>
        <w:t xml:space="preserve"> </w:t>
      </w:r>
      <w:r w:rsidR="00162E6E" w:rsidRPr="00774EDB">
        <w:rPr>
          <w:rFonts w:ascii="Times New Roman" w:hAnsi="Times New Roman" w:cs="Times New Roman"/>
          <w:sz w:val="24"/>
          <w:szCs w:val="24"/>
        </w:rPr>
        <w:t xml:space="preserve">While </w:t>
      </w:r>
      <w:r w:rsidR="00EB3ACE">
        <w:rPr>
          <w:rFonts w:ascii="Times New Roman" w:hAnsi="Times New Roman" w:cs="Times New Roman"/>
          <w:sz w:val="24"/>
          <w:szCs w:val="24"/>
        </w:rPr>
        <w:t xml:space="preserve">it is ultimately proposed </w:t>
      </w:r>
      <w:r w:rsidR="00162E6E" w:rsidRPr="00774EDB">
        <w:rPr>
          <w:rFonts w:ascii="Times New Roman" w:hAnsi="Times New Roman" w:cs="Times New Roman"/>
          <w:sz w:val="24"/>
          <w:szCs w:val="24"/>
        </w:rPr>
        <w:t>this model replac</w:t>
      </w:r>
      <w:r w:rsidR="00EB3ACE">
        <w:rPr>
          <w:rFonts w:ascii="Times New Roman" w:hAnsi="Times New Roman" w:cs="Times New Roman"/>
          <w:sz w:val="24"/>
          <w:szCs w:val="24"/>
        </w:rPr>
        <w:t>es</w:t>
      </w:r>
      <w:r w:rsidR="00162E6E" w:rsidRPr="00774EDB">
        <w:rPr>
          <w:rFonts w:ascii="Times New Roman" w:hAnsi="Times New Roman" w:cs="Times New Roman"/>
          <w:sz w:val="24"/>
          <w:szCs w:val="24"/>
        </w:rPr>
        <w:t xml:space="preserve"> the </w:t>
      </w:r>
      <w:r w:rsidR="001974E2">
        <w:rPr>
          <w:rFonts w:ascii="Times New Roman" w:hAnsi="Times New Roman" w:cs="Times New Roman"/>
          <w:sz w:val="24"/>
          <w:szCs w:val="24"/>
        </w:rPr>
        <w:t xml:space="preserve">core (access and competition related) </w:t>
      </w:r>
      <w:r w:rsidR="00EB3ACE">
        <w:rPr>
          <w:rFonts w:ascii="Times New Roman" w:hAnsi="Times New Roman" w:cs="Times New Roman"/>
          <w:sz w:val="24"/>
          <w:szCs w:val="24"/>
        </w:rPr>
        <w:t xml:space="preserve">ECRF </w:t>
      </w:r>
      <w:r w:rsidR="001974E2">
        <w:rPr>
          <w:rFonts w:ascii="Times New Roman" w:hAnsi="Times New Roman" w:cs="Times New Roman"/>
          <w:sz w:val="24"/>
          <w:szCs w:val="24"/>
        </w:rPr>
        <w:t>principles</w:t>
      </w:r>
      <w:r w:rsidR="00EB3ACE">
        <w:rPr>
          <w:rFonts w:ascii="Times New Roman" w:hAnsi="Times New Roman" w:cs="Times New Roman"/>
          <w:sz w:val="24"/>
          <w:szCs w:val="24"/>
        </w:rPr>
        <w:t xml:space="preserve"> and remedies</w:t>
      </w:r>
      <w:r w:rsidR="00162E6E" w:rsidRPr="00774EDB">
        <w:rPr>
          <w:rFonts w:ascii="Times New Roman" w:hAnsi="Times New Roman" w:cs="Times New Roman"/>
          <w:sz w:val="24"/>
          <w:szCs w:val="24"/>
        </w:rPr>
        <w:t xml:space="preserve">, its </w:t>
      </w:r>
      <w:r w:rsidR="00BD7DA8">
        <w:rPr>
          <w:rFonts w:ascii="Times New Roman" w:hAnsi="Times New Roman" w:cs="Times New Roman"/>
          <w:sz w:val="24"/>
          <w:szCs w:val="24"/>
        </w:rPr>
        <w:t>dynamic</w:t>
      </w:r>
      <w:r w:rsidR="00162E6E" w:rsidRPr="00774EDB">
        <w:rPr>
          <w:rFonts w:ascii="Times New Roman" w:hAnsi="Times New Roman" w:cs="Times New Roman"/>
          <w:sz w:val="24"/>
          <w:szCs w:val="24"/>
        </w:rPr>
        <w:t xml:space="preserve"> </w:t>
      </w:r>
      <w:r w:rsidR="00BD7DA8">
        <w:rPr>
          <w:rFonts w:ascii="Times New Roman" w:hAnsi="Times New Roman" w:cs="Times New Roman"/>
          <w:sz w:val="24"/>
          <w:szCs w:val="24"/>
        </w:rPr>
        <w:t>nature</w:t>
      </w:r>
      <w:r w:rsidR="00BD7DA8" w:rsidRPr="00774EDB">
        <w:rPr>
          <w:rFonts w:ascii="Times New Roman" w:hAnsi="Times New Roman" w:cs="Times New Roman"/>
          <w:sz w:val="24"/>
          <w:szCs w:val="24"/>
        </w:rPr>
        <w:t xml:space="preserve"> </w:t>
      </w:r>
      <w:r w:rsidR="00162E6E" w:rsidRPr="00774EDB">
        <w:rPr>
          <w:rFonts w:ascii="Times New Roman" w:hAnsi="Times New Roman" w:cs="Times New Roman"/>
          <w:sz w:val="24"/>
          <w:szCs w:val="24"/>
        </w:rPr>
        <w:t xml:space="preserve">goes beyond the ECRF and reaches out to a </w:t>
      </w:r>
      <w:r w:rsidR="00BD7DA8">
        <w:rPr>
          <w:rFonts w:ascii="Times New Roman" w:hAnsi="Times New Roman" w:cs="Times New Roman"/>
          <w:sz w:val="24"/>
          <w:szCs w:val="24"/>
        </w:rPr>
        <w:t>broader</w:t>
      </w:r>
      <w:r w:rsidR="00BD7DA8" w:rsidRPr="00774EDB">
        <w:rPr>
          <w:rFonts w:ascii="Times New Roman" w:hAnsi="Times New Roman" w:cs="Times New Roman"/>
          <w:sz w:val="24"/>
          <w:szCs w:val="24"/>
        </w:rPr>
        <w:t xml:space="preserve"> </w:t>
      </w:r>
      <w:r w:rsidR="00162E6E" w:rsidRPr="00774EDB">
        <w:rPr>
          <w:rFonts w:ascii="Times New Roman" w:hAnsi="Times New Roman" w:cs="Times New Roman"/>
          <w:sz w:val="24"/>
          <w:szCs w:val="24"/>
        </w:rPr>
        <w:t>vision capable of dealing with other problems</w:t>
      </w:r>
      <w:r w:rsidR="00016922">
        <w:rPr>
          <w:rFonts w:ascii="Times New Roman" w:hAnsi="Times New Roman" w:cs="Times New Roman"/>
          <w:sz w:val="24"/>
          <w:szCs w:val="24"/>
        </w:rPr>
        <w:t xml:space="preserve"> e.g. hindered information flows, </w:t>
      </w:r>
      <w:r w:rsidR="00EB3ACE">
        <w:rPr>
          <w:rFonts w:ascii="Times New Roman" w:hAnsi="Times New Roman" w:cs="Times New Roman"/>
          <w:sz w:val="24"/>
          <w:szCs w:val="24"/>
        </w:rPr>
        <w:t>unfair</w:t>
      </w:r>
      <w:r w:rsidR="00016922">
        <w:rPr>
          <w:rFonts w:ascii="Times New Roman" w:hAnsi="Times New Roman" w:cs="Times New Roman"/>
          <w:sz w:val="24"/>
          <w:szCs w:val="24"/>
        </w:rPr>
        <w:t xml:space="preserve"> outcomes </w:t>
      </w:r>
      <w:r w:rsidR="00EB3ACE">
        <w:rPr>
          <w:rFonts w:ascii="Times New Roman" w:hAnsi="Times New Roman" w:cs="Times New Roman"/>
          <w:sz w:val="24"/>
          <w:szCs w:val="24"/>
        </w:rPr>
        <w:t>and</w:t>
      </w:r>
      <w:r w:rsidR="00016922">
        <w:rPr>
          <w:rFonts w:ascii="Times New Roman" w:hAnsi="Times New Roman" w:cs="Times New Roman"/>
          <w:sz w:val="24"/>
          <w:szCs w:val="24"/>
        </w:rPr>
        <w:t xml:space="preserve"> transformative</w:t>
      </w:r>
      <w:r w:rsidR="00162E6E" w:rsidRPr="00774EDB">
        <w:rPr>
          <w:rFonts w:ascii="Times New Roman" w:hAnsi="Times New Roman" w:cs="Times New Roman"/>
          <w:sz w:val="24"/>
          <w:szCs w:val="24"/>
        </w:rPr>
        <w:t xml:space="preserve"> </w:t>
      </w:r>
      <w:r w:rsidR="00016922">
        <w:rPr>
          <w:rFonts w:ascii="Times New Roman" w:hAnsi="Times New Roman" w:cs="Times New Roman"/>
          <w:sz w:val="24"/>
          <w:szCs w:val="24"/>
        </w:rPr>
        <w:t>effects</w:t>
      </w:r>
      <w:r w:rsidR="00EB3ACE">
        <w:rPr>
          <w:rFonts w:ascii="Times New Roman" w:hAnsi="Times New Roman" w:cs="Times New Roman"/>
          <w:sz w:val="24"/>
          <w:szCs w:val="24"/>
        </w:rPr>
        <w:t xml:space="preserve"> conducive to ICT </w:t>
      </w:r>
      <w:r w:rsidR="00D73B64">
        <w:rPr>
          <w:rFonts w:ascii="Times New Roman" w:hAnsi="Times New Roman" w:cs="Times New Roman"/>
          <w:sz w:val="24"/>
          <w:szCs w:val="24"/>
        </w:rPr>
        <w:t>landscape</w:t>
      </w:r>
      <w:r w:rsidR="00162E6E" w:rsidRPr="00774EDB">
        <w:rPr>
          <w:rFonts w:ascii="Times New Roman" w:hAnsi="Times New Roman" w:cs="Times New Roman"/>
          <w:sz w:val="24"/>
          <w:szCs w:val="24"/>
        </w:rPr>
        <w:t>.</w:t>
      </w:r>
    </w:p>
    <w:p w14:paraId="52F571BA" w14:textId="06BB3800" w:rsidR="002F13AB" w:rsidRPr="00774EDB" w:rsidRDefault="00016922" w:rsidP="00A70042">
      <w:pPr>
        <w:spacing w:before="360"/>
        <w:jc w:val="both"/>
        <w:rPr>
          <w:rFonts w:ascii="Times New Roman" w:hAnsi="Times New Roman" w:cs="Times New Roman"/>
          <w:sz w:val="24"/>
          <w:szCs w:val="24"/>
        </w:rPr>
      </w:pPr>
      <w:r>
        <w:rPr>
          <w:rFonts w:ascii="Times New Roman" w:hAnsi="Times New Roman" w:cs="Times New Roman"/>
          <w:sz w:val="24"/>
          <w:szCs w:val="24"/>
        </w:rPr>
        <w:t xml:space="preserve">Reflecting these, sequential steps and </w:t>
      </w:r>
      <w:r w:rsidR="002C76B9">
        <w:rPr>
          <w:rFonts w:ascii="Times New Roman" w:hAnsi="Times New Roman" w:cs="Times New Roman"/>
          <w:sz w:val="24"/>
          <w:szCs w:val="24"/>
        </w:rPr>
        <w:t>milestones</w:t>
      </w:r>
      <w:r w:rsidR="00162E6E" w:rsidRPr="00774EDB">
        <w:rPr>
          <w:rFonts w:ascii="Times New Roman" w:hAnsi="Times New Roman" w:cs="Times New Roman"/>
          <w:sz w:val="24"/>
          <w:szCs w:val="24"/>
        </w:rPr>
        <w:t xml:space="preserve"> of this </w:t>
      </w:r>
      <w:r>
        <w:rPr>
          <w:rFonts w:ascii="Times New Roman" w:hAnsi="Times New Roman" w:cs="Times New Roman"/>
          <w:sz w:val="24"/>
          <w:szCs w:val="24"/>
        </w:rPr>
        <w:t>research</w:t>
      </w:r>
      <w:r w:rsidRPr="00774EDB">
        <w:rPr>
          <w:rFonts w:ascii="Times New Roman" w:hAnsi="Times New Roman" w:cs="Times New Roman"/>
          <w:sz w:val="24"/>
          <w:szCs w:val="24"/>
        </w:rPr>
        <w:t xml:space="preserve"> </w:t>
      </w:r>
      <w:r w:rsidR="00162E6E" w:rsidRPr="00774EDB">
        <w:rPr>
          <w:rFonts w:ascii="Times New Roman" w:hAnsi="Times New Roman" w:cs="Times New Roman"/>
          <w:sz w:val="24"/>
          <w:szCs w:val="24"/>
        </w:rPr>
        <w:t>are manifested in Figure 1</w:t>
      </w:r>
      <w:r w:rsidR="0009054F">
        <w:rPr>
          <w:rFonts w:ascii="Times New Roman" w:hAnsi="Times New Roman" w:cs="Times New Roman"/>
          <w:sz w:val="24"/>
          <w:szCs w:val="24"/>
        </w:rPr>
        <w:t>6</w:t>
      </w:r>
      <w:r w:rsidR="00162E6E" w:rsidRPr="00774EDB">
        <w:rPr>
          <w:rFonts w:ascii="Times New Roman" w:hAnsi="Times New Roman" w:cs="Times New Roman"/>
          <w:sz w:val="24"/>
          <w:szCs w:val="24"/>
        </w:rPr>
        <w:t xml:space="preserve"> below. This figure also features the main findings and outcomes of the research, including the key </w:t>
      </w:r>
      <w:r w:rsidR="00437A44">
        <w:rPr>
          <w:rFonts w:ascii="Times New Roman" w:hAnsi="Times New Roman" w:cs="Times New Roman"/>
          <w:sz w:val="24"/>
          <w:szCs w:val="24"/>
        </w:rPr>
        <w:t>aspect</w:t>
      </w:r>
      <w:r w:rsidR="00162E6E" w:rsidRPr="00774EDB">
        <w:rPr>
          <w:rFonts w:ascii="Times New Roman" w:hAnsi="Times New Roman" w:cs="Times New Roman"/>
          <w:sz w:val="24"/>
          <w:szCs w:val="24"/>
        </w:rPr>
        <w:t>s of the ‘layered regulatory model’.</w:t>
      </w:r>
    </w:p>
    <w:p w14:paraId="0CABE994" w14:textId="77777777" w:rsidR="00141C0E" w:rsidRPr="0055304A" w:rsidRDefault="00141C0E" w:rsidP="00A70042">
      <w:pPr>
        <w:spacing w:before="360" w:line="240" w:lineRule="auto"/>
        <w:jc w:val="both"/>
        <w:rPr>
          <w:rFonts w:ascii="Times New Roman" w:hAnsi="Times New Roman" w:cs="Times New Roman"/>
          <w:sz w:val="24"/>
          <w:szCs w:val="24"/>
        </w:rPr>
      </w:pPr>
      <w:r w:rsidRPr="0055304A">
        <w:rPr>
          <w:rFonts w:ascii="Times New Roman" w:hAnsi="Times New Roman" w:cs="Times New Roman"/>
          <w:noProof/>
          <w:sz w:val="24"/>
          <w:szCs w:val="24"/>
        </w:rPr>
        <w:lastRenderedPageBreak/>
        <w:drawing>
          <wp:inline distT="0" distB="0" distL="0" distR="0" wp14:anchorId="3A2C93CE" wp14:editId="7AC02A2A">
            <wp:extent cx="5188992" cy="3542665"/>
            <wp:effectExtent l="38100" t="19050" r="12065" b="38735"/>
            <wp:docPr id="41" name="Diagram 57352" descr="Diagram">
              <a:extLst xmlns:a="http://schemas.openxmlformats.org/drawingml/2006/main">
                <a:ext uri="{FF2B5EF4-FFF2-40B4-BE49-F238E27FC236}">
                  <a16:creationId xmlns:a16="http://schemas.microsoft.com/office/drawing/2014/main" id="{3569CB3B-D01E-4FBE-81A4-673E2BB014B2}"/>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2D18D253" w14:textId="576010CB" w:rsidR="002F13AB" w:rsidRPr="00222DC4" w:rsidRDefault="00A148D1" w:rsidP="00222DC4">
      <w:pPr>
        <w:rPr>
          <w:rFonts w:ascii="Times New Roman" w:hAnsi="Times New Roman" w:cs="Times New Roman"/>
        </w:rPr>
      </w:pPr>
      <w:bookmarkStart w:id="773" w:name="_Toc17612479"/>
      <w:r w:rsidRPr="00222DC4">
        <w:rPr>
          <w:rFonts w:ascii="Times New Roman" w:hAnsi="Times New Roman" w:cs="Times New Roman"/>
          <w:b/>
          <w:bCs/>
        </w:rPr>
        <w:t>Figure</w:t>
      </w:r>
      <w:r w:rsidR="00162E6E" w:rsidRPr="00222DC4">
        <w:rPr>
          <w:rFonts w:ascii="Times New Roman" w:hAnsi="Times New Roman" w:cs="Times New Roman"/>
          <w:b/>
          <w:bCs/>
        </w:rPr>
        <w:t xml:space="preserve"> </w:t>
      </w:r>
      <w:r w:rsidRPr="00222DC4">
        <w:rPr>
          <w:rFonts w:ascii="Times New Roman" w:hAnsi="Times New Roman" w:cs="Times New Roman"/>
          <w:b/>
          <w:bCs/>
        </w:rPr>
        <w:t>1</w:t>
      </w:r>
      <w:r w:rsidR="00327E6E" w:rsidRPr="00222DC4">
        <w:rPr>
          <w:rFonts w:ascii="Times New Roman" w:hAnsi="Times New Roman" w:cs="Times New Roman"/>
          <w:b/>
          <w:bCs/>
        </w:rPr>
        <w:t>6</w:t>
      </w:r>
      <w:r w:rsidRPr="00222DC4">
        <w:rPr>
          <w:rFonts w:ascii="Times New Roman" w:hAnsi="Times New Roman" w:cs="Times New Roman"/>
          <w:b/>
          <w:bCs/>
        </w:rPr>
        <w:t>:</w:t>
      </w:r>
      <w:r w:rsidRPr="00222DC4">
        <w:rPr>
          <w:rFonts w:ascii="Times New Roman" w:hAnsi="Times New Roman" w:cs="Times New Roman"/>
        </w:rPr>
        <w:t xml:space="preserve"> </w:t>
      </w:r>
      <w:r w:rsidR="00016922" w:rsidRPr="00222DC4">
        <w:rPr>
          <w:rFonts w:ascii="Times New Roman" w:hAnsi="Times New Roman" w:cs="Times New Roman"/>
        </w:rPr>
        <w:t>Key milestones</w:t>
      </w:r>
      <w:r w:rsidRPr="00222DC4">
        <w:rPr>
          <w:rFonts w:ascii="Times New Roman" w:hAnsi="Times New Roman" w:cs="Times New Roman"/>
        </w:rPr>
        <w:t xml:space="preserve"> of the research</w:t>
      </w:r>
      <w:bookmarkEnd w:id="773"/>
    </w:p>
    <w:p w14:paraId="139BF3E5" w14:textId="6967667C" w:rsidR="005A3379" w:rsidRPr="00A70042" w:rsidRDefault="00A148D1" w:rsidP="00A70042">
      <w:pPr>
        <w:rPr>
          <w:rFonts w:ascii="Times New Roman" w:hAnsi="Times New Roman" w:cs="Times New Roman"/>
          <w:sz w:val="20"/>
          <w:szCs w:val="20"/>
        </w:rPr>
      </w:pPr>
      <w:r w:rsidRPr="00A70042">
        <w:rPr>
          <w:rFonts w:ascii="Times New Roman" w:hAnsi="Times New Roman" w:cs="Times New Roman"/>
          <w:b/>
          <w:bCs/>
          <w:sz w:val="20"/>
          <w:szCs w:val="20"/>
        </w:rPr>
        <w:t>Source:</w:t>
      </w:r>
      <w:r w:rsidRPr="00A70042">
        <w:rPr>
          <w:rFonts w:ascii="Times New Roman" w:hAnsi="Times New Roman" w:cs="Times New Roman"/>
          <w:sz w:val="20"/>
          <w:szCs w:val="20"/>
        </w:rPr>
        <w:t xml:space="preserve"> Constructed by the author</w:t>
      </w:r>
    </w:p>
    <w:p w14:paraId="4AE24E56" w14:textId="5D35799E" w:rsidR="005A3379" w:rsidRPr="00774EDB" w:rsidRDefault="00FD2CCB">
      <w:pPr>
        <w:spacing w:before="360"/>
        <w:jc w:val="both"/>
        <w:rPr>
          <w:rFonts w:ascii="Times New Roman" w:hAnsi="Times New Roman" w:cs="Times New Roman"/>
          <w:sz w:val="24"/>
          <w:szCs w:val="24"/>
        </w:rPr>
      </w:pPr>
      <w:r w:rsidRPr="00774EDB">
        <w:rPr>
          <w:rFonts w:ascii="Times New Roman" w:hAnsi="Times New Roman" w:cs="Times New Roman"/>
          <w:sz w:val="24"/>
          <w:szCs w:val="24"/>
        </w:rPr>
        <w:t xml:space="preserve">As the figure above demonstrates, the research outcomes </w:t>
      </w:r>
      <w:r w:rsidR="00084E58">
        <w:rPr>
          <w:rFonts w:ascii="Times New Roman" w:hAnsi="Times New Roman" w:cs="Times New Roman"/>
          <w:sz w:val="24"/>
          <w:szCs w:val="24"/>
        </w:rPr>
        <w:t>entail</w:t>
      </w:r>
      <w:r w:rsidR="00084E58" w:rsidRPr="00774EDB">
        <w:rPr>
          <w:rFonts w:ascii="Times New Roman" w:hAnsi="Times New Roman" w:cs="Times New Roman"/>
          <w:sz w:val="24"/>
          <w:szCs w:val="24"/>
        </w:rPr>
        <w:t xml:space="preserve"> </w:t>
      </w:r>
      <w:r w:rsidRPr="00774EDB">
        <w:rPr>
          <w:rFonts w:ascii="Times New Roman" w:hAnsi="Times New Roman" w:cs="Times New Roman"/>
          <w:sz w:val="24"/>
          <w:szCs w:val="24"/>
        </w:rPr>
        <w:t xml:space="preserve">a </w:t>
      </w:r>
      <w:r>
        <w:rPr>
          <w:rFonts w:ascii="Times New Roman" w:hAnsi="Times New Roman" w:cs="Times New Roman"/>
          <w:sz w:val="24"/>
          <w:szCs w:val="24"/>
        </w:rPr>
        <w:t>number of</w:t>
      </w:r>
      <w:r w:rsidRPr="00774EDB">
        <w:rPr>
          <w:rFonts w:ascii="Times New Roman" w:hAnsi="Times New Roman" w:cs="Times New Roman"/>
          <w:sz w:val="24"/>
          <w:szCs w:val="24"/>
        </w:rPr>
        <w:t xml:space="preserve"> normative findings </w:t>
      </w:r>
      <w:r w:rsidR="002F389A">
        <w:rPr>
          <w:rFonts w:ascii="Times New Roman" w:hAnsi="Times New Roman" w:cs="Times New Roman"/>
          <w:sz w:val="24"/>
          <w:szCs w:val="24"/>
        </w:rPr>
        <w:t>following the given milestones</w:t>
      </w:r>
      <w:r w:rsidRPr="00774EDB">
        <w:rPr>
          <w:rFonts w:ascii="Times New Roman" w:hAnsi="Times New Roman" w:cs="Times New Roman"/>
          <w:sz w:val="24"/>
          <w:szCs w:val="24"/>
        </w:rPr>
        <w:t xml:space="preserve">. While the main outcome </w:t>
      </w:r>
      <w:r>
        <w:rPr>
          <w:rFonts w:ascii="Times New Roman" w:hAnsi="Times New Roman" w:cs="Times New Roman"/>
          <w:sz w:val="24"/>
          <w:szCs w:val="24"/>
        </w:rPr>
        <w:t>and contribut</w:t>
      </w:r>
      <w:r w:rsidR="00B060C2">
        <w:rPr>
          <w:rFonts w:ascii="Times New Roman" w:hAnsi="Times New Roman" w:cs="Times New Roman"/>
          <w:sz w:val="24"/>
          <w:szCs w:val="24"/>
        </w:rPr>
        <w:t>ion</w:t>
      </w:r>
      <w:r>
        <w:rPr>
          <w:rFonts w:ascii="Times New Roman" w:hAnsi="Times New Roman" w:cs="Times New Roman"/>
          <w:sz w:val="24"/>
          <w:szCs w:val="24"/>
        </w:rPr>
        <w:t xml:space="preserve"> to knowledge </w:t>
      </w:r>
      <w:r w:rsidRPr="00774EDB">
        <w:rPr>
          <w:rFonts w:ascii="Times New Roman" w:hAnsi="Times New Roman" w:cs="Times New Roman"/>
          <w:sz w:val="24"/>
          <w:szCs w:val="24"/>
        </w:rPr>
        <w:t xml:space="preserve">is the </w:t>
      </w:r>
      <w:r w:rsidR="009E26E7">
        <w:rPr>
          <w:rFonts w:ascii="Times New Roman" w:hAnsi="Times New Roman" w:cs="Times New Roman"/>
          <w:sz w:val="24"/>
          <w:szCs w:val="24"/>
        </w:rPr>
        <w:t>proposed</w:t>
      </w:r>
      <w:r w:rsidRPr="00774EDB">
        <w:rPr>
          <w:rFonts w:ascii="Times New Roman" w:hAnsi="Times New Roman" w:cs="Times New Roman"/>
          <w:sz w:val="24"/>
          <w:szCs w:val="24"/>
        </w:rPr>
        <w:t xml:space="preserve"> ‘layered regulatory model’, this model’s</w:t>
      </w:r>
      <w:r>
        <w:rPr>
          <w:rFonts w:ascii="Times New Roman" w:hAnsi="Times New Roman" w:cs="Times New Roman"/>
          <w:sz w:val="24"/>
          <w:szCs w:val="24"/>
        </w:rPr>
        <w:t xml:space="preserve"> </w:t>
      </w:r>
      <w:r w:rsidRPr="00774EDB">
        <w:rPr>
          <w:rFonts w:ascii="Times New Roman" w:hAnsi="Times New Roman" w:cs="Times New Roman"/>
          <w:sz w:val="24"/>
          <w:szCs w:val="24"/>
        </w:rPr>
        <w:t xml:space="preserve">interaction with many related themes and concepts </w:t>
      </w:r>
      <w:r w:rsidR="00CB571E">
        <w:rPr>
          <w:rFonts w:ascii="Times New Roman" w:hAnsi="Times New Roman" w:cs="Times New Roman"/>
          <w:sz w:val="24"/>
          <w:szCs w:val="24"/>
        </w:rPr>
        <w:t>e.g.</w:t>
      </w:r>
      <w:r w:rsidRPr="00774EDB">
        <w:rPr>
          <w:rFonts w:ascii="Times New Roman" w:hAnsi="Times New Roman" w:cs="Times New Roman"/>
          <w:sz w:val="24"/>
          <w:szCs w:val="24"/>
        </w:rPr>
        <w:t xml:space="preserve"> </w:t>
      </w:r>
      <w:r w:rsidR="009E26E7">
        <w:rPr>
          <w:rFonts w:ascii="Times New Roman" w:hAnsi="Times New Roman" w:cs="Times New Roman"/>
          <w:sz w:val="24"/>
          <w:szCs w:val="24"/>
        </w:rPr>
        <w:t xml:space="preserve">gatekeeping activities, </w:t>
      </w:r>
      <w:r w:rsidRPr="00774EDB">
        <w:rPr>
          <w:rFonts w:ascii="Times New Roman" w:hAnsi="Times New Roman" w:cs="Times New Roman"/>
          <w:sz w:val="24"/>
          <w:szCs w:val="24"/>
        </w:rPr>
        <w:t xml:space="preserve">AI </w:t>
      </w:r>
      <w:r w:rsidR="004739E1">
        <w:rPr>
          <w:rFonts w:ascii="Times New Roman" w:hAnsi="Times New Roman" w:cs="Times New Roman"/>
          <w:sz w:val="24"/>
          <w:szCs w:val="24"/>
        </w:rPr>
        <w:t xml:space="preserve">based </w:t>
      </w:r>
      <w:r w:rsidR="00D73B64">
        <w:rPr>
          <w:rFonts w:ascii="Times New Roman" w:hAnsi="Times New Roman" w:cs="Times New Roman"/>
          <w:sz w:val="24"/>
          <w:szCs w:val="24"/>
        </w:rPr>
        <w:t xml:space="preserve">algorithms </w:t>
      </w:r>
      <w:r w:rsidR="00CB571E">
        <w:rPr>
          <w:rFonts w:ascii="Times New Roman" w:hAnsi="Times New Roman" w:cs="Times New Roman"/>
          <w:sz w:val="24"/>
          <w:szCs w:val="24"/>
        </w:rPr>
        <w:t xml:space="preserve">and accompanying ethical concerns, </w:t>
      </w:r>
      <w:r w:rsidR="004739E1">
        <w:rPr>
          <w:rFonts w:ascii="Times New Roman" w:hAnsi="Times New Roman" w:cs="Times New Roman"/>
          <w:sz w:val="24"/>
          <w:szCs w:val="24"/>
        </w:rPr>
        <w:t xml:space="preserve">also </w:t>
      </w:r>
      <w:r w:rsidR="00CB571E" w:rsidRPr="00774EDB">
        <w:rPr>
          <w:rFonts w:ascii="Times New Roman" w:hAnsi="Times New Roman" w:cs="Times New Roman"/>
          <w:sz w:val="24"/>
          <w:szCs w:val="24"/>
        </w:rPr>
        <w:t>need</w:t>
      </w:r>
      <w:r w:rsidR="00CB571E">
        <w:rPr>
          <w:rFonts w:ascii="Times New Roman" w:hAnsi="Times New Roman" w:cs="Times New Roman"/>
          <w:sz w:val="24"/>
          <w:szCs w:val="24"/>
        </w:rPr>
        <w:t>s to be noted</w:t>
      </w:r>
      <w:r w:rsidRPr="00774EDB">
        <w:rPr>
          <w:rFonts w:ascii="Times New Roman" w:hAnsi="Times New Roman" w:cs="Times New Roman"/>
          <w:sz w:val="24"/>
          <w:szCs w:val="24"/>
        </w:rPr>
        <w:t xml:space="preserve">. </w:t>
      </w:r>
      <w:r w:rsidR="00CB571E">
        <w:rPr>
          <w:rFonts w:ascii="Times New Roman" w:hAnsi="Times New Roman" w:cs="Times New Roman"/>
          <w:sz w:val="24"/>
          <w:szCs w:val="24"/>
        </w:rPr>
        <w:t xml:space="preserve">While this interaction is elaborated in the thesis to a certain extent, this endeavour </w:t>
      </w:r>
      <w:r w:rsidR="009E26E7">
        <w:rPr>
          <w:rFonts w:ascii="Times New Roman" w:hAnsi="Times New Roman" w:cs="Times New Roman"/>
          <w:sz w:val="24"/>
          <w:szCs w:val="24"/>
        </w:rPr>
        <w:t>would</w:t>
      </w:r>
      <w:r w:rsidR="00CB571E">
        <w:rPr>
          <w:rFonts w:ascii="Times New Roman" w:hAnsi="Times New Roman" w:cs="Times New Roman"/>
          <w:sz w:val="24"/>
          <w:szCs w:val="24"/>
        </w:rPr>
        <w:t xml:space="preserve"> </w:t>
      </w:r>
      <w:r w:rsidR="00DF0CB2">
        <w:rPr>
          <w:rFonts w:ascii="Times New Roman" w:hAnsi="Times New Roman" w:cs="Times New Roman"/>
          <w:sz w:val="24"/>
          <w:szCs w:val="24"/>
        </w:rPr>
        <w:t xml:space="preserve">better </w:t>
      </w:r>
      <w:r w:rsidR="00CB571E">
        <w:rPr>
          <w:rFonts w:ascii="Times New Roman" w:hAnsi="Times New Roman" w:cs="Times New Roman"/>
          <w:sz w:val="24"/>
          <w:szCs w:val="24"/>
        </w:rPr>
        <w:t xml:space="preserve">be </w:t>
      </w:r>
      <w:r w:rsidR="00DF0CB2">
        <w:rPr>
          <w:rFonts w:ascii="Times New Roman" w:hAnsi="Times New Roman" w:cs="Times New Roman"/>
          <w:sz w:val="24"/>
          <w:szCs w:val="24"/>
        </w:rPr>
        <w:t>complement</w:t>
      </w:r>
      <w:r w:rsidR="00CB571E">
        <w:rPr>
          <w:rFonts w:ascii="Times New Roman" w:hAnsi="Times New Roman" w:cs="Times New Roman"/>
          <w:sz w:val="24"/>
          <w:szCs w:val="24"/>
        </w:rPr>
        <w:t xml:space="preserve">ed </w:t>
      </w:r>
      <w:r w:rsidR="00DF0CB2">
        <w:rPr>
          <w:rFonts w:ascii="Times New Roman" w:hAnsi="Times New Roman" w:cs="Times New Roman"/>
          <w:sz w:val="24"/>
          <w:szCs w:val="24"/>
        </w:rPr>
        <w:t xml:space="preserve">and pursued </w:t>
      </w:r>
      <w:r w:rsidR="00CB571E">
        <w:rPr>
          <w:rFonts w:ascii="Times New Roman" w:hAnsi="Times New Roman" w:cs="Times New Roman"/>
          <w:sz w:val="24"/>
          <w:szCs w:val="24"/>
        </w:rPr>
        <w:t xml:space="preserve">with further research. </w:t>
      </w:r>
      <w:bookmarkStart w:id="774" w:name="_Hlk52755662"/>
      <w:r w:rsidR="004739E1">
        <w:rPr>
          <w:rFonts w:ascii="Times New Roman" w:hAnsi="Times New Roman" w:cs="Times New Roman"/>
          <w:sz w:val="24"/>
          <w:szCs w:val="24"/>
        </w:rPr>
        <w:t>It is always welcome</w:t>
      </w:r>
      <w:r w:rsidR="004739E1" w:rsidRPr="00774EDB" w:rsidDel="00CB571E">
        <w:rPr>
          <w:rFonts w:ascii="Times New Roman" w:hAnsi="Times New Roman" w:cs="Times New Roman"/>
          <w:sz w:val="24"/>
          <w:szCs w:val="24"/>
        </w:rPr>
        <w:t xml:space="preserve"> </w:t>
      </w:r>
      <w:r w:rsidR="004739E1">
        <w:rPr>
          <w:rFonts w:ascii="Times New Roman" w:hAnsi="Times New Roman" w:cs="Times New Roman"/>
          <w:sz w:val="24"/>
          <w:szCs w:val="24"/>
        </w:rPr>
        <w:t>to see f</w:t>
      </w:r>
      <w:r w:rsidRPr="00774EDB">
        <w:rPr>
          <w:rFonts w:ascii="Times New Roman" w:hAnsi="Times New Roman" w:cs="Times New Roman"/>
          <w:sz w:val="24"/>
          <w:szCs w:val="24"/>
        </w:rPr>
        <w:t xml:space="preserve">uture efforts in this </w:t>
      </w:r>
      <w:r w:rsidR="00CB571E">
        <w:rPr>
          <w:rFonts w:ascii="Times New Roman" w:hAnsi="Times New Roman" w:cs="Times New Roman"/>
          <w:sz w:val="24"/>
          <w:szCs w:val="24"/>
        </w:rPr>
        <w:t>field of research delving further into</w:t>
      </w:r>
      <w:r w:rsidRPr="00774EDB">
        <w:rPr>
          <w:rFonts w:ascii="Times New Roman" w:hAnsi="Times New Roman" w:cs="Times New Roman"/>
          <w:sz w:val="24"/>
          <w:szCs w:val="24"/>
        </w:rPr>
        <w:t xml:space="preserve"> the regulatory frontiers of the </w:t>
      </w:r>
      <w:r>
        <w:rPr>
          <w:rFonts w:ascii="Times New Roman" w:hAnsi="Times New Roman" w:cs="Times New Roman"/>
          <w:sz w:val="24"/>
          <w:szCs w:val="24"/>
        </w:rPr>
        <w:t>propos</w:t>
      </w:r>
      <w:r w:rsidRPr="00774EDB">
        <w:rPr>
          <w:rFonts w:ascii="Times New Roman" w:hAnsi="Times New Roman" w:cs="Times New Roman"/>
          <w:sz w:val="24"/>
          <w:szCs w:val="24"/>
        </w:rPr>
        <w:t xml:space="preserve">ed model, </w:t>
      </w:r>
      <w:r w:rsidR="009E26E7">
        <w:rPr>
          <w:rFonts w:ascii="Times New Roman" w:hAnsi="Times New Roman" w:cs="Times New Roman"/>
          <w:sz w:val="24"/>
          <w:szCs w:val="24"/>
        </w:rPr>
        <w:t>particularly regar</w:t>
      </w:r>
      <w:r w:rsidRPr="00774EDB">
        <w:rPr>
          <w:rFonts w:ascii="Times New Roman" w:hAnsi="Times New Roman" w:cs="Times New Roman"/>
          <w:sz w:val="24"/>
          <w:szCs w:val="24"/>
        </w:rPr>
        <w:t>ding un-ethical</w:t>
      </w:r>
      <w:r w:rsidR="004739E1">
        <w:rPr>
          <w:rFonts w:ascii="Times New Roman" w:hAnsi="Times New Roman" w:cs="Times New Roman"/>
          <w:sz w:val="24"/>
          <w:szCs w:val="24"/>
        </w:rPr>
        <w:t xml:space="preserve"> and</w:t>
      </w:r>
      <w:r w:rsidRPr="00774EDB">
        <w:rPr>
          <w:rFonts w:ascii="Times New Roman" w:hAnsi="Times New Roman" w:cs="Times New Roman"/>
          <w:sz w:val="24"/>
          <w:szCs w:val="24"/>
        </w:rPr>
        <w:t xml:space="preserve"> democratically unjustifiable aspects of </w:t>
      </w:r>
      <w:r w:rsidR="00CB571E">
        <w:rPr>
          <w:rFonts w:ascii="Times New Roman" w:hAnsi="Times New Roman" w:cs="Times New Roman"/>
          <w:sz w:val="24"/>
          <w:szCs w:val="24"/>
        </w:rPr>
        <w:t>the gatekeeping activities with a more focus on the AI</w:t>
      </w:r>
      <w:r w:rsidR="00D73B64">
        <w:rPr>
          <w:rFonts w:ascii="Times New Roman" w:hAnsi="Times New Roman" w:cs="Times New Roman"/>
          <w:sz w:val="24"/>
          <w:szCs w:val="24"/>
        </w:rPr>
        <w:t xml:space="preserve"> aspects</w:t>
      </w:r>
      <w:r w:rsidRPr="00774EDB">
        <w:rPr>
          <w:rFonts w:ascii="Times New Roman" w:hAnsi="Times New Roman" w:cs="Times New Roman"/>
          <w:sz w:val="24"/>
          <w:szCs w:val="24"/>
        </w:rPr>
        <w:t>.</w:t>
      </w:r>
      <w:bookmarkEnd w:id="774"/>
      <w:r w:rsidR="00A476C9" w:rsidRPr="00774EDB">
        <w:rPr>
          <w:rFonts w:ascii="Times New Roman" w:hAnsi="Times New Roman" w:cs="Times New Roman"/>
          <w:sz w:val="24"/>
          <w:szCs w:val="24"/>
        </w:rPr>
        <w:t xml:space="preserve">  </w:t>
      </w:r>
      <w:r w:rsidR="00354C2B" w:rsidRPr="00774EDB">
        <w:rPr>
          <w:rFonts w:ascii="Times New Roman" w:hAnsi="Times New Roman" w:cs="Times New Roman"/>
          <w:sz w:val="24"/>
          <w:szCs w:val="24"/>
        </w:rPr>
        <w:t xml:space="preserve">  </w:t>
      </w:r>
      <w:r w:rsidR="00925BD1" w:rsidRPr="00774EDB">
        <w:rPr>
          <w:rFonts w:ascii="Times New Roman" w:hAnsi="Times New Roman" w:cs="Times New Roman"/>
          <w:sz w:val="24"/>
          <w:szCs w:val="24"/>
        </w:rPr>
        <w:t xml:space="preserve">  </w:t>
      </w:r>
      <w:r w:rsidR="00EB4339" w:rsidRPr="00774EDB">
        <w:rPr>
          <w:rFonts w:ascii="Times New Roman" w:hAnsi="Times New Roman" w:cs="Times New Roman"/>
          <w:sz w:val="24"/>
          <w:szCs w:val="24"/>
        </w:rPr>
        <w:t xml:space="preserve"> </w:t>
      </w:r>
      <w:r w:rsidR="000869D0" w:rsidRPr="00774EDB">
        <w:rPr>
          <w:rFonts w:ascii="Times New Roman" w:hAnsi="Times New Roman" w:cs="Times New Roman"/>
          <w:sz w:val="24"/>
          <w:szCs w:val="24"/>
        </w:rPr>
        <w:t xml:space="preserve"> </w:t>
      </w:r>
    </w:p>
    <w:p w14:paraId="66E4110E" w14:textId="77777777" w:rsidR="005A3379" w:rsidRPr="00A70042" w:rsidRDefault="005A3379" w:rsidP="00A70042">
      <w:pPr>
        <w:pStyle w:val="ListParagraph"/>
        <w:ind w:left="1068"/>
        <w:jc w:val="both"/>
        <w:rPr>
          <w:rFonts w:ascii="Times New Roman" w:hAnsi="Times New Roman" w:cs="Times New Roman"/>
          <w:sz w:val="24"/>
          <w:szCs w:val="24"/>
        </w:rPr>
      </w:pPr>
    </w:p>
    <w:p w14:paraId="24ED0562" w14:textId="77777777" w:rsidR="004739E1" w:rsidRPr="00FD2CCB" w:rsidRDefault="004739E1" w:rsidP="00FD2CCB">
      <w:bookmarkStart w:id="775" w:name="_Toc17611527"/>
    </w:p>
    <w:p w14:paraId="30FA1007" w14:textId="2E8310D6" w:rsidR="00CE218C" w:rsidRPr="00774EDB" w:rsidRDefault="00BB0E29" w:rsidP="00A70042">
      <w:pPr>
        <w:pStyle w:val="Heading1"/>
        <w:jc w:val="both"/>
        <w:rPr>
          <w:rFonts w:ascii="Times New Roman" w:hAnsi="Times New Roman" w:cs="Times New Roman"/>
          <w:b/>
          <w:bCs/>
          <w:color w:val="auto"/>
          <w:sz w:val="24"/>
          <w:szCs w:val="24"/>
        </w:rPr>
      </w:pPr>
      <w:bookmarkStart w:id="776" w:name="_Toc53576135"/>
      <w:r w:rsidRPr="00774EDB">
        <w:rPr>
          <w:rFonts w:ascii="Times New Roman" w:hAnsi="Times New Roman" w:cs="Times New Roman"/>
          <w:b/>
          <w:bCs/>
          <w:color w:val="auto"/>
          <w:sz w:val="24"/>
          <w:szCs w:val="24"/>
        </w:rPr>
        <w:lastRenderedPageBreak/>
        <w:t>Bibliography</w:t>
      </w:r>
      <w:bookmarkEnd w:id="775"/>
      <w:bookmarkEnd w:id="776"/>
    </w:p>
    <w:p w14:paraId="195E5699" w14:textId="77777777" w:rsidR="00BB0E29" w:rsidRPr="00A70042" w:rsidRDefault="00BB0E29" w:rsidP="00A70042">
      <w:pPr>
        <w:jc w:val="both"/>
        <w:rPr>
          <w:rFonts w:ascii="Times New Roman" w:hAnsi="Times New Roman" w:cs="Times New Roman"/>
          <w:sz w:val="24"/>
          <w:szCs w:val="24"/>
        </w:rPr>
      </w:pPr>
    </w:p>
    <w:p w14:paraId="0B26BBDB" w14:textId="4C346550" w:rsidR="00CF46FC" w:rsidRDefault="00CF46FC" w:rsidP="00A70042">
      <w:pPr>
        <w:jc w:val="both"/>
        <w:rPr>
          <w:rFonts w:ascii="Times New Roman" w:hAnsi="Times New Roman" w:cs="Times New Roman"/>
          <w:sz w:val="24"/>
          <w:szCs w:val="24"/>
        </w:rPr>
      </w:pPr>
      <w:r w:rsidRPr="00774EDB">
        <w:rPr>
          <w:rFonts w:ascii="Times New Roman" w:hAnsi="Times New Roman" w:cs="Times New Roman"/>
          <w:sz w:val="24"/>
          <w:szCs w:val="24"/>
        </w:rPr>
        <w:t>International and European Treaties</w:t>
      </w:r>
    </w:p>
    <w:p w14:paraId="111F8B0D" w14:textId="77777777" w:rsidR="00FD2CCB" w:rsidRPr="00774EDB" w:rsidRDefault="00FD2CCB" w:rsidP="00A70042">
      <w:pPr>
        <w:jc w:val="both"/>
        <w:rPr>
          <w:rFonts w:ascii="Times New Roman" w:hAnsi="Times New Roman" w:cs="Times New Roman"/>
          <w:b/>
          <w:bCs/>
          <w:sz w:val="24"/>
          <w:szCs w:val="24"/>
        </w:rPr>
      </w:pPr>
    </w:p>
    <w:p w14:paraId="58C319F4" w14:textId="77777777" w:rsidR="00922883" w:rsidRPr="00D40D37" w:rsidRDefault="00922883" w:rsidP="0092288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Agreement on Trade-related Aspects of Intellectual Property Rights</w:t>
      </w:r>
      <w:r>
        <w:rPr>
          <w:rFonts w:ascii="Times New Roman" w:hAnsi="Times New Roman" w:cs="Times New Roman"/>
          <w:sz w:val="24"/>
          <w:szCs w:val="24"/>
        </w:rPr>
        <w:t xml:space="preserve">, </w:t>
      </w:r>
      <w:r w:rsidRPr="00D40D37">
        <w:rPr>
          <w:rFonts w:ascii="Times New Roman" w:hAnsi="Times New Roman" w:cs="Times New Roman"/>
          <w:sz w:val="24"/>
          <w:szCs w:val="24"/>
        </w:rPr>
        <w:t>Annex 1C of the Marrakesh Agreement Establishing the WTO (‘TRIPS Agreement’)</w:t>
      </w:r>
    </w:p>
    <w:p w14:paraId="4FC77E81" w14:textId="77777777" w:rsidR="00922883" w:rsidRPr="00D40D37" w:rsidRDefault="00922883" w:rsidP="0092288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Berne Convention for the Protection of Literary and Artistic Works (as amended on </w:t>
      </w:r>
      <w:r>
        <w:rPr>
          <w:rFonts w:ascii="Times New Roman" w:hAnsi="Times New Roman" w:cs="Times New Roman"/>
          <w:sz w:val="24"/>
          <w:szCs w:val="24"/>
          <w:lang w:val="en-US"/>
        </w:rPr>
        <w:t xml:space="preserve">28th </w:t>
      </w:r>
      <w:r w:rsidRPr="00D40D37">
        <w:rPr>
          <w:rFonts w:ascii="Times New Roman" w:hAnsi="Times New Roman" w:cs="Times New Roman"/>
          <w:sz w:val="24"/>
          <w:szCs w:val="24"/>
          <w:lang w:val="en-US"/>
        </w:rPr>
        <w:t>September 1979)</w:t>
      </w:r>
      <w:r>
        <w:rPr>
          <w:rFonts w:ascii="Times New Roman" w:hAnsi="Times New Roman" w:cs="Times New Roman"/>
          <w:sz w:val="24"/>
          <w:szCs w:val="24"/>
          <w:lang w:val="en-US"/>
        </w:rPr>
        <w:t xml:space="preserve"> (‘Bern Convention’)</w:t>
      </w:r>
    </w:p>
    <w:p w14:paraId="334D050A" w14:textId="77777777" w:rsidR="00922883" w:rsidRPr="00E16086" w:rsidRDefault="00922883" w:rsidP="00922883">
      <w:pPr>
        <w:pStyle w:val="ListParagraph"/>
        <w:numPr>
          <w:ilvl w:val="0"/>
          <w:numId w:val="22"/>
        </w:numPr>
        <w:jc w:val="both"/>
        <w:rPr>
          <w:rFonts w:ascii="Times New Roman" w:hAnsi="Times New Roman" w:cs="Times New Roman"/>
          <w:sz w:val="24"/>
          <w:szCs w:val="24"/>
        </w:rPr>
      </w:pPr>
      <w:r w:rsidRPr="00E16086">
        <w:rPr>
          <w:rFonts w:ascii="Times New Roman" w:hAnsi="Times New Roman" w:cs="Times New Roman"/>
          <w:sz w:val="24"/>
          <w:szCs w:val="24"/>
        </w:rPr>
        <w:t>Consolidated Version of the Treaty on European Union [2008] OJ C115/13</w:t>
      </w:r>
      <w:r>
        <w:rPr>
          <w:rFonts w:ascii="Times New Roman" w:hAnsi="Times New Roman" w:cs="Times New Roman"/>
          <w:sz w:val="24"/>
          <w:szCs w:val="24"/>
        </w:rPr>
        <w:t xml:space="preserve"> (‘TEU’)</w:t>
      </w:r>
    </w:p>
    <w:p w14:paraId="2CC712DF" w14:textId="77777777" w:rsidR="00922883" w:rsidRPr="00D40D37" w:rsidRDefault="00922883" w:rsidP="0092288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Consolidated version of the Treaty on the Functioning of the European Union [2012] OJ C 326</w:t>
      </w:r>
      <w:r>
        <w:rPr>
          <w:rFonts w:ascii="Times New Roman" w:hAnsi="Times New Roman" w:cs="Times New Roman"/>
          <w:sz w:val="24"/>
          <w:szCs w:val="24"/>
        </w:rPr>
        <w:t xml:space="preserve"> (‘TFEU’)</w:t>
      </w:r>
    </w:p>
    <w:p w14:paraId="2BE39FD9" w14:textId="48FB053E" w:rsidR="00934626" w:rsidRPr="00774EDB" w:rsidRDefault="0092288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Paris Convention for the Protection of Industrial Property (as revised at Stockholm in 1967)</w:t>
      </w:r>
    </w:p>
    <w:p w14:paraId="02378234" w14:textId="77777777" w:rsidR="00D40D37" w:rsidRPr="00774EDB" w:rsidRDefault="00D40D37" w:rsidP="00A70042">
      <w:pPr>
        <w:pStyle w:val="ListParagraph"/>
        <w:ind w:left="1068"/>
        <w:jc w:val="both"/>
        <w:rPr>
          <w:rFonts w:ascii="Times New Roman" w:hAnsi="Times New Roman" w:cs="Times New Roman"/>
          <w:sz w:val="24"/>
          <w:szCs w:val="24"/>
        </w:rPr>
      </w:pPr>
    </w:p>
    <w:p w14:paraId="552972AE" w14:textId="3045D635" w:rsidR="00CF46FC" w:rsidRPr="00774EDB" w:rsidRDefault="00934626" w:rsidP="00A70042">
      <w:pPr>
        <w:pStyle w:val="ListParagraph"/>
        <w:ind w:left="0"/>
        <w:jc w:val="both"/>
        <w:rPr>
          <w:rFonts w:ascii="Times New Roman" w:hAnsi="Times New Roman" w:cs="Times New Roman"/>
          <w:sz w:val="24"/>
          <w:szCs w:val="24"/>
        </w:rPr>
      </w:pPr>
      <w:r w:rsidRPr="00774EDB">
        <w:rPr>
          <w:rFonts w:ascii="Times New Roman" w:hAnsi="Times New Roman" w:cs="Times New Roman"/>
          <w:sz w:val="24"/>
          <w:szCs w:val="24"/>
        </w:rPr>
        <w:t>EU legislation</w:t>
      </w:r>
      <w:r w:rsidR="00D40D37" w:rsidRPr="00774EDB">
        <w:rPr>
          <w:rFonts w:ascii="Times New Roman" w:hAnsi="Times New Roman" w:cs="Times New Roman"/>
          <w:sz w:val="24"/>
          <w:szCs w:val="24"/>
        </w:rPr>
        <w:t xml:space="preserve"> (Regulations, Directives)</w:t>
      </w:r>
    </w:p>
    <w:p w14:paraId="4CDA7B55" w14:textId="77777777" w:rsidR="00934626" w:rsidRPr="00774EDB" w:rsidRDefault="00934626" w:rsidP="00A70042">
      <w:pPr>
        <w:pStyle w:val="ListParagraph"/>
        <w:ind w:left="1068"/>
        <w:jc w:val="both"/>
        <w:rPr>
          <w:rFonts w:ascii="Times New Roman" w:hAnsi="Times New Roman" w:cs="Times New Roman"/>
          <w:sz w:val="24"/>
          <w:szCs w:val="24"/>
        </w:rPr>
      </w:pPr>
    </w:p>
    <w:p w14:paraId="52F7FAAC" w14:textId="77777777" w:rsidR="00864C2E" w:rsidRDefault="00864C2E" w:rsidP="00864C2E">
      <w:pPr>
        <w:pStyle w:val="ListParagraph"/>
        <w:numPr>
          <w:ilvl w:val="0"/>
          <w:numId w:val="22"/>
        </w:numPr>
        <w:jc w:val="both"/>
        <w:rPr>
          <w:rFonts w:ascii="Times New Roman" w:hAnsi="Times New Roman" w:cs="Times New Roman"/>
          <w:sz w:val="24"/>
          <w:szCs w:val="24"/>
        </w:rPr>
      </w:pPr>
      <w:r w:rsidRPr="007D2564">
        <w:rPr>
          <w:rFonts w:ascii="Times New Roman" w:hAnsi="Times New Roman" w:cs="Times New Roman"/>
          <w:sz w:val="24"/>
          <w:szCs w:val="24"/>
        </w:rPr>
        <w:t>Commission Directive (</w:t>
      </w:r>
      <w:r>
        <w:rPr>
          <w:rFonts w:ascii="Times New Roman" w:hAnsi="Times New Roman" w:cs="Times New Roman"/>
          <w:sz w:val="24"/>
          <w:szCs w:val="24"/>
        </w:rPr>
        <w:t>E</w:t>
      </w:r>
      <w:r w:rsidRPr="007D2564">
        <w:rPr>
          <w:rFonts w:ascii="Times New Roman" w:hAnsi="Times New Roman" w:cs="Times New Roman"/>
          <w:sz w:val="24"/>
          <w:szCs w:val="24"/>
        </w:rPr>
        <w:t>E</w:t>
      </w:r>
      <w:r>
        <w:rPr>
          <w:rFonts w:ascii="Times New Roman" w:hAnsi="Times New Roman" w:cs="Times New Roman"/>
          <w:sz w:val="24"/>
          <w:szCs w:val="24"/>
        </w:rPr>
        <w:t>C</w:t>
      </w:r>
      <w:r w:rsidRPr="007D2564">
        <w:rPr>
          <w:rFonts w:ascii="Times New Roman" w:hAnsi="Times New Roman" w:cs="Times New Roman"/>
          <w:sz w:val="24"/>
          <w:szCs w:val="24"/>
        </w:rPr>
        <w:t>) 90/388 of 28 June 1990 on competition in the markets for telecommunications services [1990] OJ 1990 L 192/10</w:t>
      </w:r>
    </w:p>
    <w:p w14:paraId="0E588C2D" w14:textId="77777777" w:rsidR="00864C2E" w:rsidRPr="00F305EF" w:rsidRDefault="00864C2E" w:rsidP="00864C2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Commission Directive (E</w:t>
      </w:r>
      <w:r>
        <w:rPr>
          <w:rFonts w:ascii="Times New Roman" w:hAnsi="Times New Roman" w:cs="Times New Roman"/>
          <w:sz w:val="24"/>
          <w:szCs w:val="24"/>
        </w:rPr>
        <w:t>EC</w:t>
      </w:r>
      <w:r w:rsidRPr="00D40D37">
        <w:rPr>
          <w:rFonts w:ascii="Times New Roman" w:hAnsi="Times New Roman" w:cs="Times New Roman"/>
          <w:sz w:val="24"/>
          <w:szCs w:val="24"/>
        </w:rPr>
        <w:t>) 88/301 of 16 May 1988 on competition in the markets in telecommunications terminal equipment [1988] OJ 1988 L 131/73</w:t>
      </w:r>
    </w:p>
    <w:p w14:paraId="76065F34" w14:textId="77777777" w:rsidR="00864C2E" w:rsidRDefault="00864C2E" w:rsidP="00864C2E">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Council </w:t>
      </w:r>
      <w:r w:rsidRPr="00F709CC">
        <w:rPr>
          <w:rFonts w:ascii="Times New Roman" w:hAnsi="Times New Roman" w:cs="Times New Roman"/>
          <w:sz w:val="24"/>
          <w:szCs w:val="24"/>
        </w:rPr>
        <w:t xml:space="preserve">Directive (EU) 2019/790 of the European Parliament and of the Council of 17 April 2019 on Copyright and Related Rights in the Digital </w:t>
      </w:r>
      <w:r w:rsidRPr="00F709CC">
        <w:rPr>
          <w:rFonts w:ascii="Times New Roman" w:hAnsi="Times New Roman" w:cs="Times New Roman"/>
          <w:sz w:val="24"/>
          <w:szCs w:val="24"/>
        </w:rPr>
        <w:lastRenderedPageBreak/>
        <w:t>Single Market and Amending Directives 96/9/EC and 2001/29/EC [2019] OJ L 130 (‘Directive on Copyright in the Digital Single Market’)</w:t>
      </w:r>
    </w:p>
    <w:p w14:paraId="6D7F4B51" w14:textId="77777777" w:rsidR="00864C2E" w:rsidRDefault="00864C2E" w:rsidP="00864C2E">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Council </w:t>
      </w:r>
      <w:r w:rsidRPr="00D40D37">
        <w:rPr>
          <w:rFonts w:ascii="Times New Roman" w:hAnsi="Times New Roman" w:cs="Times New Roman"/>
          <w:sz w:val="24"/>
          <w:szCs w:val="24"/>
        </w:rPr>
        <w:t>Directive (EU) 2018/1972 of the European Parliament and of the Council of 11 December 2018 establishing the European Electronic Communications Code</w:t>
      </w:r>
      <w:r>
        <w:rPr>
          <w:rFonts w:ascii="Times New Roman" w:hAnsi="Times New Roman" w:cs="Times New Roman"/>
          <w:sz w:val="24"/>
          <w:szCs w:val="24"/>
        </w:rPr>
        <w:t xml:space="preserve"> [2018]</w:t>
      </w:r>
      <w:r w:rsidRPr="00D40D37">
        <w:rPr>
          <w:rFonts w:ascii="Times New Roman" w:hAnsi="Times New Roman" w:cs="Times New Roman"/>
          <w:sz w:val="24"/>
          <w:szCs w:val="24"/>
        </w:rPr>
        <w:t xml:space="preserve"> </w:t>
      </w:r>
      <w:r>
        <w:rPr>
          <w:rFonts w:ascii="Times New Roman" w:hAnsi="Times New Roman" w:cs="Times New Roman"/>
          <w:sz w:val="24"/>
          <w:szCs w:val="24"/>
        </w:rPr>
        <w:t xml:space="preserve">OJ </w:t>
      </w:r>
      <w:r w:rsidRPr="00F305EF">
        <w:rPr>
          <w:rFonts w:ascii="Times New Roman" w:hAnsi="Times New Roman" w:cs="Times New Roman"/>
          <w:sz w:val="24"/>
          <w:szCs w:val="24"/>
        </w:rPr>
        <w:t xml:space="preserve">L 321/36 </w:t>
      </w:r>
      <w:r w:rsidRPr="00D40D37">
        <w:rPr>
          <w:rFonts w:ascii="Times New Roman" w:hAnsi="Times New Roman" w:cs="Times New Roman"/>
          <w:sz w:val="24"/>
          <w:szCs w:val="24"/>
        </w:rPr>
        <w:t>(</w:t>
      </w:r>
      <w:r>
        <w:rPr>
          <w:rFonts w:ascii="Times New Roman" w:hAnsi="Times New Roman" w:cs="Times New Roman"/>
          <w:sz w:val="24"/>
          <w:szCs w:val="24"/>
        </w:rPr>
        <w:t>‘</w:t>
      </w:r>
      <w:r w:rsidRPr="00D40D37">
        <w:rPr>
          <w:rFonts w:ascii="Times New Roman" w:hAnsi="Times New Roman" w:cs="Times New Roman"/>
          <w:sz w:val="24"/>
          <w:szCs w:val="24"/>
        </w:rPr>
        <w:t>European Electronic Communications Code</w:t>
      </w:r>
      <w:r>
        <w:rPr>
          <w:rFonts w:ascii="Times New Roman" w:hAnsi="Times New Roman" w:cs="Times New Roman"/>
          <w:sz w:val="24"/>
          <w:szCs w:val="24"/>
        </w:rPr>
        <w:t>’</w:t>
      </w:r>
      <w:r w:rsidRPr="00D40D37">
        <w:rPr>
          <w:rFonts w:ascii="Times New Roman" w:hAnsi="Times New Roman" w:cs="Times New Roman"/>
          <w:sz w:val="24"/>
          <w:szCs w:val="24"/>
        </w:rPr>
        <w:t xml:space="preserve"> </w:t>
      </w:r>
      <w:r>
        <w:rPr>
          <w:rFonts w:ascii="Times New Roman" w:hAnsi="Times New Roman" w:cs="Times New Roman"/>
          <w:sz w:val="24"/>
          <w:szCs w:val="24"/>
        </w:rPr>
        <w:t>or ‘</w:t>
      </w:r>
      <w:r w:rsidRPr="00D40D37">
        <w:rPr>
          <w:rFonts w:ascii="Times New Roman" w:hAnsi="Times New Roman" w:cs="Times New Roman"/>
          <w:sz w:val="24"/>
          <w:szCs w:val="24"/>
        </w:rPr>
        <w:t>EECC</w:t>
      </w:r>
      <w:r>
        <w:rPr>
          <w:rFonts w:ascii="Times New Roman" w:hAnsi="Times New Roman" w:cs="Times New Roman"/>
          <w:sz w:val="24"/>
          <w:szCs w:val="24"/>
        </w:rPr>
        <w:t>’</w:t>
      </w:r>
      <w:r w:rsidRPr="00D40D37">
        <w:rPr>
          <w:rFonts w:ascii="Times New Roman" w:hAnsi="Times New Roman" w:cs="Times New Roman"/>
          <w:sz w:val="24"/>
          <w:szCs w:val="24"/>
        </w:rPr>
        <w:t>)</w:t>
      </w:r>
    </w:p>
    <w:p w14:paraId="47796553" w14:textId="77777777" w:rsidR="00864C2E" w:rsidRPr="00F305EF" w:rsidRDefault="00864C2E" w:rsidP="00864C2E">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lang w:val="en-US"/>
        </w:rPr>
        <w:t xml:space="preserve">Council </w:t>
      </w:r>
      <w:r w:rsidRPr="00D40D37">
        <w:rPr>
          <w:rFonts w:ascii="Times New Roman" w:hAnsi="Times New Roman" w:cs="Times New Roman"/>
          <w:sz w:val="24"/>
          <w:szCs w:val="24"/>
          <w:lang w:val="en-US"/>
        </w:rPr>
        <w:t xml:space="preserve">Directive (EU) 2016/943 of the European Parliament and of the Council on 8 June 2016 on the protection of undisclosed know-how and business information (trade secrets) against their unlawful acquisition, use and disclosure </w:t>
      </w:r>
      <w:r>
        <w:rPr>
          <w:rFonts w:ascii="Times New Roman" w:hAnsi="Times New Roman" w:cs="Times New Roman"/>
          <w:sz w:val="24"/>
          <w:szCs w:val="24"/>
          <w:lang w:val="en-US"/>
        </w:rPr>
        <w:t xml:space="preserve">[2016] </w:t>
      </w:r>
      <w:r w:rsidRPr="00E1537C">
        <w:rPr>
          <w:rFonts w:ascii="Times New Roman" w:hAnsi="Times New Roman" w:cs="Times New Roman"/>
          <w:sz w:val="24"/>
          <w:szCs w:val="24"/>
          <w:lang w:val="en-US"/>
        </w:rPr>
        <w:t xml:space="preserve">OJ L 157 </w:t>
      </w:r>
      <w:r w:rsidRPr="00D40D37">
        <w:rPr>
          <w:rFonts w:ascii="Times New Roman" w:hAnsi="Times New Roman" w:cs="Times New Roman"/>
          <w:sz w:val="24"/>
          <w:szCs w:val="24"/>
          <w:lang w:val="en-US"/>
        </w:rPr>
        <w:t>(‘Trade Secrets Directive’)</w:t>
      </w:r>
    </w:p>
    <w:p w14:paraId="17310795" w14:textId="77777777" w:rsidR="00864C2E" w:rsidRPr="00F305EF" w:rsidRDefault="00864C2E" w:rsidP="00864C2E">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Council </w:t>
      </w:r>
      <w:r w:rsidRPr="00D40D37">
        <w:rPr>
          <w:rFonts w:ascii="Times New Roman" w:hAnsi="Times New Roman" w:cs="Times New Roman"/>
          <w:sz w:val="24"/>
          <w:szCs w:val="24"/>
        </w:rPr>
        <w:t>Directive</w:t>
      </w:r>
      <w:r>
        <w:rPr>
          <w:rFonts w:ascii="Times New Roman" w:hAnsi="Times New Roman" w:cs="Times New Roman"/>
          <w:sz w:val="24"/>
          <w:szCs w:val="24"/>
        </w:rPr>
        <w:t xml:space="preserve"> (EU)</w:t>
      </w:r>
      <w:r w:rsidRPr="00D40D37">
        <w:rPr>
          <w:rFonts w:ascii="Times New Roman" w:hAnsi="Times New Roman" w:cs="Times New Roman"/>
          <w:sz w:val="24"/>
          <w:szCs w:val="24"/>
        </w:rPr>
        <w:t xml:space="preserve"> 2014/53 of the European Parliament and of the Council</w:t>
      </w:r>
      <w:r>
        <w:rPr>
          <w:rFonts w:ascii="Times New Roman" w:hAnsi="Times New Roman" w:cs="Times New Roman"/>
          <w:sz w:val="24"/>
          <w:szCs w:val="24"/>
        </w:rPr>
        <w:t xml:space="preserve"> </w:t>
      </w:r>
      <w:r w:rsidRPr="00F709CC">
        <w:rPr>
          <w:rFonts w:ascii="Times New Roman" w:hAnsi="Times New Roman" w:cs="Times New Roman"/>
          <w:sz w:val="24"/>
          <w:szCs w:val="24"/>
        </w:rPr>
        <w:t>of 16 April 2014 on the harmonisation of the laws of the Member States relating to the making available on the market of radio equipment and repealing Directive 1999/5/EC Directive 2009/24/EC of the European Parliament and of the Council of 23 April 2009 on the legal protection of computer programs (Software Directive)</w:t>
      </w:r>
    </w:p>
    <w:p w14:paraId="4EFC9E38" w14:textId="77777777" w:rsidR="00864C2E" w:rsidRDefault="00864C2E" w:rsidP="00864C2E">
      <w:pPr>
        <w:pStyle w:val="ListParagraph"/>
        <w:numPr>
          <w:ilvl w:val="0"/>
          <w:numId w:val="22"/>
        </w:numPr>
        <w:jc w:val="both"/>
        <w:rPr>
          <w:rFonts w:ascii="Times New Roman" w:hAnsi="Times New Roman" w:cs="Times New Roman"/>
          <w:sz w:val="24"/>
          <w:szCs w:val="24"/>
        </w:rPr>
      </w:pPr>
      <w:r w:rsidRPr="008D6D09">
        <w:rPr>
          <w:rFonts w:ascii="Times New Roman" w:hAnsi="Times New Roman" w:cs="Times New Roman"/>
          <w:sz w:val="24"/>
          <w:szCs w:val="24"/>
        </w:rPr>
        <w:t>Council Directive (E</w:t>
      </w:r>
      <w:r>
        <w:rPr>
          <w:rFonts w:ascii="Times New Roman" w:hAnsi="Times New Roman" w:cs="Times New Roman"/>
          <w:sz w:val="24"/>
          <w:szCs w:val="24"/>
        </w:rPr>
        <w:t>C</w:t>
      </w:r>
      <w:r w:rsidRPr="008D6D09">
        <w:rPr>
          <w:rFonts w:ascii="Times New Roman" w:hAnsi="Times New Roman" w:cs="Times New Roman"/>
          <w:sz w:val="24"/>
          <w:szCs w:val="24"/>
        </w:rPr>
        <w:t>) 2009/140 amending Directives 2002/21/EC on a common regulatory framework for electronic communications networks and services, 2002/19/EC on access to, and interconnection of, electronic communications networks and associated facilities, and 2002/20/EC</w:t>
      </w:r>
      <w:r>
        <w:rPr>
          <w:rFonts w:ascii="Times New Roman" w:hAnsi="Times New Roman" w:cs="Times New Roman"/>
          <w:sz w:val="24"/>
          <w:szCs w:val="24"/>
        </w:rPr>
        <w:t xml:space="preserve"> </w:t>
      </w:r>
      <w:r w:rsidRPr="008D6D09">
        <w:rPr>
          <w:rFonts w:ascii="Times New Roman" w:hAnsi="Times New Roman" w:cs="Times New Roman"/>
          <w:sz w:val="24"/>
          <w:szCs w:val="24"/>
        </w:rPr>
        <w:t>on the authorisation of electronic communications networks and services [2009] OJ L 337/37</w:t>
      </w:r>
      <w:r>
        <w:rPr>
          <w:rFonts w:ascii="Times New Roman" w:hAnsi="Times New Roman" w:cs="Times New Roman"/>
          <w:sz w:val="24"/>
          <w:szCs w:val="24"/>
        </w:rPr>
        <w:t xml:space="preserve"> (‘</w:t>
      </w:r>
      <w:r w:rsidRPr="0059098E">
        <w:rPr>
          <w:rFonts w:ascii="Times New Roman" w:hAnsi="Times New Roman" w:cs="Times New Roman"/>
          <w:sz w:val="24"/>
          <w:szCs w:val="24"/>
        </w:rPr>
        <w:t>Better Regulation Directive</w:t>
      </w:r>
      <w:r>
        <w:rPr>
          <w:rFonts w:ascii="Times New Roman" w:hAnsi="Times New Roman" w:cs="Times New Roman"/>
          <w:sz w:val="24"/>
          <w:szCs w:val="24"/>
        </w:rPr>
        <w:t>’)</w:t>
      </w:r>
    </w:p>
    <w:p w14:paraId="4C4EA1EF" w14:textId="77777777" w:rsidR="00864C2E" w:rsidRPr="008D6D09" w:rsidRDefault="00864C2E" w:rsidP="00864C2E">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Council </w:t>
      </w:r>
      <w:r w:rsidRPr="00C003B5">
        <w:rPr>
          <w:rFonts w:ascii="Times New Roman" w:hAnsi="Times New Roman" w:cs="Times New Roman"/>
          <w:sz w:val="24"/>
          <w:szCs w:val="24"/>
        </w:rPr>
        <w:t xml:space="preserve">Directive </w:t>
      </w:r>
      <w:r>
        <w:rPr>
          <w:rFonts w:ascii="Times New Roman" w:hAnsi="Times New Roman" w:cs="Times New Roman"/>
          <w:sz w:val="24"/>
          <w:szCs w:val="24"/>
        </w:rPr>
        <w:t xml:space="preserve">(EC) </w:t>
      </w:r>
      <w:r w:rsidRPr="00C003B5">
        <w:rPr>
          <w:rFonts w:ascii="Times New Roman" w:hAnsi="Times New Roman" w:cs="Times New Roman"/>
          <w:sz w:val="24"/>
          <w:szCs w:val="24"/>
        </w:rPr>
        <w:t xml:space="preserve">2009/136 </w:t>
      </w:r>
      <w:r>
        <w:rPr>
          <w:rFonts w:ascii="Times New Roman" w:hAnsi="Times New Roman" w:cs="Times New Roman"/>
          <w:sz w:val="24"/>
          <w:szCs w:val="24"/>
        </w:rPr>
        <w:t>o</w:t>
      </w:r>
      <w:r w:rsidRPr="00C003B5">
        <w:rPr>
          <w:rFonts w:ascii="Times New Roman" w:hAnsi="Times New Roman" w:cs="Times New Roman"/>
          <w:sz w:val="24"/>
          <w:szCs w:val="24"/>
        </w:rPr>
        <w:t xml:space="preserve">f </w:t>
      </w:r>
      <w:r>
        <w:rPr>
          <w:rFonts w:ascii="Times New Roman" w:hAnsi="Times New Roman" w:cs="Times New Roman"/>
          <w:sz w:val="24"/>
          <w:szCs w:val="24"/>
        </w:rPr>
        <w:t>t</w:t>
      </w:r>
      <w:r w:rsidRPr="00C003B5">
        <w:rPr>
          <w:rFonts w:ascii="Times New Roman" w:hAnsi="Times New Roman" w:cs="Times New Roman"/>
          <w:sz w:val="24"/>
          <w:szCs w:val="24"/>
        </w:rPr>
        <w:t xml:space="preserve">he European Parliament </w:t>
      </w:r>
      <w:r>
        <w:rPr>
          <w:rFonts w:ascii="Times New Roman" w:hAnsi="Times New Roman" w:cs="Times New Roman"/>
          <w:sz w:val="24"/>
          <w:szCs w:val="24"/>
        </w:rPr>
        <w:t>a</w:t>
      </w:r>
      <w:r w:rsidRPr="00C003B5">
        <w:rPr>
          <w:rFonts w:ascii="Times New Roman" w:hAnsi="Times New Roman" w:cs="Times New Roman"/>
          <w:sz w:val="24"/>
          <w:szCs w:val="24"/>
        </w:rPr>
        <w:t xml:space="preserve">nd </w:t>
      </w:r>
      <w:r>
        <w:rPr>
          <w:rFonts w:ascii="Times New Roman" w:hAnsi="Times New Roman" w:cs="Times New Roman"/>
          <w:sz w:val="24"/>
          <w:szCs w:val="24"/>
        </w:rPr>
        <w:t>o</w:t>
      </w:r>
      <w:r w:rsidRPr="00C003B5">
        <w:rPr>
          <w:rFonts w:ascii="Times New Roman" w:hAnsi="Times New Roman" w:cs="Times New Roman"/>
          <w:sz w:val="24"/>
          <w:szCs w:val="24"/>
        </w:rPr>
        <w:t xml:space="preserve">f </w:t>
      </w:r>
      <w:r>
        <w:rPr>
          <w:rFonts w:ascii="Times New Roman" w:hAnsi="Times New Roman" w:cs="Times New Roman"/>
          <w:sz w:val="24"/>
          <w:szCs w:val="24"/>
        </w:rPr>
        <w:t>t</w:t>
      </w:r>
      <w:r w:rsidRPr="00C003B5">
        <w:rPr>
          <w:rFonts w:ascii="Times New Roman" w:hAnsi="Times New Roman" w:cs="Times New Roman"/>
          <w:sz w:val="24"/>
          <w:szCs w:val="24"/>
        </w:rPr>
        <w:t>he Council</w:t>
      </w:r>
      <w:r>
        <w:rPr>
          <w:rFonts w:ascii="Times New Roman" w:hAnsi="Times New Roman" w:cs="Times New Roman"/>
          <w:sz w:val="24"/>
          <w:szCs w:val="24"/>
        </w:rPr>
        <w:t xml:space="preserve"> </w:t>
      </w:r>
      <w:r w:rsidRPr="00C003B5">
        <w:rPr>
          <w:rFonts w:ascii="Times New Roman" w:hAnsi="Times New Roman" w:cs="Times New Roman"/>
          <w:sz w:val="24"/>
          <w:szCs w:val="24"/>
        </w:rPr>
        <w:t xml:space="preserve">of 25 November 2009 amending Directive 2002/22/EC on universal service and users’ rights relating to electronic communications </w:t>
      </w:r>
      <w:r w:rsidRPr="00C003B5">
        <w:rPr>
          <w:rFonts w:ascii="Times New Roman" w:hAnsi="Times New Roman" w:cs="Times New Roman"/>
          <w:sz w:val="24"/>
          <w:szCs w:val="24"/>
        </w:rPr>
        <w:lastRenderedPageBreak/>
        <w:t>networks and services, Directive 2002/58/EC concerning the processing of personal data and the protection of privacy in the electronic communications sector and Regulation (EC) No 2006/2004 on cooperation between national authorities responsible for the enforcement of consumer protection laws</w:t>
      </w:r>
      <w:r>
        <w:rPr>
          <w:rFonts w:ascii="Times New Roman" w:hAnsi="Times New Roman" w:cs="Times New Roman"/>
          <w:sz w:val="24"/>
          <w:szCs w:val="24"/>
        </w:rPr>
        <w:t xml:space="preserve"> </w:t>
      </w:r>
      <w:r w:rsidRPr="008D6D09">
        <w:rPr>
          <w:rFonts w:ascii="Times New Roman" w:hAnsi="Times New Roman" w:cs="Times New Roman"/>
          <w:sz w:val="24"/>
          <w:szCs w:val="24"/>
        </w:rPr>
        <w:t xml:space="preserve">[2009] OJ </w:t>
      </w:r>
      <w:r w:rsidRPr="002A625F">
        <w:rPr>
          <w:rFonts w:ascii="Times New Roman" w:hAnsi="Times New Roman" w:cs="Times New Roman"/>
          <w:sz w:val="24"/>
          <w:szCs w:val="24"/>
        </w:rPr>
        <w:t>L 337/11</w:t>
      </w:r>
      <w:r>
        <w:rPr>
          <w:rFonts w:ascii="Times New Roman" w:hAnsi="Times New Roman" w:cs="Times New Roman"/>
          <w:sz w:val="24"/>
          <w:szCs w:val="24"/>
        </w:rPr>
        <w:t xml:space="preserve"> (‘</w:t>
      </w:r>
      <w:r w:rsidRPr="0059098E">
        <w:rPr>
          <w:rFonts w:ascii="Times New Roman" w:hAnsi="Times New Roman" w:cs="Times New Roman"/>
          <w:sz w:val="24"/>
          <w:szCs w:val="24"/>
        </w:rPr>
        <w:t>Citizens’ Rights Directive</w:t>
      </w:r>
      <w:r>
        <w:rPr>
          <w:rFonts w:ascii="Times New Roman" w:hAnsi="Times New Roman" w:cs="Times New Roman"/>
          <w:sz w:val="24"/>
          <w:szCs w:val="24"/>
        </w:rPr>
        <w:t>’)</w:t>
      </w:r>
    </w:p>
    <w:p w14:paraId="7FA7349F" w14:textId="77777777" w:rsidR="00864C2E" w:rsidRDefault="00864C2E" w:rsidP="00864C2E">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Council </w:t>
      </w:r>
      <w:r w:rsidRPr="00E83FEE">
        <w:rPr>
          <w:rFonts w:ascii="Times New Roman" w:hAnsi="Times New Roman" w:cs="Times New Roman"/>
          <w:sz w:val="24"/>
          <w:szCs w:val="24"/>
        </w:rPr>
        <w:t xml:space="preserve">Directive </w:t>
      </w:r>
      <w:r>
        <w:rPr>
          <w:rFonts w:ascii="Times New Roman" w:hAnsi="Times New Roman" w:cs="Times New Roman"/>
          <w:sz w:val="24"/>
          <w:szCs w:val="24"/>
        </w:rPr>
        <w:t xml:space="preserve">(EC) </w:t>
      </w:r>
      <w:r w:rsidRPr="00E83FEE">
        <w:rPr>
          <w:rFonts w:ascii="Times New Roman" w:hAnsi="Times New Roman" w:cs="Times New Roman"/>
          <w:sz w:val="24"/>
          <w:szCs w:val="24"/>
        </w:rPr>
        <w:t xml:space="preserve">2002/58 of the European Parliament and of the Council of 12 July 2002 concerning the processing of personal data and the protection of privacy in the electronic communications sector </w:t>
      </w:r>
      <w:r w:rsidRPr="00564068">
        <w:rPr>
          <w:rFonts w:ascii="Times New Roman" w:hAnsi="Times New Roman" w:cs="Times New Roman"/>
          <w:sz w:val="24"/>
          <w:szCs w:val="24"/>
        </w:rPr>
        <w:t>[2002]</w:t>
      </w:r>
      <w:r w:rsidRPr="00E83FEE">
        <w:rPr>
          <w:rFonts w:ascii="Times New Roman" w:hAnsi="Times New Roman" w:cs="Times New Roman"/>
          <w:sz w:val="24"/>
          <w:szCs w:val="24"/>
        </w:rPr>
        <w:t xml:space="preserve"> OJ L 201</w:t>
      </w:r>
      <w:r>
        <w:rPr>
          <w:rFonts w:ascii="Times New Roman" w:hAnsi="Times New Roman" w:cs="Times New Roman"/>
          <w:sz w:val="24"/>
          <w:szCs w:val="24"/>
        </w:rPr>
        <w:t xml:space="preserve"> </w:t>
      </w:r>
      <w:r w:rsidRPr="00E83FEE">
        <w:rPr>
          <w:rFonts w:ascii="Times New Roman" w:hAnsi="Times New Roman" w:cs="Times New Roman"/>
          <w:sz w:val="24"/>
          <w:szCs w:val="24"/>
        </w:rPr>
        <w:t>(</w:t>
      </w:r>
      <w:r>
        <w:rPr>
          <w:rFonts w:ascii="Times New Roman" w:hAnsi="Times New Roman" w:cs="Times New Roman"/>
          <w:sz w:val="24"/>
          <w:szCs w:val="24"/>
        </w:rPr>
        <w:t xml:space="preserve">‘E-Privacy </w:t>
      </w:r>
      <w:r w:rsidRPr="00E83FEE">
        <w:rPr>
          <w:rFonts w:ascii="Times New Roman" w:hAnsi="Times New Roman" w:cs="Times New Roman"/>
          <w:sz w:val="24"/>
          <w:szCs w:val="24"/>
        </w:rPr>
        <w:t>Directive</w:t>
      </w:r>
      <w:r>
        <w:rPr>
          <w:rFonts w:ascii="Times New Roman" w:hAnsi="Times New Roman" w:cs="Times New Roman"/>
          <w:sz w:val="24"/>
          <w:szCs w:val="24"/>
        </w:rPr>
        <w:t>’</w:t>
      </w:r>
      <w:r w:rsidRPr="00E83FEE">
        <w:rPr>
          <w:rFonts w:ascii="Times New Roman" w:hAnsi="Times New Roman" w:cs="Times New Roman"/>
          <w:sz w:val="24"/>
          <w:szCs w:val="24"/>
        </w:rPr>
        <w:t>)</w:t>
      </w:r>
    </w:p>
    <w:p w14:paraId="4C9AC00E" w14:textId="77777777" w:rsidR="00864C2E" w:rsidRDefault="00864C2E" w:rsidP="00864C2E">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Council </w:t>
      </w:r>
      <w:r w:rsidRPr="00564068">
        <w:rPr>
          <w:rFonts w:ascii="Times New Roman" w:hAnsi="Times New Roman" w:cs="Times New Roman"/>
          <w:sz w:val="24"/>
          <w:szCs w:val="24"/>
        </w:rPr>
        <w:t>Directive (EC) 2002/22 of the European Parliament and of the Council of 7 March 2002 on universal service and users’ rights relating to electronic communications networks and services [2002] OJ L 108 (‘Universal Service Directive’)</w:t>
      </w:r>
    </w:p>
    <w:p w14:paraId="67C6C282" w14:textId="77777777" w:rsidR="00864C2E" w:rsidRDefault="00864C2E" w:rsidP="00864C2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Council Directive</w:t>
      </w:r>
      <w:r>
        <w:rPr>
          <w:rFonts w:ascii="Times New Roman" w:hAnsi="Times New Roman" w:cs="Times New Roman"/>
          <w:sz w:val="24"/>
          <w:szCs w:val="24"/>
        </w:rPr>
        <w:t xml:space="preserve"> (EC)</w:t>
      </w:r>
      <w:r w:rsidRPr="00D40D37">
        <w:rPr>
          <w:rFonts w:ascii="Times New Roman" w:hAnsi="Times New Roman" w:cs="Times New Roman"/>
          <w:sz w:val="24"/>
          <w:szCs w:val="24"/>
        </w:rPr>
        <w:t xml:space="preserve"> 2002/21 on a common regulatory framework for electronic communications networks and services OJ L 108, 2002/19/EC </w:t>
      </w:r>
      <w:r>
        <w:rPr>
          <w:rFonts w:ascii="Times New Roman" w:hAnsi="Times New Roman" w:cs="Times New Roman"/>
          <w:sz w:val="24"/>
          <w:szCs w:val="24"/>
        </w:rPr>
        <w:t>(‘</w:t>
      </w:r>
      <w:r w:rsidRPr="00D40D37">
        <w:rPr>
          <w:rFonts w:ascii="Times New Roman" w:hAnsi="Times New Roman" w:cs="Times New Roman"/>
          <w:sz w:val="24"/>
          <w:szCs w:val="24"/>
        </w:rPr>
        <w:t>Framework Directive</w:t>
      </w:r>
      <w:r>
        <w:rPr>
          <w:rFonts w:ascii="Times New Roman" w:hAnsi="Times New Roman" w:cs="Times New Roman"/>
          <w:sz w:val="24"/>
          <w:szCs w:val="24"/>
        </w:rPr>
        <w:t>’)</w:t>
      </w:r>
    </w:p>
    <w:p w14:paraId="4F20E4DE" w14:textId="77777777" w:rsidR="00864C2E" w:rsidRDefault="00864C2E" w:rsidP="00864C2E">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Council </w:t>
      </w:r>
      <w:r w:rsidRPr="00564068">
        <w:rPr>
          <w:rFonts w:ascii="Times New Roman" w:hAnsi="Times New Roman" w:cs="Times New Roman"/>
          <w:sz w:val="24"/>
          <w:szCs w:val="24"/>
        </w:rPr>
        <w:t xml:space="preserve">Directive </w:t>
      </w:r>
      <w:r>
        <w:rPr>
          <w:rFonts w:ascii="Times New Roman" w:hAnsi="Times New Roman" w:cs="Times New Roman"/>
          <w:sz w:val="24"/>
          <w:szCs w:val="24"/>
        </w:rPr>
        <w:t xml:space="preserve">(EC) </w:t>
      </w:r>
      <w:r w:rsidRPr="00564068">
        <w:rPr>
          <w:rFonts w:ascii="Times New Roman" w:hAnsi="Times New Roman" w:cs="Times New Roman"/>
          <w:sz w:val="24"/>
          <w:szCs w:val="24"/>
        </w:rPr>
        <w:t xml:space="preserve">2002/20 </w:t>
      </w:r>
      <w:r>
        <w:rPr>
          <w:rFonts w:ascii="Times New Roman" w:hAnsi="Times New Roman" w:cs="Times New Roman"/>
          <w:sz w:val="24"/>
          <w:szCs w:val="24"/>
        </w:rPr>
        <w:t>o</w:t>
      </w:r>
      <w:r w:rsidRPr="00564068">
        <w:rPr>
          <w:rFonts w:ascii="Times New Roman" w:hAnsi="Times New Roman" w:cs="Times New Roman"/>
          <w:sz w:val="24"/>
          <w:szCs w:val="24"/>
        </w:rPr>
        <w:t xml:space="preserve">f </w:t>
      </w:r>
      <w:r>
        <w:rPr>
          <w:rFonts w:ascii="Times New Roman" w:hAnsi="Times New Roman" w:cs="Times New Roman"/>
          <w:sz w:val="24"/>
          <w:szCs w:val="24"/>
        </w:rPr>
        <w:t>t</w:t>
      </w:r>
      <w:r w:rsidRPr="00564068">
        <w:rPr>
          <w:rFonts w:ascii="Times New Roman" w:hAnsi="Times New Roman" w:cs="Times New Roman"/>
          <w:sz w:val="24"/>
          <w:szCs w:val="24"/>
        </w:rPr>
        <w:t xml:space="preserve">he European Parliament </w:t>
      </w:r>
      <w:r>
        <w:rPr>
          <w:rFonts w:ascii="Times New Roman" w:hAnsi="Times New Roman" w:cs="Times New Roman"/>
          <w:sz w:val="24"/>
          <w:szCs w:val="24"/>
        </w:rPr>
        <w:t>a</w:t>
      </w:r>
      <w:r w:rsidRPr="00564068">
        <w:rPr>
          <w:rFonts w:ascii="Times New Roman" w:hAnsi="Times New Roman" w:cs="Times New Roman"/>
          <w:sz w:val="24"/>
          <w:szCs w:val="24"/>
        </w:rPr>
        <w:t xml:space="preserve">nd </w:t>
      </w:r>
      <w:r>
        <w:rPr>
          <w:rFonts w:ascii="Times New Roman" w:hAnsi="Times New Roman" w:cs="Times New Roman"/>
          <w:sz w:val="24"/>
          <w:szCs w:val="24"/>
        </w:rPr>
        <w:t>o</w:t>
      </w:r>
      <w:r w:rsidRPr="00564068">
        <w:rPr>
          <w:rFonts w:ascii="Times New Roman" w:hAnsi="Times New Roman" w:cs="Times New Roman"/>
          <w:sz w:val="24"/>
          <w:szCs w:val="24"/>
        </w:rPr>
        <w:t xml:space="preserve">f </w:t>
      </w:r>
      <w:r>
        <w:rPr>
          <w:rFonts w:ascii="Times New Roman" w:hAnsi="Times New Roman" w:cs="Times New Roman"/>
          <w:sz w:val="24"/>
          <w:szCs w:val="24"/>
        </w:rPr>
        <w:t>t</w:t>
      </w:r>
      <w:r w:rsidRPr="00564068">
        <w:rPr>
          <w:rFonts w:ascii="Times New Roman" w:hAnsi="Times New Roman" w:cs="Times New Roman"/>
          <w:sz w:val="24"/>
          <w:szCs w:val="24"/>
        </w:rPr>
        <w:t>he Council</w:t>
      </w:r>
      <w:r>
        <w:rPr>
          <w:rFonts w:ascii="Times New Roman" w:hAnsi="Times New Roman" w:cs="Times New Roman"/>
          <w:sz w:val="24"/>
          <w:szCs w:val="24"/>
        </w:rPr>
        <w:t xml:space="preserve"> </w:t>
      </w:r>
      <w:r w:rsidRPr="00564068">
        <w:rPr>
          <w:rFonts w:ascii="Times New Roman" w:hAnsi="Times New Roman" w:cs="Times New Roman"/>
          <w:sz w:val="24"/>
          <w:szCs w:val="24"/>
        </w:rPr>
        <w:t>of 7 March 2002</w:t>
      </w:r>
      <w:r>
        <w:rPr>
          <w:rFonts w:ascii="Times New Roman" w:hAnsi="Times New Roman" w:cs="Times New Roman"/>
          <w:sz w:val="24"/>
          <w:szCs w:val="24"/>
        </w:rPr>
        <w:t xml:space="preserve"> </w:t>
      </w:r>
      <w:r w:rsidRPr="00564068">
        <w:rPr>
          <w:rFonts w:ascii="Times New Roman" w:hAnsi="Times New Roman" w:cs="Times New Roman"/>
          <w:sz w:val="24"/>
          <w:szCs w:val="24"/>
        </w:rPr>
        <w:t>on the authorisation of electronic communications networks and services</w:t>
      </w:r>
      <w:r>
        <w:rPr>
          <w:rFonts w:ascii="Times New Roman" w:hAnsi="Times New Roman" w:cs="Times New Roman"/>
          <w:sz w:val="24"/>
          <w:szCs w:val="24"/>
        </w:rPr>
        <w:t xml:space="preserve">, </w:t>
      </w:r>
      <w:r w:rsidRPr="008D6D09">
        <w:rPr>
          <w:rFonts w:ascii="Times New Roman" w:hAnsi="Times New Roman" w:cs="Times New Roman"/>
          <w:sz w:val="24"/>
          <w:szCs w:val="24"/>
        </w:rPr>
        <w:t>[200</w:t>
      </w:r>
      <w:r>
        <w:rPr>
          <w:rFonts w:ascii="Times New Roman" w:hAnsi="Times New Roman" w:cs="Times New Roman"/>
          <w:sz w:val="24"/>
          <w:szCs w:val="24"/>
        </w:rPr>
        <w:t>2</w:t>
      </w:r>
      <w:r w:rsidRPr="008D6D09">
        <w:rPr>
          <w:rFonts w:ascii="Times New Roman" w:hAnsi="Times New Roman" w:cs="Times New Roman"/>
          <w:sz w:val="24"/>
          <w:szCs w:val="24"/>
        </w:rPr>
        <w:t>] OJ</w:t>
      </w:r>
      <w:r>
        <w:rPr>
          <w:rFonts w:ascii="Times New Roman" w:hAnsi="Times New Roman" w:cs="Times New Roman"/>
          <w:sz w:val="24"/>
          <w:szCs w:val="24"/>
        </w:rPr>
        <w:t xml:space="preserve"> </w:t>
      </w:r>
      <w:r w:rsidRPr="00564068">
        <w:rPr>
          <w:rFonts w:ascii="Times New Roman" w:hAnsi="Times New Roman" w:cs="Times New Roman"/>
          <w:sz w:val="24"/>
          <w:szCs w:val="24"/>
        </w:rPr>
        <w:t>L 108/21 (</w:t>
      </w:r>
      <w:r>
        <w:rPr>
          <w:rFonts w:ascii="Times New Roman" w:hAnsi="Times New Roman" w:cs="Times New Roman"/>
          <w:sz w:val="24"/>
          <w:szCs w:val="24"/>
        </w:rPr>
        <w:t>‘</w:t>
      </w:r>
      <w:r w:rsidRPr="00564068">
        <w:rPr>
          <w:rFonts w:ascii="Times New Roman" w:hAnsi="Times New Roman" w:cs="Times New Roman"/>
          <w:sz w:val="24"/>
          <w:szCs w:val="24"/>
        </w:rPr>
        <w:t>Authorisation Directive</w:t>
      </w:r>
      <w:r>
        <w:rPr>
          <w:rFonts w:ascii="Times New Roman" w:hAnsi="Times New Roman" w:cs="Times New Roman"/>
          <w:sz w:val="24"/>
          <w:szCs w:val="24"/>
        </w:rPr>
        <w:t>’</w:t>
      </w:r>
      <w:r w:rsidRPr="00564068">
        <w:rPr>
          <w:rFonts w:ascii="Times New Roman" w:hAnsi="Times New Roman" w:cs="Times New Roman"/>
          <w:sz w:val="24"/>
          <w:szCs w:val="24"/>
        </w:rPr>
        <w:t>)</w:t>
      </w:r>
    </w:p>
    <w:p w14:paraId="3BF90B37" w14:textId="77777777" w:rsidR="00864C2E" w:rsidRPr="00D40D37" w:rsidRDefault="00864C2E" w:rsidP="00864C2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Council Directive </w:t>
      </w:r>
      <w:r>
        <w:rPr>
          <w:rFonts w:ascii="Times New Roman" w:hAnsi="Times New Roman" w:cs="Times New Roman"/>
          <w:sz w:val="24"/>
          <w:szCs w:val="24"/>
        </w:rPr>
        <w:t xml:space="preserve">(EC) </w:t>
      </w:r>
      <w:r w:rsidRPr="00D40D37">
        <w:rPr>
          <w:rFonts w:ascii="Times New Roman" w:hAnsi="Times New Roman" w:cs="Times New Roman"/>
          <w:sz w:val="24"/>
          <w:szCs w:val="24"/>
        </w:rPr>
        <w:t xml:space="preserve">2002/19 on access to, and interconnection of, electronic communications networks and associated facilities OJ L 108 as amended by Directive 2009/140/EC OJ L337/37 </w:t>
      </w:r>
      <w:r>
        <w:rPr>
          <w:rFonts w:ascii="Times New Roman" w:hAnsi="Times New Roman" w:cs="Times New Roman"/>
          <w:sz w:val="24"/>
          <w:szCs w:val="24"/>
        </w:rPr>
        <w:t>(‘</w:t>
      </w:r>
      <w:r w:rsidRPr="00D40D37">
        <w:rPr>
          <w:rFonts w:ascii="Times New Roman" w:hAnsi="Times New Roman" w:cs="Times New Roman"/>
          <w:sz w:val="24"/>
          <w:szCs w:val="24"/>
        </w:rPr>
        <w:t>Access Directive</w:t>
      </w:r>
      <w:r>
        <w:rPr>
          <w:rFonts w:ascii="Times New Roman" w:hAnsi="Times New Roman" w:cs="Times New Roman"/>
          <w:sz w:val="24"/>
          <w:szCs w:val="24"/>
        </w:rPr>
        <w:t>’)</w:t>
      </w:r>
    </w:p>
    <w:p w14:paraId="5C300C67" w14:textId="77777777" w:rsidR="00864C2E" w:rsidRPr="00F709CC" w:rsidRDefault="00864C2E" w:rsidP="00864C2E">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lastRenderedPageBreak/>
        <w:t xml:space="preserve">Council </w:t>
      </w:r>
      <w:r w:rsidRPr="00F709CC">
        <w:rPr>
          <w:rFonts w:ascii="Times New Roman" w:hAnsi="Times New Roman" w:cs="Times New Roman"/>
          <w:sz w:val="24"/>
          <w:szCs w:val="24"/>
        </w:rPr>
        <w:t>Directive (E</w:t>
      </w:r>
      <w:r>
        <w:rPr>
          <w:rFonts w:ascii="Times New Roman" w:hAnsi="Times New Roman" w:cs="Times New Roman"/>
          <w:sz w:val="24"/>
          <w:szCs w:val="24"/>
        </w:rPr>
        <w:t>C</w:t>
      </w:r>
      <w:r w:rsidRPr="00F709CC">
        <w:rPr>
          <w:rFonts w:ascii="Times New Roman" w:hAnsi="Times New Roman" w:cs="Times New Roman"/>
          <w:sz w:val="24"/>
          <w:szCs w:val="24"/>
        </w:rPr>
        <w:t>) 2001/29 on the harmonisation of certain aspects of copyright and related rights in the information society [2001] L167/10 (‘InfoSoc Directive’)</w:t>
      </w:r>
    </w:p>
    <w:p w14:paraId="3A58B9F0" w14:textId="77777777" w:rsidR="00864C2E" w:rsidRPr="00D40D37" w:rsidRDefault="00864C2E" w:rsidP="00864C2E">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Council </w:t>
      </w:r>
      <w:r w:rsidRPr="00D40D37">
        <w:rPr>
          <w:rFonts w:ascii="Times New Roman" w:hAnsi="Times New Roman" w:cs="Times New Roman"/>
          <w:sz w:val="24"/>
          <w:szCs w:val="24"/>
        </w:rPr>
        <w:t xml:space="preserve">Directive </w:t>
      </w:r>
      <w:r>
        <w:rPr>
          <w:rFonts w:ascii="Times New Roman" w:hAnsi="Times New Roman" w:cs="Times New Roman"/>
          <w:sz w:val="24"/>
          <w:szCs w:val="24"/>
        </w:rPr>
        <w:t xml:space="preserve">(EC) </w:t>
      </w:r>
      <w:r w:rsidRPr="00D40D37">
        <w:rPr>
          <w:rFonts w:ascii="Times New Roman" w:hAnsi="Times New Roman" w:cs="Times New Roman"/>
          <w:sz w:val="24"/>
          <w:szCs w:val="24"/>
        </w:rPr>
        <w:t>96/9 of the European Parliament and of the Council on 11 March 1996 on the legal protection of databases [1996] OJ L 77 (‘Database Directive’)</w:t>
      </w:r>
    </w:p>
    <w:p w14:paraId="78E202F4" w14:textId="77777777" w:rsidR="00864C2E" w:rsidRPr="00D40D37" w:rsidRDefault="00864C2E" w:rsidP="00864C2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Council Directive (EU) 90/387 of </w:t>
      </w:r>
      <w:smartTag w:uri="urn:schemas-microsoft-com:office:smarttags" w:element="date">
        <w:smartTagPr>
          <w:attr w:name="Month" w:val="6"/>
          <w:attr w:name="Day" w:val="27"/>
          <w:attr w:name="Year" w:val="1990"/>
        </w:smartTagPr>
        <w:r w:rsidRPr="00D40D37">
          <w:rPr>
            <w:rFonts w:ascii="Times New Roman" w:hAnsi="Times New Roman" w:cs="Times New Roman"/>
            <w:sz w:val="24"/>
            <w:szCs w:val="24"/>
            <w:lang w:val="en-US"/>
          </w:rPr>
          <w:t>27 June 1990</w:t>
        </w:r>
      </w:smartTag>
      <w:r w:rsidRPr="00D40D37">
        <w:rPr>
          <w:rFonts w:ascii="Times New Roman" w:hAnsi="Times New Roman" w:cs="Times New Roman"/>
          <w:sz w:val="24"/>
          <w:szCs w:val="24"/>
          <w:lang w:val="en-US"/>
        </w:rPr>
        <w:t xml:space="preserve"> on the establishment of the internal market for telecommunications services through the implementation of open network provision [1990] OJ L 192/1</w:t>
      </w:r>
    </w:p>
    <w:p w14:paraId="11983185" w14:textId="77777777" w:rsidR="00864C2E" w:rsidRPr="00D40D37" w:rsidRDefault="00864C2E" w:rsidP="00864C2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Regulation (EU) 2018/1807 of the European Parliament and of the Council of 14 November 2018 on a framework for the free flow of non-personal data in the European Union</w:t>
      </w:r>
      <w:r>
        <w:rPr>
          <w:rFonts w:ascii="Times New Roman" w:hAnsi="Times New Roman" w:cs="Times New Roman"/>
          <w:sz w:val="24"/>
          <w:szCs w:val="24"/>
          <w:lang w:val="en-US"/>
        </w:rPr>
        <w:t xml:space="preserve"> [2018] </w:t>
      </w:r>
      <w:r w:rsidRPr="00454625">
        <w:rPr>
          <w:rFonts w:ascii="Times New Roman" w:hAnsi="Times New Roman" w:cs="Times New Roman"/>
          <w:sz w:val="24"/>
          <w:szCs w:val="24"/>
          <w:lang w:val="en-US"/>
        </w:rPr>
        <w:t>OJ L 303</w:t>
      </w:r>
    </w:p>
    <w:p w14:paraId="16B07DEE" w14:textId="77777777" w:rsidR="00864C2E" w:rsidRDefault="00864C2E" w:rsidP="00864C2E">
      <w:pPr>
        <w:pStyle w:val="ListParagraph"/>
        <w:numPr>
          <w:ilvl w:val="0"/>
          <w:numId w:val="22"/>
        </w:numPr>
        <w:tabs>
          <w:tab w:val="left" w:pos="360"/>
          <w:tab w:val="left" w:pos="484"/>
        </w:tabs>
        <w:jc w:val="both"/>
        <w:rPr>
          <w:rFonts w:ascii="Times New Roman" w:hAnsi="Times New Roman" w:cs="Times New Roman"/>
          <w:snapToGrid w:val="0"/>
          <w:sz w:val="24"/>
          <w:szCs w:val="24"/>
          <w:lang w:eastAsia="tr-TR"/>
        </w:rPr>
      </w:pPr>
      <w:r w:rsidRPr="00D40D37">
        <w:rPr>
          <w:rFonts w:ascii="Times New Roman" w:hAnsi="Times New Roman" w:cs="Times New Roman"/>
          <w:sz w:val="24"/>
          <w:szCs w:val="24"/>
        </w:rPr>
        <w:t>Regulation (EU) 2016/679 of the European Parliament and of the Council of 27 April 2016 on the protection of natural persons with regard to the processing of personal data and on the free movement of such data, and repealing Directive 95/46/EC [2016] OJ L 119/1 (‘General Data Protection Regulation’ or ‘</w:t>
      </w:r>
      <w:r w:rsidRPr="00D40D37">
        <w:rPr>
          <w:rFonts w:ascii="Times New Roman" w:hAnsi="Times New Roman" w:cs="Times New Roman"/>
          <w:sz w:val="24"/>
          <w:szCs w:val="24"/>
          <w:lang w:val="en-US"/>
        </w:rPr>
        <w:t>GDPR’)</w:t>
      </w:r>
    </w:p>
    <w:p w14:paraId="0BDBD94C" w14:textId="77777777" w:rsidR="00864C2E" w:rsidRPr="00D40D37" w:rsidRDefault="00864C2E" w:rsidP="00864C2E">
      <w:pPr>
        <w:pStyle w:val="ListParagraph"/>
        <w:numPr>
          <w:ilvl w:val="0"/>
          <w:numId w:val="22"/>
        </w:numPr>
        <w:tabs>
          <w:tab w:val="left" w:pos="360"/>
          <w:tab w:val="left" w:pos="484"/>
        </w:tabs>
        <w:jc w:val="both"/>
        <w:rPr>
          <w:rFonts w:ascii="Times New Roman" w:hAnsi="Times New Roman" w:cs="Times New Roman"/>
          <w:snapToGrid w:val="0"/>
          <w:sz w:val="24"/>
          <w:szCs w:val="24"/>
          <w:lang w:eastAsia="tr-TR"/>
        </w:rPr>
      </w:pPr>
      <w:r w:rsidRPr="00F315B2">
        <w:rPr>
          <w:rFonts w:ascii="Times New Roman" w:hAnsi="Times New Roman" w:cs="Times New Roman"/>
          <w:snapToGrid w:val="0"/>
          <w:sz w:val="24"/>
          <w:szCs w:val="24"/>
          <w:lang w:eastAsia="tr-TR"/>
        </w:rPr>
        <w:t>Regulation (EU) 2015/2120 of the European Parliament and of the Council of 25 November 2015 laying down measures concerning open internet access and amending Directive 2002/22/EC on universal service and users’ rights relating to electronic communications networks and services and Regulation (EU) No 531/2012 on roaming on public mobile communications networks within the Union</w:t>
      </w:r>
      <w:r>
        <w:rPr>
          <w:rFonts w:ascii="Times New Roman" w:hAnsi="Times New Roman" w:cs="Times New Roman"/>
          <w:snapToGrid w:val="0"/>
          <w:sz w:val="24"/>
          <w:szCs w:val="24"/>
          <w:lang w:eastAsia="tr-TR"/>
        </w:rPr>
        <w:t xml:space="preserve"> [2015] </w:t>
      </w:r>
      <w:r w:rsidRPr="00B13C9B">
        <w:rPr>
          <w:rFonts w:ascii="Times New Roman" w:hAnsi="Times New Roman" w:cs="Times New Roman"/>
          <w:snapToGrid w:val="0"/>
          <w:sz w:val="24"/>
          <w:szCs w:val="24"/>
          <w:lang w:eastAsia="tr-TR"/>
        </w:rPr>
        <w:t>OJ L 310</w:t>
      </w:r>
      <w:r w:rsidRPr="00D40D37">
        <w:rPr>
          <w:rFonts w:ascii="Times New Roman" w:hAnsi="Times New Roman" w:cs="Times New Roman"/>
          <w:snapToGrid w:val="0"/>
          <w:sz w:val="24"/>
          <w:szCs w:val="24"/>
          <w:lang w:eastAsia="tr-TR"/>
        </w:rPr>
        <w:t xml:space="preserve"> (</w:t>
      </w:r>
      <w:r>
        <w:rPr>
          <w:rFonts w:ascii="Times New Roman" w:hAnsi="Times New Roman" w:cs="Times New Roman"/>
          <w:snapToGrid w:val="0"/>
          <w:sz w:val="24"/>
          <w:szCs w:val="24"/>
          <w:lang w:eastAsia="tr-TR"/>
        </w:rPr>
        <w:t>‘</w:t>
      </w:r>
      <w:r w:rsidRPr="00D40D37">
        <w:rPr>
          <w:rFonts w:ascii="Times New Roman" w:hAnsi="Times New Roman" w:cs="Times New Roman"/>
          <w:snapToGrid w:val="0"/>
          <w:sz w:val="24"/>
          <w:szCs w:val="24"/>
          <w:lang w:eastAsia="tr-TR"/>
        </w:rPr>
        <w:t>EU Net Neutrality Regulation</w:t>
      </w:r>
      <w:r>
        <w:rPr>
          <w:rFonts w:ascii="Times New Roman" w:hAnsi="Times New Roman" w:cs="Times New Roman"/>
          <w:snapToGrid w:val="0"/>
          <w:sz w:val="24"/>
          <w:szCs w:val="24"/>
          <w:lang w:eastAsia="tr-TR"/>
        </w:rPr>
        <w:t>’</w:t>
      </w:r>
      <w:r w:rsidRPr="00D40D37">
        <w:rPr>
          <w:rFonts w:ascii="Times New Roman" w:hAnsi="Times New Roman" w:cs="Times New Roman"/>
          <w:snapToGrid w:val="0"/>
          <w:sz w:val="24"/>
          <w:szCs w:val="24"/>
          <w:lang w:eastAsia="tr-TR"/>
        </w:rPr>
        <w:t>)</w:t>
      </w:r>
    </w:p>
    <w:p w14:paraId="0C2BF72E" w14:textId="77777777" w:rsidR="00864C2E" w:rsidRDefault="00864C2E" w:rsidP="00864C2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Regulation (E</w:t>
      </w:r>
      <w:r>
        <w:rPr>
          <w:rFonts w:ascii="Times New Roman" w:hAnsi="Times New Roman" w:cs="Times New Roman"/>
          <w:sz w:val="24"/>
          <w:szCs w:val="24"/>
        </w:rPr>
        <w:t>C</w:t>
      </w:r>
      <w:r w:rsidRPr="00D40D37">
        <w:rPr>
          <w:rFonts w:ascii="Times New Roman" w:hAnsi="Times New Roman" w:cs="Times New Roman"/>
          <w:sz w:val="24"/>
          <w:szCs w:val="24"/>
        </w:rPr>
        <w:t>) 139/2004 on the control of concentrations between undertakings [2004] OJ L24/1 (‘EU Merger Regulation’ or ‘EUMR’)</w:t>
      </w:r>
    </w:p>
    <w:p w14:paraId="0DB64687" w14:textId="77777777" w:rsidR="00864C2E" w:rsidRDefault="00864C2E" w:rsidP="00864C2E">
      <w:pPr>
        <w:pStyle w:val="ListParagraph"/>
        <w:numPr>
          <w:ilvl w:val="0"/>
          <w:numId w:val="22"/>
        </w:numPr>
        <w:jc w:val="both"/>
        <w:rPr>
          <w:rFonts w:ascii="Times New Roman" w:hAnsi="Times New Roman" w:cs="Times New Roman"/>
          <w:sz w:val="24"/>
          <w:szCs w:val="24"/>
        </w:rPr>
      </w:pPr>
      <w:r w:rsidRPr="00E20956">
        <w:rPr>
          <w:rFonts w:ascii="Times New Roman" w:hAnsi="Times New Roman" w:cs="Times New Roman"/>
          <w:sz w:val="24"/>
          <w:szCs w:val="24"/>
        </w:rPr>
        <w:t>Regulation (EC) No 1/2003 of 16 December 2002 on the implementation of the rules on competition laid down in Articles 81 and 82 of the Treaty</w:t>
      </w:r>
      <w:r>
        <w:rPr>
          <w:rFonts w:ascii="Times New Roman" w:hAnsi="Times New Roman" w:cs="Times New Roman"/>
          <w:sz w:val="24"/>
          <w:szCs w:val="24"/>
        </w:rPr>
        <w:t xml:space="preserve"> [2003] </w:t>
      </w:r>
      <w:r w:rsidRPr="00E20956">
        <w:rPr>
          <w:rFonts w:ascii="Times New Roman" w:hAnsi="Times New Roman" w:cs="Times New Roman"/>
          <w:sz w:val="24"/>
          <w:szCs w:val="24"/>
        </w:rPr>
        <w:t>OJ L 1</w:t>
      </w:r>
    </w:p>
    <w:p w14:paraId="24BC5FF8" w14:textId="77777777" w:rsidR="00864C2E" w:rsidRDefault="00864C2E" w:rsidP="00864C2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Regulation (</w:t>
      </w:r>
      <w:r>
        <w:rPr>
          <w:rFonts w:ascii="Times New Roman" w:hAnsi="Times New Roman" w:cs="Times New Roman"/>
          <w:sz w:val="24"/>
          <w:szCs w:val="24"/>
        </w:rPr>
        <w:t>EU</w:t>
      </w:r>
      <w:r w:rsidRPr="00D40D37">
        <w:rPr>
          <w:rFonts w:ascii="Times New Roman" w:hAnsi="Times New Roman" w:cs="Times New Roman"/>
          <w:sz w:val="24"/>
          <w:szCs w:val="24"/>
        </w:rPr>
        <w:t xml:space="preserve">) 2887/2000 of the European Parliament and of the Council of 18 December 2000 on unbundled access to the local loop </w:t>
      </w:r>
      <w:r>
        <w:rPr>
          <w:rFonts w:ascii="Times New Roman" w:hAnsi="Times New Roman" w:cs="Times New Roman"/>
          <w:sz w:val="24"/>
          <w:szCs w:val="24"/>
        </w:rPr>
        <w:t xml:space="preserve">[2000] </w:t>
      </w:r>
      <w:r w:rsidRPr="00D40D37">
        <w:rPr>
          <w:rFonts w:ascii="Times New Roman" w:hAnsi="Times New Roman" w:cs="Times New Roman"/>
          <w:sz w:val="24"/>
          <w:szCs w:val="24"/>
        </w:rPr>
        <w:t>OJ 2000 L 336</w:t>
      </w:r>
    </w:p>
    <w:p w14:paraId="00D177F2" w14:textId="06D6121E" w:rsidR="0028300D" w:rsidRPr="00774EDB" w:rsidRDefault="00864C2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Regulation (EEC) 4064/89 of 21 December 1989 on the control of concentrations between undertakings</w:t>
      </w:r>
      <w:r>
        <w:rPr>
          <w:rFonts w:ascii="Times New Roman" w:hAnsi="Times New Roman" w:cs="Times New Roman"/>
          <w:sz w:val="24"/>
          <w:szCs w:val="24"/>
          <w:lang w:val="en-US"/>
        </w:rPr>
        <w:t xml:space="preserve"> </w:t>
      </w:r>
      <w:r w:rsidRPr="00D40D37">
        <w:rPr>
          <w:rFonts w:ascii="Times New Roman" w:hAnsi="Times New Roman" w:cs="Times New Roman"/>
          <w:sz w:val="24"/>
          <w:szCs w:val="24"/>
        </w:rPr>
        <w:t>[1989]</w:t>
      </w:r>
      <w:r w:rsidRPr="00D40D37">
        <w:rPr>
          <w:rFonts w:ascii="Times New Roman" w:hAnsi="Times New Roman" w:cs="Times New Roman"/>
          <w:sz w:val="24"/>
          <w:szCs w:val="24"/>
          <w:lang w:val="en-US"/>
        </w:rPr>
        <w:t xml:space="preserve"> OJ L 395 (‘Merger Control Regulation’ or ‘MCR’)</w:t>
      </w:r>
    </w:p>
    <w:p w14:paraId="20BECD4E" w14:textId="77777777" w:rsidR="00017C49" w:rsidRPr="00774EDB" w:rsidRDefault="00017C49" w:rsidP="00A70042">
      <w:pPr>
        <w:jc w:val="both"/>
        <w:rPr>
          <w:rFonts w:ascii="Times New Roman" w:hAnsi="Times New Roman" w:cs="Times New Roman"/>
          <w:sz w:val="24"/>
          <w:szCs w:val="24"/>
        </w:rPr>
      </w:pPr>
    </w:p>
    <w:p w14:paraId="1315FBD4" w14:textId="77777777" w:rsidR="00A54C1A" w:rsidRPr="00774EDB" w:rsidRDefault="00934626" w:rsidP="00A70042">
      <w:pPr>
        <w:jc w:val="both"/>
        <w:rPr>
          <w:rFonts w:ascii="Times New Roman" w:hAnsi="Times New Roman" w:cs="Times New Roman"/>
          <w:sz w:val="24"/>
          <w:szCs w:val="24"/>
        </w:rPr>
      </w:pPr>
      <w:r w:rsidRPr="00774EDB">
        <w:rPr>
          <w:rFonts w:ascii="Times New Roman" w:hAnsi="Times New Roman" w:cs="Times New Roman"/>
          <w:sz w:val="24"/>
          <w:szCs w:val="24"/>
        </w:rPr>
        <w:t xml:space="preserve">European Commission </w:t>
      </w:r>
      <w:r w:rsidR="000559DB" w:rsidRPr="00774EDB">
        <w:rPr>
          <w:rFonts w:ascii="Times New Roman" w:hAnsi="Times New Roman" w:cs="Times New Roman"/>
          <w:sz w:val="24"/>
          <w:szCs w:val="24"/>
        </w:rPr>
        <w:t xml:space="preserve">Guidance, </w:t>
      </w:r>
      <w:r w:rsidRPr="00774EDB">
        <w:rPr>
          <w:rFonts w:ascii="Times New Roman" w:hAnsi="Times New Roman" w:cs="Times New Roman"/>
          <w:sz w:val="24"/>
          <w:szCs w:val="24"/>
        </w:rPr>
        <w:t>Guidelines</w:t>
      </w:r>
      <w:r w:rsidR="00D40D37" w:rsidRPr="00774EDB">
        <w:rPr>
          <w:rFonts w:ascii="Times New Roman" w:hAnsi="Times New Roman" w:cs="Times New Roman"/>
          <w:sz w:val="24"/>
          <w:szCs w:val="24"/>
        </w:rPr>
        <w:t>,</w:t>
      </w:r>
    </w:p>
    <w:p w14:paraId="2D024BD2" w14:textId="2845A69F" w:rsidR="00CF46FC" w:rsidRPr="00774EDB" w:rsidRDefault="00934626" w:rsidP="00A70042">
      <w:pPr>
        <w:jc w:val="both"/>
        <w:rPr>
          <w:rFonts w:ascii="Times New Roman" w:hAnsi="Times New Roman" w:cs="Times New Roman"/>
          <w:sz w:val="24"/>
          <w:szCs w:val="24"/>
        </w:rPr>
      </w:pPr>
      <w:r w:rsidRPr="00774EDB">
        <w:rPr>
          <w:rFonts w:ascii="Times New Roman" w:hAnsi="Times New Roman" w:cs="Times New Roman"/>
          <w:sz w:val="24"/>
          <w:szCs w:val="24"/>
        </w:rPr>
        <w:t>Notices</w:t>
      </w:r>
      <w:r w:rsidR="00D40D37" w:rsidRPr="00774EDB">
        <w:rPr>
          <w:rFonts w:ascii="Times New Roman" w:hAnsi="Times New Roman" w:cs="Times New Roman"/>
          <w:sz w:val="24"/>
          <w:szCs w:val="24"/>
        </w:rPr>
        <w:t xml:space="preserve"> and Recommendations</w:t>
      </w:r>
    </w:p>
    <w:p w14:paraId="6D16430F" w14:textId="77777777" w:rsidR="00163B43" w:rsidRPr="00774EDB" w:rsidRDefault="00163B43">
      <w:pPr>
        <w:pStyle w:val="ListParagraph"/>
        <w:ind w:left="1068"/>
        <w:jc w:val="both"/>
        <w:rPr>
          <w:rFonts w:ascii="Times New Roman" w:hAnsi="Times New Roman" w:cs="Times New Roman"/>
          <w:sz w:val="24"/>
          <w:szCs w:val="24"/>
        </w:rPr>
      </w:pPr>
    </w:p>
    <w:p w14:paraId="4F3BDFDB" w14:textId="77777777" w:rsidR="00DC564B" w:rsidRPr="00D40D37" w:rsidRDefault="00DC564B" w:rsidP="00DC564B">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European Commission,</w:t>
      </w:r>
      <w:r>
        <w:rPr>
          <w:rFonts w:ascii="Times New Roman" w:hAnsi="Times New Roman" w:cs="Times New Roman"/>
          <w:sz w:val="24"/>
          <w:szCs w:val="24"/>
        </w:rPr>
        <w:t xml:space="preserve"> </w:t>
      </w:r>
      <w:r w:rsidRPr="00D40D37">
        <w:rPr>
          <w:rFonts w:ascii="Times New Roman" w:hAnsi="Times New Roman" w:cs="Times New Roman"/>
          <w:sz w:val="24"/>
          <w:szCs w:val="24"/>
        </w:rPr>
        <w:t>Commission guidelines on market analysis and the assessment of significant market power under the Community regulatory framework for electronic communications networks and services (2002/C 165/03)</w:t>
      </w:r>
      <w:r>
        <w:rPr>
          <w:rFonts w:ascii="Times New Roman" w:hAnsi="Times New Roman" w:cs="Times New Roman"/>
          <w:sz w:val="24"/>
          <w:szCs w:val="24"/>
        </w:rPr>
        <w:t xml:space="preserve"> [2002] </w:t>
      </w:r>
      <w:r w:rsidRPr="00784419">
        <w:rPr>
          <w:rFonts w:ascii="Times New Roman" w:hAnsi="Times New Roman" w:cs="Times New Roman"/>
          <w:sz w:val="24"/>
          <w:szCs w:val="24"/>
        </w:rPr>
        <w:t>OJ C 165</w:t>
      </w:r>
      <w:r w:rsidRPr="00D40D37">
        <w:rPr>
          <w:rFonts w:ascii="Times New Roman" w:hAnsi="Times New Roman" w:cs="Times New Roman"/>
          <w:sz w:val="24"/>
          <w:szCs w:val="24"/>
        </w:rPr>
        <w:t xml:space="preserve"> (‘Commission’s 2002 Guidelines’)</w:t>
      </w:r>
    </w:p>
    <w:p w14:paraId="1FC07074" w14:textId="28F6F925" w:rsidR="009C57C0" w:rsidRDefault="009C57C0" w:rsidP="00DC564B">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European Commission, </w:t>
      </w:r>
      <w:r w:rsidRPr="009C57C0">
        <w:rPr>
          <w:rFonts w:ascii="Times New Roman" w:hAnsi="Times New Roman" w:cs="Times New Roman"/>
          <w:sz w:val="24"/>
          <w:szCs w:val="24"/>
        </w:rPr>
        <w:t xml:space="preserve">Notice on Application of Competition Rules to Access Agreements in the Telecommunications Sector </w:t>
      </w:r>
      <w:r w:rsidR="002431F6">
        <w:rPr>
          <w:rFonts w:ascii="Times New Roman" w:hAnsi="Times New Roman" w:cs="Times New Roman"/>
          <w:sz w:val="24"/>
          <w:szCs w:val="24"/>
        </w:rPr>
        <w:t>[</w:t>
      </w:r>
      <w:r w:rsidRPr="009C57C0">
        <w:rPr>
          <w:rFonts w:ascii="Times New Roman" w:hAnsi="Times New Roman" w:cs="Times New Roman"/>
          <w:sz w:val="24"/>
          <w:szCs w:val="24"/>
        </w:rPr>
        <w:t>1998</w:t>
      </w:r>
      <w:r w:rsidR="002431F6">
        <w:rPr>
          <w:rFonts w:ascii="Times New Roman" w:hAnsi="Times New Roman" w:cs="Times New Roman"/>
          <w:sz w:val="24"/>
          <w:szCs w:val="24"/>
        </w:rPr>
        <w:t>]</w:t>
      </w:r>
      <w:r w:rsidRPr="009C57C0">
        <w:rPr>
          <w:rFonts w:ascii="Times New Roman" w:hAnsi="Times New Roman" w:cs="Times New Roman"/>
          <w:sz w:val="24"/>
          <w:szCs w:val="24"/>
        </w:rPr>
        <w:t xml:space="preserve"> OJ C</w:t>
      </w:r>
      <w:r w:rsidR="002431F6">
        <w:rPr>
          <w:rFonts w:ascii="Times New Roman" w:hAnsi="Times New Roman" w:cs="Times New Roman"/>
          <w:sz w:val="24"/>
          <w:szCs w:val="24"/>
        </w:rPr>
        <w:t xml:space="preserve"> </w:t>
      </w:r>
      <w:r w:rsidRPr="009C57C0">
        <w:rPr>
          <w:rFonts w:ascii="Times New Roman" w:hAnsi="Times New Roman" w:cs="Times New Roman"/>
          <w:sz w:val="24"/>
          <w:szCs w:val="24"/>
        </w:rPr>
        <w:t>265/</w:t>
      </w:r>
      <w:r w:rsidR="00C77ABF">
        <w:rPr>
          <w:rFonts w:ascii="Times New Roman" w:hAnsi="Times New Roman" w:cs="Times New Roman"/>
          <w:sz w:val="24"/>
          <w:szCs w:val="24"/>
        </w:rPr>
        <w:t>02</w:t>
      </w:r>
      <w:r w:rsidR="00923EB3">
        <w:rPr>
          <w:rFonts w:ascii="Times New Roman" w:hAnsi="Times New Roman" w:cs="Times New Roman"/>
          <w:sz w:val="24"/>
          <w:szCs w:val="24"/>
        </w:rPr>
        <w:t xml:space="preserve"> (‘Commission’s 1998 Access </w:t>
      </w:r>
      <w:r w:rsidR="00923EB3" w:rsidRPr="009C57C0">
        <w:rPr>
          <w:rFonts w:ascii="Times New Roman" w:hAnsi="Times New Roman" w:cs="Times New Roman"/>
          <w:sz w:val="24"/>
          <w:szCs w:val="24"/>
        </w:rPr>
        <w:t>Notice</w:t>
      </w:r>
      <w:r w:rsidR="00923EB3">
        <w:rPr>
          <w:rFonts w:ascii="Times New Roman" w:hAnsi="Times New Roman" w:cs="Times New Roman"/>
          <w:sz w:val="24"/>
          <w:szCs w:val="24"/>
        </w:rPr>
        <w:t>’)</w:t>
      </w:r>
    </w:p>
    <w:p w14:paraId="4707BB96" w14:textId="4D5A6423" w:rsidR="00DC564B" w:rsidRDefault="00DC564B" w:rsidP="00DC564B">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European Commission,</w:t>
      </w:r>
      <w:r>
        <w:rPr>
          <w:rFonts w:ascii="Times New Roman" w:hAnsi="Times New Roman" w:cs="Times New Roman"/>
          <w:sz w:val="24"/>
          <w:szCs w:val="24"/>
        </w:rPr>
        <w:t xml:space="preserve"> </w:t>
      </w:r>
      <w:r w:rsidRPr="00D40D37">
        <w:rPr>
          <w:rFonts w:ascii="Times New Roman" w:hAnsi="Times New Roman" w:cs="Times New Roman"/>
          <w:sz w:val="24"/>
          <w:szCs w:val="24"/>
          <w:lang w:val="en-US"/>
        </w:rPr>
        <w:t>Commission Notice on the definition of relevant market for the purposes of Community competition law</w:t>
      </w:r>
      <w:r>
        <w:rPr>
          <w:rFonts w:ascii="Times New Roman" w:hAnsi="Times New Roman" w:cs="Times New Roman"/>
          <w:sz w:val="24"/>
          <w:szCs w:val="24"/>
          <w:lang w:val="en-US"/>
        </w:rPr>
        <w:t xml:space="preserve"> </w:t>
      </w:r>
      <w:r w:rsidRPr="00784419">
        <w:rPr>
          <w:rFonts w:ascii="Times New Roman" w:hAnsi="Times New Roman" w:cs="Times New Roman"/>
          <w:sz w:val="24"/>
          <w:szCs w:val="24"/>
          <w:lang w:val="en-US"/>
        </w:rPr>
        <w:t>(97/C 372 /03)</w:t>
      </w:r>
      <w:r w:rsidRPr="00D40D37">
        <w:rPr>
          <w:rFonts w:ascii="Times New Roman" w:hAnsi="Times New Roman" w:cs="Times New Roman"/>
          <w:sz w:val="24"/>
          <w:szCs w:val="24"/>
          <w:lang w:val="en-US"/>
        </w:rPr>
        <w:t xml:space="preserve"> [1997] OJ C 372/03)</w:t>
      </w:r>
    </w:p>
    <w:p w14:paraId="0EB439F8" w14:textId="77777777" w:rsidR="00DC564B" w:rsidRPr="00D40D37" w:rsidRDefault="00DC564B" w:rsidP="00DC564B">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European Commission,</w:t>
      </w:r>
      <w:r>
        <w:rPr>
          <w:rFonts w:ascii="Times New Roman" w:hAnsi="Times New Roman" w:cs="Times New Roman"/>
          <w:sz w:val="24"/>
          <w:szCs w:val="24"/>
        </w:rPr>
        <w:t xml:space="preserve"> </w:t>
      </w:r>
      <w:r w:rsidRPr="00D40D37">
        <w:rPr>
          <w:rFonts w:ascii="Times New Roman" w:hAnsi="Times New Roman" w:cs="Times New Roman"/>
          <w:sz w:val="24"/>
          <w:szCs w:val="24"/>
        </w:rPr>
        <w:t>Commission Recommendation of 9 October 2014 on relevant product and service markets within the electronic communications sector susceptible to ex ante regulation in accordance with Directive 2002/21/EC of the European Parliament and of the Council on a common regulatory framework for electronic communications networks and services (2014/710/EU) [2014] OJ L 295</w:t>
      </w:r>
    </w:p>
    <w:p w14:paraId="332095B8" w14:textId="77777777" w:rsidR="00DC564B" w:rsidRPr="00D40D37" w:rsidRDefault="00DC564B" w:rsidP="00DC564B">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European Commission,</w:t>
      </w:r>
      <w:r>
        <w:rPr>
          <w:rFonts w:ascii="Times New Roman" w:hAnsi="Times New Roman" w:cs="Times New Roman"/>
          <w:sz w:val="24"/>
          <w:szCs w:val="24"/>
        </w:rPr>
        <w:t xml:space="preserve"> </w:t>
      </w:r>
      <w:r w:rsidRPr="00D40D37">
        <w:rPr>
          <w:rFonts w:ascii="Times New Roman" w:hAnsi="Times New Roman" w:cs="Times New Roman"/>
          <w:sz w:val="24"/>
          <w:szCs w:val="24"/>
        </w:rPr>
        <w:t>Commission Recommendation of 17 December 2007 on relevant product and service markets within the electronic communications sector susceptible to ex ante regulation in accordance with Directive 2002/21/EC of the European Parliament and of the Council on a common regulatory framework for electronic communications networks and services (2007/879/EC) [2007] OJ L 344</w:t>
      </w:r>
    </w:p>
    <w:p w14:paraId="041C7748" w14:textId="77777777" w:rsidR="00DC564B" w:rsidRDefault="00DC564B" w:rsidP="00DC564B">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European Commission,</w:t>
      </w:r>
      <w:r>
        <w:rPr>
          <w:rFonts w:ascii="Times New Roman" w:hAnsi="Times New Roman" w:cs="Times New Roman"/>
          <w:sz w:val="24"/>
          <w:szCs w:val="24"/>
        </w:rPr>
        <w:t xml:space="preserve"> </w:t>
      </w:r>
      <w:r w:rsidRPr="00D40D37">
        <w:rPr>
          <w:rFonts w:ascii="Times New Roman" w:hAnsi="Times New Roman" w:cs="Times New Roman"/>
          <w:sz w:val="24"/>
          <w:szCs w:val="24"/>
        </w:rPr>
        <w:t>Commission Recommendation of 11 February 2003 on relevant product and service markets within the electronic communications sector susceptible to ex ante regulation in accordance with Directive 2002/21/EC of the European Parliament and of the Council on a common regulatory framework for electronic communications networks and services</w:t>
      </w:r>
      <w:r>
        <w:rPr>
          <w:rFonts w:ascii="Times New Roman" w:hAnsi="Times New Roman" w:cs="Times New Roman"/>
          <w:sz w:val="24"/>
          <w:szCs w:val="24"/>
        </w:rPr>
        <w:t xml:space="preserve"> </w:t>
      </w:r>
      <w:r w:rsidRPr="00784419">
        <w:rPr>
          <w:rFonts w:ascii="Times New Roman" w:hAnsi="Times New Roman" w:cs="Times New Roman"/>
          <w:sz w:val="24"/>
          <w:szCs w:val="24"/>
        </w:rPr>
        <w:t>(2003/311/EC)</w:t>
      </w:r>
      <w:r w:rsidRPr="00D40D37">
        <w:rPr>
          <w:rFonts w:ascii="Times New Roman" w:hAnsi="Times New Roman" w:cs="Times New Roman"/>
          <w:sz w:val="24"/>
          <w:szCs w:val="24"/>
        </w:rPr>
        <w:t xml:space="preserve"> [2003] OJ L 114</w:t>
      </w:r>
    </w:p>
    <w:p w14:paraId="5318CAEA" w14:textId="77777777" w:rsidR="00DC564B" w:rsidRPr="00D40D37" w:rsidRDefault="00DC564B" w:rsidP="00DC564B">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European Commission,</w:t>
      </w:r>
      <w:r>
        <w:rPr>
          <w:rFonts w:ascii="Times New Roman" w:hAnsi="Times New Roman" w:cs="Times New Roman"/>
          <w:sz w:val="24"/>
          <w:szCs w:val="24"/>
        </w:rPr>
        <w:t xml:space="preserve"> </w:t>
      </w:r>
      <w:r w:rsidRPr="00D40D37">
        <w:rPr>
          <w:rFonts w:ascii="Times New Roman" w:hAnsi="Times New Roman" w:cs="Times New Roman"/>
          <w:sz w:val="24"/>
          <w:szCs w:val="24"/>
          <w:lang w:val="tr-TR"/>
        </w:rPr>
        <w:t xml:space="preserve">Guidance on the Commission’s enforcement priorities in applying Article 82 of the EC Treaty to abusive exclusionary conduct by dominant undertakings </w:t>
      </w:r>
      <w:r w:rsidRPr="009D37A3">
        <w:rPr>
          <w:rFonts w:ascii="Times New Roman" w:hAnsi="Times New Roman" w:cs="Times New Roman"/>
          <w:sz w:val="24"/>
          <w:szCs w:val="24"/>
          <w:lang w:val="tr-TR"/>
        </w:rPr>
        <w:t>(2009/C 45/02)</w:t>
      </w:r>
      <w:r>
        <w:rPr>
          <w:rFonts w:ascii="Times New Roman" w:hAnsi="Times New Roman" w:cs="Times New Roman"/>
          <w:sz w:val="24"/>
          <w:szCs w:val="24"/>
          <w:lang w:val="tr-TR"/>
        </w:rPr>
        <w:t xml:space="preserve"> [2009]</w:t>
      </w:r>
      <w:r w:rsidRPr="00D40D37">
        <w:rPr>
          <w:rFonts w:ascii="Times New Roman" w:hAnsi="Times New Roman" w:cs="Times New Roman"/>
          <w:sz w:val="24"/>
          <w:szCs w:val="24"/>
          <w:lang w:val="tr-TR"/>
        </w:rPr>
        <w:t xml:space="preserve"> OJ C 45 (‘Commission Guidance’)  </w:t>
      </w:r>
    </w:p>
    <w:p w14:paraId="792D50F7" w14:textId="77777777" w:rsidR="00DC564B" w:rsidRPr="00D40D37" w:rsidRDefault="00DC564B" w:rsidP="00DC564B">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European Commission, Guidelines on the applicability of Article 101 of the Treaty on the Functioning of the European Union to horizontal co-</w:t>
      </w:r>
      <w:r w:rsidRPr="00D40D37">
        <w:rPr>
          <w:rFonts w:ascii="Times New Roman" w:hAnsi="Times New Roman" w:cs="Times New Roman"/>
          <w:sz w:val="24"/>
          <w:szCs w:val="24"/>
        </w:rPr>
        <w:lastRenderedPageBreak/>
        <w:t>operation agreements (2011/C 11/01)</w:t>
      </w:r>
      <w:r>
        <w:rPr>
          <w:rFonts w:ascii="Times New Roman" w:hAnsi="Times New Roman" w:cs="Times New Roman"/>
          <w:sz w:val="24"/>
          <w:szCs w:val="24"/>
        </w:rPr>
        <w:t xml:space="preserve"> [2011] </w:t>
      </w:r>
      <w:r w:rsidRPr="00784419">
        <w:rPr>
          <w:rFonts w:ascii="Times New Roman" w:hAnsi="Times New Roman" w:cs="Times New Roman"/>
          <w:sz w:val="24"/>
          <w:szCs w:val="24"/>
        </w:rPr>
        <w:t>OJ C 11</w:t>
      </w:r>
      <w:r w:rsidRPr="00D40D37">
        <w:rPr>
          <w:rFonts w:ascii="Times New Roman" w:hAnsi="Times New Roman" w:cs="Times New Roman"/>
          <w:sz w:val="24"/>
          <w:szCs w:val="24"/>
        </w:rPr>
        <w:t xml:space="preserve"> (‘Commission’s 2011 Guidelines’)</w:t>
      </w:r>
    </w:p>
    <w:p w14:paraId="11BCEC42" w14:textId="66F0CF39" w:rsidR="00934626" w:rsidRPr="00774EDB" w:rsidRDefault="00DC564B">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European Commission,</w:t>
      </w:r>
      <w:r>
        <w:rPr>
          <w:rFonts w:ascii="Times New Roman" w:hAnsi="Times New Roman" w:cs="Times New Roman"/>
          <w:sz w:val="24"/>
          <w:szCs w:val="24"/>
        </w:rPr>
        <w:t xml:space="preserve"> </w:t>
      </w:r>
      <w:r w:rsidRPr="00D40D37">
        <w:rPr>
          <w:rFonts w:ascii="Times New Roman" w:hAnsi="Times New Roman" w:cs="Times New Roman"/>
          <w:sz w:val="24"/>
          <w:szCs w:val="24"/>
        </w:rPr>
        <w:t>Guidelines on the assessment of horizontal mergers under the Council Regulation on the control of concentration between undertakings</w:t>
      </w:r>
      <w:r>
        <w:rPr>
          <w:rFonts w:ascii="Times New Roman" w:hAnsi="Times New Roman" w:cs="Times New Roman"/>
          <w:sz w:val="24"/>
          <w:szCs w:val="24"/>
        </w:rPr>
        <w:t xml:space="preserve"> </w:t>
      </w:r>
      <w:r w:rsidRPr="00784419">
        <w:rPr>
          <w:rFonts w:ascii="Times New Roman" w:hAnsi="Times New Roman" w:cs="Times New Roman"/>
          <w:sz w:val="24"/>
          <w:szCs w:val="24"/>
        </w:rPr>
        <w:t>(2004/C 31/03)</w:t>
      </w:r>
      <w:r w:rsidRPr="00D40D37">
        <w:rPr>
          <w:rFonts w:ascii="Times New Roman" w:hAnsi="Times New Roman" w:cs="Times New Roman"/>
          <w:sz w:val="24"/>
          <w:szCs w:val="24"/>
        </w:rPr>
        <w:t xml:space="preserve"> </w:t>
      </w:r>
      <w:r>
        <w:rPr>
          <w:rFonts w:ascii="Times New Roman" w:hAnsi="Times New Roman" w:cs="Times New Roman"/>
          <w:sz w:val="24"/>
          <w:szCs w:val="24"/>
        </w:rPr>
        <w:t xml:space="preserve">[2004] </w:t>
      </w:r>
      <w:r w:rsidRPr="00D40D37">
        <w:rPr>
          <w:rFonts w:ascii="Times New Roman" w:hAnsi="Times New Roman" w:cs="Times New Roman"/>
          <w:sz w:val="24"/>
          <w:szCs w:val="24"/>
        </w:rPr>
        <w:t>OJ C 031</w:t>
      </w:r>
      <w:r w:rsidR="00934626" w:rsidRPr="00774EDB">
        <w:rPr>
          <w:rFonts w:ascii="Times New Roman" w:hAnsi="Times New Roman" w:cs="Times New Roman"/>
          <w:sz w:val="24"/>
          <w:szCs w:val="24"/>
        </w:rPr>
        <w:t>.</w:t>
      </w:r>
    </w:p>
    <w:p w14:paraId="4D3C2373" w14:textId="3F4AB3DF" w:rsidR="00141C0E" w:rsidRDefault="00141C0E">
      <w:pPr>
        <w:rPr>
          <w:rFonts w:ascii="Times New Roman" w:hAnsi="Times New Roman" w:cs="Times New Roman"/>
          <w:sz w:val="24"/>
          <w:szCs w:val="24"/>
        </w:rPr>
      </w:pPr>
    </w:p>
    <w:p w14:paraId="63118FCA" w14:textId="5F013ADD" w:rsidR="00D40D37" w:rsidRPr="00774EDB" w:rsidRDefault="00D40D37" w:rsidP="00A70042">
      <w:pPr>
        <w:pStyle w:val="ListParagraph"/>
        <w:ind w:left="0"/>
        <w:jc w:val="both"/>
        <w:rPr>
          <w:rFonts w:ascii="Times New Roman" w:hAnsi="Times New Roman" w:cs="Times New Roman"/>
          <w:sz w:val="24"/>
          <w:szCs w:val="24"/>
        </w:rPr>
      </w:pPr>
      <w:r w:rsidRPr="00774EDB">
        <w:rPr>
          <w:rFonts w:ascii="Times New Roman" w:hAnsi="Times New Roman" w:cs="Times New Roman"/>
          <w:sz w:val="24"/>
          <w:szCs w:val="24"/>
        </w:rPr>
        <w:t>Proposals</w:t>
      </w:r>
    </w:p>
    <w:p w14:paraId="33C613DF" w14:textId="77777777" w:rsidR="00D40D37" w:rsidRPr="00774EDB" w:rsidRDefault="00D40D37" w:rsidP="00A70042">
      <w:pPr>
        <w:jc w:val="both"/>
        <w:rPr>
          <w:rFonts w:ascii="Times New Roman" w:hAnsi="Times New Roman" w:cs="Times New Roman"/>
          <w:sz w:val="24"/>
          <w:szCs w:val="24"/>
        </w:rPr>
      </w:pPr>
    </w:p>
    <w:p w14:paraId="65E49DEA" w14:textId="22C587CA" w:rsidR="00D9271A" w:rsidRPr="00D9271A" w:rsidRDefault="00D9271A" w:rsidP="00D9271A">
      <w:pPr>
        <w:pStyle w:val="ListParagraph"/>
        <w:numPr>
          <w:ilvl w:val="0"/>
          <w:numId w:val="22"/>
        </w:numPr>
        <w:jc w:val="both"/>
        <w:rPr>
          <w:rFonts w:ascii="Times New Roman" w:hAnsi="Times New Roman" w:cs="Times New Roman"/>
          <w:sz w:val="24"/>
          <w:szCs w:val="24"/>
        </w:rPr>
      </w:pPr>
      <w:r w:rsidRPr="00D9271A">
        <w:rPr>
          <w:rFonts w:ascii="Times New Roman" w:hAnsi="Times New Roman" w:cs="Times New Roman"/>
          <w:sz w:val="24"/>
          <w:szCs w:val="24"/>
        </w:rPr>
        <w:t>European Commission, Digital Services Act package ex ante regulatory instrument for very large online platforms with significant network effects acting as gate-keepers in the European Union’s internal market, Document Ares (2020) 2877647</w:t>
      </w:r>
    </w:p>
    <w:p w14:paraId="222D61A1" w14:textId="4D4EB1D7" w:rsidR="009D37A3" w:rsidRPr="00774EDB" w:rsidRDefault="009D37A3">
      <w:pPr>
        <w:pStyle w:val="ListParagraph"/>
        <w:numPr>
          <w:ilvl w:val="0"/>
          <w:numId w:val="22"/>
        </w:numPr>
        <w:jc w:val="both"/>
        <w:rPr>
          <w:rFonts w:ascii="Times New Roman" w:hAnsi="Times New Roman" w:cs="Times New Roman"/>
          <w:sz w:val="24"/>
          <w:szCs w:val="24"/>
        </w:rPr>
      </w:pPr>
      <w:r w:rsidRPr="00774EDB">
        <w:rPr>
          <w:rFonts w:ascii="Times New Roman" w:hAnsi="Times New Roman" w:cs="Times New Roman"/>
          <w:sz w:val="24"/>
          <w:szCs w:val="24"/>
          <w:lang w:val="en-US"/>
        </w:rPr>
        <w:t>European Commission, Proposal for a Regulation of the European Parliament and of the Council laying down measures concerning the European single market for electronic communications and to achieve a Connected Continent, COM(2013) 627 final, 2013/0309 (COD)</w:t>
      </w:r>
    </w:p>
    <w:p w14:paraId="67610A38" w14:textId="3E8ED6E1" w:rsidR="00D40D37" w:rsidRPr="00774EDB" w:rsidRDefault="00D40D37">
      <w:pPr>
        <w:pStyle w:val="ListParagraph"/>
        <w:numPr>
          <w:ilvl w:val="0"/>
          <w:numId w:val="22"/>
        </w:numPr>
        <w:jc w:val="both"/>
        <w:rPr>
          <w:rFonts w:ascii="Times New Roman" w:hAnsi="Times New Roman" w:cs="Times New Roman"/>
          <w:sz w:val="24"/>
          <w:szCs w:val="24"/>
        </w:rPr>
      </w:pPr>
      <w:r w:rsidRPr="00774EDB">
        <w:rPr>
          <w:rFonts w:ascii="Times New Roman" w:hAnsi="Times New Roman" w:cs="Times New Roman"/>
          <w:sz w:val="24"/>
          <w:szCs w:val="24"/>
        </w:rPr>
        <w:t>European Commission, ‘Proposal for a Directive of the European Parliament and of the Council on the patentability of computer-implemented inventions (2002/C 151 E/05) COM</w:t>
      </w:r>
      <w:r w:rsidR="009D37A3" w:rsidRPr="00774EDB">
        <w:rPr>
          <w:rFonts w:ascii="Times New Roman" w:hAnsi="Times New Roman" w:cs="Times New Roman"/>
          <w:sz w:val="24"/>
          <w:szCs w:val="24"/>
        </w:rPr>
        <w:t xml:space="preserve"> </w:t>
      </w:r>
      <w:r w:rsidRPr="00774EDB">
        <w:rPr>
          <w:rFonts w:ascii="Times New Roman" w:hAnsi="Times New Roman" w:cs="Times New Roman"/>
          <w:sz w:val="24"/>
          <w:szCs w:val="24"/>
        </w:rPr>
        <w:t>(2002) 92 final - 2002/0047(COD)</w:t>
      </w:r>
    </w:p>
    <w:p w14:paraId="5D7733CB" w14:textId="77777777" w:rsidR="00934626" w:rsidRPr="00774EDB" w:rsidRDefault="00934626">
      <w:pPr>
        <w:jc w:val="both"/>
        <w:rPr>
          <w:rFonts w:ascii="Times New Roman" w:hAnsi="Times New Roman" w:cs="Times New Roman"/>
          <w:sz w:val="24"/>
          <w:szCs w:val="24"/>
        </w:rPr>
      </w:pPr>
    </w:p>
    <w:p w14:paraId="20D1FDFA" w14:textId="18381530" w:rsidR="00934626" w:rsidRPr="00774EDB" w:rsidRDefault="00934626" w:rsidP="00A70042">
      <w:pPr>
        <w:jc w:val="both"/>
        <w:rPr>
          <w:rFonts w:ascii="Times New Roman" w:hAnsi="Times New Roman" w:cs="Times New Roman"/>
          <w:sz w:val="24"/>
          <w:szCs w:val="24"/>
        </w:rPr>
      </w:pPr>
      <w:r w:rsidRPr="00774EDB">
        <w:rPr>
          <w:rFonts w:ascii="Times New Roman" w:hAnsi="Times New Roman" w:cs="Times New Roman"/>
          <w:sz w:val="24"/>
          <w:szCs w:val="24"/>
        </w:rPr>
        <w:t>Other Official Materials</w:t>
      </w:r>
    </w:p>
    <w:p w14:paraId="3A9188E9" w14:textId="77777777" w:rsidR="00C77E07" w:rsidRPr="00774EDB" w:rsidRDefault="00C77E07" w:rsidP="00A70042">
      <w:pPr>
        <w:jc w:val="both"/>
        <w:rPr>
          <w:rFonts w:ascii="Times New Roman" w:hAnsi="Times New Roman" w:cs="Times New Roman"/>
          <w:sz w:val="24"/>
          <w:szCs w:val="24"/>
        </w:rPr>
      </w:pPr>
    </w:p>
    <w:p w14:paraId="0B8C4D3A" w14:textId="77777777" w:rsidR="00EF2A3D" w:rsidRPr="009A1D82" w:rsidRDefault="00EF2A3D" w:rsidP="00EF2A3D">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Communication from the Commission to the European Parliament, the Council, the European Economic and Social Committee and the Committee </w:t>
      </w:r>
      <w:r w:rsidRPr="00D40D37">
        <w:rPr>
          <w:rFonts w:ascii="Times New Roman" w:hAnsi="Times New Roman" w:cs="Times New Roman"/>
          <w:sz w:val="24"/>
          <w:szCs w:val="24"/>
        </w:rPr>
        <w:lastRenderedPageBreak/>
        <w:t>of Regions</w:t>
      </w:r>
      <w:r>
        <w:rPr>
          <w:rFonts w:ascii="Times New Roman" w:hAnsi="Times New Roman" w:cs="Times New Roman"/>
          <w:sz w:val="24"/>
          <w:szCs w:val="24"/>
        </w:rPr>
        <w:t xml:space="preserve">, </w:t>
      </w:r>
      <w:r w:rsidRPr="009A1D82">
        <w:rPr>
          <w:rFonts w:ascii="Times New Roman" w:hAnsi="Times New Roman" w:cs="Times New Roman"/>
          <w:sz w:val="24"/>
          <w:szCs w:val="24"/>
        </w:rPr>
        <w:t>A Digital Single Market Strategy for Europe</w:t>
      </w:r>
      <w:r>
        <w:rPr>
          <w:rFonts w:ascii="Times New Roman" w:hAnsi="Times New Roman" w:cs="Times New Roman"/>
          <w:sz w:val="24"/>
          <w:szCs w:val="24"/>
        </w:rPr>
        <w:t>,</w:t>
      </w:r>
      <w:r w:rsidRPr="009A1D82">
        <w:rPr>
          <w:rFonts w:ascii="Times New Roman" w:hAnsi="Times New Roman" w:cs="Times New Roman"/>
          <w:sz w:val="24"/>
          <w:szCs w:val="24"/>
        </w:rPr>
        <w:t xml:space="preserve"> COM</w:t>
      </w:r>
      <w:r>
        <w:rPr>
          <w:rFonts w:ascii="Times New Roman" w:hAnsi="Times New Roman" w:cs="Times New Roman"/>
          <w:sz w:val="24"/>
          <w:szCs w:val="24"/>
        </w:rPr>
        <w:t xml:space="preserve"> </w:t>
      </w:r>
      <w:r w:rsidRPr="009A1D82">
        <w:rPr>
          <w:rFonts w:ascii="Times New Roman" w:hAnsi="Times New Roman" w:cs="Times New Roman"/>
          <w:sz w:val="24"/>
          <w:szCs w:val="24"/>
        </w:rPr>
        <w:t>(2015) 192 final</w:t>
      </w:r>
    </w:p>
    <w:p w14:paraId="207B724E" w14:textId="77777777" w:rsidR="00EF2A3D" w:rsidRDefault="00EF2A3D" w:rsidP="00EF2A3D">
      <w:pPr>
        <w:pStyle w:val="ListParagraph"/>
        <w:numPr>
          <w:ilvl w:val="0"/>
          <w:numId w:val="22"/>
        </w:numPr>
        <w:jc w:val="both"/>
        <w:rPr>
          <w:rFonts w:ascii="Times New Roman" w:hAnsi="Times New Roman" w:cs="Times New Roman"/>
          <w:sz w:val="24"/>
          <w:szCs w:val="24"/>
        </w:rPr>
      </w:pPr>
      <w:r w:rsidRPr="00441503">
        <w:rPr>
          <w:rFonts w:ascii="Times New Roman" w:hAnsi="Times New Roman" w:cs="Times New Roman"/>
          <w:sz w:val="24"/>
          <w:szCs w:val="24"/>
        </w:rPr>
        <w:t xml:space="preserve">Communication </w:t>
      </w:r>
      <w:r>
        <w:rPr>
          <w:rFonts w:ascii="Times New Roman" w:hAnsi="Times New Roman" w:cs="Times New Roman"/>
          <w:sz w:val="24"/>
          <w:szCs w:val="24"/>
        </w:rPr>
        <w:t>f</w:t>
      </w:r>
      <w:r w:rsidRPr="00441503">
        <w:rPr>
          <w:rFonts w:ascii="Times New Roman" w:hAnsi="Times New Roman" w:cs="Times New Roman"/>
          <w:sz w:val="24"/>
          <w:szCs w:val="24"/>
        </w:rPr>
        <w:t xml:space="preserve">rom </w:t>
      </w:r>
      <w:r>
        <w:rPr>
          <w:rFonts w:ascii="Times New Roman" w:hAnsi="Times New Roman" w:cs="Times New Roman"/>
          <w:sz w:val="24"/>
          <w:szCs w:val="24"/>
        </w:rPr>
        <w:t>t</w:t>
      </w:r>
      <w:r w:rsidRPr="00441503">
        <w:rPr>
          <w:rFonts w:ascii="Times New Roman" w:hAnsi="Times New Roman" w:cs="Times New Roman"/>
          <w:sz w:val="24"/>
          <w:szCs w:val="24"/>
        </w:rPr>
        <w:t xml:space="preserve">he Commission </w:t>
      </w:r>
      <w:r>
        <w:rPr>
          <w:rFonts w:ascii="Times New Roman" w:hAnsi="Times New Roman" w:cs="Times New Roman"/>
          <w:sz w:val="24"/>
          <w:szCs w:val="24"/>
        </w:rPr>
        <w:t>t</w:t>
      </w:r>
      <w:r w:rsidRPr="00441503">
        <w:rPr>
          <w:rFonts w:ascii="Times New Roman" w:hAnsi="Times New Roman" w:cs="Times New Roman"/>
          <w:sz w:val="24"/>
          <w:szCs w:val="24"/>
        </w:rPr>
        <w:t xml:space="preserve">o </w:t>
      </w:r>
      <w:r>
        <w:rPr>
          <w:rFonts w:ascii="Times New Roman" w:hAnsi="Times New Roman" w:cs="Times New Roman"/>
          <w:sz w:val="24"/>
          <w:szCs w:val="24"/>
        </w:rPr>
        <w:t>t</w:t>
      </w:r>
      <w:r w:rsidRPr="00441503">
        <w:rPr>
          <w:rFonts w:ascii="Times New Roman" w:hAnsi="Times New Roman" w:cs="Times New Roman"/>
          <w:sz w:val="24"/>
          <w:szCs w:val="24"/>
        </w:rPr>
        <w:t>he European</w:t>
      </w:r>
      <w:r>
        <w:rPr>
          <w:rFonts w:ascii="Times New Roman" w:hAnsi="Times New Roman" w:cs="Times New Roman"/>
          <w:sz w:val="24"/>
          <w:szCs w:val="24"/>
        </w:rPr>
        <w:t xml:space="preserve"> </w:t>
      </w:r>
      <w:r w:rsidRPr="00441503">
        <w:rPr>
          <w:rFonts w:ascii="Times New Roman" w:hAnsi="Times New Roman" w:cs="Times New Roman"/>
          <w:sz w:val="24"/>
          <w:szCs w:val="24"/>
        </w:rPr>
        <w:t xml:space="preserve">Parliament, </w:t>
      </w:r>
      <w:r>
        <w:rPr>
          <w:rFonts w:ascii="Times New Roman" w:hAnsi="Times New Roman" w:cs="Times New Roman"/>
          <w:sz w:val="24"/>
          <w:szCs w:val="24"/>
        </w:rPr>
        <w:t>t</w:t>
      </w:r>
      <w:r w:rsidRPr="00441503">
        <w:rPr>
          <w:rFonts w:ascii="Times New Roman" w:hAnsi="Times New Roman" w:cs="Times New Roman"/>
          <w:sz w:val="24"/>
          <w:szCs w:val="24"/>
        </w:rPr>
        <w:t xml:space="preserve">he Council, </w:t>
      </w:r>
      <w:r>
        <w:rPr>
          <w:rFonts w:ascii="Times New Roman" w:hAnsi="Times New Roman" w:cs="Times New Roman"/>
          <w:sz w:val="24"/>
          <w:szCs w:val="24"/>
        </w:rPr>
        <w:t>t</w:t>
      </w:r>
      <w:r w:rsidRPr="00441503">
        <w:rPr>
          <w:rFonts w:ascii="Times New Roman" w:hAnsi="Times New Roman" w:cs="Times New Roman"/>
          <w:sz w:val="24"/>
          <w:szCs w:val="24"/>
        </w:rPr>
        <w:t xml:space="preserve">he European Economic </w:t>
      </w:r>
      <w:r>
        <w:rPr>
          <w:rFonts w:ascii="Times New Roman" w:hAnsi="Times New Roman" w:cs="Times New Roman"/>
          <w:sz w:val="24"/>
          <w:szCs w:val="24"/>
        </w:rPr>
        <w:t>a</w:t>
      </w:r>
      <w:r w:rsidRPr="00441503">
        <w:rPr>
          <w:rFonts w:ascii="Times New Roman" w:hAnsi="Times New Roman" w:cs="Times New Roman"/>
          <w:sz w:val="24"/>
          <w:szCs w:val="24"/>
        </w:rPr>
        <w:t>nd Social</w:t>
      </w:r>
      <w:r>
        <w:rPr>
          <w:rFonts w:ascii="Times New Roman" w:hAnsi="Times New Roman" w:cs="Times New Roman"/>
          <w:sz w:val="24"/>
          <w:szCs w:val="24"/>
        </w:rPr>
        <w:t xml:space="preserve"> </w:t>
      </w:r>
      <w:r w:rsidRPr="00441503">
        <w:rPr>
          <w:rFonts w:ascii="Times New Roman" w:hAnsi="Times New Roman" w:cs="Times New Roman"/>
          <w:sz w:val="24"/>
          <w:szCs w:val="24"/>
        </w:rPr>
        <w:t xml:space="preserve">Committee </w:t>
      </w:r>
      <w:r>
        <w:rPr>
          <w:rFonts w:ascii="Times New Roman" w:hAnsi="Times New Roman" w:cs="Times New Roman"/>
          <w:sz w:val="24"/>
          <w:szCs w:val="24"/>
        </w:rPr>
        <w:t>a</w:t>
      </w:r>
      <w:r w:rsidRPr="00441503">
        <w:rPr>
          <w:rFonts w:ascii="Times New Roman" w:hAnsi="Times New Roman" w:cs="Times New Roman"/>
          <w:sz w:val="24"/>
          <w:szCs w:val="24"/>
        </w:rPr>
        <w:t xml:space="preserve">nd </w:t>
      </w:r>
      <w:r>
        <w:rPr>
          <w:rFonts w:ascii="Times New Roman" w:hAnsi="Times New Roman" w:cs="Times New Roman"/>
          <w:sz w:val="24"/>
          <w:szCs w:val="24"/>
        </w:rPr>
        <w:t>t</w:t>
      </w:r>
      <w:r w:rsidRPr="00441503">
        <w:rPr>
          <w:rFonts w:ascii="Times New Roman" w:hAnsi="Times New Roman" w:cs="Times New Roman"/>
          <w:sz w:val="24"/>
          <w:szCs w:val="24"/>
        </w:rPr>
        <w:t xml:space="preserve">he Committee </w:t>
      </w:r>
      <w:r>
        <w:rPr>
          <w:rFonts w:ascii="Times New Roman" w:hAnsi="Times New Roman" w:cs="Times New Roman"/>
          <w:sz w:val="24"/>
          <w:szCs w:val="24"/>
        </w:rPr>
        <w:t>o</w:t>
      </w:r>
      <w:r w:rsidRPr="00441503">
        <w:rPr>
          <w:rFonts w:ascii="Times New Roman" w:hAnsi="Times New Roman" w:cs="Times New Roman"/>
          <w:sz w:val="24"/>
          <w:szCs w:val="24"/>
        </w:rPr>
        <w:t xml:space="preserve">f </w:t>
      </w:r>
      <w:r>
        <w:rPr>
          <w:rFonts w:ascii="Times New Roman" w:hAnsi="Times New Roman" w:cs="Times New Roman"/>
          <w:sz w:val="24"/>
          <w:szCs w:val="24"/>
        </w:rPr>
        <w:t>t</w:t>
      </w:r>
      <w:r w:rsidRPr="00441503">
        <w:rPr>
          <w:rFonts w:ascii="Times New Roman" w:hAnsi="Times New Roman" w:cs="Times New Roman"/>
          <w:sz w:val="24"/>
          <w:szCs w:val="24"/>
        </w:rPr>
        <w:t>he Regions</w:t>
      </w:r>
      <w:r>
        <w:rPr>
          <w:rFonts w:ascii="Times New Roman" w:hAnsi="Times New Roman" w:cs="Times New Roman"/>
          <w:sz w:val="24"/>
          <w:szCs w:val="24"/>
        </w:rPr>
        <w:t xml:space="preserve">, </w:t>
      </w:r>
      <w:r w:rsidRPr="00441503">
        <w:rPr>
          <w:rFonts w:ascii="Times New Roman" w:hAnsi="Times New Roman" w:cs="Times New Roman"/>
          <w:sz w:val="24"/>
          <w:szCs w:val="24"/>
        </w:rPr>
        <w:t>A Digital Agenda for Europe</w:t>
      </w:r>
      <w:r>
        <w:rPr>
          <w:rFonts w:ascii="Times New Roman" w:hAnsi="Times New Roman" w:cs="Times New Roman"/>
          <w:sz w:val="24"/>
          <w:szCs w:val="24"/>
        </w:rPr>
        <w:t>,</w:t>
      </w:r>
      <w:r w:rsidRPr="00441503">
        <w:rPr>
          <w:rFonts w:ascii="Times New Roman" w:hAnsi="Times New Roman" w:cs="Times New Roman"/>
          <w:sz w:val="24"/>
          <w:szCs w:val="24"/>
        </w:rPr>
        <w:t xml:space="preserve"> C</w:t>
      </w:r>
      <w:r>
        <w:rPr>
          <w:rFonts w:ascii="Times New Roman" w:hAnsi="Times New Roman" w:cs="Times New Roman"/>
          <w:sz w:val="24"/>
          <w:szCs w:val="24"/>
        </w:rPr>
        <w:t>OM</w:t>
      </w:r>
      <w:r w:rsidRPr="00441503">
        <w:rPr>
          <w:rFonts w:ascii="Times New Roman" w:hAnsi="Times New Roman" w:cs="Times New Roman"/>
          <w:sz w:val="24"/>
          <w:szCs w:val="24"/>
        </w:rPr>
        <w:t xml:space="preserve"> (2010) 245 final/2</w:t>
      </w:r>
    </w:p>
    <w:p w14:paraId="3ADCD1B5" w14:textId="77777777" w:rsidR="00EF2A3D" w:rsidRPr="00D40D37" w:rsidRDefault="00EF2A3D" w:rsidP="00EF2A3D">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European Commission, European interoperability framework for pan-European eGovernment services (Version 1.0) 2004</w:t>
      </w:r>
    </w:p>
    <w:p w14:paraId="4465EF82" w14:textId="77777777" w:rsidR="00EF2A3D" w:rsidRPr="00DA6A66" w:rsidRDefault="00EF2A3D" w:rsidP="00EF2A3D">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European Commission, ICT Standardisation Priorities for the Digital Single Market, COM (2016) 176 final</w:t>
      </w:r>
    </w:p>
    <w:p w14:paraId="15A23781" w14:textId="77777777" w:rsidR="00EF2A3D" w:rsidRPr="00D40D37" w:rsidRDefault="00EF2A3D" w:rsidP="00EF2A3D">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European Commission, Towards a Dynamic European Economy: Green Paper on the development of a Common Market for Telecommunications Services and Equipment [1987] COM (87)290 (‘1987 Green Paper’)</w:t>
      </w:r>
    </w:p>
    <w:p w14:paraId="0B380B36" w14:textId="77777777" w:rsidR="00EF2A3D" w:rsidRDefault="00EF2A3D" w:rsidP="00EF2A3D">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Council Resolution of 30 June 1988 on the development of the common market for telecommunications services and equipment up to 1992 [1988] OJ C 257/1</w:t>
      </w:r>
    </w:p>
    <w:p w14:paraId="0012C4B4" w14:textId="77777777" w:rsidR="00EF2A3D" w:rsidRDefault="00EF2A3D" w:rsidP="00EF2A3D">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UK </w:t>
      </w:r>
      <w:r w:rsidRPr="00E20956">
        <w:rPr>
          <w:rFonts w:ascii="Times New Roman" w:hAnsi="Times New Roman" w:cs="Times New Roman"/>
          <w:sz w:val="24"/>
          <w:szCs w:val="24"/>
        </w:rPr>
        <w:t xml:space="preserve">Copyright Designs and Patents Act 1988 </w:t>
      </w:r>
    </w:p>
    <w:p w14:paraId="6B10D5B3" w14:textId="77777777" w:rsidR="00EF2A3D" w:rsidRDefault="00EF2A3D" w:rsidP="00EF2A3D">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US Horizontal Merger and Guidelines (US Department of Justice and Federal Trade Commission, 2010</w:t>
      </w:r>
    </w:p>
    <w:p w14:paraId="7FE32996" w14:textId="77777777" w:rsidR="00EF2A3D" w:rsidRDefault="00EF2A3D" w:rsidP="00EF2A3D">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US </w:t>
      </w:r>
      <w:r w:rsidRPr="00C77E07">
        <w:rPr>
          <w:rFonts w:ascii="Times New Roman" w:hAnsi="Times New Roman" w:cs="Times New Roman"/>
          <w:sz w:val="24"/>
          <w:szCs w:val="24"/>
        </w:rPr>
        <w:t xml:space="preserve">Digital Millennium Copyright Act of 28 October 1998 </w:t>
      </w:r>
      <w:r>
        <w:rPr>
          <w:rFonts w:ascii="Times New Roman" w:hAnsi="Times New Roman" w:cs="Times New Roman"/>
          <w:sz w:val="24"/>
          <w:szCs w:val="24"/>
        </w:rPr>
        <w:t>(</w:t>
      </w:r>
      <w:r w:rsidRPr="00C77E07">
        <w:rPr>
          <w:rFonts w:ascii="Times New Roman" w:hAnsi="Times New Roman" w:cs="Times New Roman"/>
          <w:sz w:val="24"/>
          <w:szCs w:val="24"/>
        </w:rPr>
        <w:t>‘DMCA’</w:t>
      </w:r>
      <w:r>
        <w:rPr>
          <w:rFonts w:ascii="Times New Roman" w:hAnsi="Times New Roman" w:cs="Times New Roman"/>
          <w:sz w:val="24"/>
          <w:szCs w:val="24"/>
        </w:rPr>
        <w:t>)</w:t>
      </w:r>
    </w:p>
    <w:p w14:paraId="2FBB8B62" w14:textId="70315D79" w:rsidR="00EF2A3D" w:rsidRPr="00774EDB" w:rsidRDefault="00EF2A3D" w:rsidP="00EF2A3D">
      <w:pPr>
        <w:pStyle w:val="ListParagraph"/>
        <w:numPr>
          <w:ilvl w:val="0"/>
          <w:numId w:val="22"/>
        </w:numPr>
        <w:jc w:val="both"/>
        <w:rPr>
          <w:rFonts w:ascii="Times New Roman" w:hAnsi="Times New Roman" w:cs="Times New Roman"/>
          <w:sz w:val="24"/>
          <w:szCs w:val="24"/>
        </w:rPr>
      </w:pPr>
      <w:r w:rsidRPr="00284530">
        <w:rPr>
          <w:rFonts w:ascii="Times New Roman" w:hAnsi="Times New Roman" w:cs="Times New Roman"/>
          <w:sz w:val="24"/>
          <w:szCs w:val="24"/>
        </w:rPr>
        <w:t xml:space="preserve">US Copyright Act </w:t>
      </w:r>
      <w:r>
        <w:rPr>
          <w:rFonts w:ascii="Times New Roman" w:hAnsi="Times New Roman" w:cs="Times New Roman"/>
          <w:sz w:val="24"/>
          <w:szCs w:val="24"/>
        </w:rPr>
        <w:t xml:space="preserve">of 19 </w:t>
      </w:r>
      <w:r w:rsidRPr="0088206F">
        <w:rPr>
          <w:rFonts w:ascii="Times New Roman" w:hAnsi="Times New Roman" w:cs="Times New Roman"/>
          <w:sz w:val="24"/>
          <w:szCs w:val="24"/>
        </w:rPr>
        <w:t xml:space="preserve">October </w:t>
      </w:r>
      <w:r w:rsidRPr="00284530">
        <w:rPr>
          <w:rFonts w:ascii="Times New Roman" w:hAnsi="Times New Roman" w:cs="Times New Roman"/>
          <w:sz w:val="24"/>
          <w:szCs w:val="24"/>
        </w:rPr>
        <w:t>1976 (</w:t>
      </w:r>
      <w:r>
        <w:rPr>
          <w:rFonts w:ascii="Times New Roman" w:hAnsi="Times New Roman" w:cs="Times New Roman"/>
          <w:sz w:val="24"/>
          <w:szCs w:val="24"/>
        </w:rPr>
        <w:t>‘</w:t>
      </w:r>
      <w:r w:rsidRPr="00284530">
        <w:rPr>
          <w:rFonts w:ascii="Times New Roman" w:hAnsi="Times New Roman" w:cs="Times New Roman"/>
          <w:sz w:val="24"/>
          <w:szCs w:val="24"/>
        </w:rPr>
        <w:t>USCA</w:t>
      </w:r>
      <w:r>
        <w:rPr>
          <w:rFonts w:ascii="Times New Roman" w:hAnsi="Times New Roman" w:cs="Times New Roman"/>
          <w:sz w:val="24"/>
          <w:szCs w:val="24"/>
        </w:rPr>
        <w:t>’)</w:t>
      </w:r>
    </w:p>
    <w:p w14:paraId="7B424415" w14:textId="77777777" w:rsidR="00D40D37" w:rsidRPr="00774EDB" w:rsidRDefault="00D40D37" w:rsidP="00A70042">
      <w:pPr>
        <w:pStyle w:val="ListParagraph"/>
        <w:ind w:left="1068"/>
        <w:jc w:val="both"/>
        <w:rPr>
          <w:rFonts w:ascii="Times New Roman" w:hAnsi="Times New Roman" w:cs="Times New Roman"/>
          <w:sz w:val="24"/>
          <w:szCs w:val="24"/>
          <w:lang w:val="en-US"/>
        </w:rPr>
      </w:pPr>
    </w:p>
    <w:p w14:paraId="383AD32A" w14:textId="322571B4" w:rsidR="00D40D37" w:rsidRPr="00774EDB" w:rsidRDefault="0028300D" w:rsidP="00A70042">
      <w:pPr>
        <w:pStyle w:val="ListParagraph"/>
        <w:ind w:left="0"/>
        <w:jc w:val="both"/>
        <w:rPr>
          <w:rFonts w:ascii="Times New Roman" w:hAnsi="Times New Roman" w:cs="Times New Roman"/>
          <w:sz w:val="24"/>
          <w:szCs w:val="24"/>
          <w:lang w:val="en-US"/>
        </w:rPr>
      </w:pPr>
      <w:r w:rsidRPr="00774EDB">
        <w:rPr>
          <w:rFonts w:ascii="Times New Roman" w:hAnsi="Times New Roman" w:cs="Times New Roman"/>
          <w:sz w:val="24"/>
          <w:szCs w:val="24"/>
          <w:lang w:val="en-US"/>
        </w:rPr>
        <w:t xml:space="preserve">Newsletter, </w:t>
      </w:r>
      <w:r w:rsidR="00D40D37" w:rsidRPr="00774EDB">
        <w:rPr>
          <w:rFonts w:ascii="Times New Roman" w:hAnsi="Times New Roman" w:cs="Times New Roman"/>
          <w:sz w:val="24"/>
          <w:szCs w:val="24"/>
          <w:lang w:val="en-US"/>
        </w:rPr>
        <w:t>Press Releases</w:t>
      </w:r>
    </w:p>
    <w:p w14:paraId="524D5A8D" w14:textId="77777777" w:rsidR="0028300D" w:rsidRPr="00774EDB" w:rsidRDefault="0028300D" w:rsidP="00A70042">
      <w:pPr>
        <w:pStyle w:val="ListParagraph"/>
        <w:ind w:left="1068"/>
        <w:jc w:val="both"/>
        <w:rPr>
          <w:rFonts w:ascii="Times New Roman" w:hAnsi="Times New Roman" w:cs="Times New Roman"/>
          <w:sz w:val="24"/>
          <w:szCs w:val="24"/>
          <w:lang w:val="en-US"/>
        </w:rPr>
      </w:pPr>
    </w:p>
    <w:p w14:paraId="07EE8BE0" w14:textId="6C3425B6" w:rsidR="00216761" w:rsidRPr="00D40D37" w:rsidRDefault="00216761" w:rsidP="00216761">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European Commission, ‘Antitrust: Commission fines Google €2.42 billion for abusing its dominance as a search engine by giving an illegal advantage </w:t>
      </w:r>
      <w:r w:rsidRPr="00D40D37">
        <w:rPr>
          <w:rFonts w:ascii="Times New Roman" w:hAnsi="Times New Roman" w:cs="Times New Roman"/>
          <w:sz w:val="24"/>
          <w:szCs w:val="24"/>
        </w:rPr>
        <w:lastRenderedPageBreak/>
        <w:t>to its own comparison shopping service’</w:t>
      </w:r>
      <w:r>
        <w:rPr>
          <w:rFonts w:ascii="Times New Roman" w:hAnsi="Times New Roman" w:cs="Times New Roman"/>
          <w:sz w:val="24"/>
          <w:szCs w:val="24"/>
        </w:rPr>
        <w:t xml:space="preserve"> (</w:t>
      </w:r>
      <w:r w:rsidRPr="00D40D37">
        <w:rPr>
          <w:rFonts w:ascii="Times New Roman" w:hAnsi="Times New Roman" w:cs="Times New Roman"/>
          <w:sz w:val="24"/>
          <w:szCs w:val="24"/>
        </w:rPr>
        <w:t xml:space="preserve">Press release, </w:t>
      </w:r>
      <w:r w:rsidRPr="0028300D">
        <w:rPr>
          <w:rFonts w:ascii="Times New Roman" w:hAnsi="Times New Roman" w:cs="Times New Roman"/>
          <w:sz w:val="24"/>
          <w:szCs w:val="24"/>
        </w:rPr>
        <w:t>IP</w:t>
      </w:r>
      <w:r>
        <w:rPr>
          <w:rFonts w:ascii="Times New Roman" w:hAnsi="Times New Roman" w:cs="Times New Roman"/>
          <w:sz w:val="24"/>
          <w:szCs w:val="24"/>
        </w:rPr>
        <w:t>/</w:t>
      </w:r>
      <w:r w:rsidRPr="0028300D">
        <w:rPr>
          <w:rFonts w:ascii="Times New Roman" w:hAnsi="Times New Roman" w:cs="Times New Roman"/>
          <w:sz w:val="24"/>
          <w:szCs w:val="24"/>
        </w:rPr>
        <w:t>17</w:t>
      </w:r>
      <w:r>
        <w:rPr>
          <w:rFonts w:ascii="Times New Roman" w:hAnsi="Times New Roman" w:cs="Times New Roman"/>
          <w:sz w:val="24"/>
          <w:szCs w:val="24"/>
        </w:rPr>
        <w:t>/</w:t>
      </w:r>
      <w:r w:rsidRPr="0028300D">
        <w:rPr>
          <w:rFonts w:ascii="Times New Roman" w:hAnsi="Times New Roman" w:cs="Times New Roman"/>
          <w:sz w:val="24"/>
          <w:szCs w:val="24"/>
        </w:rPr>
        <w:t>1784</w:t>
      </w:r>
      <w:r>
        <w:rPr>
          <w:rFonts w:ascii="Times New Roman" w:hAnsi="Times New Roman" w:cs="Times New Roman"/>
          <w:sz w:val="24"/>
          <w:szCs w:val="24"/>
        </w:rPr>
        <w:t xml:space="preserve">, </w:t>
      </w:r>
      <w:r w:rsidRPr="00D40D37">
        <w:rPr>
          <w:rFonts w:ascii="Times New Roman" w:hAnsi="Times New Roman" w:cs="Times New Roman"/>
          <w:sz w:val="24"/>
          <w:szCs w:val="24"/>
        </w:rPr>
        <w:t>27 June 2017</w:t>
      </w:r>
      <w:r>
        <w:rPr>
          <w:rFonts w:ascii="Times New Roman" w:hAnsi="Times New Roman" w:cs="Times New Roman"/>
          <w:sz w:val="24"/>
          <w:szCs w:val="24"/>
        </w:rPr>
        <w:t>)</w:t>
      </w:r>
      <w:r w:rsidRPr="00D40D37">
        <w:rPr>
          <w:rFonts w:ascii="Times New Roman" w:hAnsi="Times New Roman" w:cs="Times New Roman"/>
          <w:sz w:val="24"/>
          <w:szCs w:val="24"/>
        </w:rPr>
        <w:t xml:space="preserve"> &lt;</w:t>
      </w:r>
      <w:hyperlink r:id="rId36" w:history="1">
        <w:r w:rsidRPr="00D40D37">
          <w:rPr>
            <w:rFonts w:ascii="Times New Roman" w:hAnsi="Times New Roman" w:cs="Times New Roman"/>
            <w:sz w:val="24"/>
            <w:szCs w:val="24"/>
          </w:rPr>
          <w:t>http://europa.eu/rapid/press-release_IP-17-1784_en.htm</w:t>
        </w:r>
      </w:hyperlink>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r w:rsidRPr="00D40D37">
        <w:rPr>
          <w:rFonts w:ascii="Times New Roman" w:hAnsi="Times New Roman" w:cs="Times New Roman"/>
          <w:sz w:val="24"/>
          <w:szCs w:val="24"/>
        </w:rPr>
        <w:t>)</w:t>
      </w:r>
    </w:p>
    <w:p w14:paraId="6578D4EF" w14:textId="2797960E" w:rsidR="00216761" w:rsidRPr="00D40D37" w:rsidRDefault="00216761" w:rsidP="00216761">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European Commission, ‘Mergers: Commission fines Facebook €110 million for providing misleading information about WhatsApp takeover’ </w:t>
      </w:r>
      <w:r>
        <w:rPr>
          <w:rFonts w:ascii="Times New Roman" w:hAnsi="Times New Roman" w:cs="Times New Roman"/>
          <w:sz w:val="24"/>
          <w:szCs w:val="24"/>
          <w:lang w:val="en-US"/>
        </w:rPr>
        <w:t>(</w:t>
      </w:r>
      <w:r w:rsidRPr="00D40D37">
        <w:rPr>
          <w:rFonts w:ascii="Times New Roman" w:hAnsi="Times New Roman" w:cs="Times New Roman"/>
          <w:sz w:val="24"/>
          <w:szCs w:val="24"/>
          <w:lang w:val="en-US"/>
        </w:rPr>
        <w:t>Press Release, IP</w:t>
      </w:r>
      <w:r>
        <w:rPr>
          <w:rFonts w:ascii="Times New Roman" w:hAnsi="Times New Roman" w:cs="Times New Roman"/>
          <w:sz w:val="24"/>
          <w:szCs w:val="24"/>
          <w:lang w:val="en-US"/>
        </w:rPr>
        <w:t>/</w:t>
      </w:r>
      <w:r w:rsidRPr="00D40D37">
        <w:rPr>
          <w:rFonts w:ascii="Times New Roman" w:hAnsi="Times New Roman" w:cs="Times New Roman"/>
          <w:sz w:val="24"/>
          <w:szCs w:val="24"/>
          <w:lang w:val="en-US"/>
        </w:rPr>
        <w:t>17</w:t>
      </w:r>
      <w:r>
        <w:rPr>
          <w:rFonts w:ascii="Times New Roman" w:hAnsi="Times New Roman" w:cs="Times New Roman"/>
          <w:sz w:val="24"/>
          <w:szCs w:val="24"/>
          <w:lang w:val="en-US"/>
        </w:rPr>
        <w:t>/</w:t>
      </w:r>
      <w:r w:rsidRPr="00D40D37">
        <w:rPr>
          <w:rFonts w:ascii="Times New Roman" w:hAnsi="Times New Roman" w:cs="Times New Roman"/>
          <w:sz w:val="24"/>
          <w:szCs w:val="24"/>
          <w:lang w:val="en-US"/>
        </w:rPr>
        <w:t>1369</w:t>
      </w:r>
      <w:r>
        <w:rPr>
          <w:rFonts w:ascii="Times New Roman" w:hAnsi="Times New Roman" w:cs="Times New Roman"/>
          <w:sz w:val="24"/>
          <w:szCs w:val="24"/>
          <w:lang w:val="en-US"/>
        </w:rPr>
        <w:t xml:space="preserve">, </w:t>
      </w:r>
      <w:r w:rsidRPr="00D40D37">
        <w:rPr>
          <w:rFonts w:ascii="Times New Roman" w:hAnsi="Times New Roman" w:cs="Times New Roman"/>
          <w:sz w:val="24"/>
          <w:szCs w:val="24"/>
          <w:lang w:val="en-US"/>
        </w:rPr>
        <w:t xml:space="preserve">18 May 2017 &lt;https://europa.eu/rapid/press-release_IP-17-1369_en.htm&gt; accessed </w:t>
      </w:r>
      <w:r w:rsidR="00F817B5">
        <w:rPr>
          <w:rFonts w:ascii="Times New Roman" w:hAnsi="Times New Roman" w:cs="Times New Roman"/>
          <w:sz w:val="24"/>
          <w:szCs w:val="24"/>
          <w:lang w:val="en-US"/>
        </w:rPr>
        <w:t>9 October 2020</w:t>
      </w:r>
    </w:p>
    <w:p w14:paraId="678DB661" w14:textId="7D644FF4" w:rsidR="00216761" w:rsidRPr="00D40D37" w:rsidRDefault="00216761" w:rsidP="00216761">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European Commission, ‘Antitrust: Commission Probes Allegations of Antitrust Violations by Google’ (Press Release, IP/10/1624, 30 November 2010) &lt;http://europa.eu/rapid/press-release_IP-10-1624_en.htm&gt; accessed </w:t>
      </w:r>
      <w:r w:rsidR="00F817B5">
        <w:rPr>
          <w:rFonts w:ascii="Times New Roman" w:hAnsi="Times New Roman" w:cs="Times New Roman"/>
          <w:sz w:val="24"/>
          <w:szCs w:val="24"/>
        </w:rPr>
        <w:t>9 October 2020</w:t>
      </w:r>
    </w:p>
    <w:p w14:paraId="429A941C" w14:textId="0C5C3EAD" w:rsidR="00216761" w:rsidRPr="00D40D37" w:rsidRDefault="00216761" w:rsidP="00216761">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color w:val="231F20"/>
          <w:sz w:val="24"/>
          <w:szCs w:val="24"/>
        </w:rPr>
        <w:t>European Commission, ‘Commission opens proceedings against Nintendo distribution practices’ (Press Release, IP/00/419, 28 April 2000), &lt;https://europa.eu/rapid/press-release_IP-00-419_en.htm?locale=en</w:t>
      </w:r>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294A7743" w14:textId="49DD3037" w:rsidR="00D40D37" w:rsidRPr="00774EDB" w:rsidRDefault="00216761">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EC Competition Policy Newsletter, 1998, No. 3 ˂http://ec.europa.eu./competition/publications/cpn/cpn19983.pdf˃ accessed </w:t>
      </w:r>
      <w:r w:rsidR="00F817B5">
        <w:rPr>
          <w:rFonts w:ascii="Times New Roman" w:hAnsi="Times New Roman" w:cs="Times New Roman"/>
          <w:sz w:val="24"/>
          <w:szCs w:val="24"/>
        </w:rPr>
        <w:t>9 October 2020</w:t>
      </w:r>
    </w:p>
    <w:p w14:paraId="6A6F362A" w14:textId="77777777" w:rsidR="001847B8" w:rsidRPr="00774EDB" w:rsidRDefault="001847B8" w:rsidP="00A70042">
      <w:pPr>
        <w:pStyle w:val="ListParagraph"/>
        <w:ind w:left="1068"/>
        <w:jc w:val="both"/>
        <w:rPr>
          <w:rFonts w:ascii="Times New Roman" w:hAnsi="Times New Roman" w:cs="Times New Roman"/>
          <w:sz w:val="24"/>
          <w:szCs w:val="24"/>
        </w:rPr>
      </w:pPr>
    </w:p>
    <w:p w14:paraId="3315E1E6" w14:textId="2386FE51" w:rsidR="00CF46FC" w:rsidRPr="00774EDB" w:rsidRDefault="00CF46FC" w:rsidP="00A70042">
      <w:pPr>
        <w:jc w:val="both"/>
        <w:rPr>
          <w:rFonts w:ascii="Times New Roman" w:hAnsi="Times New Roman" w:cs="Times New Roman"/>
          <w:sz w:val="24"/>
          <w:szCs w:val="24"/>
        </w:rPr>
      </w:pPr>
      <w:r w:rsidRPr="00774EDB">
        <w:rPr>
          <w:rFonts w:ascii="Times New Roman" w:hAnsi="Times New Roman" w:cs="Times New Roman"/>
          <w:sz w:val="24"/>
          <w:szCs w:val="24"/>
        </w:rPr>
        <w:t>Cases</w:t>
      </w:r>
      <w:r w:rsidR="00D40D37" w:rsidRPr="00774EDB">
        <w:rPr>
          <w:rFonts w:ascii="Times New Roman" w:hAnsi="Times New Roman" w:cs="Times New Roman"/>
          <w:sz w:val="24"/>
          <w:szCs w:val="24"/>
        </w:rPr>
        <w:t xml:space="preserve"> and Commission Decisions</w:t>
      </w:r>
    </w:p>
    <w:p w14:paraId="6987F763" w14:textId="5F26E544" w:rsidR="00CF46FC" w:rsidRPr="00774EDB" w:rsidRDefault="00CF46FC" w:rsidP="00A70042">
      <w:pPr>
        <w:pStyle w:val="ListParagraph"/>
        <w:ind w:left="0"/>
        <w:jc w:val="both"/>
        <w:rPr>
          <w:rFonts w:ascii="Times New Roman" w:hAnsi="Times New Roman" w:cs="Times New Roman"/>
          <w:sz w:val="24"/>
          <w:szCs w:val="24"/>
        </w:rPr>
      </w:pPr>
      <w:r w:rsidRPr="00774EDB">
        <w:rPr>
          <w:rFonts w:ascii="Times New Roman" w:hAnsi="Times New Roman" w:cs="Times New Roman"/>
          <w:sz w:val="24"/>
          <w:szCs w:val="24"/>
        </w:rPr>
        <w:t xml:space="preserve">Commission Decisions </w:t>
      </w:r>
    </w:p>
    <w:p w14:paraId="6ACBE690" w14:textId="77777777" w:rsidR="00D0558D" w:rsidRPr="00774EDB" w:rsidRDefault="00DD1F1B">
      <w:pPr>
        <w:pStyle w:val="ListParagraph"/>
        <w:ind w:left="1068"/>
        <w:jc w:val="both"/>
        <w:rPr>
          <w:rFonts w:ascii="Times New Roman" w:hAnsi="Times New Roman" w:cs="Times New Roman"/>
          <w:sz w:val="24"/>
          <w:szCs w:val="24"/>
        </w:rPr>
      </w:pPr>
      <w:r w:rsidRPr="00A70042">
        <w:rPr>
          <w:rFonts w:ascii="Times New Roman" w:hAnsi="Times New Roman" w:cs="Times New Roman"/>
          <w:sz w:val="24"/>
          <w:szCs w:val="24"/>
        </w:rPr>
        <w:t xml:space="preserve"> </w:t>
      </w:r>
    </w:p>
    <w:p w14:paraId="4B8BF075"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M.8124, </w:t>
      </w:r>
      <w:r w:rsidRPr="005308CE">
        <w:rPr>
          <w:rFonts w:ascii="Times New Roman" w:hAnsi="Times New Roman" w:cs="Times New Roman"/>
          <w:i/>
          <w:sz w:val="24"/>
          <w:szCs w:val="24"/>
        </w:rPr>
        <w:t xml:space="preserve">Microsoft/LinkedIn </w:t>
      </w:r>
      <w:r w:rsidRPr="005308CE">
        <w:rPr>
          <w:rFonts w:ascii="Times New Roman" w:hAnsi="Times New Roman" w:cs="Times New Roman"/>
          <w:sz w:val="24"/>
          <w:szCs w:val="24"/>
        </w:rPr>
        <w:t xml:space="preserve">[2016] OJ C95 </w:t>
      </w:r>
      <w:r w:rsidRPr="005308CE">
        <w:rPr>
          <w:rFonts w:ascii="Times New Roman" w:hAnsi="Times New Roman" w:cs="Times New Roman"/>
          <w:sz w:val="24"/>
          <w:szCs w:val="24"/>
          <w:lang w:val="en-US"/>
        </w:rPr>
        <w:t>(‘</w:t>
      </w:r>
      <w:r w:rsidRPr="005308CE">
        <w:rPr>
          <w:rFonts w:ascii="Times New Roman" w:hAnsi="Times New Roman" w:cs="Times New Roman"/>
          <w:i/>
          <w:sz w:val="24"/>
          <w:szCs w:val="24"/>
        </w:rPr>
        <w:t xml:space="preserve">Microsoft/LinkedIn </w:t>
      </w:r>
      <w:r w:rsidRPr="005308CE">
        <w:rPr>
          <w:rFonts w:ascii="Times New Roman" w:hAnsi="Times New Roman" w:cs="Times New Roman"/>
          <w:sz w:val="24"/>
          <w:szCs w:val="24"/>
        </w:rPr>
        <w:t>decision’</w:t>
      </w:r>
      <w:r w:rsidRPr="005308CE">
        <w:rPr>
          <w:rFonts w:ascii="Times New Roman" w:hAnsi="Times New Roman" w:cs="Times New Roman"/>
          <w:sz w:val="24"/>
          <w:szCs w:val="24"/>
          <w:lang w:val="en-US"/>
        </w:rPr>
        <w:t>)</w:t>
      </w:r>
    </w:p>
    <w:p w14:paraId="52948DC6"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lastRenderedPageBreak/>
        <w:t xml:space="preserve">Case No COMP/M.7217, </w:t>
      </w:r>
      <w:r w:rsidRPr="005308CE">
        <w:rPr>
          <w:rFonts w:ascii="Times New Roman" w:hAnsi="Times New Roman" w:cs="Times New Roman"/>
          <w:i/>
          <w:iCs/>
          <w:sz w:val="24"/>
          <w:szCs w:val="24"/>
        </w:rPr>
        <w:t xml:space="preserve">Facebook/Whatsapp </w:t>
      </w:r>
      <w:r w:rsidRPr="005308CE">
        <w:rPr>
          <w:rFonts w:ascii="Times New Roman" w:hAnsi="Times New Roman" w:cs="Times New Roman"/>
          <w:sz w:val="24"/>
          <w:szCs w:val="24"/>
        </w:rPr>
        <w:t>[2014] OJ L 24 (‘</w:t>
      </w:r>
      <w:r w:rsidRPr="005308CE">
        <w:rPr>
          <w:rFonts w:ascii="Times New Roman" w:hAnsi="Times New Roman" w:cs="Times New Roman"/>
          <w:i/>
          <w:iCs/>
          <w:sz w:val="24"/>
          <w:szCs w:val="24"/>
        </w:rPr>
        <w:t>Facebook/Whatsapp</w:t>
      </w:r>
      <w:r w:rsidRPr="005308CE">
        <w:rPr>
          <w:rFonts w:ascii="Times New Roman" w:hAnsi="Times New Roman" w:cs="Times New Roman"/>
          <w:sz w:val="24"/>
          <w:szCs w:val="24"/>
        </w:rPr>
        <w:t>’ decision)</w:t>
      </w:r>
    </w:p>
    <w:p w14:paraId="280FB388" w14:textId="77777777" w:rsidR="001537B6"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COMP/M.6281, </w:t>
      </w:r>
      <w:r w:rsidRPr="005308CE">
        <w:rPr>
          <w:rFonts w:ascii="Times New Roman" w:hAnsi="Times New Roman" w:cs="Times New Roman"/>
          <w:i/>
          <w:sz w:val="24"/>
          <w:szCs w:val="24"/>
        </w:rPr>
        <w:t>Microsoft/Skype</w:t>
      </w:r>
      <w:r w:rsidRPr="005308CE">
        <w:rPr>
          <w:rFonts w:ascii="Times New Roman" w:hAnsi="Times New Roman" w:cs="Times New Roman"/>
          <w:sz w:val="24"/>
          <w:szCs w:val="24"/>
        </w:rPr>
        <w:t xml:space="preserve"> [2011] OJ L 24 (‘</w:t>
      </w:r>
      <w:r w:rsidRPr="005308CE">
        <w:rPr>
          <w:rFonts w:ascii="Times New Roman" w:hAnsi="Times New Roman" w:cs="Times New Roman"/>
          <w:i/>
          <w:sz w:val="24"/>
          <w:szCs w:val="24"/>
        </w:rPr>
        <w:t>Microsoft/Skype</w:t>
      </w:r>
      <w:r w:rsidRPr="005308CE">
        <w:rPr>
          <w:rFonts w:ascii="Times New Roman" w:hAnsi="Times New Roman" w:cs="Times New Roman"/>
          <w:sz w:val="24"/>
          <w:szCs w:val="24"/>
        </w:rPr>
        <w:t xml:space="preserve"> decision’)</w:t>
      </w:r>
    </w:p>
    <w:p w14:paraId="7D6730A2"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COMP/M.5984, </w:t>
      </w:r>
      <w:r w:rsidRPr="005308CE">
        <w:rPr>
          <w:rFonts w:ascii="Times New Roman" w:hAnsi="Times New Roman" w:cs="Times New Roman"/>
          <w:i/>
          <w:sz w:val="24"/>
          <w:szCs w:val="24"/>
        </w:rPr>
        <w:t>Intel/McAfee</w:t>
      </w:r>
      <w:r w:rsidRPr="005308CE">
        <w:rPr>
          <w:rFonts w:ascii="Times New Roman" w:hAnsi="Times New Roman" w:cs="Times New Roman"/>
          <w:sz w:val="24"/>
          <w:szCs w:val="24"/>
        </w:rPr>
        <w:t xml:space="preserve"> [2011] OJ C95 (‘</w:t>
      </w:r>
      <w:r w:rsidRPr="005308CE">
        <w:rPr>
          <w:rFonts w:ascii="Times New Roman" w:hAnsi="Times New Roman" w:cs="Times New Roman"/>
          <w:i/>
          <w:sz w:val="24"/>
          <w:szCs w:val="24"/>
        </w:rPr>
        <w:t>Intel/McAfee</w:t>
      </w:r>
      <w:r w:rsidRPr="005308CE">
        <w:rPr>
          <w:rFonts w:ascii="Times New Roman" w:hAnsi="Times New Roman" w:cs="Times New Roman"/>
          <w:sz w:val="24"/>
          <w:szCs w:val="24"/>
        </w:rPr>
        <w:t xml:space="preserve"> decision’)</w:t>
      </w:r>
    </w:p>
    <w:p w14:paraId="7AC1BAF2"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COMP/M.5669, </w:t>
      </w:r>
      <w:r w:rsidRPr="005308CE">
        <w:rPr>
          <w:rFonts w:ascii="Times New Roman" w:hAnsi="Times New Roman" w:cs="Times New Roman"/>
          <w:i/>
          <w:sz w:val="24"/>
          <w:szCs w:val="24"/>
        </w:rPr>
        <w:t>Cisco/Tandberg</w:t>
      </w:r>
      <w:r w:rsidRPr="005308CE">
        <w:rPr>
          <w:rFonts w:ascii="Times New Roman" w:hAnsi="Times New Roman" w:cs="Times New Roman"/>
          <w:sz w:val="24"/>
          <w:szCs w:val="24"/>
        </w:rPr>
        <w:t xml:space="preserve"> [2010] OJ L 24 (‘</w:t>
      </w:r>
      <w:r w:rsidRPr="005308CE">
        <w:rPr>
          <w:rFonts w:ascii="Times New Roman" w:hAnsi="Times New Roman" w:cs="Times New Roman"/>
          <w:i/>
          <w:iCs/>
          <w:sz w:val="24"/>
          <w:szCs w:val="24"/>
        </w:rPr>
        <w:t>Cisco/Tandberg</w:t>
      </w:r>
      <w:r w:rsidRPr="005308CE">
        <w:rPr>
          <w:rFonts w:ascii="Times New Roman" w:hAnsi="Times New Roman" w:cs="Times New Roman"/>
          <w:sz w:val="24"/>
          <w:szCs w:val="24"/>
        </w:rPr>
        <w:t xml:space="preserve"> decision’)</w:t>
      </w:r>
    </w:p>
    <w:p w14:paraId="752DDF1B" w14:textId="77777777" w:rsidR="001537B6"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COMP/39530, </w:t>
      </w:r>
      <w:r w:rsidRPr="005308CE">
        <w:rPr>
          <w:rFonts w:ascii="Times New Roman" w:hAnsi="Times New Roman" w:cs="Times New Roman"/>
          <w:i/>
          <w:iCs/>
          <w:sz w:val="24"/>
          <w:szCs w:val="24"/>
        </w:rPr>
        <w:t>Microsoft</w:t>
      </w:r>
      <w:r w:rsidRPr="005308CE">
        <w:rPr>
          <w:rFonts w:ascii="Times New Roman" w:hAnsi="Times New Roman" w:cs="Times New Roman"/>
          <w:sz w:val="24"/>
          <w:szCs w:val="24"/>
        </w:rPr>
        <w:t xml:space="preserve"> [2009] OJ C 45 (‘</w:t>
      </w:r>
      <w:r w:rsidRPr="005308CE">
        <w:rPr>
          <w:rFonts w:ascii="Times New Roman" w:hAnsi="Times New Roman" w:cs="Times New Roman"/>
          <w:i/>
          <w:iCs/>
          <w:sz w:val="24"/>
          <w:szCs w:val="24"/>
        </w:rPr>
        <w:t>Microsoft Tying</w:t>
      </w:r>
      <w:r w:rsidRPr="005308CE">
        <w:rPr>
          <w:rFonts w:ascii="Times New Roman" w:hAnsi="Times New Roman" w:cs="Times New Roman"/>
          <w:sz w:val="24"/>
          <w:szCs w:val="24"/>
        </w:rPr>
        <w:t>’ decision)</w:t>
      </w:r>
    </w:p>
    <w:p w14:paraId="7BD4FF1F"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COMP/C-3/37.792, </w:t>
      </w:r>
      <w:r w:rsidRPr="005308CE">
        <w:rPr>
          <w:rFonts w:ascii="Times New Roman" w:hAnsi="Times New Roman" w:cs="Times New Roman"/>
          <w:i/>
          <w:iCs/>
          <w:sz w:val="24"/>
          <w:szCs w:val="24"/>
        </w:rPr>
        <w:t>Microsoft</w:t>
      </w:r>
      <w:r w:rsidRPr="005308CE">
        <w:rPr>
          <w:rFonts w:ascii="Times New Roman" w:hAnsi="Times New Roman" w:cs="Times New Roman"/>
          <w:sz w:val="24"/>
          <w:szCs w:val="24"/>
        </w:rPr>
        <w:t xml:space="preserve"> [2004] (Commission’s </w:t>
      </w:r>
      <w:r w:rsidRPr="005308CE">
        <w:rPr>
          <w:rFonts w:ascii="Times New Roman" w:hAnsi="Times New Roman" w:cs="Times New Roman"/>
          <w:i/>
          <w:iCs/>
          <w:sz w:val="24"/>
          <w:szCs w:val="24"/>
        </w:rPr>
        <w:t>Microsoft</w:t>
      </w:r>
      <w:r w:rsidRPr="005308CE">
        <w:rPr>
          <w:rFonts w:ascii="Times New Roman" w:hAnsi="Times New Roman" w:cs="Times New Roman"/>
          <w:sz w:val="24"/>
          <w:szCs w:val="24"/>
        </w:rPr>
        <w:t xml:space="preserve"> decision’)</w:t>
      </w:r>
    </w:p>
    <w:p w14:paraId="354C5341" w14:textId="77777777" w:rsidR="001537B6"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Case COMP/M.2876,</w:t>
      </w:r>
      <w:r w:rsidRPr="005308CE">
        <w:rPr>
          <w:rFonts w:ascii="Times New Roman" w:hAnsi="Times New Roman" w:cs="Times New Roman"/>
          <w:i/>
          <w:sz w:val="24"/>
          <w:szCs w:val="24"/>
        </w:rPr>
        <w:t xml:space="preserve"> Newscorp/Telepiù</w:t>
      </w:r>
      <w:r w:rsidRPr="005308CE">
        <w:rPr>
          <w:rFonts w:ascii="Times New Roman" w:hAnsi="Times New Roman" w:cs="Times New Roman"/>
          <w:sz w:val="24"/>
          <w:szCs w:val="24"/>
        </w:rPr>
        <w:t xml:space="preserve"> [2003] OJ L 110 </w:t>
      </w:r>
    </w:p>
    <w:p w14:paraId="4C22BC5B"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COMP D3/38.044, </w:t>
      </w:r>
      <w:r w:rsidRPr="005308CE">
        <w:rPr>
          <w:rFonts w:ascii="Times New Roman" w:hAnsi="Times New Roman" w:cs="Times New Roman"/>
          <w:i/>
          <w:iCs/>
          <w:sz w:val="24"/>
          <w:szCs w:val="24"/>
        </w:rPr>
        <w:t xml:space="preserve">NDC Health/IMS </w:t>
      </w:r>
      <w:r w:rsidRPr="005308CE">
        <w:rPr>
          <w:rFonts w:ascii="Times New Roman" w:hAnsi="Times New Roman" w:cs="Times New Roman"/>
          <w:sz w:val="24"/>
          <w:szCs w:val="24"/>
        </w:rPr>
        <w:t>[2002] OJ L 59/18</w:t>
      </w:r>
    </w:p>
    <w:p w14:paraId="6BA0BD6E" w14:textId="77777777" w:rsidR="001537B6" w:rsidRPr="005308CE" w:rsidRDefault="001537B6" w:rsidP="001537B6">
      <w:pPr>
        <w:pStyle w:val="ListParagraph"/>
        <w:numPr>
          <w:ilvl w:val="0"/>
          <w:numId w:val="22"/>
        </w:numPr>
        <w:jc w:val="both"/>
        <w:rPr>
          <w:rStyle w:val="documentbody"/>
          <w:rFonts w:ascii="Times New Roman" w:hAnsi="Times New Roman" w:cs="Times New Roman"/>
          <w:sz w:val="24"/>
          <w:szCs w:val="24"/>
        </w:rPr>
      </w:pPr>
      <w:r w:rsidRPr="005308CE">
        <w:rPr>
          <w:rFonts w:ascii="Times New Roman" w:hAnsi="Times New Roman" w:cs="Times New Roman"/>
          <w:sz w:val="24"/>
          <w:szCs w:val="24"/>
        </w:rPr>
        <w:t xml:space="preserve">Case No.IV/M.2050, </w:t>
      </w:r>
      <w:r w:rsidRPr="005308CE">
        <w:rPr>
          <w:rFonts w:ascii="Times New Roman" w:hAnsi="Times New Roman" w:cs="Times New Roman"/>
          <w:i/>
          <w:sz w:val="24"/>
          <w:szCs w:val="24"/>
        </w:rPr>
        <w:t>Vivendi/Canal+Seagram</w:t>
      </w:r>
      <w:r w:rsidRPr="005308CE">
        <w:rPr>
          <w:rFonts w:ascii="Times New Roman" w:hAnsi="Times New Roman" w:cs="Times New Roman"/>
          <w:sz w:val="24"/>
          <w:szCs w:val="24"/>
        </w:rPr>
        <w:t xml:space="preserve"> [</w:t>
      </w:r>
      <w:r w:rsidRPr="005308CE">
        <w:rPr>
          <w:rStyle w:val="documentbody"/>
          <w:rFonts w:ascii="Times New Roman" w:eastAsiaTheme="majorEastAsia" w:hAnsi="Times New Roman" w:cs="Times New Roman"/>
          <w:sz w:val="24"/>
          <w:szCs w:val="24"/>
        </w:rPr>
        <w:t>2000] OJ C311/3</w:t>
      </w:r>
    </w:p>
    <w:p w14:paraId="10902504"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IV/M. 0037, </w:t>
      </w:r>
      <w:r w:rsidRPr="005308CE">
        <w:rPr>
          <w:rFonts w:ascii="Times New Roman" w:hAnsi="Times New Roman" w:cs="Times New Roman"/>
          <w:i/>
          <w:sz w:val="24"/>
          <w:szCs w:val="24"/>
        </w:rPr>
        <w:t>BSkyB/KirchPayTV</w:t>
      </w:r>
      <w:r w:rsidRPr="005308CE">
        <w:rPr>
          <w:rFonts w:ascii="Times New Roman" w:hAnsi="Times New Roman" w:cs="Times New Roman"/>
          <w:sz w:val="24"/>
          <w:szCs w:val="24"/>
        </w:rPr>
        <w:t xml:space="preserve"> [2000] OJ C 100</w:t>
      </w:r>
    </w:p>
    <w:p w14:paraId="04E8CE44"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IV/M.0048, </w:t>
      </w:r>
      <w:r w:rsidRPr="005308CE">
        <w:rPr>
          <w:rFonts w:ascii="Times New Roman" w:hAnsi="Times New Roman" w:cs="Times New Roman"/>
          <w:i/>
          <w:sz w:val="24"/>
          <w:szCs w:val="24"/>
        </w:rPr>
        <w:t>Vodafone/Vivendi/Canal+</w:t>
      </w:r>
      <w:r w:rsidRPr="005308CE">
        <w:rPr>
          <w:rFonts w:ascii="Times New Roman" w:hAnsi="Times New Roman" w:cs="Times New Roman"/>
          <w:sz w:val="24"/>
          <w:szCs w:val="24"/>
        </w:rPr>
        <w:t xml:space="preserve"> </w:t>
      </w:r>
      <w:r w:rsidRPr="005308CE">
        <w:rPr>
          <w:rFonts w:ascii="Times New Roman" w:hAnsi="Times New Roman" w:cs="Times New Roman"/>
          <w:sz w:val="24"/>
          <w:szCs w:val="24"/>
          <w:lang w:eastAsia="tr-TR"/>
        </w:rPr>
        <w:t>[</w:t>
      </w:r>
      <w:r w:rsidRPr="005308CE">
        <w:rPr>
          <w:rFonts w:ascii="Times New Roman" w:hAnsi="Times New Roman" w:cs="Times New Roman"/>
          <w:sz w:val="24"/>
          <w:szCs w:val="24"/>
        </w:rPr>
        <w:t>2000] OJJ C 11</w:t>
      </w:r>
    </w:p>
    <w:p w14:paraId="723DC8F0"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IV/M. 993, </w:t>
      </w:r>
      <w:r w:rsidRPr="005308CE">
        <w:rPr>
          <w:rFonts w:ascii="Times New Roman" w:hAnsi="Times New Roman" w:cs="Times New Roman"/>
          <w:i/>
          <w:sz w:val="24"/>
          <w:szCs w:val="24"/>
        </w:rPr>
        <w:t>Bertelsman/Kirch/Premiere</w:t>
      </w:r>
      <w:r w:rsidRPr="005308CE">
        <w:rPr>
          <w:rFonts w:ascii="Times New Roman" w:hAnsi="Times New Roman" w:cs="Times New Roman"/>
          <w:sz w:val="24"/>
          <w:szCs w:val="24"/>
        </w:rPr>
        <w:t xml:space="preserve"> [1998] OJ L 53</w:t>
      </w:r>
    </w:p>
    <w:p w14:paraId="47528EE8"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IV/M. 1027, </w:t>
      </w:r>
      <w:r w:rsidRPr="005308CE">
        <w:rPr>
          <w:rFonts w:ascii="Times New Roman" w:hAnsi="Times New Roman" w:cs="Times New Roman"/>
          <w:i/>
          <w:sz w:val="24"/>
          <w:szCs w:val="24"/>
        </w:rPr>
        <w:t>Deutsche Telekom/Beta Research</w:t>
      </w:r>
      <w:r w:rsidRPr="005308CE">
        <w:rPr>
          <w:rFonts w:ascii="Times New Roman" w:hAnsi="Times New Roman" w:cs="Times New Roman"/>
          <w:sz w:val="24"/>
          <w:szCs w:val="24"/>
        </w:rPr>
        <w:t xml:space="preserve"> [1998] OJ L 53</w:t>
      </w:r>
    </w:p>
    <w:p w14:paraId="45412D87"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IV/M. 469, </w:t>
      </w:r>
      <w:r w:rsidRPr="005308CE">
        <w:rPr>
          <w:rFonts w:ascii="Times New Roman" w:hAnsi="Times New Roman" w:cs="Times New Roman"/>
          <w:i/>
          <w:sz w:val="24"/>
          <w:szCs w:val="24"/>
        </w:rPr>
        <w:t>MSG Media Service</w:t>
      </w:r>
      <w:r w:rsidRPr="005308CE">
        <w:rPr>
          <w:rFonts w:ascii="Times New Roman" w:hAnsi="Times New Roman" w:cs="Times New Roman"/>
          <w:sz w:val="24"/>
          <w:szCs w:val="24"/>
        </w:rPr>
        <w:t xml:space="preserve"> [1994] OJ L 364</w:t>
      </w:r>
    </w:p>
    <w:p w14:paraId="707C6650" w14:textId="77777777" w:rsidR="001537B6"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IV/34.689, </w:t>
      </w:r>
      <w:r w:rsidRPr="005308CE">
        <w:rPr>
          <w:rFonts w:ascii="Times New Roman" w:hAnsi="Times New Roman" w:cs="Times New Roman"/>
          <w:i/>
          <w:iCs/>
          <w:sz w:val="24"/>
          <w:szCs w:val="24"/>
        </w:rPr>
        <w:t>Sea Containers/Stena Sealink</w:t>
      </w:r>
      <w:r w:rsidRPr="005308CE">
        <w:rPr>
          <w:rFonts w:ascii="Times New Roman" w:hAnsi="Times New Roman" w:cs="Times New Roman"/>
          <w:sz w:val="24"/>
          <w:szCs w:val="24"/>
        </w:rPr>
        <w:t xml:space="preserve"> </w:t>
      </w:r>
      <w:r w:rsidRPr="005308CE">
        <w:rPr>
          <w:rFonts w:ascii="Times New Roman" w:hAnsi="Times New Roman" w:cs="Times New Roman"/>
          <w:sz w:val="24"/>
          <w:szCs w:val="24"/>
        </w:rPr>
        <w:sym w:font="Symbol" w:char="F05B"/>
      </w:r>
      <w:r w:rsidRPr="005308CE">
        <w:rPr>
          <w:rFonts w:ascii="Times New Roman" w:hAnsi="Times New Roman" w:cs="Times New Roman"/>
          <w:sz w:val="24"/>
          <w:szCs w:val="24"/>
        </w:rPr>
        <w:t>1994</w:t>
      </w:r>
      <w:r w:rsidRPr="005308CE">
        <w:rPr>
          <w:rFonts w:ascii="Times New Roman" w:hAnsi="Times New Roman" w:cs="Times New Roman"/>
          <w:sz w:val="24"/>
          <w:szCs w:val="24"/>
        </w:rPr>
        <w:sym w:font="Symbol" w:char="F05D"/>
      </w:r>
      <w:r w:rsidRPr="005308CE">
        <w:rPr>
          <w:rFonts w:ascii="Times New Roman" w:hAnsi="Times New Roman" w:cs="Times New Roman"/>
          <w:sz w:val="24"/>
          <w:szCs w:val="24"/>
        </w:rPr>
        <w:t xml:space="preserve"> OJ L 15/8</w:t>
      </w:r>
    </w:p>
    <w:p w14:paraId="6F6DF5D5"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IV/33.544, </w:t>
      </w:r>
      <w:r w:rsidRPr="005308CE">
        <w:rPr>
          <w:rFonts w:ascii="Times New Roman" w:hAnsi="Times New Roman" w:cs="Times New Roman"/>
          <w:i/>
          <w:sz w:val="24"/>
          <w:szCs w:val="24"/>
        </w:rPr>
        <w:t xml:space="preserve">British Midland/Aer Lingus </w:t>
      </w:r>
      <w:r w:rsidRPr="005308CE">
        <w:rPr>
          <w:rFonts w:ascii="Times New Roman" w:hAnsi="Times New Roman" w:cs="Times New Roman"/>
          <w:iCs/>
          <w:sz w:val="24"/>
          <w:szCs w:val="24"/>
        </w:rPr>
        <w:t xml:space="preserve">[1992] </w:t>
      </w:r>
      <w:r w:rsidRPr="005308CE">
        <w:rPr>
          <w:rFonts w:ascii="Times New Roman" w:hAnsi="Times New Roman" w:cs="Times New Roman"/>
          <w:sz w:val="24"/>
          <w:szCs w:val="24"/>
        </w:rPr>
        <w:t>OJ L 96/34</w:t>
      </w:r>
    </w:p>
    <w:p w14:paraId="687CE66F" w14:textId="77777777" w:rsidR="001537B6" w:rsidRPr="005308CE"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IV/34.174, </w:t>
      </w:r>
      <w:r w:rsidRPr="005308CE">
        <w:rPr>
          <w:rFonts w:ascii="Times New Roman" w:hAnsi="Times New Roman" w:cs="Times New Roman"/>
          <w:i/>
          <w:iCs/>
          <w:sz w:val="24"/>
          <w:szCs w:val="24"/>
        </w:rPr>
        <w:t>B&amp;I Line plc/Sealink Harbours Ltd.</w:t>
      </w:r>
      <w:r w:rsidRPr="005308CE">
        <w:rPr>
          <w:rFonts w:ascii="Times New Roman" w:hAnsi="Times New Roman" w:cs="Times New Roman"/>
          <w:sz w:val="24"/>
          <w:szCs w:val="24"/>
        </w:rPr>
        <w:t xml:space="preserve"> </w:t>
      </w:r>
      <w:r w:rsidRPr="005308CE">
        <w:rPr>
          <w:rFonts w:ascii="Times New Roman" w:hAnsi="Times New Roman" w:cs="Times New Roman"/>
          <w:sz w:val="24"/>
          <w:szCs w:val="24"/>
        </w:rPr>
        <w:sym w:font="Symbol" w:char="F05B"/>
      </w:r>
      <w:r w:rsidRPr="005308CE">
        <w:rPr>
          <w:rFonts w:ascii="Times New Roman" w:hAnsi="Times New Roman" w:cs="Times New Roman"/>
          <w:sz w:val="24"/>
          <w:szCs w:val="24"/>
        </w:rPr>
        <w:t>1992</w:t>
      </w:r>
      <w:r w:rsidRPr="005308CE">
        <w:rPr>
          <w:rFonts w:ascii="Times New Roman" w:hAnsi="Times New Roman" w:cs="Times New Roman"/>
          <w:sz w:val="24"/>
          <w:szCs w:val="24"/>
        </w:rPr>
        <w:sym w:font="Symbol" w:char="F05D"/>
      </w:r>
      <w:r w:rsidRPr="005308CE">
        <w:rPr>
          <w:rFonts w:ascii="Times New Roman" w:hAnsi="Times New Roman" w:cs="Times New Roman"/>
          <w:sz w:val="24"/>
          <w:szCs w:val="24"/>
        </w:rPr>
        <w:t xml:space="preserve"> 5 CMLR 255</w:t>
      </w:r>
    </w:p>
    <w:p w14:paraId="1AA12C7C" w14:textId="77777777" w:rsidR="001537B6" w:rsidRDefault="001537B6" w:rsidP="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iCs/>
          <w:sz w:val="24"/>
          <w:szCs w:val="24"/>
        </w:rPr>
        <w:t xml:space="preserve">Case </w:t>
      </w:r>
      <w:r w:rsidRPr="005308CE">
        <w:rPr>
          <w:rFonts w:ascii="Times New Roman" w:hAnsi="Times New Roman" w:cs="Times New Roman"/>
          <w:sz w:val="24"/>
          <w:szCs w:val="24"/>
        </w:rPr>
        <w:t>IV/32.318</w:t>
      </w:r>
      <w:r>
        <w:rPr>
          <w:rFonts w:ascii="Times New Roman" w:hAnsi="Times New Roman" w:cs="Times New Roman"/>
          <w:sz w:val="24"/>
          <w:szCs w:val="24"/>
        </w:rPr>
        <w:t xml:space="preserve">, </w:t>
      </w:r>
      <w:r w:rsidRPr="005308CE">
        <w:rPr>
          <w:rFonts w:ascii="Times New Roman" w:hAnsi="Times New Roman" w:cs="Times New Roman"/>
          <w:i/>
          <w:sz w:val="24"/>
          <w:szCs w:val="24"/>
        </w:rPr>
        <w:t>London-European Sabena</w:t>
      </w:r>
      <w:r w:rsidRPr="005308CE">
        <w:rPr>
          <w:rFonts w:ascii="Times New Roman" w:hAnsi="Times New Roman" w:cs="Times New Roman"/>
          <w:sz w:val="24"/>
          <w:szCs w:val="24"/>
        </w:rPr>
        <w:t xml:space="preserve"> [1988] OJ L317/47 [1989] 4 CMLR 662</w:t>
      </w:r>
    </w:p>
    <w:p w14:paraId="649A1E0A" w14:textId="4DEF94FC" w:rsidR="00CF46FC" w:rsidRPr="00774EDB" w:rsidRDefault="001537B6">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No IV/29.479, </w:t>
      </w:r>
      <w:r w:rsidRPr="005308CE">
        <w:rPr>
          <w:rFonts w:ascii="Times New Roman" w:hAnsi="Times New Roman" w:cs="Times New Roman"/>
          <w:i/>
          <w:iCs/>
          <w:sz w:val="24"/>
          <w:szCs w:val="24"/>
        </w:rPr>
        <w:t>IBM</w:t>
      </w:r>
      <w:r w:rsidRPr="005308CE">
        <w:rPr>
          <w:rFonts w:ascii="Times New Roman" w:hAnsi="Times New Roman" w:cs="Times New Roman"/>
          <w:sz w:val="24"/>
          <w:szCs w:val="24"/>
        </w:rPr>
        <w:t xml:space="preserve"> [1984] (‘Commission’s </w:t>
      </w:r>
      <w:r w:rsidRPr="005308CE">
        <w:rPr>
          <w:rFonts w:ascii="Times New Roman" w:hAnsi="Times New Roman" w:cs="Times New Roman"/>
          <w:i/>
          <w:iCs/>
          <w:sz w:val="24"/>
          <w:szCs w:val="24"/>
        </w:rPr>
        <w:t>IBM</w:t>
      </w:r>
      <w:r w:rsidRPr="005308CE">
        <w:rPr>
          <w:rFonts w:ascii="Times New Roman" w:hAnsi="Times New Roman" w:cs="Times New Roman"/>
          <w:sz w:val="24"/>
          <w:szCs w:val="24"/>
        </w:rPr>
        <w:t xml:space="preserve"> decision’)</w:t>
      </w:r>
    </w:p>
    <w:p w14:paraId="716A8613" w14:textId="77777777" w:rsidR="009641D3" w:rsidRPr="00774EDB" w:rsidRDefault="009641D3">
      <w:pPr>
        <w:pStyle w:val="ListParagraph"/>
        <w:ind w:left="1068"/>
        <w:jc w:val="both"/>
        <w:rPr>
          <w:rFonts w:ascii="Times New Roman" w:hAnsi="Times New Roman" w:cs="Times New Roman"/>
          <w:sz w:val="24"/>
          <w:szCs w:val="24"/>
        </w:rPr>
      </w:pPr>
    </w:p>
    <w:p w14:paraId="041902AA" w14:textId="477DDC93" w:rsidR="00CF46FC" w:rsidRPr="00774EDB" w:rsidRDefault="001753EA" w:rsidP="00A70042">
      <w:pPr>
        <w:ind w:firstLine="720"/>
        <w:jc w:val="both"/>
        <w:rPr>
          <w:rFonts w:ascii="Times New Roman" w:hAnsi="Times New Roman" w:cs="Times New Roman"/>
          <w:sz w:val="24"/>
          <w:szCs w:val="24"/>
        </w:rPr>
      </w:pPr>
      <w:r w:rsidRPr="00774EDB">
        <w:rPr>
          <w:rFonts w:ascii="Times New Roman" w:hAnsi="Times New Roman" w:cs="Times New Roman"/>
          <w:sz w:val="24"/>
          <w:szCs w:val="24"/>
        </w:rPr>
        <w:t>EU Judgements</w:t>
      </w:r>
    </w:p>
    <w:p w14:paraId="4283BBC9" w14:textId="77777777" w:rsidR="001847B8" w:rsidRPr="00774EDB" w:rsidRDefault="001847B8" w:rsidP="00A70042">
      <w:pPr>
        <w:ind w:firstLine="720"/>
        <w:jc w:val="both"/>
        <w:rPr>
          <w:rFonts w:ascii="Times New Roman" w:hAnsi="Times New Roman" w:cs="Times New Roman"/>
          <w:sz w:val="24"/>
          <w:szCs w:val="24"/>
        </w:rPr>
      </w:pPr>
    </w:p>
    <w:p w14:paraId="4E160B0A" w14:textId="77777777" w:rsidR="00C4275E" w:rsidRDefault="00C4275E" w:rsidP="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Case C-406/10</w:t>
      </w:r>
      <w:r>
        <w:rPr>
          <w:rFonts w:ascii="Times New Roman" w:hAnsi="Times New Roman" w:cs="Times New Roman"/>
          <w:sz w:val="24"/>
          <w:szCs w:val="24"/>
        </w:rPr>
        <w:t>,</w:t>
      </w:r>
      <w:r w:rsidRPr="005308CE">
        <w:rPr>
          <w:rFonts w:ascii="Times New Roman" w:hAnsi="Times New Roman" w:cs="Times New Roman"/>
          <w:sz w:val="24"/>
          <w:szCs w:val="24"/>
        </w:rPr>
        <w:t xml:space="preserve"> </w:t>
      </w:r>
      <w:r w:rsidRPr="005308CE">
        <w:rPr>
          <w:rFonts w:ascii="Times New Roman" w:hAnsi="Times New Roman" w:cs="Times New Roman"/>
          <w:i/>
          <w:iCs/>
          <w:sz w:val="24"/>
          <w:szCs w:val="24"/>
        </w:rPr>
        <w:t>SAS Institute Inc v World Programming Ltd</w:t>
      </w:r>
      <w:r w:rsidRPr="005308CE">
        <w:rPr>
          <w:rFonts w:ascii="Times New Roman" w:hAnsi="Times New Roman" w:cs="Times New Roman"/>
          <w:sz w:val="24"/>
          <w:szCs w:val="24"/>
        </w:rPr>
        <w:t xml:space="preserve"> [2012] 3 CMLR 4 (‘</w:t>
      </w:r>
      <w:r w:rsidRPr="005308CE">
        <w:rPr>
          <w:rFonts w:ascii="Times New Roman" w:hAnsi="Times New Roman" w:cs="Times New Roman"/>
          <w:i/>
          <w:sz w:val="24"/>
          <w:szCs w:val="24"/>
        </w:rPr>
        <w:t>SAS v WPL</w:t>
      </w:r>
      <w:r w:rsidRPr="005308CE">
        <w:rPr>
          <w:rFonts w:ascii="Times New Roman" w:hAnsi="Times New Roman" w:cs="Times New Roman"/>
          <w:sz w:val="24"/>
          <w:szCs w:val="24"/>
        </w:rPr>
        <w:t xml:space="preserve"> judgement’)</w:t>
      </w:r>
    </w:p>
    <w:p w14:paraId="3EB25194" w14:textId="77777777" w:rsidR="00C4275E" w:rsidRPr="005308CE" w:rsidRDefault="00C4275E" w:rsidP="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color w:val="000000"/>
          <w:sz w:val="24"/>
          <w:szCs w:val="24"/>
        </w:rPr>
        <w:t xml:space="preserve">Case C-393/09, </w:t>
      </w:r>
      <w:r w:rsidRPr="005308CE">
        <w:rPr>
          <w:rFonts w:ascii="Times New Roman" w:hAnsi="Times New Roman" w:cs="Times New Roman"/>
          <w:i/>
          <w:iCs/>
          <w:color w:val="000000"/>
          <w:sz w:val="24"/>
          <w:szCs w:val="24"/>
        </w:rPr>
        <w:t>Bezpečnostní Softwarová Asociace - Svaz Softwarová Ochrany v Ministerstvo Kultury</w:t>
      </w:r>
      <w:r w:rsidRPr="005308CE">
        <w:rPr>
          <w:rFonts w:ascii="Times New Roman" w:hAnsi="Times New Roman" w:cs="Times New Roman"/>
          <w:color w:val="000000"/>
          <w:sz w:val="24"/>
          <w:szCs w:val="24"/>
        </w:rPr>
        <w:t xml:space="preserve"> </w:t>
      </w:r>
      <w:r w:rsidRPr="005308CE">
        <w:rPr>
          <w:rFonts w:ascii="Times New Roman" w:hAnsi="Times New Roman" w:cs="Times New Roman"/>
          <w:iCs/>
          <w:color w:val="000000"/>
          <w:sz w:val="24"/>
          <w:szCs w:val="24"/>
        </w:rPr>
        <w:t>[2011] ECDR 3</w:t>
      </w:r>
      <w:r w:rsidRPr="005308CE">
        <w:rPr>
          <w:rFonts w:ascii="Times New Roman" w:hAnsi="Times New Roman" w:cs="Times New Roman"/>
          <w:i/>
          <w:iCs/>
          <w:color w:val="000000"/>
          <w:sz w:val="24"/>
          <w:szCs w:val="24"/>
        </w:rPr>
        <w:t xml:space="preserve"> (‘Softwarová </w:t>
      </w:r>
      <w:r w:rsidRPr="005308CE">
        <w:rPr>
          <w:rFonts w:ascii="Times New Roman" w:hAnsi="Times New Roman" w:cs="Times New Roman"/>
          <w:iCs/>
          <w:color w:val="000000"/>
          <w:sz w:val="24"/>
          <w:szCs w:val="24"/>
        </w:rPr>
        <w:t>judgement’)</w:t>
      </w:r>
    </w:p>
    <w:p w14:paraId="59F07787" w14:textId="77777777" w:rsidR="00C4275E" w:rsidRDefault="00C4275E" w:rsidP="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C-280/08 </w:t>
      </w:r>
      <w:r w:rsidRPr="005308CE">
        <w:rPr>
          <w:rFonts w:ascii="Times New Roman" w:hAnsi="Times New Roman" w:cs="Times New Roman"/>
          <w:i/>
          <w:sz w:val="24"/>
          <w:szCs w:val="24"/>
        </w:rPr>
        <w:t>Deutsche Telekom v Commission</w:t>
      </w:r>
      <w:r w:rsidRPr="005308CE">
        <w:rPr>
          <w:rFonts w:ascii="Times New Roman" w:hAnsi="Times New Roman" w:cs="Times New Roman"/>
          <w:sz w:val="24"/>
          <w:szCs w:val="24"/>
        </w:rPr>
        <w:t xml:space="preserve"> [2010] ECR I-9555</w:t>
      </w:r>
    </w:p>
    <w:p w14:paraId="27D68157" w14:textId="77777777" w:rsidR="004A0468" w:rsidRDefault="004A0468" w:rsidP="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T-201/04 </w:t>
      </w:r>
      <w:r w:rsidRPr="005308CE">
        <w:rPr>
          <w:rFonts w:ascii="Times New Roman" w:hAnsi="Times New Roman" w:cs="Times New Roman"/>
          <w:i/>
          <w:sz w:val="24"/>
          <w:szCs w:val="24"/>
        </w:rPr>
        <w:t>Microsoft v Commission</w:t>
      </w:r>
      <w:r w:rsidRPr="005308CE">
        <w:rPr>
          <w:rFonts w:ascii="Times New Roman" w:hAnsi="Times New Roman" w:cs="Times New Roman"/>
          <w:sz w:val="24"/>
          <w:szCs w:val="24"/>
        </w:rPr>
        <w:t xml:space="preserve"> [2007] ECR II-3601 (‘GC’s </w:t>
      </w:r>
      <w:r w:rsidRPr="005308CE">
        <w:rPr>
          <w:rFonts w:ascii="Times New Roman" w:hAnsi="Times New Roman" w:cs="Times New Roman"/>
          <w:i/>
          <w:sz w:val="24"/>
          <w:szCs w:val="24"/>
        </w:rPr>
        <w:t>Microsoft</w:t>
      </w:r>
      <w:r w:rsidRPr="005308CE">
        <w:rPr>
          <w:rFonts w:ascii="Times New Roman" w:hAnsi="Times New Roman" w:cs="Times New Roman"/>
          <w:sz w:val="24"/>
          <w:szCs w:val="24"/>
        </w:rPr>
        <w:t xml:space="preserve"> judgement’)</w:t>
      </w:r>
    </w:p>
    <w:p w14:paraId="79264AEF" w14:textId="6E5757F7" w:rsidR="00C4275E" w:rsidRDefault="00C4275E" w:rsidP="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C-418/01 </w:t>
      </w:r>
      <w:r w:rsidRPr="005308CE">
        <w:rPr>
          <w:rFonts w:ascii="Times New Roman" w:hAnsi="Times New Roman" w:cs="Times New Roman"/>
          <w:i/>
          <w:sz w:val="24"/>
          <w:szCs w:val="24"/>
        </w:rPr>
        <w:t>IMS Health GmbH &amp; Co OHG v. NDC Health GmbH&amp; Co KG</w:t>
      </w:r>
      <w:r w:rsidRPr="005308CE">
        <w:rPr>
          <w:rFonts w:ascii="Times New Roman" w:hAnsi="Times New Roman" w:cs="Times New Roman"/>
          <w:sz w:val="24"/>
          <w:szCs w:val="24"/>
        </w:rPr>
        <w:t xml:space="preserve"> [2004] ECR I-5039</w:t>
      </w:r>
      <w:r>
        <w:rPr>
          <w:rFonts w:ascii="Times New Roman" w:hAnsi="Times New Roman" w:cs="Times New Roman"/>
          <w:sz w:val="24"/>
          <w:szCs w:val="24"/>
        </w:rPr>
        <w:t xml:space="preserve">, </w:t>
      </w:r>
      <w:r w:rsidRPr="00D40D37">
        <w:rPr>
          <w:rFonts w:ascii="Times New Roman" w:hAnsi="Times New Roman" w:cs="Times New Roman"/>
          <w:sz w:val="24"/>
          <w:szCs w:val="24"/>
        </w:rPr>
        <w:t>4 CMLR 1543</w:t>
      </w:r>
      <w:r>
        <w:rPr>
          <w:rFonts w:ascii="Times New Roman" w:hAnsi="Times New Roman" w:cs="Times New Roman"/>
          <w:sz w:val="24"/>
          <w:szCs w:val="24"/>
        </w:rPr>
        <w:t xml:space="preserve"> </w:t>
      </w:r>
      <w:r w:rsidRPr="00D40D37">
        <w:rPr>
          <w:rFonts w:ascii="Times New Roman" w:hAnsi="Times New Roman" w:cs="Times New Roman"/>
          <w:sz w:val="24"/>
          <w:szCs w:val="24"/>
        </w:rPr>
        <w:t>(‘</w:t>
      </w:r>
      <w:r w:rsidRPr="00D40D37">
        <w:rPr>
          <w:rFonts w:ascii="Times New Roman" w:hAnsi="Times New Roman" w:cs="Times New Roman"/>
          <w:i/>
          <w:sz w:val="24"/>
          <w:szCs w:val="24"/>
        </w:rPr>
        <w:t>IMS Health</w:t>
      </w:r>
      <w:r w:rsidRPr="00D40D37">
        <w:rPr>
          <w:rFonts w:ascii="Times New Roman" w:hAnsi="Times New Roman" w:cs="Times New Roman"/>
          <w:sz w:val="24"/>
          <w:szCs w:val="24"/>
        </w:rPr>
        <w:t xml:space="preserve"> judgement’)</w:t>
      </w:r>
    </w:p>
    <w:p w14:paraId="4D15AB4F" w14:textId="77777777" w:rsidR="00C4275E" w:rsidRDefault="00C4275E" w:rsidP="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C-7/97 </w:t>
      </w:r>
      <w:r w:rsidRPr="005308CE">
        <w:rPr>
          <w:rFonts w:ascii="Times New Roman" w:hAnsi="Times New Roman" w:cs="Times New Roman"/>
          <w:i/>
          <w:iCs/>
          <w:sz w:val="24"/>
          <w:szCs w:val="24"/>
        </w:rPr>
        <w:t>Oscar Bronner GmbH &amp; Co. KG v. Mediaprint Zeitungs- und Zeitschriftenverlag GmbH &amp; Co. KG</w:t>
      </w:r>
      <w:r w:rsidRPr="005308CE">
        <w:rPr>
          <w:rFonts w:ascii="Times New Roman" w:hAnsi="Times New Roman" w:cs="Times New Roman"/>
          <w:sz w:val="24"/>
          <w:szCs w:val="24"/>
        </w:rPr>
        <w:t xml:space="preserve"> [1998] E.C.R. I-7791, </w:t>
      </w:r>
      <w:r w:rsidRPr="005308CE">
        <w:rPr>
          <w:rFonts w:ascii="Times New Roman" w:hAnsi="Times New Roman" w:cs="Times New Roman"/>
          <w:sz w:val="24"/>
          <w:szCs w:val="24"/>
        </w:rPr>
        <w:sym w:font="Symbol" w:char="F05B"/>
      </w:r>
      <w:r w:rsidRPr="005308CE">
        <w:rPr>
          <w:rFonts w:ascii="Times New Roman" w:hAnsi="Times New Roman" w:cs="Times New Roman"/>
          <w:sz w:val="24"/>
          <w:szCs w:val="24"/>
        </w:rPr>
        <w:t>1999</w:t>
      </w:r>
      <w:r w:rsidRPr="005308CE">
        <w:rPr>
          <w:rFonts w:ascii="Times New Roman" w:hAnsi="Times New Roman" w:cs="Times New Roman"/>
          <w:sz w:val="24"/>
          <w:szCs w:val="24"/>
        </w:rPr>
        <w:sym w:font="Symbol" w:char="F05D"/>
      </w:r>
      <w:r w:rsidRPr="005308CE">
        <w:rPr>
          <w:rFonts w:ascii="Times New Roman" w:hAnsi="Times New Roman" w:cs="Times New Roman"/>
          <w:sz w:val="24"/>
          <w:szCs w:val="24"/>
        </w:rPr>
        <w:t xml:space="preserve"> 4 CMLR 112 (‘</w:t>
      </w:r>
      <w:r w:rsidRPr="005308CE">
        <w:rPr>
          <w:rFonts w:ascii="Times New Roman" w:hAnsi="Times New Roman" w:cs="Times New Roman"/>
          <w:i/>
          <w:iCs/>
          <w:sz w:val="24"/>
          <w:szCs w:val="24"/>
        </w:rPr>
        <w:t>Oscar Bronner</w:t>
      </w:r>
      <w:r w:rsidRPr="005308CE">
        <w:rPr>
          <w:rFonts w:ascii="Times New Roman" w:hAnsi="Times New Roman" w:cs="Times New Roman"/>
          <w:sz w:val="24"/>
          <w:szCs w:val="24"/>
        </w:rPr>
        <w:t xml:space="preserve"> judgement’)</w:t>
      </w:r>
    </w:p>
    <w:p w14:paraId="5359D289" w14:textId="77777777" w:rsidR="00C4275E" w:rsidRPr="005308CE" w:rsidRDefault="00C4275E" w:rsidP="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T-504/93, </w:t>
      </w:r>
      <w:r w:rsidRPr="005308CE">
        <w:rPr>
          <w:rFonts w:ascii="Times New Roman" w:hAnsi="Times New Roman" w:cs="Times New Roman"/>
          <w:i/>
          <w:iCs/>
          <w:sz w:val="24"/>
          <w:szCs w:val="24"/>
        </w:rPr>
        <w:t>Tiercé Ladbroke SA v. Commission</w:t>
      </w:r>
      <w:r w:rsidRPr="005308CE">
        <w:rPr>
          <w:rFonts w:ascii="Times New Roman" w:hAnsi="Times New Roman" w:cs="Times New Roman"/>
          <w:sz w:val="24"/>
          <w:szCs w:val="24"/>
        </w:rPr>
        <w:t xml:space="preserve"> </w:t>
      </w:r>
      <w:r w:rsidRPr="005308CE">
        <w:rPr>
          <w:rFonts w:ascii="Times New Roman" w:hAnsi="Times New Roman" w:cs="Times New Roman"/>
          <w:sz w:val="24"/>
          <w:szCs w:val="24"/>
        </w:rPr>
        <w:sym w:font="Symbol" w:char="F05B"/>
      </w:r>
      <w:r w:rsidRPr="005308CE">
        <w:rPr>
          <w:rFonts w:ascii="Times New Roman" w:hAnsi="Times New Roman" w:cs="Times New Roman"/>
          <w:sz w:val="24"/>
          <w:szCs w:val="24"/>
        </w:rPr>
        <w:t>1997</w:t>
      </w:r>
      <w:r w:rsidRPr="005308CE">
        <w:rPr>
          <w:rFonts w:ascii="Times New Roman" w:hAnsi="Times New Roman" w:cs="Times New Roman"/>
          <w:sz w:val="24"/>
          <w:szCs w:val="24"/>
        </w:rPr>
        <w:sym w:font="Symbol" w:char="F05D"/>
      </w:r>
      <w:r w:rsidRPr="005308CE">
        <w:rPr>
          <w:rFonts w:ascii="Times New Roman" w:hAnsi="Times New Roman" w:cs="Times New Roman"/>
          <w:sz w:val="24"/>
          <w:szCs w:val="24"/>
        </w:rPr>
        <w:t xml:space="preserve"> ECR II-923, </w:t>
      </w:r>
      <w:r w:rsidRPr="005308CE">
        <w:rPr>
          <w:rFonts w:ascii="Times New Roman" w:hAnsi="Times New Roman" w:cs="Times New Roman"/>
          <w:sz w:val="24"/>
          <w:szCs w:val="24"/>
        </w:rPr>
        <w:sym w:font="Symbol" w:char="F05B"/>
      </w:r>
      <w:r w:rsidRPr="005308CE">
        <w:rPr>
          <w:rFonts w:ascii="Times New Roman" w:hAnsi="Times New Roman" w:cs="Times New Roman"/>
          <w:sz w:val="24"/>
          <w:szCs w:val="24"/>
        </w:rPr>
        <w:t>1997</w:t>
      </w:r>
      <w:r w:rsidRPr="005308CE">
        <w:rPr>
          <w:rFonts w:ascii="Times New Roman" w:hAnsi="Times New Roman" w:cs="Times New Roman"/>
          <w:sz w:val="24"/>
          <w:szCs w:val="24"/>
        </w:rPr>
        <w:sym w:font="Symbol" w:char="F05D"/>
      </w:r>
      <w:r w:rsidRPr="005308CE">
        <w:rPr>
          <w:rFonts w:ascii="Times New Roman" w:hAnsi="Times New Roman" w:cs="Times New Roman"/>
          <w:sz w:val="24"/>
          <w:szCs w:val="24"/>
        </w:rPr>
        <w:t xml:space="preserve"> ECR II-923, </w:t>
      </w:r>
      <w:r w:rsidRPr="005308CE">
        <w:rPr>
          <w:rFonts w:ascii="Times New Roman" w:hAnsi="Times New Roman" w:cs="Times New Roman"/>
          <w:sz w:val="24"/>
          <w:szCs w:val="24"/>
        </w:rPr>
        <w:sym w:font="Symbol" w:char="F05B"/>
      </w:r>
      <w:r w:rsidRPr="005308CE">
        <w:rPr>
          <w:rFonts w:ascii="Times New Roman" w:hAnsi="Times New Roman" w:cs="Times New Roman"/>
          <w:sz w:val="24"/>
          <w:szCs w:val="24"/>
        </w:rPr>
        <w:t>1997</w:t>
      </w:r>
      <w:r w:rsidRPr="005308CE">
        <w:rPr>
          <w:rFonts w:ascii="Times New Roman" w:hAnsi="Times New Roman" w:cs="Times New Roman"/>
          <w:sz w:val="24"/>
          <w:szCs w:val="24"/>
        </w:rPr>
        <w:sym w:font="Symbol" w:char="F05D"/>
      </w:r>
      <w:r w:rsidRPr="005308CE">
        <w:rPr>
          <w:rFonts w:ascii="Times New Roman" w:hAnsi="Times New Roman" w:cs="Times New Roman"/>
          <w:sz w:val="24"/>
          <w:szCs w:val="24"/>
        </w:rPr>
        <w:t xml:space="preserve"> 5 CMLR 309 (‘</w:t>
      </w:r>
      <w:r w:rsidRPr="005308CE">
        <w:rPr>
          <w:rFonts w:ascii="Times New Roman" w:hAnsi="Times New Roman" w:cs="Times New Roman"/>
          <w:i/>
          <w:iCs/>
          <w:sz w:val="24"/>
          <w:szCs w:val="24"/>
        </w:rPr>
        <w:t>Tiercé Ladbroke</w:t>
      </w:r>
      <w:r w:rsidRPr="005308CE">
        <w:rPr>
          <w:rFonts w:ascii="Times New Roman" w:hAnsi="Times New Roman" w:cs="Times New Roman"/>
          <w:sz w:val="24"/>
          <w:szCs w:val="24"/>
        </w:rPr>
        <w:t xml:space="preserve"> judgement’)</w:t>
      </w:r>
    </w:p>
    <w:p w14:paraId="052F5485" w14:textId="03CA250C" w:rsidR="00C75626" w:rsidRDefault="00C75626" w:rsidP="00C4275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Case C-333/94 P, </w:t>
      </w:r>
      <w:r w:rsidRPr="00D40D37">
        <w:rPr>
          <w:rFonts w:ascii="Times New Roman" w:hAnsi="Times New Roman" w:cs="Times New Roman"/>
          <w:i/>
          <w:sz w:val="24"/>
          <w:szCs w:val="24"/>
        </w:rPr>
        <w:t>Tetra Pak International SA v. EC Commission</w:t>
      </w:r>
      <w:r w:rsidRPr="00D40D37">
        <w:rPr>
          <w:rFonts w:ascii="Times New Roman" w:hAnsi="Times New Roman" w:cs="Times New Roman"/>
          <w:sz w:val="24"/>
          <w:szCs w:val="24"/>
        </w:rPr>
        <w:t xml:space="preserve"> [1996] ECR I-5951</w:t>
      </w:r>
    </w:p>
    <w:p w14:paraId="1B070191" w14:textId="76D3D44A" w:rsidR="00C75626" w:rsidRDefault="00C75626" w:rsidP="00C4275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Case C-53/92 P, </w:t>
      </w:r>
      <w:r w:rsidRPr="00D40D37">
        <w:rPr>
          <w:rFonts w:ascii="Times New Roman" w:hAnsi="Times New Roman" w:cs="Times New Roman"/>
          <w:i/>
          <w:sz w:val="24"/>
          <w:szCs w:val="24"/>
        </w:rPr>
        <w:t>Hilti v. EC Commission</w:t>
      </w:r>
      <w:r w:rsidRPr="00D40D37">
        <w:rPr>
          <w:rFonts w:ascii="Times New Roman" w:hAnsi="Times New Roman" w:cs="Times New Roman"/>
          <w:sz w:val="24"/>
          <w:szCs w:val="24"/>
        </w:rPr>
        <w:t xml:space="preserve"> [1994] ECR I-667</w:t>
      </w:r>
    </w:p>
    <w:p w14:paraId="37EEADA2" w14:textId="0E2420B2" w:rsidR="00C4275E" w:rsidRDefault="00C4275E" w:rsidP="00C4275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Joined </w:t>
      </w:r>
      <w:r w:rsidRPr="005308CE">
        <w:rPr>
          <w:rFonts w:ascii="Times New Roman" w:hAnsi="Times New Roman" w:cs="Times New Roman"/>
          <w:iCs/>
          <w:sz w:val="24"/>
          <w:szCs w:val="24"/>
        </w:rPr>
        <w:t>Cases</w:t>
      </w:r>
      <w:r w:rsidRPr="00D40D37">
        <w:rPr>
          <w:rFonts w:ascii="Times New Roman" w:hAnsi="Times New Roman" w:cs="Times New Roman"/>
          <w:i/>
          <w:sz w:val="24"/>
          <w:szCs w:val="24"/>
        </w:rPr>
        <w:t xml:space="preserve"> </w:t>
      </w:r>
      <w:r w:rsidRPr="005308CE">
        <w:rPr>
          <w:rFonts w:ascii="Times New Roman" w:hAnsi="Times New Roman" w:cs="Times New Roman"/>
          <w:iCs/>
          <w:sz w:val="24"/>
          <w:szCs w:val="24"/>
        </w:rPr>
        <w:t>C-271, C-281/90 and C-289/90</w:t>
      </w:r>
      <w:r>
        <w:rPr>
          <w:rFonts w:ascii="Times New Roman" w:hAnsi="Times New Roman" w:cs="Times New Roman"/>
          <w:iCs/>
          <w:sz w:val="24"/>
          <w:szCs w:val="24"/>
        </w:rPr>
        <w:t>,</w:t>
      </w:r>
      <w:r w:rsidRPr="00D40D37">
        <w:rPr>
          <w:rFonts w:ascii="Times New Roman" w:hAnsi="Times New Roman" w:cs="Times New Roman"/>
          <w:i/>
          <w:sz w:val="24"/>
          <w:szCs w:val="24"/>
        </w:rPr>
        <w:t xml:space="preserve"> Kingdom of Spain, Kingdom of Belgium and Italian Republic v Commission of the European Communities – Competition in the markets for telecommunications services</w:t>
      </w:r>
      <w:r w:rsidRPr="00D40D37">
        <w:rPr>
          <w:rFonts w:ascii="Times New Roman" w:hAnsi="Times New Roman" w:cs="Times New Roman"/>
          <w:sz w:val="24"/>
          <w:szCs w:val="24"/>
        </w:rPr>
        <w:t>, [1992] ECR I-05833</w:t>
      </w:r>
    </w:p>
    <w:p w14:paraId="5A87EDDA" w14:textId="77777777" w:rsidR="00C4275E" w:rsidRDefault="00C4275E" w:rsidP="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iCs/>
          <w:sz w:val="24"/>
          <w:szCs w:val="24"/>
        </w:rPr>
        <w:lastRenderedPageBreak/>
        <w:t>Case C-202/88</w:t>
      </w:r>
      <w:r>
        <w:rPr>
          <w:rFonts w:ascii="Times New Roman" w:hAnsi="Times New Roman" w:cs="Times New Roman"/>
          <w:iCs/>
          <w:sz w:val="24"/>
          <w:szCs w:val="24"/>
        </w:rPr>
        <w:t>,</w:t>
      </w:r>
      <w:r w:rsidRPr="00D40D37">
        <w:rPr>
          <w:rFonts w:ascii="Times New Roman" w:hAnsi="Times New Roman" w:cs="Times New Roman"/>
          <w:i/>
          <w:sz w:val="24"/>
          <w:szCs w:val="24"/>
        </w:rPr>
        <w:t xml:space="preserve"> French Republic v Commission of the European Communities – Competition in the markets in telecommunications terminal equipment</w:t>
      </w:r>
      <w:r w:rsidRPr="00D40D37">
        <w:rPr>
          <w:rFonts w:ascii="Times New Roman" w:hAnsi="Times New Roman" w:cs="Times New Roman"/>
          <w:sz w:val="24"/>
          <w:szCs w:val="24"/>
        </w:rPr>
        <w:t>, [1991] ECR-I-01223</w:t>
      </w:r>
    </w:p>
    <w:p w14:paraId="7E88EB1E" w14:textId="77777777" w:rsidR="00C4275E" w:rsidRPr="00C75626" w:rsidRDefault="00C4275E">
      <w:pPr>
        <w:pStyle w:val="ListParagraph"/>
        <w:numPr>
          <w:ilvl w:val="0"/>
          <w:numId w:val="22"/>
        </w:numPr>
        <w:jc w:val="both"/>
        <w:rPr>
          <w:rFonts w:ascii="Times New Roman" w:hAnsi="Times New Roman" w:cs="Times New Roman"/>
          <w:sz w:val="24"/>
          <w:szCs w:val="24"/>
        </w:rPr>
      </w:pPr>
      <w:r w:rsidRPr="00C75626">
        <w:rPr>
          <w:rFonts w:ascii="Times New Roman" w:hAnsi="Times New Roman" w:cs="Times New Roman"/>
          <w:sz w:val="24"/>
          <w:szCs w:val="24"/>
        </w:rPr>
        <w:t xml:space="preserve">Case 238/87, </w:t>
      </w:r>
      <w:r w:rsidRPr="00C75626">
        <w:rPr>
          <w:rFonts w:ascii="Times New Roman" w:hAnsi="Times New Roman" w:cs="Times New Roman"/>
          <w:i/>
          <w:iCs/>
          <w:sz w:val="24"/>
          <w:szCs w:val="24"/>
        </w:rPr>
        <w:t xml:space="preserve">AB Volvo </w:t>
      </w:r>
      <w:r w:rsidRPr="00C75626">
        <w:rPr>
          <w:rFonts w:ascii="Times New Roman" w:hAnsi="Times New Roman" w:cs="Times New Roman"/>
          <w:iCs/>
          <w:sz w:val="24"/>
          <w:szCs w:val="24"/>
        </w:rPr>
        <w:t>v.</w:t>
      </w:r>
      <w:r w:rsidRPr="00C75626">
        <w:rPr>
          <w:rFonts w:ascii="Times New Roman" w:hAnsi="Times New Roman" w:cs="Times New Roman"/>
          <w:i/>
          <w:iCs/>
          <w:sz w:val="24"/>
          <w:szCs w:val="24"/>
        </w:rPr>
        <w:t xml:space="preserve"> Eric Veng (UK) Ltd. </w:t>
      </w:r>
      <w:r w:rsidRPr="005308CE">
        <w:rPr>
          <w:rFonts w:ascii="Times New Roman" w:hAnsi="Times New Roman" w:cs="Times New Roman"/>
          <w:sz w:val="24"/>
          <w:szCs w:val="24"/>
        </w:rPr>
        <w:sym w:font="Symbol" w:char="F05B"/>
      </w:r>
      <w:r w:rsidRPr="00C75626">
        <w:rPr>
          <w:rFonts w:ascii="Times New Roman" w:hAnsi="Times New Roman" w:cs="Times New Roman"/>
          <w:sz w:val="24"/>
          <w:szCs w:val="24"/>
        </w:rPr>
        <w:t>1988</w:t>
      </w:r>
      <w:r w:rsidRPr="005308CE">
        <w:rPr>
          <w:rFonts w:ascii="Times New Roman" w:hAnsi="Times New Roman" w:cs="Times New Roman"/>
          <w:sz w:val="24"/>
          <w:szCs w:val="24"/>
        </w:rPr>
        <w:sym w:font="Symbol" w:char="F05D"/>
      </w:r>
      <w:r w:rsidRPr="00C75626">
        <w:rPr>
          <w:rFonts w:ascii="Times New Roman" w:hAnsi="Times New Roman" w:cs="Times New Roman"/>
          <w:sz w:val="24"/>
          <w:szCs w:val="24"/>
        </w:rPr>
        <w:t xml:space="preserve"> ECR 6211, </w:t>
      </w:r>
      <w:r w:rsidRPr="005308CE">
        <w:rPr>
          <w:rFonts w:ascii="Times New Roman" w:hAnsi="Times New Roman" w:cs="Times New Roman"/>
          <w:sz w:val="24"/>
          <w:szCs w:val="24"/>
        </w:rPr>
        <w:sym w:font="Symbol" w:char="F05B"/>
      </w:r>
      <w:r w:rsidRPr="00C75626">
        <w:rPr>
          <w:rFonts w:ascii="Times New Roman" w:hAnsi="Times New Roman" w:cs="Times New Roman"/>
          <w:sz w:val="24"/>
          <w:szCs w:val="24"/>
        </w:rPr>
        <w:t>1989</w:t>
      </w:r>
      <w:r w:rsidRPr="005308CE">
        <w:rPr>
          <w:rFonts w:ascii="Times New Roman" w:hAnsi="Times New Roman" w:cs="Times New Roman"/>
          <w:sz w:val="24"/>
          <w:szCs w:val="24"/>
        </w:rPr>
        <w:sym w:font="Symbol" w:char="F05D"/>
      </w:r>
      <w:r w:rsidRPr="00C75626">
        <w:rPr>
          <w:rFonts w:ascii="Times New Roman" w:hAnsi="Times New Roman" w:cs="Times New Roman"/>
          <w:sz w:val="24"/>
          <w:szCs w:val="24"/>
        </w:rPr>
        <w:t xml:space="preserve"> 4 CMLR 122 (‘</w:t>
      </w:r>
      <w:r w:rsidRPr="00C75626">
        <w:rPr>
          <w:rFonts w:ascii="Times New Roman" w:hAnsi="Times New Roman" w:cs="Times New Roman"/>
          <w:i/>
          <w:sz w:val="24"/>
          <w:szCs w:val="24"/>
        </w:rPr>
        <w:t>Volvo</w:t>
      </w:r>
      <w:r w:rsidRPr="00C75626">
        <w:rPr>
          <w:rFonts w:ascii="Times New Roman" w:hAnsi="Times New Roman" w:cs="Times New Roman"/>
          <w:sz w:val="24"/>
          <w:szCs w:val="24"/>
        </w:rPr>
        <w:t xml:space="preserve"> judgement’)</w:t>
      </w:r>
    </w:p>
    <w:p w14:paraId="65B0E405" w14:textId="77777777" w:rsidR="00C4275E" w:rsidRPr="005308CE" w:rsidRDefault="00C4275E" w:rsidP="00C4275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Case 53/87, </w:t>
      </w:r>
      <w:r w:rsidRPr="00D40D37">
        <w:rPr>
          <w:rFonts w:ascii="Times New Roman" w:hAnsi="Times New Roman" w:cs="Times New Roman"/>
          <w:i/>
          <w:sz w:val="24"/>
          <w:szCs w:val="24"/>
        </w:rPr>
        <w:t>CICCRA v. Renault</w:t>
      </w:r>
      <w:r w:rsidRPr="00D40D37">
        <w:rPr>
          <w:rFonts w:ascii="Times New Roman" w:hAnsi="Times New Roman" w:cs="Times New Roman"/>
          <w:sz w:val="24"/>
          <w:szCs w:val="24"/>
        </w:rPr>
        <w:t xml:space="preserve"> [1988] ECR 6039</w:t>
      </w:r>
      <w:r>
        <w:rPr>
          <w:rFonts w:ascii="Times New Roman" w:hAnsi="Times New Roman" w:cs="Times New Roman"/>
          <w:sz w:val="24"/>
          <w:szCs w:val="24"/>
        </w:rPr>
        <w:t xml:space="preserve"> </w:t>
      </w:r>
      <w:r w:rsidRPr="005308CE">
        <w:rPr>
          <w:rFonts w:ascii="Times New Roman" w:hAnsi="Times New Roman" w:cs="Times New Roman"/>
          <w:sz w:val="24"/>
          <w:szCs w:val="24"/>
        </w:rPr>
        <w:t>(‘</w:t>
      </w:r>
      <w:r>
        <w:rPr>
          <w:rFonts w:ascii="Times New Roman" w:hAnsi="Times New Roman" w:cs="Times New Roman"/>
          <w:i/>
          <w:sz w:val="24"/>
          <w:szCs w:val="24"/>
        </w:rPr>
        <w:t>Renault</w:t>
      </w:r>
      <w:r w:rsidRPr="005308CE">
        <w:rPr>
          <w:rFonts w:ascii="Times New Roman" w:hAnsi="Times New Roman" w:cs="Times New Roman"/>
          <w:sz w:val="24"/>
          <w:szCs w:val="24"/>
        </w:rPr>
        <w:t xml:space="preserve"> judgement’)</w:t>
      </w:r>
    </w:p>
    <w:p w14:paraId="4E28730D" w14:textId="77777777" w:rsidR="00C4275E" w:rsidRPr="005308CE" w:rsidRDefault="00C4275E" w:rsidP="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311/84, </w:t>
      </w:r>
      <w:r w:rsidRPr="005308CE">
        <w:rPr>
          <w:rFonts w:ascii="Times New Roman" w:hAnsi="Times New Roman" w:cs="Times New Roman"/>
          <w:i/>
          <w:iCs/>
          <w:sz w:val="24"/>
          <w:szCs w:val="24"/>
        </w:rPr>
        <w:t>Cenbtre belge d’études du marché</w:t>
      </w:r>
      <w:r w:rsidRPr="005308CE">
        <w:rPr>
          <w:rFonts w:ascii="Times New Roman" w:hAnsi="Times New Roman" w:cs="Times New Roman"/>
          <w:sz w:val="24"/>
          <w:szCs w:val="24"/>
        </w:rPr>
        <w:t xml:space="preserve">, </w:t>
      </w:r>
      <w:r w:rsidRPr="005308CE">
        <w:rPr>
          <w:rFonts w:ascii="Times New Roman" w:hAnsi="Times New Roman" w:cs="Times New Roman"/>
          <w:sz w:val="24"/>
          <w:szCs w:val="24"/>
        </w:rPr>
        <w:sym w:font="Symbol" w:char="F05B"/>
      </w:r>
      <w:r w:rsidRPr="005308CE">
        <w:rPr>
          <w:rFonts w:ascii="Times New Roman" w:hAnsi="Times New Roman" w:cs="Times New Roman"/>
          <w:sz w:val="24"/>
          <w:szCs w:val="24"/>
        </w:rPr>
        <w:t>1985</w:t>
      </w:r>
      <w:r w:rsidRPr="005308CE">
        <w:rPr>
          <w:rFonts w:ascii="Times New Roman" w:hAnsi="Times New Roman" w:cs="Times New Roman"/>
          <w:sz w:val="24"/>
          <w:szCs w:val="24"/>
        </w:rPr>
        <w:sym w:font="Symbol" w:char="F05D"/>
      </w:r>
      <w:r w:rsidRPr="005308CE">
        <w:rPr>
          <w:rFonts w:ascii="Times New Roman" w:hAnsi="Times New Roman" w:cs="Times New Roman"/>
          <w:sz w:val="24"/>
          <w:szCs w:val="24"/>
        </w:rPr>
        <w:t xml:space="preserve"> ECR 3261 (‘</w:t>
      </w:r>
      <w:r w:rsidRPr="005308CE">
        <w:rPr>
          <w:rFonts w:ascii="Times New Roman" w:hAnsi="Times New Roman" w:cs="Times New Roman"/>
          <w:i/>
          <w:iCs/>
          <w:sz w:val="24"/>
          <w:szCs w:val="24"/>
        </w:rPr>
        <w:t>Telemarketing</w:t>
      </w:r>
      <w:r w:rsidRPr="005308CE">
        <w:rPr>
          <w:rFonts w:ascii="Times New Roman" w:hAnsi="Times New Roman" w:cs="Times New Roman"/>
          <w:sz w:val="24"/>
          <w:szCs w:val="24"/>
        </w:rPr>
        <w:t xml:space="preserve"> judgement’)</w:t>
      </w:r>
    </w:p>
    <w:p w14:paraId="00D28E65" w14:textId="77777777" w:rsidR="00C4275E" w:rsidRDefault="00C4275E" w:rsidP="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85/76 </w:t>
      </w:r>
      <w:r w:rsidRPr="005308CE">
        <w:rPr>
          <w:rFonts w:ascii="Times New Roman" w:hAnsi="Times New Roman" w:cs="Times New Roman"/>
          <w:i/>
          <w:sz w:val="24"/>
          <w:szCs w:val="24"/>
        </w:rPr>
        <w:t>Hoffman- La Roche &amp; Co AG v Commission</w:t>
      </w:r>
      <w:r w:rsidRPr="005308CE">
        <w:rPr>
          <w:rFonts w:ascii="Times New Roman" w:hAnsi="Times New Roman" w:cs="Times New Roman"/>
          <w:sz w:val="24"/>
          <w:szCs w:val="24"/>
        </w:rPr>
        <w:t xml:space="preserve"> </w:t>
      </w:r>
      <w:r>
        <w:rPr>
          <w:rFonts w:ascii="Times New Roman" w:hAnsi="Times New Roman" w:cs="Times New Roman"/>
          <w:sz w:val="24"/>
          <w:szCs w:val="24"/>
        </w:rPr>
        <w:t>[</w:t>
      </w:r>
      <w:r w:rsidRPr="005308CE">
        <w:rPr>
          <w:rFonts w:ascii="Times New Roman" w:hAnsi="Times New Roman" w:cs="Times New Roman"/>
          <w:sz w:val="24"/>
          <w:szCs w:val="24"/>
        </w:rPr>
        <w:t>1979</w:t>
      </w:r>
      <w:r>
        <w:rPr>
          <w:rFonts w:ascii="Times New Roman" w:hAnsi="Times New Roman" w:cs="Times New Roman"/>
          <w:sz w:val="24"/>
          <w:szCs w:val="24"/>
        </w:rPr>
        <w:t>]</w:t>
      </w:r>
      <w:r w:rsidRPr="005308CE">
        <w:rPr>
          <w:rFonts w:ascii="Times New Roman" w:hAnsi="Times New Roman" w:cs="Times New Roman"/>
          <w:sz w:val="24"/>
          <w:szCs w:val="24"/>
        </w:rPr>
        <w:t xml:space="preserve"> ECR 461, (1979) 3 CLR 211</w:t>
      </w:r>
    </w:p>
    <w:p w14:paraId="17C7FE0D" w14:textId="77777777" w:rsidR="00380692" w:rsidRDefault="00380692" w:rsidP="00C4275E">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Case 22/78, </w:t>
      </w:r>
      <w:r w:rsidRPr="00D40D37">
        <w:rPr>
          <w:rFonts w:ascii="Times New Roman" w:hAnsi="Times New Roman" w:cs="Times New Roman"/>
          <w:i/>
          <w:sz w:val="24"/>
          <w:szCs w:val="24"/>
        </w:rPr>
        <w:t>Hugin Kassaregister AB and Hugin Cash Registers Ltd v. EC Commission</w:t>
      </w:r>
      <w:r w:rsidRPr="00D40D37">
        <w:rPr>
          <w:rFonts w:ascii="Times New Roman" w:hAnsi="Times New Roman" w:cs="Times New Roman"/>
          <w:sz w:val="24"/>
          <w:szCs w:val="24"/>
        </w:rPr>
        <w:t xml:space="preserve"> [1979] ECR 1869</w:t>
      </w:r>
    </w:p>
    <w:p w14:paraId="28AD75E9" w14:textId="33D1EEEE" w:rsidR="00C4275E" w:rsidRPr="005308CE" w:rsidRDefault="00C4275E" w:rsidP="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 xml:space="preserve">Case 27/76 </w:t>
      </w:r>
      <w:r w:rsidRPr="00AA721F">
        <w:rPr>
          <w:rFonts w:ascii="Times New Roman" w:hAnsi="Times New Roman" w:cs="Times New Roman"/>
          <w:i/>
          <w:iCs/>
          <w:sz w:val="24"/>
          <w:szCs w:val="24"/>
        </w:rPr>
        <w:t>United Brands v Commission</w:t>
      </w:r>
      <w:r w:rsidRPr="005308CE">
        <w:rPr>
          <w:rFonts w:ascii="Times New Roman" w:hAnsi="Times New Roman" w:cs="Times New Roman"/>
          <w:sz w:val="24"/>
          <w:szCs w:val="24"/>
        </w:rPr>
        <w:t xml:space="preserve"> [1978] ECR 207 (‘</w:t>
      </w:r>
      <w:r w:rsidRPr="005308CE">
        <w:rPr>
          <w:rFonts w:ascii="Times New Roman" w:hAnsi="Times New Roman" w:cs="Times New Roman"/>
          <w:i/>
          <w:sz w:val="24"/>
          <w:szCs w:val="24"/>
        </w:rPr>
        <w:t>United Brands</w:t>
      </w:r>
      <w:r w:rsidRPr="005308CE">
        <w:rPr>
          <w:rFonts w:ascii="Times New Roman" w:hAnsi="Times New Roman" w:cs="Times New Roman"/>
          <w:sz w:val="24"/>
          <w:szCs w:val="24"/>
        </w:rPr>
        <w:t xml:space="preserve"> judgement’)</w:t>
      </w:r>
    </w:p>
    <w:p w14:paraId="59B10AEC" w14:textId="77777777" w:rsidR="00C4275E" w:rsidRPr="00380692" w:rsidRDefault="00C4275E">
      <w:pPr>
        <w:pStyle w:val="ListParagraph"/>
        <w:numPr>
          <w:ilvl w:val="0"/>
          <w:numId w:val="22"/>
        </w:numPr>
        <w:jc w:val="both"/>
        <w:rPr>
          <w:rFonts w:ascii="Times New Roman" w:hAnsi="Times New Roman" w:cs="Times New Roman"/>
          <w:sz w:val="24"/>
          <w:szCs w:val="24"/>
        </w:rPr>
      </w:pPr>
      <w:r w:rsidRPr="00380692">
        <w:rPr>
          <w:rFonts w:ascii="Times New Roman" w:hAnsi="Times New Roman" w:cs="Times New Roman"/>
          <w:sz w:val="24"/>
          <w:szCs w:val="24"/>
        </w:rPr>
        <w:t xml:space="preserve">Joined Cases 6, 7/73, </w:t>
      </w:r>
      <w:r w:rsidRPr="00380692">
        <w:rPr>
          <w:rFonts w:ascii="Times New Roman" w:hAnsi="Times New Roman" w:cs="Times New Roman"/>
          <w:i/>
          <w:iCs/>
          <w:sz w:val="24"/>
          <w:szCs w:val="24"/>
        </w:rPr>
        <w:t>Commercial Solvents</w:t>
      </w:r>
      <w:r w:rsidRPr="00380692">
        <w:rPr>
          <w:rFonts w:ascii="Times New Roman" w:hAnsi="Times New Roman" w:cs="Times New Roman"/>
          <w:sz w:val="24"/>
          <w:szCs w:val="24"/>
        </w:rPr>
        <w:t xml:space="preserve"> </w:t>
      </w:r>
      <w:r w:rsidRPr="00380692">
        <w:rPr>
          <w:rFonts w:ascii="Times New Roman" w:hAnsi="Times New Roman" w:cs="Times New Roman"/>
          <w:i/>
          <w:iCs/>
          <w:sz w:val="24"/>
          <w:szCs w:val="24"/>
        </w:rPr>
        <w:t>v. Commission</w:t>
      </w:r>
      <w:r w:rsidRPr="00380692">
        <w:rPr>
          <w:rFonts w:ascii="Times New Roman" w:hAnsi="Times New Roman" w:cs="Times New Roman"/>
          <w:sz w:val="24"/>
          <w:szCs w:val="24"/>
        </w:rPr>
        <w:t xml:space="preserve"> </w:t>
      </w:r>
      <w:r w:rsidRPr="005308CE">
        <w:rPr>
          <w:rFonts w:ascii="Times New Roman" w:hAnsi="Times New Roman" w:cs="Times New Roman"/>
          <w:sz w:val="24"/>
          <w:szCs w:val="24"/>
        </w:rPr>
        <w:sym w:font="Symbol" w:char="F05B"/>
      </w:r>
      <w:r w:rsidRPr="00380692">
        <w:rPr>
          <w:rFonts w:ascii="Times New Roman" w:hAnsi="Times New Roman" w:cs="Times New Roman"/>
          <w:sz w:val="24"/>
          <w:szCs w:val="24"/>
        </w:rPr>
        <w:t>1974</w:t>
      </w:r>
      <w:r w:rsidRPr="005308CE">
        <w:rPr>
          <w:rFonts w:ascii="Times New Roman" w:hAnsi="Times New Roman" w:cs="Times New Roman"/>
          <w:sz w:val="24"/>
          <w:szCs w:val="24"/>
        </w:rPr>
        <w:sym w:font="Symbol" w:char="F05D"/>
      </w:r>
      <w:r w:rsidRPr="00380692">
        <w:rPr>
          <w:rFonts w:ascii="Times New Roman" w:hAnsi="Times New Roman" w:cs="Times New Roman"/>
          <w:sz w:val="24"/>
          <w:szCs w:val="24"/>
        </w:rPr>
        <w:t xml:space="preserve"> ECR 223 (‘</w:t>
      </w:r>
      <w:r w:rsidRPr="00380692">
        <w:rPr>
          <w:rFonts w:ascii="Times New Roman" w:hAnsi="Times New Roman" w:cs="Times New Roman"/>
          <w:i/>
          <w:sz w:val="24"/>
          <w:szCs w:val="24"/>
        </w:rPr>
        <w:t>Commercial Solvents</w:t>
      </w:r>
      <w:r w:rsidRPr="00380692">
        <w:rPr>
          <w:rFonts w:ascii="Times New Roman" w:hAnsi="Times New Roman" w:cs="Times New Roman"/>
          <w:sz w:val="24"/>
          <w:szCs w:val="24"/>
        </w:rPr>
        <w:t xml:space="preserve"> judgement’)</w:t>
      </w:r>
    </w:p>
    <w:p w14:paraId="55B9319D" w14:textId="0F1B0A2C" w:rsidR="00C4275E" w:rsidRPr="00692824" w:rsidRDefault="00C4275E">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sz w:val="24"/>
          <w:szCs w:val="24"/>
        </w:rPr>
        <w:t>Joined cases C-241/91 P and C-242/91 P, Radio Telefis Eireann (RTE) and Independent Television Publications Ltd (ITP) v Commission [1995] ECR I-743, [1995] 4 CMLR 718 (‘</w:t>
      </w:r>
      <w:r w:rsidRPr="005308CE">
        <w:rPr>
          <w:rFonts w:ascii="Times New Roman" w:hAnsi="Times New Roman" w:cs="Times New Roman"/>
          <w:i/>
          <w:iCs/>
          <w:sz w:val="24"/>
          <w:szCs w:val="24"/>
        </w:rPr>
        <w:t>Magill</w:t>
      </w:r>
      <w:r w:rsidRPr="005308CE">
        <w:rPr>
          <w:rFonts w:ascii="Times New Roman" w:hAnsi="Times New Roman" w:cs="Times New Roman"/>
          <w:sz w:val="24"/>
          <w:szCs w:val="24"/>
        </w:rPr>
        <w:t xml:space="preserve"> judgement’)</w:t>
      </w:r>
    </w:p>
    <w:p w14:paraId="11D61A1E" w14:textId="0C4FDFF3" w:rsidR="005308CE" w:rsidRPr="00774EDB" w:rsidRDefault="005308CE" w:rsidP="00A70042">
      <w:pPr>
        <w:pStyle w:val="ListParagraph"/>
        <w:ind w:left="1068"/>
        <w:jc w:val="both"/>
        <w:rPr>
          <w:rFonts w:ascii="Times New Roman" w:hAnsi="Times New Roman" w:cs="Times New Roman"/>
          <w:sz w:val="24"/>
          <w:szCs w:val="24"/>
        </w:rPr>
      </w:pPr>
    </w:p>
    <w:p w14:paraId="0BDE862A" w14:textId="52C7D354" w:rsidR="00CF46FC" w:rsidRPr="00774EDB" w:rsidRDefault="00CF46FC" w:rsidP="00A70042">
      <w:pPr>
        <w:pStyle w:val="ListParagraph"/>
        <w:ind w:left="1068"/>
        <w:jc w:val="both"/>
        <w:rPr>
          <w:rFonts w:ascii="Times New Roman" w:hAnsi="Times New Roman" w:cs="Times New Roman"/>
          <w:sz w:val="24"/>
          <w:szCs w:val="24"/>
        </w:rPr>
      </w:pPr>
      <w:r w:rsidRPr="00774EDB">
        <w:rPr>
          <w:rFonts w:ascii="Times New Roman" w:hAnsi="Times New Roman" w:cs="Times New Roman"/>
          <w:sz w:val="24"/>
          <w:szCs w:val="24"/>
        </w:rPr>
        <w:t xml:space="preserve">EPO </w:t>
      </w:r>
      <w:r w:rsidR="00D419D0" w:rsidRPr="00774EDB">
        <w:rPr>
          <w:rFonts w:ascii="Times New Roman" w:hAnsi="Times New Roman" w:cs="Times New Roman"/>
          <w:sz w:val="24"/>
          <w:szCs w:val="24"/>
        </w:rPr>
        <w:t>Case</w:t>
      </w:r>
      <w:r w:rsidRPr="00774EDB">
        <w:rPr>
          <w:rFonts w:ascii="Times New Roman" w:hAnsi="Times New Roman" w:cs="Times New Roman"/>
          <w:sz w:val="24"/>
          <w:szCs w:val="24"/>
        </w:rPr>
        <w:t>s</w:t>
      </w:r>
    </w:p>
    <w:p w14:paraId="57031807" w14:textId="77777777" w:rsidR="001847B8" w:rsidRPr="00774EDB" w:rsidRDefault="001847B8" w:rsidP="00A70042">
      <w:pPr>
        <w:pStyle w:val="ListParagraph"/>
        <w:ind w:left="1068"/>
        <w:jc w:val="both"/>
        <w:rPr>
          <w:rFonts w:ascii="Times New Roman" w:hAnsi="Times New Roman" w:cs="Times New Roman"/>
          <w:sz w:val="24"/>
          <w:szCs w:val="24"/>
        </w:rPr>
      </w:pPr>
    </w:p>
    <w:p w14:paraId="72CDA4A3" w14:textId="69F17A04" w:rsidR="00CF46FC" w:rsidRPr="00774EDB" w:rsidRDefault="00CF46FC">
      <w:pPr>
        <w:pStyle w:val="ListParagraph"/>
        <w:numPr>
          <w:ilvl w:val="0"/>
          <w:numId w:val="22"/>
        </w:numPr>
        <w:jc w:val="both"/>
        <w:rPr>
          <w:rFonts w:ascii="Times New Roman" w:hAnsi="Times New Roman" w:cs="Times New Roman"/>
          <w:sz w:val="24"/>
          <w:szCs w:val="24"/>
        </w:rPr>
      </w:pPr>
      <w:r w:rsidRPr="00774EDB">
        <w:rPr>
          <w:rFonts w:ascii="Times New Roman" w:hAnsi="Times New Roman" w:cs="Times New Roman"/>
          <w:sz w:val="24"/>
          <w:szCs w:val="24"/>
        </w:rPr>
        <w:t>Case T 258/03, Auction Method/HITACHI [2004] OJ 2004, 575</w:t>
      </w:r>
    </w:p>
    <w:p w14:paraId="6FE2CFB4" w14:textId="77777777" w:rsidR="005308CE" w:rsidRPr="00774EDB" w:rsidRDefault="005308CE">
      <w:pPr>
        <w:pStyle w:val="ListParagraph"/>
        <w:ind w:left="1068"/>
        <w:jc w:val="both"/>
        <w:rPr>
          <w:rFonts w:ascii="Times New Roman" w:hAnsi="Times New Roman" w:cs="Times New Roman"/>
          <w:sz w:val="24"/>
          <w:szCs w:val="24"/>
        </w:rPr>
      </w:pPr>
    </w:p>
    <w:p w14:paraId="6D6F58B3" w14:textId="1242BCB7" w:rsidR="00D40D37" w:rsidRDefault="00D40D37">
      <w:pPr>
        <w:ind w:left="348" w:firstLine="720"/>
        <w:jc w:val="both"/>
        <w:rPr>
          <w:rFonts w:ascii="Times New Roman" w:hAnsi="Times New Roman" w:cs="Times New Roman"/>
          <w:sz w:val="24"/>
          <w:szCs w:val="24"/>
        </w:rPr>
      </w:pPr>
      <w:r w:rsidRPr="00774EDB">
        <w:rPr>
          <w:rFonts w:ascii="Times New Roman" w:hAnsi="Times New Roman" w:cs="Times New Roman"/>
          <w:sz w:val="24"/>
          <w:szCs w:val="24"/>
        </w:rPr>
        <w:t>United States</w:t>
      </w:r>
    </w:p>
    <w:p w14:paraId="254E8536" w14:textId="77777777" w:rsidR="003D117D" w:rsidRPr="00774EDB" w:rsidRDefault="003D117D" w:rsidP="00A70042">
      <w:pPr>
        <w:ind w:left="348" w:firstLine="720"/>
        <w:jc w:val="both"/>
        <w:rPr>
          <w:rFonts w:ascii="Times New Roman" w:hAnsi="Times New Roman" w:cs="Times New Roman"/>
          <w:sz w:val="24"/>
          <w:szCs w:val="24"/>
        </w:rPr>
      </w:pPr>
    </w:p>
    <w:p w14:paraId="5D41A1C9" w14:textId="77777777" w:rsidR="00DB1C91" w:rsidRPr="00AA721F" w:rsidRDefault="00DB1C91" w:rsidP="00DB1C91">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i/>
          <w:iCs/>
          <w:sz w:val="24"/>
          <w:szCs w:val="24"/>
        </w:rPr>
        <w:t>Aspen Skiing Co. v. Aspen Highlands Skiing Corp.</w:t>
      </w:r>
      <w:r w:rsidRPr="00D40D37">
        <w:rPr>
          <w:rFonts w:ascii="Times New Roman" w:hAnsi="Times New Roman" w:cs="Times New Roman"/>
          <w:sz w:val="24"/>
          <w:szCs w:val="24"/>
        </w:rPr>
        <w:t>, 472 US 585 (1985)</w:t>
      </w:r>
    </w:p>
    <w:p w14:paraId="39E8963A" w14:textId="77777777" w:rsidR="00DB1C91" w:rsidRPr="00D40D37" w:rsidRDefault="00DB1C91" w:rsidP="00DB1C91">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i/>
          <w:iCs/>
          <w:color w:val="231F20"/>
          <w:sz w:val="24"/>
          <w:szCs w:val="24"/>
        </w:rPr>
        <w:t xml:space="preserve">Atari Corp. and Tengen Inc. v. Nintendo of America Inc. and Nintendo Co. Ltd., </w:t>
      </w:r>
      <w:r w:rsidRPr="00D40D37">
        <w:rPr>
          <w:rFonts w:ascii="Times New Roman" w:hAnsi="Times New Roman" w:cs="Times New Roman"/>
          <w:color w:val="231F20"/>
          <w:sz w:val="24"/>
          <w:szCs w:val="24"/>
        </w:rPr>
        <w:t>975 F.2d 832, (Fed. Cir. 1990)</w:t>
      </w:r>
      <w:r w:rsidRPr="00D40D37">
        <w:rPr>
          <w:rFonts w:ascii="Times New Roman" w:hAnsi="Times New Roman" w:cs="Times New Roman"/>
          <w:sz w:val="24"/>
          <w:szCs w:val="24"/>
          <w:lang w:val="en-US"/>
        </w:rPr>
        <w:t xml:space="preserve"> (‘</w:t>
      </w:r>
      <w:r w:rsidRPr="00D40D37">
        <w:rPr>
          <w:rFonts w:ascii="Times New Roman" w:hAnsi="Times New Roman" w:cs="Times New Roman"/>
          <w:i/>
          <w:sz w:val="24"/>
          <w:szCs w:val="24"/>
          <w:lang w:val="en-US"/>
        </w:rPr>
        <w:t>Nintendo</w:t>
      </w:r>
      <w:r w:rsidRPr="00D40D37">
        <w:rPr>
          <w:rFonts w:ascii="Times New Roman" w:hAnsi="Times New Roman" w:cs="Times New Roman"/>
          <w:sz w:val="24"/>
          <w:szCs w:val="24"/>
          <w:lang w:val="en-US"/>
        </w:rPr>
        <w:t xml:space="preserve"> judgement’)</w:t>
      </w:r>
    </w:p>
    <w:p w14:paraId="2AD812BA" w14:textId="77777777" w:rsidR="00DB1C91" w:rsidRPr="00D40D37" w:rsidRDefault="00DB1C91" w:rsidP="00DB1C91">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i/>
          <w:sz w:val="24"/>
          <w:szCs w:val="24"/>
        </w:rPr>
        <w:t>Nintendo Co Ltd and others v PC Box Srl</w:t>
      </w:r>
      <w:r w:rsidRPr="00D40D37">
        <w:rPr>
          <w:rFonts w:ascii="Times New Roman" w:hAnsi="Times New Roman" w:cs="Times New Roman"/>
          <w:sz w:val="24"/>
          <w:szCs w:val="24"/>
        </w:rPr>
        <w:t>, Case C-355/12, (23 January 2014) (‘</w:t>
      </w:r>
      <w:r w:rsidRPr="00D40D37">
        <w:rPr>
          <w:rFonts w:ascii="Times New Roman" w:hAnsi="Times New Roman" w:cs="Times New Roman"/>
          <w:i/>
          <w:sz w:val="24"/>
          <w:szCs w:val="24"/>
        </w:rPr>
        <w:t>Nintento</w:t>
      </w:r>
      <w:r w:rsidRPr="00D40D37">
        <w:rPr>
          <w:rFonts w:ascii="Times New Roman" w:hAnsi="Times New Roman" w:cs="Times New Roman"/>
          <w:sz w:val="24"/>
          <w:szCs w:val="24"/>
        </w:rPr>
        <w:t xml:space="preserve"> preliminary ruling’)</w:t>
      </w:r>
    </w:p>
    <w:p w14:paraId="3E533360" w14:textId="60B84166" w:rsidR="00DB1C91" w:rsidRPr="00692824" w:rsidRDefault="00DB1C91" w:rsidP="00DB1C91">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i/>
          <w:sz w:val="24"/>
          <w:szCs w:val="24"/>
          <w:lang w:val="tr-TR"/>
        </w:rPr>
        <w:t xml:space="preserve">Verizon Telecommunications Inc. </w:t>
      </w:r>
      <w:r w:rsidRPr="00D40D37">
        <w:rPr>
          <w:rFonts w:ascii="Times New Roman" w:hAnsi="Times New Roman" w:cs="Times New Roman"/>
          <w:sz w:val="24"/>
          <w:szCs w:val="24"/>
          <w:lang w:val="tr-TR"/>
        </w:rPr>
        <w:t>v.</w:t>
      </w:r>
      <w:r w:rsidRPr="00D40D37">
        <w:rPr>
          <w:rFonts w:ascii="Times New Roman" w:hAnsi="Times New Roman" w:cs="Times New Roman"/>
          <w:i/>
          <w:sz w:val="24"/>
          <w:szCs w:val="24"/>
          <w:lang w:val="tr-TR"/>
        </w:rPr>
        <w:t xml:space="preserve"> Law Offices of Curtis V. Trinko</w:t>
      </w:r>
      <w:r w:rsidRPr="00D40D37">
        <w:rPr>
          <w:rFonts w:ascii="Times New Roman" w:hAnsi="Times New Roman" w:cs="Times New Roman"/>
          <w:sz w:val="24"/>
          <w:szCs w:val="24"/>
          <w:lang w:val="tr-TR"/>
        </w:rPr>
        <w:t>, LLP 540 U.S. 398, 2004 (</w:t>
      </w:r>
      <w:r>
        <w:rPr>
          <w:rFonts w:ascii="Times New Roman" w:hAnsi="Times New Roman" w:cs="Times New Roman"/>
          <w:sz w:val="24"/>
          <w:szCs w:val="24"/>
          <w:lang w:val="tr-TR"/>
        </w:rPr>
        <w:t>‘</w:t>
      </w:r>
      <w:r w:rsidRPr="00D40D37">
        <w:rPr>
          <w:rFonts w:ascii="Times New Roman" w:hAnsi="Times New Roman" w:cs="Times New Roman"/>
          <w:i/>
          <w:sz w:val="24"/>
          <w:szCs w:val="24"/>
          <w:lang w:val="tr-TR"/>
        </w:rPr>
        <w:t>Trinko</w:t>
      </w:r>
      <w:r w:rsidRPr="00D40D37">
        <w:rPr>
          <w:rFonts w:ascii="Times New Roman" w:hAnsi="Times New Roman" w:cs="Times New Roman"/>
          <w:sz w:val="24"/>
          <w:szCs w:val="24"/>
          <w:lang w:val="tr-TR"/>
        </w:rPr>
        <w:t xml:space="preserve"> judgement</w:t>
      </w:r>
      <w:r>
        <w:rPr>
          <w:rFonts w:ascii="Times New Roman" w:hAnsi="Times New Roman" w:cs="Times New Roman"/>
          <w:sz w:val="24"/>
          <w:szCs w:val="24"/>
          <w:lang w:val="tr-TR"/>
        </w:rPr>
        <w:t>’</w:t>
      </w:r>
      <w:r w:rsidRPr="00D40D37">
        <w:rPr>
          <w:rFonts w:ascii="Times New Roman" w:hAnsi="Times New Roman" w:cs="Times New Roman"/>
          <w:sz w:val="24"/>
          <w:szCs w:val="24"/>
          <w:lang w:val="tr-TR"/>
        </w:rPr>
        <w:t>)</w:t>
      </w:r>
    </w:p>
    <w:p w14:paraId="17B1D9BF" w14:textId="018E4BB9" w:rsidR="00380692" w:rsidRPr="00D40D37" w:rsidRDefault="00380692" w:rsidP="00DB1C91">
      <w:pPr>
        <w:pStyle w:val="ListParagraph"/>
        <w:numPr>
          <w:ilvl w:val="0"/>
          <w:numId w:val="22"/>
        </w:numPr>
        <w:jc w:val="both"/>
        <w:rPr>
          <w:rFonts w:ascii="Times New Roman" w:hAnsi="Times New Roman" w:cs="Times New Roman"/>
          <w:sz w:val="24"/>
          <w:szCs w:val="24"/>
        </w:rPr>
      </w:pPr>
      <w:r w:rsidRPr="00692824">
        <w:rPr>
          <w:rFonts w:ascii="Times New Roman" w:hAnsi="Times New Roman" w:cs="Times New Roman"/>
          <w:i/>
          <w:iCs/>
          <w:sz w:val="24"/>
          <w:szCs w:val="24"/>
        </w:rPr>
        <w:t>United States v. Microsoft Corp.</w:t>
      </w:r>
      <w:r w:rsidRPr="00380692">
        <w:rPr>
          <w:rFonts w:ascii="Times New Roman" w:hAnsi="Times New Roman" w:cs="Times New Roman"/>
          <w:sz w:val="24"/>
          <w:szCs w:val="24"/>
        </w:rPr>
        <w:t>, 87 F. Supp. 2d 30, 36 (D.D.C. 2000)</w:t>
      </w:r>
    </w:p>
    <w:p w14:paraId="18E6C07F" w14:textId="77777777" w:rsidR="00DB1C91" w:rsidRPr="00D40D37" w:rsidRDefault="00DB1C91" w:rsidP="00DB1C91">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i/>
          <w:sz w:val="24"/>
          <w:szCs w:val="24"/>
        </w:rPr>
        <w:t>Sega Enterprises Ltd. v. Accolade, Inc</w:t>
      </w:r>
      <w:r w:rsidRPr="00D40D37">
        <w:rPr>
          <w:rFonts w:ascii="Times New Roman" w:hAnsi="Times New Roman" w:cs="Times New Roman"/>
          <w:sz w:val="24"/>
          <w:szCs w:val="24"/>
        </w:rPr>
        <w:t>., 977 F.2d1510 (9th Cir. 1992)</w:t>
      </w:r>
    </w:p>
    <w:p w14:paraId="52449B11" w14:textId="727E52AE" w:rsidR="00D40D37" w:rsidRPr="00774EDB" w:rsidRDefault="00DB1C91">
      <w:pPr>
        <w:pStyle w:val="ListParagraph"/>
        <w:numPr>
          <w:ilvl w:val="0"/>
          <w:numId w:val="22"/>
        </w:numPr>
        <w:jc w:val="both"/>
        <w:rPr>
          <w:rFonts w:ascii="Times New Roman" w:hAnsi="Times New Roman" w:cs="Times New Roman"/>
          <w:sz w:val="24"/>
          <w:szCs w:val="24"/>
        </w:rPr>
      </w:pPr>
      <w:r w:rsidRPr="005308CE">
        <w:rPr>
          <w:rFonts w:ascii="Times New Roman" w:hAnsi="Times New Roman" w:cs="Times New Roman"/>
          <w:i/>
          <w:iCs/>
          <w:sz w:val="24"/>
          <w:szCs w:val="24"/>
        </w:rPr>
        <w:t>United States v Terminal Railroad Association</w:t>
      </w:r>
      <w:r w:rsidRPr="00D40D37">
        <w:rPr>
          <w:rFonts w:ascii="Times New Roman" w:hAnsi="Times New Roman" w:cs="Times New Roman"/>
          <w:sz w:val="24"/>
          <w:szCs w:val="24"/>
        </w:rPr>
        <w:t xml:space="preserve"> 224 US 383 (1912)</w:t>
      </w:r>
    </w:p>
    <w:p w14:paraId="2CFDAB5A" w14:textId="77777777" w:rsidR="00D40D37" w:rsidRPr="00774EDB" w:rsidRDefault="00D40D37">
      <w:pPr>
        <w:pStyle w:val="ListParagraph"/>
        <w:ind w:left="1068"/>
        <w:jc w:val="both"/>
        <w:rPr>
          <w:rFonts w:ascii="Times New Roman" w:hAnsi="Times New Roman" w:cs="Times New Roman"/>
          <w:sz w:val="24"/>
          <w:szCs w:val="24"/>
        </w:rPr>
      </w:pPr>
    </w:p>
    <w:p w14:paraId="7171E69D" w14:textId="1290C80D" w:rsidR="00C22B9E" w:rsidRPr="00774EDB" w:rsidRDefault="00C22B9E" w:rsidP="00A70042">
      <w:pPr>
        <w:rPr>
          <w:rFonts w:ascii="Times New Roman" w:hAnsi="Times New Roman" w:cs="Times New Roman"/>
          <w:sz w:val="24"/>
          <w:szCs w:val="24"/>
        </w:rPr>
      </w:pPr>
      <w:r w:rsidRPr="00774EDB">
        <w:rPr>
          <w:rFonts w:ascii="Times New Roman" w:hAnsi="Times New Roman" w:cs="Times New Roman"/>
          <w:sz w:val="24"/>
          <w:szCs w:val="24"/>
        </w:rPr>
        <w:t>Books</w:t>
      </w:r>
      <w:r w:rsidR="00917362" w:rsidRPr="00774EDB">
        <w:rPr>
          <w:rFonts w:ascii="Times New Roman" w:hAnsi="Times New Roman" w:cs="Times New Roman"/>
          <w:sz w:val="24"/>
          <w:szCs w:val="24"/>
        </w:rPr>
        <w:t xml:space="preserve"> and Chapters</w:t>
      </w:r>
    </w:p>
    <w:p w14:paraId="03DECB58" w14:textId="77777777" w:rsidR="001847B8" w:rsidRPr="00774EDB" w:rsidRDefault="001847B8" w:rsidP="00A70042">
      <w:pPr>
        <w:jc w:val="both"/>
        <w:rPr>
          <w:rFonts w:ascii="Times New Roman" w:hAnsi="Times New Roman" w:cs="Times New Roman"/>
          <w:sz w:val="24"/>
          <w:szCs w:val="24"/>
        </w:rPr>
      </w:pPr>
    </w:p>
    <w:p w14:paraId="275A9A0B" w14:textId="77777777"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Anderman</w:t>
      </w:r>
      <w:r>
        <w:rPr>
          <w:rFonts w:ascii="Times New Roman" w:hAnsi="Times New Roman" w:cs="Times New Roman"/>
          <w:sz w:val="24"/>
          <w:szCs w:val="24"/>
        </w:rPr>
        <w:t>, S.</w:t>
      </w:r>
      <w:r w:rsidRPr="00D40D37">
        <w:rPr>
          <w:rFonts w:ascii="Times New Roman" w:hAnsi="Times New Roman" w:cs="Times New Roman"/>
          <w:sz w:val="24"/>
          <w:szCs w:val="24"/>
        </w:rPr>
        <w:t xml:space="preserve"> and Schmidt, </w:t>
      </w:r>
      <w:r>
        <w:rPr>
          <w:rFonts w:ascii="Times New Roman" w:hAnsi="Times New Roman" w:cs="Times New Roman"/>
          <w:sz w:val="24"/>
          <w:szCs w:val="24"/>
        </w:rPr>
        <w:t xml:space="preserve">H. </w:t>
      </w:r>
      <w:r w:rsidRPr="00D40D37">
        <w:rPr>
          <w:rFonts w:ascii="Times New Roman" w:hAnsi="Times New Roman" w:cs="Times New Roman"/>
          <w:i/>
          <w:iCs/>
          <w:sz w:val="24"/>
          <w:szCs w:val="24"/>
        </w:rPr>
        <w:t>EU Competition Law and Intellectual Property Rights: The Regulation of Innovation</w:t>
      </w:r>
      <w:r w:rsidRPr="00D40D37">
        <w:rPr>
          <w:rFonts w:ascii="Times New Roman" w:hAnsi="Times New Roman" w:cs="Times New Roman"/>
          <w:sz w:val="24"/>
          <w:szCs w:val="24"/>
        </w:rPr>
        <w:t xml:space="preserve"> (2nd</w:t>
      </w:r>
      <w:r w:rsidRPr="00D40D37">
        <w:rPr>
          <w:rFonts w:ascii="Times New Roman" w:hAnsi="Times New Roman" w:cs="Times New Roman"/>
          <w:sz w:val="24"/>
          <w:szCs w:val="24"/>
          <w:vertAlign w:val="superscript"/>
        </w:rPr>
        <w:t xml:space="preserve"> </w:t>
      </w:r>
      <w:r w:rsidRPr="00D40D37">
        <w:rPr>
          <w:rFonts w:ascii="Times New Roman" w:hAnsi="Times New Roman" w:cs="Times New Roman"/>
          <w:sz w:val="24"/>
          <w:szCs w:val="24"/>
        </w:rPr>
        <w:t>edn, OUP 2011)</w:t>
      </w:r>
    </w:p>
    <w:p w14:paraId="59D4720F" w14:textId="77777777"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tr-TR"/>
        </w:rPr>
        <w:t>Anderman</w:t>
      </w:r>
      <w:r>
        <w:rPr>
          <w:rFonts w:ascii="Times New Roman" w:hAnsi="Times New Roman" w:cs="Times New Roman"/>
          <w:sz w:val="24"/>
          <w:szCs w:val="24"/>
          <w:lang w:val="tr-TR"/>
        </w:rPr>
        <w:t xml:space="preserve">, </w:t>
      </w:r>
      <w:r w:rsidRPr="00D40D37">
        <w:rPr>
          <w:rFonts w:ascii="Times New Roman" w:hAnsi="Times New Roman" w:cs="Times New Roman"/>
          <w:sz w:val="24"/>
          <w:szCs w:val="24"/>
        </w:rPr>
        <w:t>S</w:t>
      </w:r>
      <w:r>
        <w:rPr>
          <w:rFonts w:ascii="Times New Roman" w:hAnsi="Times New Roman" w:cs="Times New Roman"/>
          <w:sz w:val="24"/>
          <w:szCs w:val="24"/>
        </w:rPr>
        <w:t>.</w:t>
      </w:r>
      <w:r w:rsidRPr="00D40D37">
        <w:rPr>
          <w:rFonts w:ascii="Times New Roman" w:hAnsi="Times New Roman" w:cs="Times New Roman"/>
          <w:sz w:val="24"/>
          <w:szCs w:val="24"/>
        </w:rPr>
        <w:t xml:space="preserve"> D.</w:t>
      </w:r>
      <w:r w:rsidRPr="00D40D37">
        <w:rPr>
          <w:rFonts w:ascii="Times New Roman" w:hAnsi="Times New Roman" w:cs="Times New Roman"/>
          <w:sz w:val="24"/>
          <w:szCs w:val="24"/>
          <w:lang w:val="tr-TR"/>
        </w:rPr>
        <w:t xml:space="preserve"> and Kallaugher,</w:t>
      </w:r>
      <w:r>
        <w:rPr>
          <w:rFonts w:ascii="Times New Roman" w:hAnsi="Times New Roman" w:cs="Times New Roman"/>
          <w:sz w:val="24"/>
          <w:szCs w:val="24"/>
          <w:lang w:val="tr-TR"/>
        </w:rPr>
        <w:t xml:space="preserve"> J.</w:t>
      </w:r>
      <w:r w:rsidRPr="00D40D37">
        <w:rPr>
          <w:rFonts w:ascii="Times New Roman" w:hAnsi="Times New Roman" w:cs="Times New Roman"/>
          <w:sz w:val="24"/>
          <w:szCs w:val="24"/>
          <w:lang w:val="tr-TR"/>
        </w:rPr>
        <w:t xml:space="preserve"> </w:t>
      </w:r>
      <w:r w:rsidRPr="00D40D37">
        <w:rPr>
          <w:rFonts w:ascii="Times New Roman" w:hAnsi="Times New Roman" w:cs="Times New Roman"/>
          <w:i/>
          <w:sz w:val="24"/>
          <w:szCs w:val="24"/>
          <w:lang w:val="tr-TR"/>
        </w:rPr>
        <w:t>Techonology Transfer and The New EU Competition Rules - Intellectual Property Licensing after Modernisation</w:t>
      </w:r>
      <w:r w:rsidRPr="00D40D37">
        <w:rPr>
          <w:rFonts w:ascii="Times New Roman" w:hAnsi="Times New Roman" w:cs="Times New Roman"/>
          <w:sz w:val="24"/>
          <w:szCs w:val="24"/>
          <w:lang w:val="tr-TR"/>
        </w:rPr>
        <w:t xml:space="preserve"> (OUP 2006)</w:t>
      </w:r>
    </w:p>
    <w:p w14:paraId="46289007" w14:textId="77777777"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Anderman,</w:t>
      </w:r>
      <w:r>
        <w:rPr>
          <w:rFonts w:ascii="Times New Roman" w:hAnsi="Times New Roman" w:cs="Times New Roman"/>
          <w:sz w:val="24"/>
          <w:szCs w:val="24"/>
        </w:rPr>
        <w:t xml:space="preserve"> S. D.</w:t>
      </w:r>
      <w:r w:rsidRPr="00D40D37">
        <w:rPr>
          <w:rFonts w:ascii="Times New Roman" w:hAnsi="Times New Roman" w:cs="Times New Roman"/>
          <w:sz w:val="24"/>
          <w:szCs w:val="24"/>
        </w:rPr>
        <w:t xml:space="preserve"> </w:t>
      </w:r>
      <w:r w:rsidRPr="004402C7">
        <w:rPr>
          <w:rFonts w:ascii="Times New Roman" w:hAnsi="Times New Roman" w:cs="Times New Roman"/>
          <w:i/>
          <w:iCs/>
          <w:sz w:val="24"/>
          <w:szCs w:val="24"/>
        </w:rPr>
        <w:t>EC Competition Law and Intellectual Property Rights: The Regulation of Innovation</w:t>
      </w:r>
      <w:r w:rsidRPr="00D40D37">
        <w:rPr>
          <w:rFonts w:ascii="Times New Roman" w:hAnsi="Times New Roman" w:cs="Times New Roman"/>
          <w:sz w:val="24"/>
          <w:szCs w:val="24"/>
        </w:rPr>
        <w:t xml:space="preserve"> (Clarendon Press 1998) </w:t>
      </w:r>
    </w:p>
    <w:p w14:paraId="20E73FEE" w14:textId="6275C825" w:rsidR="00795C18" w:rsidRDefault="00795C18" w:rsidP="00F146DF">
      <w:pPr>
        <w:pStyle w:val="ListParagraph"/>
        <w:numPr>
          <w:ilvl w:val="0"/>
          <w:numId w:val="22"/>
        </w:numPr>
        <w:jc w:val="both"/>
        <w:rPr>
          <w:rFonts w:ascii="Times New Roman" w:hAnsi="Times New Roman" w:cs="Times New Roman"/>
          <w:sz w:val="24"/>
          <w:szCs w:val="24"/>
        </w:rPr>
      </w:pPr>
      <w:r w:rsidRPr="00795C18">
        <w:rPr>
          <w:rFonts w:ascii="Times New Roman" w:hAnsi="Times New Roman" w:cs="Times New Roman"/>
          <w:sz w:val="24"/>
          <w:szCs w:val="24"/>
        </w:rPr>
        <w:t>Balkin,</w:t>
      </w:r>
      <w:r>
        <w:rPr>
          <w:rFonts w:ascii="Times New Roman" w:hAnsi="Times New Roman" w:cs="Times New Roman"/>
          <w:sz w:val="24"/>
          <w:szCs w:val="24"/>
        </w:rPr>
        <w:t xml:space="preserve"> J. M.,</w:t>
      </w:r>
      <w:r w:rsidRPr="00795C18">
        <w:rPr>
          <w:rFonts w:ascii="Times New Roman" w:hAnsi="Times New Roman" w:cs="Times New Roman"/>
          <w:sz w:val="24"/>
          <w:szCs w:val="24"/>
        </w:rPr>
        <w:t xml:space="preserve"> ‘Information Power: The Information Society from an Antihumanist Perspective’ in Ramesh Subramanian and Eddan Katz (eds.), </w:t>
      </w:r>
      <w:r w:rsidRPr="00692824">
        <w:rPr>
          <w:rFonts w:ascii="Times New Roman" w:hAnsi="Times New Roman" w:cs="Times New Roman"/>
          <w:i/>
          <w:iCs/>
          <w:sz w:val="24"/>
          <w:szCs w:val="24"/>
        </w:rPr>
        <w:t>The Global Flow of Information: Legal, Social, and Cultural Perspectives</w:t>
      </w:r>
      <w:r w:rsidRPr="00795C18">
        <w:rPr>
          <w:rFonts w:ascii="Times New Roman" w:hAnsi="Times New Roman" w:cs="Times New Roman"/>
          <w:sz w:val="24"/>
          <w:szCs w:val="24"/>
        </w:rPr>
        <w:t xml:space="preserve"> (New York University Press 2011) 232</w:t>
      </w:r>
      <w:r>
        <w:rPr>
          <w:rFonts w:ascii="Times New Roman" w:hAnsi="Times New Roman" w:cs="Times New Roman"/>
          <w:sz w:val="24"/>
          <w:szCs w:val="24"/>
        </w:rPr>
        <w:t>-</w:t>
      </w:r>
      <w:r w:rsidR="005C0DC6">
        <w:rPr>
          <w:rFonts w:ascii="Times New Roman" w:hAnsi="Times New Roman" w:cs="Times New Roman"/>
          <w:sz w:val="24"/>
          <w:szCs w:val="24"/>
        </w:rPr>
        <w:t>249</w:t>
      </w:r>
    </w:p>
    <w:p w14:paraId="1D2A2992" w14:textId="480FCAE3"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Band</w:t>
      </w:r>
      <w:r>
        <w:rPr>
          <w:rFonts w:ascii="Times New Roman" w:hAnsi="Times New Roman" w:cs="Times New Roman"/>
          <w:sz w:val="24"/>
          <w:szCs w:val="24"/>
        </w:rPr>
        <w:t>, J.</w:t>
      </w:r>
      <w:r w:rsidRPr="00D40D37">
        <w:rPr>
          <w:rFonts w:ascii="Times New Roman" w:hAnsi="Times New Roman" w:cs="Times New Roman"/>
          <w:sz w:val="24"/>
          <w:szCs w:val="24"/>
        </w:rPr>
        <w:t xml:space="preserve"> and Katoh, </w:t>
      </w:r>
      <w:r>
        <w:rPr>
          <w:rFonts w:ascii="Times New Roman" w:hAnsi="Times New Roman" w:cs="Times New Roman"/>
          <w:sz w:val="24"/>
          <w:szCs w:val="24"/>
        </w:rPr>
        <w:t xml:space="preserve">M. </w:t>
      </w:r>
      <w:r w:rsidRPr="004402C7">
        <w:rPr>
          <w:rFonts w:ascii="Times New Roman" w:hAnsi="Times New Roman" w:cs="Times New Roman"/>
          <w:i/>
          <w:iCs/>
          <w:sz w:val="24"/>
          <w:szCs w:val="24"/>
        </w:rPr>
        <w:t>Interfaces on Trial 2.0</w:t>
      </w:r>
      <w:r w:rsidRPr="00D40D37">
        <w:rPr>
          <w:rFonts w:ascii="Times New Roman" w:hAnsi="Times New Roman" w:cs="Times New Roman"/>
          <w:sz w:val="24"/>
          <w:szCs w:val="24"/>
        </w:rPr>
        <w:t xml:space="preserve"> (The MIT Press 2011)</w:t>
      </w:r>
    </w:p>
    <w:p w14:paraId="75899563" w14:textId="77777777"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tr-TR"/>
        </w:rPr>
        <w:t>Bauer, J. M.</w:t>
      </w:r>
      <w:r>
        <w:rPr>
          <w:rFonts w:ascii="Times New Roman" w:hAnsi="Times New Roman" w:cs="Times New Roman"/>
          <w:sz w:val="24"/>
          <w:szCs w:val="24"/>
          <w:lang w:val="tr-TR"/>
        </w:rPr>
        <w:t>,</w:t>
      </w:r>
      <w:r w:rsidRPr="00D40D37">
        <w:rPr>
          <w:rFonts w:ascii="Times New Roman" w:hAnsi="Times New Roman" w:cs="Times New Roman"/>
          <w:sz w:val="24"/>
          <w:szCs w:val="24"/>
          <w:lang w:val="tr-TR"/>
        </w:rPr>
        <w:t xml:space="preserve"> Weijnen, M. P. C.</w:t>
      </w:r>
      <w:r>
        <w:rPr>
          <w:rFonts w:ascii="Times New Roman" w:hAnsi="Times New Roman" w:cs="Times New Roman"/>
          <w:sz w:val="24"/>
          <w:szCs w:val="24"/>
          <w:lang w:val="tr-TR"/>
        </w:rPr>
        <w:t>,</w:t>
      </w:r>
      <w:r w:rsidRPr="00D40D37">
        <w:rPr>
          <w:rFonts w:ascii="Times New Roman" w:hAnsi="Times New Roman" w:cs="Times New Roman"/>
          <w:sz w:val="24"/>
          <w:szCs w:val="24"/>
          <w:lang w:val="tr-TR"/>
        </w:rPr>
        <w:t xml:space="preserve"> Turk, A. L. and Herder, P. M. ‘Delineating the Scope of Convergence in Infrastructures’ in W. A. H. Thissen and P. M. Herder (eds), </w:t>
      </w:r>
      <w:r w:rsidRPr="00D40D37">
        <w:rPr>
          <w:rFonts w:ascii="Times New Roman" w:hAnsi="Times New Roman" w:cs="Times New Roman"/>
          <w:i/>
          <w:iCs/>
          <w:sz w:val="24"/>
          <w:szCs w:val="24"/>
          <w:lang w:val="tr-TR"/>
        </w:rPr>
        <w:t>Critical Infrastructures State of the Art in Research and Application</w:t>
      </w:r>
      <w:r w:rsidRPr="00D40D37">
        <w:rPr>
          <w:rFonts w:ascii="Times New Roman" w:hAnsi="Times New Roman" w:cs="Times New Roman"/>
          <w:sz w:val="24"/>
          <w:szCs w:val="24"/>
          <w:lang w:val="tr-TR"/>
        </w:rPr>
        <w:t xml:space="preserve"> (Kluwer Academic Publishers 2003) 209-232</w:t>
      </w:r>
    </w:p>
    <w:p w14:paraId="0E166C3D" w14:textId="1F1999C1" w:rsidR="00795C18" w:rsidRDefault="00795C18" w:rsidP="00F146DF">
      <w:pPr>
        <w:pStyle w:val="ListParagraph"/>
        <w:numPr>
          <w:ilvl w:val="0"/>
          <w:numId w:val="22"/>
        </w:numPr>
        <w:jc w:val="both"/>
        <w:rPr>
          <w:rFonts w:ascii="Times New Roman" w:hAnsi="Times New Roman" w:cs="Times New Roman"/>
          <w:sz w:val="24"/>
          <w:szCs w:val="24"/>
        </w:rPr>
      </w:pPr>
      <w:r w:rsidRPr="00795C18">
        <w:rPr>
          <w:rFonts w:ascii="Times New Roman" w:hAnsi="Times New Roman" w:cs="Times New Roman"/>
          <w:sz w:val="24"/>
          <w:szCs w:val="24"/>
        </w:rPr>
        <w:t>Benkler,</w:t>
      </w:r>
      <w:r>
        <w:rPr>
          <w:rFonts w:ascii="Times New Roman" w:hAnsi="Times New Roman" w:cs="Times New Roman"/>
          <w:sz w:val="24"/>
          <w:szCs w:val="24"/>
        </w:rPr>
        <w:t xml:space="preserve"> Y.,</w:t>
      </w:r>
      <w:r w:rsidRPr="00795C18">
        <w:rPr>
          <w:rFonts w:ascii="Times New Roman" w:hAnsi="Times New Roman" w:cs="Times New Roman"/>
          <w:sz w:val="24"/>
          <w:szCs w:val="24"/>
        </w:rPr>
        <w:t xml:space="preserve"> </w:t>
      </w:r>
      <w:r w:rsidRPr="00692824">
        <w:rPr>
          <w:rFonts w:ascii="Times New Roman" w:hAnsi="Times New Roman" w:cs="Times New Roman"/>
          <w:i/>
          <w:iCs/>
          <w:sz w:val="24"/>
          <w:szCs w:val="24"/>
        </w:rPr>
        <w:t>The Wealth of Networks: How Social Production Transforms Markets and Freedom</w:t>
      </w:r>
      <w:r w:rsidRPr="00795C18">
        <w:rPr>
          <w:rFonts w:ascii="Times New Roman" w:hAnsi="Times New Roman" w:cs="Times New Roman"/>
          <w:sz w:val="24"/>
          <w:szCs w:val="24"/>
        </w:rPr>
        <w:t xml:space="preserve"> (Yale University Press 2006)</w:t>
      </w:r>
    </w:p>
    <w:p w14:paraId="15B6D8A9" w14:textId="4FD733FA" w:rsidR="00D718B6" w:rsidRPr="00692824" w:rsidRDefault="00D718B6">
      <w:pPr>
        <w:pStyle w:val="ListParagraph"/>
        <w:numPr>
          <w:ilvl w:val="0"/>
          <w:numId w:val="22"/>
        </w:numPr>
        <w:jc w:val="both"/>
        <w:rPr>
          <w:rFonts w:ascii="Times New Roman" w:hAnsi="Times New Roman"/>
          <w:sz w:val="24"/>
          <w:szCs w:val="24"/>
        </w:rPr>
      </w:pPr>
      <w:r w:rsidRPr="00C9654C">
        <w:rPr>
          <w:rFonts w:ascii="Times New Roman" w:hAnsi="Times New Roman"/>
          <w:sz w:val="24"/>
          <w:szCs w:val="24"/>
        </w:rPr>
        <w:t>Boyle, J</w:t>
      </w:r>
      <w:r>
        <w:rPr>
          <w:rFonts w:ascii="Times New Roman" w:hAnsi="Times New Roman"/>
          <w:sz w:val="24"/>
          <w:szCs w:val="24"/>
        </w:rPr>
        <w:t>.,</w:t>
      </w:r>
      <w:r w:rsidRPr="00C9654C">
        <w:rPr>
          <w:rFonts w:ascii="Times New Roman" w:hAnsi="Times New Roman"/>
          <w:sz w:val="24"/>
          <w:szCs w:val="24"/>
        </w:rPr>
        <w:t xml:space="preserve"> </w:t>
      </w:r>
      <w:r w:rsidRPr="00C9654C">
        <w:rPr>
          <w:rFonts w:ascii="Times New Roman" w:hAnsi="Times New Roman"/>
          <w:i/>
          <w:iCs/>
          <w:sz w:val="24"/>
          <w:szCs w:val="24"/>
        </w:rPr>
        <w:t>The Public Domain: Enclosing the Commons of the Mind</w:t>
      </w:r>
      <w:r w:rsidRPr="00C9654C">
        <w:rPr>
          <w:rFonts w:ascii="Times New Roman" w:hAnsi="Times New Roman"/>
          <w:sz w:val="24"/>
          <w:szCs w:val="24"/>
        </w:rPr>
        <w:t xml:space="preserve"> (Yale University of Press 2008)</w:t>
      </w:r>
    </w:p>
    <w:p w14:paraId="3A34DE84" w14:textId="1E6DEDBB"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Coates, </w:t>
      </w:r>
      <w:r>
        <w:rPr>
          <w:rFonts w:ascii="Times New Roman" w:hAnsi="Times New Roman" w:cs="Times New Roman"/>
          <w:sz w:val="24"/>
          <w:szCs w:val="24"/>
        </w:rPr>
        <w:t>K.</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i/>
          <w:iCs/>
          <w:sz w:val="24"/>
          <w:szCs w:val="24"/>
        </w:rPr>
        <w:t>Competition Law and Regulation of Technology Markets</w:t>
      </w:r>
      <w:r w:rsidRPr="00D40D37">
        <w:rPr>
          <w:rFonts w:ascii="Times New Roman" w:hAnsi="Times New Roman" w:cs="Times New Roman"/>
          <w:sz w:val="24"/>
          <w:szCs w:val="24"/>
        </w:rPr>
        <w:t xml:space="preserve"> (OUP 2011)</w:t>
      </w:r>
    </w:p>
    <w:p w14:paraId="194948FE" w14:textId="77777777"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Cornish,</w:t>
      </w:r>
      <w:r>
        <w:rPr>
          <w:rFonts w:ascii="Times New Roman" w:hAnsi="Times New Roman" w:cs="Times New Roman"/>
          <w:sz w:val="24"/>
          <w:szCs w:val="24"/>
        </w:rPr>
        <w:t xml:space="preserve"> W.,</w:t>
      </w:r>
      <w:r w:rsidRPr="00D40D37">
        <w:rPr>
          <w:rFonts w:ascii="Times New Roman" w:hAnsi="Times New Roman" w:cs="Times New Roman"/>
          <w:sz w:val="24"/>
          <w:szCs w:val="24"/>
        </w:rPr>
        <w:t xml:space="preserve"> Llewelyn</w:t>
      </w:r>
      <w:r>
        <w:rPr>
          <w:rFonts w:ascii="Times New Roman" w:hAnsi="Times New Roman" w:cs="Times New Roman"/>
          <w:sz w:val="24"/>
          <w:szCs w:val="24"/>
        </w:rPr>
        <w:t>, D.</w:t>
      </w:r>
      <w:r w:rsidRPr="00D40D37">
        <w:rPr>
          <w:rFonts w:ascii="Times New Roman" w:hAnsi="Times New Roman" w:cs="Times New Roman"/>
          <w:sz w:val="24"/>
          <w:szCs w:val="24"/>
        </w:rPr>
        <w:t xml:space="preserve"> and Aplin,</w:t>
      </w:r>
      <w:r>
        <w:rPr>
          <w:rFonts w:ascii="Times New Roman" w:hAnsi="Times New Roman" w:cs="Times New Roman"/>
          <w:sz w:val="24"/>
          <w:szCs w:val="24"/>
        </w:rPr>
        <w:t xml:space="preserve"> T.</w:t>
      </w:r>
      <w:r w:rsidRPr="00D40D37">
        <w:rPr>
          <w:rFonts w:ascii="Times New Roman" w:hAnsi="Times New Roman" w:cs="Times New Roman"/>
          <w:sz w:val="24"/>
          <w:szCs w:val="24"/>
        </w:rPr>
        <w:t xml:space="preserve"> </w:t>
      </w:r>
      <w:r w:rsidRPr="000133D6">
        <w:rPr>
          <w:rFonts w:ascii="Times New Roman" w:hAnsi="Times New Roman" w:cs="Times New Roman"/>
          <w:i/>
          <w:iCs/>
          <w:sz w:val="24"/>
          <w:szCs w:val="24"/>
        </w:rPr>
        <w:t>Intellectual Property: Patents, Copyright, Trade Marks and Allied Rights</w:t>
      </w:r>
      <w:r w:rsidRPr="00D40D37">
        <w:rPr>
          <w:rFonts w:ascii="Times New Roman" w:hAnsi="Times New Roman" w:cs="Times New Roman"/>
          <w:sz w:val="24"/>
          <w:szCs w:val="24"/>
        </w:rPr>
        <w:t xml:space="preserve"> (8th edn, Sweet &amp; Maxwell 2013)</w:t>
      </w:r>
    </w:p>
    <w:p w14:paraId="2B82065A" w14:textId="7A45D70D"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Daly, </w:t>
      </w:r>
      <w:r>
        <w:rPr>
          <w:rFonts w:ascii="Times New Roman" w:hAnsi="Times New Roman" w:cs="Times New Roman"/>
          <w:sz w:val="24"/>
          <w:szCs w:val="24"/>
        </w:rPr>
        <w:t>A.</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i/>
          <w:iCs/>
          <w:sz w:val="24"/>
          <w:szCs w:val="24"/>
        </w:rPr>
        <w:t>Private Power, Online Information Flows and EU Law: Mind the Gap</w:t>
      </w:r>
      <w:r w:rsidRPr="00D40D37">
        <w:rPr>
          <w:rFonts w:ascii="Times New Roman" w:hAnsi="Times New Roman" w:cs="Times New Roman"/>
          <w:sz w:val="24"/>
          <w:szCs w:val="24"/>
        </w:rPr>
        <w:t xml:space="preserve"> (Hart Publishing 2016)</w:t>
      </w:r>
    </w:p>
    <w:p w14:paraId="363A6883" w14:textId="64580FCC"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De Streel,</w:t>
      </w:r>
      <w:r>
        <w:rPr>
          <w:rFonts w:ascii="Times New Roman" w:hAnsi="Times New Roman" w:cs="Times New Roman"/>
          <w:sz w:val="24"/>
          <w:szCs w:val="24"/>
        </w:rPr>
        <w:t xml:space="preserve"> A.</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‘Efficient Regulation of Dynamic Telecommunications Markets and the New Regulatory Framework in Europe’ in R. Dewenter and J. Haucap (eds), </w:t>
      </w:r>
      <w:r w:rsidRPr="004402C7">
        <w:rPr>
          <w:rFonts w:ascii="Times New Roman" w:hAnsi="Times New Roman" w:cs="Times New Roman"/>
          <w:i/>
          <w:iCs/>
          <w:sz w:val="24"/>
          <w:szCs w:val="24"/>
        </w:rPr>
        <w:t>Access Pricing: Theory and Practice</w:t>
      </w:r>
      <w:r w:rsidRPr="00D40D37">
        <w:rPr>
          <w:rFonts w:ascii="Times New Roman" w:hAnsi="Times New Roman" w:cs="Times New Roman"/>
          <w:sz w:val="24"/>
          <w:szCs w:val="24"/>
        </w:rPr>
        <w:t xml:space="preserve"> (Elsevier B.V, 2007) </w:t>
      </w:r>
      <w:r>
        <w:rPr>
          <w:rFonts w:ascii="Times New Roman" w:hAnsi="Times New Roman" w:cs="Times New Roman"/>
          <w:sz w:val="24"/>
          <w:szCs w:val="24"/>
        </w:rPr>
        <w:t>327-</w:t>
      </w:r>
      <w:r w:rsidRPr="00D40D37">
        <w:rPr>
          <w:rFonts w:ascii="Times New Roman" w:hAnsi="Times New Roman" w:cs="Times New Roman"/>
          <w:sz w:val="24"/>
          <w:szCs w:val="24"/>
        </w:rPr>
        <w:t>37</w:t>
      </w:r>
      <w:r>
        <w:rPr>
          <w:rFonts w:ascii="Times New Roman" w:hAnsi="Times New Roman" w:cs="Times New Roman"/>
          <w:sz w:val="24"/>
          <w:szCs w:val="24"/>
        </w:rPr>
        <w:t>2</w:t>
      </w:r>
    </w:p>
    <w:p w14:paraId="79C83DCE" w14:textId="17D53A8D"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Eagles</w:t>
      </w:r>
      <w:r>
        <w:rPr>
          <w:rFonts w:ascii="Times New Roman" w:hAnsi="Times New Roman" w:cs="Times New Roman"/>
          <w:sz w:val="24"/>
          <w:szCs w:val="24"/>
        </w:rPr>
        <w:t>, I.</w:t>
      </w:r>
      <w:r w:rsidRPr="00D40D37">
        <w:rPr>
          <w:rFonts w:ascii="Times New Roman" w:hAnsi="Times New Roman" w:cs="Times New Roman"/>
          <w:sz w:val="24"/>
          <w:szCs w:val="24"/>
        </w:rPr>
        <w:t xml:space="preserve"> and Longdin, </w:t>
      </w:r>
      <w:r>
        <w:rPr>
          <w:rFonts w:ascii="Times New Roman" w:hAnsi="Times New Roman" w:cs="Times New Roman"/>
          <w:sz w:val="24"/>
          <w:szCs w:val="24"/>
        </w:rPr>
        <w:t xml:space="preserve">L. </w:t>
      </w:r>
      <w:r w:rsidRPr="00D40D37">
        <w:rPr>
          <w:rFonts w:ascii="Times New Roman" w:hAnsi="Times New Roman" w:cs="Times New Roman"/>
          <w:i/>
          <w:iCs/>
          <w:sz w:val="24"/>
          <w:szCs w:val="24"/>
        </w:rPr>
        <w:t>Refusals to License Intellectual Property: Testing the Limits of Law and Economics</w:t>
      </w:r>
      <w:r w:rsidRPr="00D40D37">
        <w:rPr>
          <w:rFonts w:ascii="Times New Roman" w:hAnsi="Times New Roman" w:cs="Times New Roman"/>
          <w:sz w:val="24"/>
          <w:szCs w:val="24"/>
        </w:rPr>
        <w:t xml:space="preserve"> (Hart Publishing 2011)</w:t>
      </w:r>
    </w:p>
    <w:p w14:paraId="6A33E6C5" w14:textId="79F83D30" w:rsidR="001046AB" w:rsidRPr="00D40D37" w:rsidRDefault="001046AB" w:rsidP="00F146DF">
      <w:pPr>
        <w:pStyle w:val="ListParagraph"/>
        <w:numPr>
          <w:ilvl w:val="0"/>
          <w:numId w:val="22"/>
        </w:numPr>
        <w:jc w:val="both"/>
        <w:rPr>
          <w:rFonts w:ascii="Times New Roman" w:hAnsi="Times New Roman" w:cs="Times New Roman"/>
          <w:sz w:val="24"/>
          <w:szCs w:val="24"/>
        </w:rPr>
      </w:pPr>
      <w:r w:rsidRPr="004E3D5B">
        <w:rPr>
          <w:rFonts w:ascii="Times New Roman" w:hAnsi="Times New Roman" w:cs="Times New Roman"/>
          <w:sz w:val="24"/>
          <w:szCs w:val="24"/>
        </w:rPr>
        <w:t>Efroni,</w:t>
      </w:r>
      <w:r>
        <w:rPr>
          <w:rFonts w:ascii="Times New Roman" w:hAnsi="Times New Roman" w:cs="Times New Roman"/>
          <w:sz w:val="24"/>
          <w:szCs w:val="24"/>
        </w:rPr>
        <w:t xml:space="preserve"> Z.,</w:t>
      </w:r>
      <w:r w:rsidRPr="004E3D5B">
        <w:rPr>
          <w:rFonts w:ascii="Times New Roman" w:hAnsi="Times New Roman" w:cs="Times New Roman"/>
          <w:sz w:val="24"/>
          <w:szCs w:val="24"/>
        </w:rPr>
        <w:t xml:space="preserve"> </w:t>
      </w:r>
      <w:r w:rsidRPr="00692824">
        <w:rPr>
          <w:rFonts w:ascii="Times New Roman" w:hAnsi="Times New Roman" w:cs="Times New Roman"/>
          <w:i/>
          <w:iCs/>
          <w:sz w:val="24"/>
          <w:szCs w:val="24"/>
        </w:rPr>
        <w:t>Access-Right: The Future of Digital Copyright Law</w:t>
      </w:r>
      <w:r w:rsidRPr="004E3D5B">
        <w:rPr>
          <w:rFonts w:ascii="Times New Roman" w:hAnsi="Times New Roman" w:cs="Times New Roman"/>
          <w:sz w:val="24"/>
          <w:szCs w:val="24"/>
        </w:rPr>
        <w:t xml:space="preserve"> (OUP 2011)</w:t>
      </w:r>
    </w:p>
    <w:p w14:paraId="11F80E56" w14:textId="2162EB8A"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Eisemann, T</w:t>
      </w:r>
      <w:r>
        <w:rPr>
          <w:rFonts w:ascii="Times New Roman" w:hAnsi="Times New Roman" w:cs="Times New Roman"/>
          <w:sz w:val="24"/>
          <w:szCs w:val="24"/>
        </w:rPr>
        <w:t>.</w:t>
      </w:r>
      <w:r w:rsidRPr="00D40D37">
        <w:rPr>
          <w:rFonts w:ascii="Times New Roman" w:hAnsi="Times New Roman" w:cs="Times New Roman"/>
          <w:sz w:val="24"/>
          <w:szCs w:val="24"/>
        </w:rPr>
        <w:t xml:space="preserve"> R.</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‘Geoffrey Parker and Marshall Van Alstyne, Opening platforms: how, when and why?’ </w:t>
      </w:r>
      <w:r w:rsidRPr="00D40D37">
        <w:rPr>
          <w:rFonts w:ascii="Times New Roman" w:hAnsi="Times New Roman" w:cs="Times New Roman"/>
          <w:sz w:val="24"/>
          <w:szCs w:val="24"/>
          <w:lang w:val="tr-TR"/>
        </w:rPr>
        <w:t xml:space="preserve">in Annabelle Gawer (eds), </w:t>
      </w:r>
      <w:r w:rsidRPr="00D40D37">
        <w:rPr>
          <w:rFonts w:ascii="Times New Roman" w:hAnsi="Times New Roman" w:cs="Times New Roman"/>
          <w:i/>
          <w:iCs/>
          <w:sz w:val="24"/>
          <w:szCs w:val="24"/>
          <w:lang w:val="tr-TR"/>
        </w:rPr>
        <w:t>Platforms, Markets and Innovation</w:t>
      </w:r>
      <w:r w:rsidRPr="00D40D37">
        <w:rPr>
          <w:rFonts w:ascii="Times New Roman" w:hAnsi="Times New Roman" w:cs="Times New Roman"/>
          <w:sz w:val="24"/>
          <w:szCs w:val="24"/>
          <w:lang w:val="tr-TR"/>
        </w:rPr>
        <w:t xml:space="preserve"> (Edward Elgar 2009)</w:t>
      </w:r>
      <w:r>
        <w:rPr>
          <w:rFonts w:ascii="Times New Roman" w:hAnsi="Times New Roman" w:cs="Times New Roman"/>
          <w:sz w:val="24"/>
          <w:szCs w:val="24"/>
          <w:lang w:val="tr-TR"/>
        </w:rPr>
        <w:t xml:space="preserve"> 131-162</w:t>
      </w:r>
    </w:p>
    <w:p w14:paraId="6050B1FD" w14:textId="67657C4F" w:rsidR="00175D9C" w:rsidRPr="00692824" w:rsidRDefault="00175D9C">
      <w:pPr>
        <w:pStyle w:val="ListParagraph"/>
        <w:numPr>
          <w:ilvl w:val="0"/>
          <w:numId w:val="22"/>
        </w:numPr>
        <w:jc w:val="both"/>
        <w:rPr>
          <w:rFonts w:ascii="Times New Roman" w:hAnsi="Times New Roman" w:cs="Times New Roman"/>
          <w:sz w:val="24"/>
          <w:szCs w:val="24"/>
        </w:rPr>
      </w:pPr>
      <w:r w:rsidRPr="00CC7BE5">
        <w:rPr>
          <w:rFonts w:ascii="Times New Roman" w:hAnsi="Times New Roman"/>
          <w:sz w:val="24"/>
          <w:szCs w:val="24"/>
        </w:rPr>
        <w:t>Elkin-Koren,</w:t>
      </w:r>
      <w:r>
        <w:rPr>
          <w:rFonts w:ascii="Times New Roman" w:hAnsi="Times New Roman"/>
          <w:sz w:val="24"/>
          <w:szCs w:val="24"/>
        </w:rPr>
        <w:t xml:space="preserve"> N.,</w:t>
      </w:r>
      <w:r w:rsidRPr="00CC7BE5">
        <w:rPr>
          <w:rFonts w:ascii="Times New Roman" w:hAnsi="Times New Roman"/>
          <w:sz w:val="24"/>
          <w:szCs w:val="24"/>
        </w:rPr>
        <w:t xml:space="preserve"> ‘It’s all about control: Rethinking copyright in the new information landscape’ in N. Elkin-Koren and N. Weinstock Netanel (eds</w:t>
      </w:r>
      <w:r w:rsidR="001046AB">
        <w:rPr>
          <w:rFonts w:ascii="Times New Roman" w:hAnsi="Times New Roman"/>
          <w:sz w:val="24"/>
          <w:szCs w:val="24"/>
        </w:rPr>
        <w:t>.</w:t>
      </w:r>
      <w:r w:rsidRPr="00CC7BE5">
        <w:rPr>
          <w:rFonts w:ascii="Times New Roman" w:hAnsi="Times New Roman"/>
          <w:sz w:val="24"/>
          <w:szCs w:val="24"/>
        </w:rPr>
        <w:t xml:space="preserve">), </w:t>
      </w:r>
      <w:r w:rsidRPr="00CC7BE5">
        <w:rPr>
          <w:rFonts w:ascii="Times New Roman" w:hAnsi="Times New Roman"/>
          <w:i/>
          <w:iCs/>
          <w:sz w:val="24"/>
          <w:szCs w:val="24"/>
        </w:rPr>
        <w:t>The Commodification of Information</w:t>
      </w:r>
      <w:r w:rsidRPr="00CC7BE5">
        <w:rPr>
          <w:rFonts w:ascii="Times New Roman" w:hAnsi="Times New Roman"/>
          <w:sz w:val="24"/>
          <w:szCs w:val="24"/>
        </w:rPr>
        <w:t xml:space="preserve"> (Kluwer Law International 2002) 79-106</w:t>
      </w:r>
    </w:p>
    <w:p w14:paraId="744AAE83" w14:textId="6AF2CC38"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Fehling,</w:t>
      </w:r>
      <w:r>
        <w:rPr>
          <w:rFonts w:ascii="Times New Roman" w:hAnsi="Times New Roman" w:cs="Times New Roman"/>
          <w:sz w:val="24"/>
          <w:szCs w:val="24"/>
          <w:lang w:val="en-US"/>
        </w:rPr>
        <w:t xml:space="preserve"> C.,</w:t>
      </w:r>
      <w:r w:rsidRPr="00D40D37">
        <w:rPr>
          <w:rFonts w:ascii="Times New Roman" w:hAnsi="Times New Roman" w:cs="Times New Roman"/>
          <w:sz w:val="24"/>
          <w:szCs w:val="24"/>
          <w:lang w:val="en-US"/>
        </w:rPr>
        <w:t xml:space="preserve"> Leymann, </w:t>
      </w:r>
      <w:r>
        <w:rPr>
          <w:rFonts w:ascii="Times New Roman" w:hAnsi="Times New Roman" w:cs="Times New Roman"/>
          <w:sz w:val="24"/>
          <w:szCs w:val="24"/>
          <w:lang w:val="en-US"/>
        </w:rPr>
        <w:t xml:space="preserve">F., </w:t>
      </w:r>
      <w:r w:rsidRPr="00D40D37">
        <w:rPr>
          <w:rFonts w:ascii="Times New Roman" w:hAnsi="Times New Roman" w:cs="Times New Roman"/>
          <w:sz w:val="24"/>
          <w:szCs w:val="24"/>
          <w:lang w:val="en-US"/>
        </w:rPr>
        <w:t>Retter,</w:t>
      </w:r>
      <w:r>
        <w:rPr>
          <w:rFonts w:ascii="Times New Roman" w:hAnsi="Times New Roman" w:cs="Times New Roman"/>
          <w:sz w:val="24"/>
          <w:szCs w:val="24"/>
          <w:lang w:val="en-US"/>
        </w:rPr>
        <w:t xml:space="preserve"> R.,</w:t>
      </w:r>
      <w:r w:rsidRPr="00D40D37">
        <w:rPr>
          <w:rFonts w:ascii="Times New Roman" w:hAnsi="Times New Roman" w:cs="Times New Roman"/>
          <w:sz w:val="24"/>
          <w:szCs w:val="24"/>
          <w:lang w:val="en-US"/>
        </w:rPr>
        <w:t xml:space="preserve"> Schupeck</w:t>
      </w:r>
      <w:r>
        <w:rPr>
          <w:rFonts w:ascii="Times New Roman" w:hAnsi="Times New Roman" w:cs="Times New Roman"/>
          <w:sz w:val="24"/>
          <w:szCs w:val="24"/>
          <w:lang w:val="en-US"/>
        </w:rPr>
        <w:t>, W.</w:t>
      </w:r>
      <w:r w:rsidRPr="00D40D37">
        <w:rPr>
          <w:rFonts w:ascii="Times New Roman" w:hAnsi="Times New Roman" w:cs="Times New Roman"/>
          <w:sz w:val="24"/>
          <w:szCs w:val="24"/>
          <w:lang w:val="en-US"/>
        </w:rPr>
        <w:t xml:space="preserve"> and Arbitter</w:t>
      </w:r>
      <w:r>
        <w:rPr>
          <w:rFonts w:ascii="Times New Roman" w:hAnsi="Times New Roman" w:cs="Times New Roman"/>
          <w:sz w:val="24"/>
          <w:szCs w:val="24"/>
          <w:lang w:val="en-US"/>
        </w:rPr>
        <w:t>, P.</w:t>
      </w:r>
      <w:r w:rsidR="00D34468">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w:t>
      </w:r>
      <w:r w:rsidRPr="004402C7">
        <w:rPr>
          <w:rFonts w:ascii="Times New Roman" w:hAnsi="Times New Roman" w:cs="Times New Roman"/>
          <w:i/>
          <w:iCs/>
          <w:sz w:val="24"/>
          <w:szCs w:val="24"/>
          <w:lang w:val="en-US"/>
        </w:rPr>
        <w:t>Cloud Computing Patterns: Fundamentals to Design, Build, and Manage Cloud Applications</w:t>
      </w:r>
      <w:r w:rsidRPr="00D40D37">
        <w:rPr>
          <w:rFonts w:ascii="Times New Roman" w:hAnsi="Times New Roman" w:cs="Times New Roman"/>
          <w:sz w:val="24"/>
          <w:szCs w:val="24"/>
          <w:lang w:val="en-US"/>
        </w:rPr>
        <w:t xml:space="preserve"> (</w:t>
      </w:r>
      <w:r w:rsidRPr="00D40D37">
        <w:rPr>
          <w:rFonts w:ascii="Times New Roman" w:hAnsi="Times New Roman" w:cs="Times New Roman"/>
          <w:sz w:val="24"/>
          <w:szCs w:val="24"/>
        </w:rPr>
        <w:t>Springer</w:t>
      </w:r>
      <w:r w:rsidRPr="00D40D37">
        <w:rPr>
          <w:rFonts w:ascii="Times New Roman" w:hAnsi="Times New Roman" w:cs="Times New Roman"/>
          <w:sz w:val="24"/>
          <w:szCs w:val="24"/>
          <w:lang w:val="en-US"/>
        </w:rPr>
        <w:t>, 2014)</w:t>
      </w:r>
    </w:p>
    <w:p w14:paraId="7015DD69" w14:textId="1A99EEE1" w:rsidR="00F146DF" w:rsidRPr="004402C7" w:rsidRDefault="00F146DF" w:rsidP="00F146DF">
      <w:pPr>
        <w:pStyle w:val="ListParagraph"/>
        <w:numPr>
          <w:ilvl w:val="0"/>
          <w:numId w:val="22"/>
        </w:numPr>
        <w:jc w:val="both"/>
        <w:rPr>
          <w:rFonts w:ascii="Times New Roman" w:hAnsi="Times New Roman" w:cs="Times New Roman"/>
          <w:sz w:val="24"/>
          <w:szCs w:val="24"/>
        </w:rPr>
      </w:pPr>
      <w:r w:rsidRPr="004402C7">
        <w:rPr>
          <w:rFonts w:ascii="Times New Roman" w:hAnsi="Times New Roman" w:cs="Times New Roman"/>
          <w:sz w:val="24"/>
          <w:szCs w:val="24"/>
        </w:rPr>
        <w:t>Finkelstein, R.</w:t>
      </w:r>
      <w:r w:rsidR="00D34468">
        <w:rPr>
          <w:rFonts w:ascii="Times New Roman" w:hAnsi="Times New Roman" w:cs="Times New Roman"/>
          <w:sz w:val="24"/>
          <w:szCs w:val="24"/>
        </w:rPr>
        <w:t>,</w:t>
      </w:r>
      <w:r w:rsidRPr="004402C7">
        <w:rPr>
          <w:rFonts w:ascii="Times New Roman" w:hAnsi="Times New Roman" w:cs="Times New Roman"/>
          <w:sz w:val="24"/>
          <w:szCs w:val="24"/>
        </w:rPr>
        <w:t xml:space="preserve"> ‘Legal protection of business research and development: can it harm competition?’ in M. Pittard, A. L. Monotti and J. Duns (eds) </w:t>
      </w:r>
      <w:r w:rsidRPr="004402C7">
        <w:rPr>
          <w:rFonts w:ascii="Times New Roman" w:hAnsi="Times New Roman" w:cs="Times New Roman"/>
          <w:i/>
          <w:sz w:val="24"/>
          <w:szCs w:val="24"/>
          <w:lang w:val="en-US"/>
        </w:rPr>
        <w:t>Business, Innovation and the Law: Perspectives from Intellectual Property, Labour, Competition and Corporate Law</w:t>
      </w:r>
      <w:r w:rsidRPr="004402C7">
        <w:rPr>
          <w:rFonts w:ascii="Times New Roman" w:hAnsi="Times New Roman" w:cs="Times New Roman"/>
          <w:sz w:val="24"/>
          <w:szCs w:val="24"/>
          <w:lang w:val="en-US"/>
        </w:rPr>
        <w:t xml:space="preserve"> (Edward Elgar 2013) </w:t>
      </w:r>
      <w:r w:rsidRPr="004402C7">
        <w:rPr>
          <w:rFonts w:ascii="Times New Roman" w:hAnsi="Times New Roman" w:cs="Times New Roman"/>
          <w:sz w:val="24"/>
          <w:szCs w:val="24"/>
        </w:rPr>
        <w:t>244-267</w:t>
      </w:r>
    </w:p>
    <w:p w14:paraId="11DBEEDF" w14:textId="7F917E4B"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Fransman, </w:t>
      </w:r>
      <w:r>
        <w:rPr>
          <w:rFonts w:ascii="Times New Roman" w:hAnsi="Times New Roman" w:cs="Times New Roman"/>
          <w:sz w:val="24"/>
          <w:szCs w:val="24"/>
        </w:rPr>
        <w:t>M.</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i/>
          <w:iCs/>
          <w:sz w:val="24"/>
          <w:szCs w:val="24"/>
        </w:rPr>
        <w:t>The New ICT Ecosystem: Implications for Policy and Regulation</w:t>
      </w:r>
      <w:r w:rsidRPr="00D40D37">
        <w:rPr>
          <w:rFonts w:ascii="Times New Roman" w:hAnsi="Times New Roman" w:cs="Times New Roman"/>
          <w:sz w:val="24"/>
          <w:szCs w:val="24"/>
        </w:rPr>
        <w:t xml:space="preserve"> (Cambridge University Press 2010)</w:t>
      </w:r>
    </w:p>
    <w:p w14:paraId="05AD3580" w14:textId="1B390A26" w:rsidR="001046AB" w:rsidRPr="00692824" w:rsidRDefault="001046AB">
      <w:pPr>
        <w:pStyle w:val="ListParagraph"/>
        <w:numPr>
          <w:ilvl w:val="0"/>
          <w:numId w:val="22"/>
        </w:numPr>
        <w:jc w:val="both"/>
        <w:rPr>
          <w:rFonts w:ascii="Times New Roman" w:hAnsi="Times New Roman"/>
          <w:sz w:val="24"/>
          <w:szCs w:val="24"/>
        </w:rPr>
      </w:pPr>
      <w:r w:rsidRPr="005B04A1">
        <w:rPr>
          <w:rFonts w:ascii="Times New Roman" w:hAnsi="Times New Roman"/>
          <w:sz w:val="24"/>
          <w:szCs w:val="24"/>
        </w:rPr>
        <w:t>Frischmann,</w:t>
      </w:r>
      <w:r>
        <w:rPr>
          <w:rFonts w:ascii="Times New Roman" w:hAnsi="Times New Roman"/>
          <w:sz w:val="24"/>
          <w:szCs w:val="24"/>
        </w:rPr>
        <w:t xml:space="preserve"> B. and Selinger,</w:t>
      </w:r>
      <w:r w:rsidRPr="005B04A1">
        <w:rPr>
          <w:rFonts w:ascii="Times New Roman" w:hAnsi="Times New Roman"/>
          <w:sz w:val="24"/>
          <w:szCs w:val="24"/>
        </w:rPr>
        <w:t xml:space="preserve"> </w:t>
      </w:r>
      <w:r>
        <w:rPr>
          <w:rFonts w:ascii="Times New Roman" w:hAnsi="Times New Roman"/>
          <w:sz w:val="24"/>
          <w:szCs w:val="24"/>
        </w:rPr>
        <w:t>E.,</w:t>
      </w:r>
      <w:r w:rsidRPr="005B04A1">
        <w:rPr>
          <w:rFonts w:ascii="Times New Roman" w:hAnsi="Times New Roman"/>
          <w:sz w:val="24"/>
          <w:szCs w:val="24"/>
        </w:rPr>
        <w:t xml:space="preserve"> </w:t>
      </w:r>
      <w:r w:rsidRPr="005B04A1">
        <w:rPr>
          <w:rFonts w:ascii="Times New Roman" w:hAnsi="Times New Roman"/>
          <w:i/>
          <w:iCs/>
          <w:sz w:val="24"/>
          <w:szCs w:val="24"/>
        </w:rPr>
        <w:t>Re-Engineering Humanity</w:t>
      </w:r>
      <w:r w:rsidRPr="005B04A1">
        <w:rPr>
          <w:rFonts w:ascii="Times New Roman" w:hAnsi="Times New Roman"/>
          <w:sz w:val="24"/>
          <w:szCs w:val="24"/>
        </w:rPr>
        <w:t xml:space="preserve"> (Cambridge University Press 2018)</w:t>
      </w:r>
      <w:r w:rsidR="002E1067">
        <w:rPr>
          <w:rFonts w:ascii="Times New Roman" w:hAnsi="Times New Roman"/>
          <w:sz w:val="24"/>
          <w:szCs w:val="24"/>
        </w:rPr>
        <w:t xml:space="preserve"> </w:t>
      </w:r>
    </w:p>
    <w:p w14:paraId="3D679FE1" w14:textId="0F2E0204"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Gardler, </w:t>
      </w:r>
      <w:r>
        <w:rPr>
          <w:rFonts w:ascii="Times New Roman" w:hAnsi="Times New Roman" w:cs="Times New Roman"/>
          <w:sz w:val="24"/>
          <w:szCs w:val="24"/>
        </w:rPr>
        <w:t>R.</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sz w:val="24"/>
          <w:szCs w:val="24"/>
        </w:rPr>
        <w:t xml:space="preserve">‘Open Source and Governance’ in Noam Shemtov and Ian Walden (eds), </w:t>
      </w:r>
      <w:r w:rsidRPr="00D40D37">
        <w:rPr>
          <w:rFonts w:ascii="Times New Roman" w:hAnsi="Times New Roman" w:cs="Times New Roman"/>
          <w:i/>
          <w:iCs/>
          <w:sz w:val="24"/>
          <w:szCs w:val="24"/>
        </w:rPr>
        <w:t>Free and Open Source Software</w:t>
      </w:r>
      <w:r w:rsidRPr="00D40D37">
        <w:rPr>
          <w:rFonts w:ascii="Times New Roman" w:hAnsi="Times New Roman" w:cs="Times New Roman"/>
          <w:sz w:val="24"/>
          <w:szCs w:val="24"/>
        </w:rPr>
        <w:t xml:space="preserve"> (OUP 2013)</w:t>
      </w:r>
    </w:p>
    <w:p w14:paraId="4B6D3D6D" w14:textId="73101204"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Ghidini</w:t>
      </w:r>
      <w:r>
        <w:rPr>
          <w:rFonts w:ascii="Times New Roman" w:hAnsi="Times New Roman" w:cs="Times New Roman"/>
          <w:sz w:val="24"/>
          <w:szCs w:val="24"/>
          <w:lang w:val="en-US"/>
        </w:rPr>
        <w:t>, G.</w:t>
      </w:r>
      <w:r w:rsidRPr="00D40D37">
        <w:rPr>
          <w:rFonts w:ascii="Times New Roman" w:hAnsi="Times New Roman" w:cs="Times New Roman"/>
          <w:sz w:val="24"/>
          <w:szCs w:val="24"/>
          <w:lang w:val="en-US"/>
        </w:rPr>
        <w:t xml:space="preserve"> and Arezzo</w:t>
      </w:r>
      <w:r>
        <w:rPr>
          <w:rFonts w:ascii="Times New Roman" w:hAnsi="Times New Roman" w:cs="Times New Roman"/>
          <w:sz w:val="24"/>
          <w:szCs w:val="24"/>
          <w:lang w:val="en-US"/>
        </w:rPr>
        <w:t>, E.</w:t>
      </w:r>
      <w:r w:rsidR="00D34468">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‘One, none, or a hundred thousand: how many layers of protection for software innovations?’ in J Drexl (eds), </w:t>
      </w:r>
      <w:r w:rsidRPr="00D40D37">
        <w:rPr>
          <w:rFonts w:ascii="Times New Roman" w:hAnsi="Times New Roman" w:cs="Times New Roman"/>
          <w:i/>
          <w:iCs/>
          <w:sz w:val="24"/>
          <w:szCs w:val="24"/>
          <w:lang w:val="en-US"/>
        </w:rPr>
        <w:t>Research Handbook on Intellectual Property and Competition</w:t>
      </w:r>
      <w:r w:rsidRPr="00D40D37">
        <w:rPr>
          <w:rFonts w:ascii="Times New Roman" w:hAnsi="Times New Roman" w:cs="Times New Roman"/>
          <w:sz w:val="24"/>
          <w:szCs w:val="24"/>
          <w:lang w:val="en-US"/>
        </w:rPr>
        <w:t xml:space="preserve"> (Edward Elgar 2008)</w:t>
      </w:r>
      <w:r>
        <w:rPr>
          <w:rFonts w:ascii="Times New Roman" w:hAnsi="Times New Roman" w:cs="Times New Roman"/>
          <w:sz w:val="24"/>
          <w:szCs w:val="24"/>
          <w:lang w:val="en-US"/>
        </w:rPr>
        <w:t xml:space="preserve"> 346-372</w:t>
      </w:r>
    </w:p>
    <w:p w14:paraId="38DA4B66" w14:textId="4A9016FE"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 xml:space="preserve">Ghosh, </w:t>
      </w:r>
      <w:r>
        <w:rPr>
          <w:rFonts w:ascii="Times New Roman" w:hAnsi="Times New Roman" w:cs="Times New Roman"/>
          <w:sz w:val="24"/>
          <w:szCs w:val="24"/>
        </w:rPr>
        <w:t>R.</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sz w:val="24"/>
          <w:szCs w:val="24"/>
        </w:rPr>
        <w:t>‘An Economic Basis for Open Standards’ in Laura DeNardis (ed</w:t>
      </w:r>
      <w:r>
        <w:rPr>
          <w:rFonts w:ascii="Times New Roman" w:hAnsi="Times New Roman" w:cs="Times New Roman"/>
          <w:sz w:val="24"/>
          <w:szCs w:val="24"/>
        </w:rPr>
        <w:t>s</w:t>
      </w:r>
      <w:r w:rsidRPr="00D40D37">
        <w:rPr>
          <w:rFonts w:ascii="Times New Roman" w:hAnsi="Times New Roman" w:cs="Times New Roman"/>
          <w:sz w:val="24"/>
          <w:szCs w:val="24"/>
        </w:rPr>
        <w:t xml:space="preserve">), </w:t>
      </w:r>
      <w:r w:rsidRPr="00D40D37">
        <w:rPr>
          <w:rFonts w:ascii="Times New Roman" w:hAnsi="Times New Roman" w:cs="Times New Roman"/>
          <w:i/>
          <w:iCs/>
          <w:sz w:val="24"/>
          <w:szCs w:val="24"/>
        </w:rPr>
        <w:t>Opening Standards: The Global Politics of Interoperability</w:t>
      </w:r>
      <w:r w:rsidRPr="00D40D37">
        <w:rPr>
          <w:rFonts w:ascii="Times New Roman" w:hAnsi="Times New Roman" w:cs="Times New Roman"/>
          <w:sz w:val="24"/>
          <w:szCs w:val="24"/>
        </w:rPr>
        <w:t xml:space="preserve"> (The MIT Press 2011)</w:t>
      </w:r>
      <w:r>
        <w:rPr>
          <w:rFonts w:ascii="Times New Roman" w:hAnsi="Times New Roman" w:cs="Times New Roman"/>
          <w:sz w:val="24"/>
          <w:szCs w:val="24"/>
        </w:rPr>
        <w:t xml:space="preserve"> 75-96</w:t>
      </w:r>
    </w:p>
    <w:p w14:paraId="298B68DD" w14:textId="14CEEBB6" w:rsidR="00F146DF" w:rsidRPr="0092450A"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Goyder</w:t>
      </w:r>
      <w:r>
        <w:rPr>
          <w:rFonts w:ascii="Times New Roman" w:hAnsi="Times New Roman" w:cs="Times New Roman"/>
          <w:sz w:val="24"/>
          <w:szCs w:val="24"/>
          <w:lang w:val="en-US"/>
        </w:rPr>
        <w:t>, J.</w:t>
      </w:r>
      <w:r w:rsidRPr="00D40D37">
        <w:rPr>
          <w:rFonts w:ascii="Times New Roman" w:hAnsi="Times New Roman" w:cs="Times New Roman"/>
          <w:sz w:val="24"/>
          <w:szCs w:val="24"/>
          <w:lang w:val="en-US"/>
        </w:rPr>
        <w:t xml:space="preserve"> and O’Regan, </w:t>
      </w:r>
      <w:r>
        <w:rPr>
          <w:rFonts w:ascii="Times New Roman" w:hAnsi="Times New Roman" w:cs="Times New Roman"/>
          <w:sz w:val="24"/>
          <w:szCs w:val="24"/>
          <w:lang w:val="en-US"/>
        </w:rPr>
        <w:t>M.</w:t>
      </w:r>
      <w:r w:rsidR="00D34468">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D40D37">
        <w:rPr>
          <w:rFonts w:ascii="Times New Roman" w:hAnsi="Times New Roman" w:cs="Times New Roman"/>
          <w:sz w:val="24"/>
          <w:szCs w:val="24"/>
          <w:lang w:val="en-US"/>
        </w:rPr>
        <w:t xml:space="preserve">‘Market Conduct’ in L. Garzaniti and M. O’Regan (eds), </w:t>
      </w:r>
      <w:r w:rsidRPr="00D40D37">
        <w:rPr>
          <w:rFonts w:ascii="Times New Roman" w:hAnsi="Times New Roman" w:cs="Times New Roman"/>
          <w:i/>
          <w:iCs/>
          <w:sz w:val="24"/>
          <w:szCs w:val="24"/>
          <w:lang w:val="en-US"/>
        </w:rPr>
        <w:t>Telecommunications, Broadcasting and the Internet: EU Competition Law and Regulation</w:t>
      </w:r>
      <w:r w:rsidRPr="00D40D37">
        <w:rPr>
          <w:rFonts w:ascii="Times New Roman" w:hAnsi="Times New Roman" w:cs="Times New Roman"/>
          <w:sz w:val="24"/>
          <w:szCs w:val="24"/>
          <w:lang w:val="en-US"/>
        </w:rPr>
        <w:t xml:space="preserve"> (3rd edn, Sweet &amp; Maxwell 2010)</w:t>
      </w:r>
      <w:r>
        <w:rPr>
          <w:rFonts w:ascii="Times New Roman" w:hAnsi="Times New Roman" w:cs="Times New Roman"/>
          <w:sz w:val="24"/>
          <w:szCs w:val="24"/>
          <w:lang w:val="en-US"/>
        </w:rPr>
        <w:t xml:space="preserve"> 1-73</w:t>
      </w:r>
    </w:p>
    <w:p w14:paraId="6442B3D6" w14:textId="61356BFF"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Helberger, </w:t>
      </w:r>
      <w:r>
        <w:rPr>
          <w:rFonts w:ascii="Times New Roman" w:hAnsi="Times New Roman" w:cs="Times New Roman"/>
          <w:sz w:val="24"/>
          <w:szCs w:val="24"/>
          <w:lang w:val="en-US"/>
        </w:rPr>
        <w:t>N.</w:t>
      </w:r>
      <w:r w:rsidR="00D34468">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D40D37">
        <w:rPr>
          <w:rFonts w:ascii="Times New Roman" w:hAnsi="Times New Roman" w:cs="Times New Roman"/>
          <w:i/>
          <w:iCs/>
          <w:sz w:val="24"/>
          <w:szCs w:val="24"/>
          <w:lang w:val="en-US"/>
        </w:rPr>
        <w:t>Controlling Access to Content - Regulating Conditional Access in Digital Broadcasting</w:t>
      </w:r>
      <w:r w:rsidRPr="00D40D37">
        <w:rPr>
          <w:rFonts w:ascii="Times New Roman" w:hAnsi="Times New Roman" w:cs="Times New Roman"/>
          <w:sz w:val="24"/>
          <w:szCs w:val="24"/>
          <w:lang w:val="en-US"/>
        </w:rPr>
        <w:t>, Kluwer Law International, 2005</w:t>
      </w:r>
    </w:p>
    <w:p w14:paraId="6DF9F281" w14:textId="77777777"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Henten, A. and Tadayoni, R., ‘The dominance of the IT industry in a converging ICT ecosystem’ in H. Mitomo, H. Fuke and E. Bohlin (eds), </w:t>
      </w:r>
      <w:r w:rsidRPr="00EF7AD1">
        <w:rPr>
          <w:rFonts w:ascii="Times New Roman" w:hAnsi="Times New Roman" w:cs="Times New Roman"/>
          <w:i/>
          <w:iCs/>
          <w:sz w:val="24"/>
          <w:szCs w:val="24"/>
        </w:rPr>
        <w:t>The smart revolution towards the sustainable digital society: Beyond the era of convergence</w:t>
      </w:r>
      <w:r w:rsidRPr="00D40D37">
        <w:rPr>
          <w:rFonts w:ascii="Times New Roman" w:hAnsi="Times New Roman" w:cs="Times New Roman"/>
          <w:sz w:val="24"/>
          <w:szCs w:val="24"/>
        </w:rPr>
        <w:t xml:space="preserve"> (Edward Elgar 2015) </w:t>
      </w:r>
      <w:r>
        <w:rPr>
          <w:rFonts w:ascii="Times New Roman" w:hAnsi="Times New Roman" w:cs="Times New Roman"/>
          <w:sz w:val="24"/>
          <w:szCs w:val="24"/>
        </w:rPr>
        <w:t>15-34</w:t>
      </w:r>
    </w:p>
    <w:p w14:paraId="28D92FEF" w14:textId="597D0F65" w:rsidR="00F146DF" w:rsidRDefault="00F146DF" w:rsidP="00F146DF">
      <w:pPr>
        <w:pStyle w:val="ListParagraph"/>
        <w:numPr>
          <w:ilvl w:val="0"/>
          <w:numId w:val="22"/>
        </w:numPr>
        <w:jc w:val="both"/>
        <w:rPr>
          <w:rFonts w:ascii="Times New Roman" w:hAnsi="Times New Roman" w:cs="Times New Roman"/>
          <w:sz w:val="24"/>
          <w:szCs w:val="24"/>
        </w:rPr>
      </w:pPr>
      <w:r w:rsidRPr="0092450A">
        <w:rPr>
          <w:rFonts w:ascii="Times New Roman" w:hAnsi="Times New Roman" w:cs="Times New Roman"/>
          <w:sz w:val="24"/>
          <w:szCs w:val="24"/>
        </w:rPr>
        <w:t>Hoffman, S</w:t>
      </w:r>
      <w:r>
        <w:rPr>
          <w:rFonts w:ascii="Times New Roman" w:hAnsi="Times New Roman" w:cs="Times New Roman"/>
          <w:sz w:val="24"/>
          <w:szCs w:val="24"/>
        </w:rPr>
        <w:t>.</w:t>
      </w:r>
      <w:r w:rsidRPr="0092450A">
        <w:rPr>
          <w:rFonts w:ascii="Times New Roman" w:hAnsi="Times New Roman" w:cs="Times New Roman"/>
          <w:sz w:val="24"/>
          <w:szCs w:val="24"/>
        </w:rPr>
        <w:t xml:space="preserve"> G</w:t>
      </w:r>
      <w:r>
        <w:rPr>
          <w:rFonts w:ascii="Times New Roman" w:hAnsi="Times New Roman" w:cs="Times New Roman"/>
          <w:sz w:val="24"/>
          <w:szCs w:val="24"/>
        </w:rPr>
        <w:t>.</w:t>
      </w:r>
      <w:r w:rsidR="00D34468">
        <w:rPr>
          <w:rFonts w:ascii="Times New Roman" w:hAnsi="Times New Roman" w:cs="Times New Roman"/>
          <w:sz w:val="24"/>
          <w:szCs w:val="24"/>
        </w:rPr>
        <w:t>,</w:t>
      </w:r>
      <w:r w:rsidRPr="0092450A">
        <w:rPr>
          <w:rFonts w:ascii="Times New Roman" w:hAnsi="Times New Roman" w:cs="Times New Roman"/>
          <w:sz w:val="24"/>
          <w:szCs w:val="24"/>
        </w:rPr>
        <w:t xml:space="preserve"> </w:t>
      </w:r>
      <w:r w:rsidRPr="00664740">
        <w:rPr>
          <w:rFonts w:ascii="Times New Roman" w:hAnsi="Times New Roman" w:cs="Times New Roman"/>
          <w:i/>
          <w:iCs/>
          <w:sz w:val="24"/>
          <w:szCs w:val="24"/>
        </w:rPr>
        <w:t>Regulation of Cloud Services under US and EU Antitrust, Competition and Privacy Laws</w:t>
      </w:r>
      <w:r w:rsidRPr="0092450A">
        <w:rPr>
          <w:rFonts w:ascii="Times New Roman" w:hAnsi="Times New Roman" w:cs="Times New Roman"/>
          <w:sz w:val="24"/>
          <w:szCs w:val="24"/>
        </w:rPr>
        <w:t xml:space="preserve"> (PL Academic Research 2017)</w:t>
      </w:r>
    </w:p>
    <w:p w14:paraId="2F109B0C" w14:textId="2DC475E7" w:rsidR="00F146DF" w:rsidRPr="00C93F71"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Hon</w:t>
      </w:r>
      <w:r>
        <w:rPr>
          <w:rFonts w:ascii="Times New Roman" w:hAnsi="Times New Roman" w:cs="Times New Roman"/>
          <w:sz w:val="24"/>
          <w:szCs w:val="24"/>
        </w:rPr>
        <w:t xml:space="preserve">, </w:t>
      </w:r>
      <w:r w:rsidRPr="00D40D37">
        <w:rPr>
          <w:rFonts w:ascii="Times New Roman" w:hAnsi="Times New Roman" w:cs="Times New Roman"/>
          <w:sz w:val="24"/>
          <w:szCs w:val="24"/>
        </w:rPr>
        <w:t>W</w:t>
      </w:r>
      <w:r>
        <w:rPr>
          <w:rFonts w:ascii="Times New Roman" w:hAnsi="Times New Roman" w:cs="Times New Roman"/>
          <w:sz w:val="24"/>
          <w:szCs w:val="24"/>
        </w:rPr>
        <w:t>.</w:t>
      </w:r>
      <w:r w:rsidRPr="00D40D37">
        <w:rPr>
          <w:rFonts w:ascii="Times New Roman" w:hAnsi="Times New Roman" w:cs="Times New Roman"/>
          <w:sz w:val="24"/>
          <w:szCs w:val="24"/>
        </w:rPr>
        <w:t xml:space="preserve"> K</w:t>
      </w:r>
      <w:r>
        <w:rPr>
          <w:rFonts w:ascii="Times New Roman" w:hAnsi="Times New Roman" w:cs="Times New Roman"/>
          <w:sz w:val="24"/>
          <w:szCs w:val="24"/>
        </w:rPr>
        <w:t>.</w:t>
      </w:r>
      <w:r w:rsidRPr="00D40D37">
        <w:rPr>
          <w:rFonts w:ascii="Times New Roman" w:hAnsi="Times New Roman" w:cs="Times New Roman"/>
          <w:sz w:val="24"/>
          <w:szCs w:val="24"/>
        </w:rPr>
        <w:t xml:space="preserve"> and Millard,</w:t>
      </w:r>
      <w:r>
        <w:rPr>
          <w:rFonts w:ascii="Times New Roman" w:hAnsi="Times New Roman" w:cs="Times New Roman"/>
          <w:sz w:val="24"/>
          <w:szCs w:val="24"/>
        </w:rPr>
        <w:t xml:space="preserve"> C.</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‘Control, Security and Risk in the Cloud’ in Christopher Millard (eds), Cloud Computing Law (OUP 2013) 18-36</w:t>
      </w:r>
    </w:p>
    <w:p w14:paraId="2B18F02E" w14:textId="64EBDB15"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Hwang,</w:t>
      </w:r>
      <w:r>
        <w:rPr>
          <w:rFonts w:ascii="Times New Roman" w:hAnsi="Times New Roman" w:cs="Times New Roman"/>
          <w:sz w:val="24"/>
          <w:szCs w:val="24"/>
          <w:lang w:val="en-US"/>
        </w:rPr>
        <w:t xml:space="preserve"> K.,</w:t>
      </w:r>
      <w:r w:rsidRPr="00D40D37">
        <w:rPr>
          <w:rFonts w:ascii="Times New Roman" w:hAnsi="Times New Roman" w:cs="Times New Roman"/>
          <w:sz w:val="24"/>
          <w:szCs w:val="24"/>
          <w:lang w:val="en-US"/>
        </w:rPr>
        <w:t xml:space="preserve"> Fox</w:t>
      </w:r>
      <w:r>
        <w:rPr>
          <w:rFonts w:ascii="Times New Roman" w:hAnsi="Times New Roman" w:cs="Times New Roman"/>
          <w:sz w:val="24"/>
          <w:szCs w:val="24"/>
          <w:lang w:val="en-US"/>
        </w:rPr>
        <w:t>, G. C.</w:t>
      </w:r>
      <w:r w:rsidRPr="00D40D37">
        <w:rPr>
          <w:rFonts w:ascii="Times New Roman" w:hAnsi="Times New Roman" w:cs="Times New Roman"/>
          <w:sz w:val="24"/>
          <w:szCs w:val="24"/>
          <w:lang w:val="en-US"/>
        </w:rPr>
        <w:t xml:space="preserve"> and Dongarra</w:t>
      </w:r>
      <w:r>
        <w:rPr>
          <w:rFonts w:ascii="Times New Roman" w:hAnsi="Times New Roman" w:cs="Times New Roman"/>
          <w:sz w:val="24"/>
          <w:szCs w:val="24"/>
          <w:lang w:val="en-US"/>
        </w:rPr>
        <w:t xml:space="preserve">, </w:t>
      </w:r>
      <w:r w:rsidRPr="00D40D37">
        <w:rPr>
          <w:rFonts w:ascii="Times New Roman" w:hAnsi="Times New Roman" w:cs="Times New Roman"/>
          <w:sz w:val="24"/>
          <w:szCs w:val="24"/>
          <w:lang w:val="en-US"/>
        </w:rPr>
        <w:t>J</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J.</w:t>
      </w:r>
      <w:r w:rsidR="00D34468">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‘Distributed and Cloud Computing: Form Parallel Processing to the Internet of Things’ (Elsevier, 2012) 191-206</w:t>
      </w:r>
    </w:p>
    <w:p w14:paraId="76C2DFDC" w14:textId="4740AF5C"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Jacob,</w:t>
      </w:r>
      <w:r>
        <w:rPr>
          <w:rFonts w:ascii="Times New Roman" w:hAnsi="Times New Roman" w:cs="Times New Roman"/>
          <w:sz w:val="24"/>
          <w:szCs w:val="24"/>
        </w:rPr>
        <w:t xml:space="preserve"> R.,</w:t>
      </w:r>
      <w:r w:rsidRPr="00D40D37">
        <w:rPr>
          <w:rFonts w:ascii="Times New Roman" w:hAnsi="Times New Roman" w:cs="Times New Roman"/>
          <w:sz w:val="24"/>
          <w:szCs w:val="24"/>
        </w:rPr>
        <w:t xml:space="preserve"> Alexander</w:t>
      </w:r>
      <w:r>
        <w:rPr>
          <w:rFonts w:ascii="Times New Roman" w:hAnsi="Times New Roman" w:cs="Times New Roman"/>
          <w:sz w:val="24"/>
          <w:szCs w:val="24"/>
        </w:rPr>
        <w:t>, D.</w:t>
      </w:r>
      <w:r w:rsidRPr="00D40D37">
        <w:rPr>
          <w:rFonts w:ascii="Times New Roman" w:hAnsi="Times New Roman" w:cs="Times New Roman"/>
          <w:sz w:val="24"/>
          <w:szCs w:val="24"/>
        </w:rPr>
        <w:t xml:space="preserve"> and Fisher,</w:t>
      </w:r>
      <w:r>
        <w:rPr>
          <w:rFonts w:ascii="Times New Roman" w:hAnsi="Times New Roman" w:cs="Times New Roman"/>
          <w:sz w:val="24"/>
          <w:szCs w:val="24"/>
        </w:rPr>
        <w:t xml:space="preserve"> M.</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w:t>
      </w:r>
      <w:r w:rsidRPr="00D40D37">
        <w:rPr>
          <w:rFonts w:ascii="Times New Roman" w:hAnsi="Times New Roman" w:cs="Times New Roman"/>
          <w:i/>
          <w:sz w:val="24"/>
          <w:szCs w:val="24"/>
        </w:rPr>
        <w:t>Guidebook to Intellectual Property</w:t>
      </w:r>
      <w:r w:rsidRPr="00D40D37">
        <w:rPr>
          <w:rFonts w:ascii="Times New Roman" w:hAnsi="Times New Roman" w:cs="Times New Roman"/>
          <w:sz w:val="24"/>
          <w:szCs w:val="24"/>
        </w:rPr>
        <w:t xml:space="preserve"> (6th edn, Hart Publishing 2013)</w:t>
      </w:r>
    </w:p>
    <w:p w14:paraId="2D13023E" w14:textId="17944A7F"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Jacobs, </w:t>
      </w:r>
      <w:r>
        <w:rPr>
          <w:rFonts w:ascii="Times New Roman" w:hAnsi="Times New Roman" w:cs="Times New Roman"/>
          <w:sz w:val="24"/>
          <w:szCs w:val="24"/>
        </w:rPr>
        <w:t>K.</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sz w:val="24"/>
          <w:szCs w:val="24"/>
        </w:rPr>
        <w:t>Corporate standardization, management and innovation</w:t>
      </w:r>
      <w:r>
        <w:rPr>
          <w:rFonts w:ascii="Times New Roman" w:hAnsi="Times New Roman" w:cs="Times New Roman"/>
          <w:sz w:val="24"/>
          <w:szCs w:val="24"/>
        </w:rPr>
        <w:t>’</w:t>
      </w:r>
      <w:r w:rsidRPr="00D40D37">
        <w:rPr>
          <w:rFonts w:ascii="Times New Roman" w:hAnsi="Times New Roman" w:cs="Times New Roman"/>
          <w:sz w:val="24"/>
          <w:szCs w:val="24"/>
        </w:rPr>
        <w:t xml:space="preserve"> in Richard Hawkins, Knut Blind, Robert Page (eds), </w:t>
      </w:r>
      <w:r w:rsidRPr="00D40D37">
        <w:rPr>
          <w:rFonts w:ascii="Times New Roman" w:hAnsi="Times New Roman" w:cs="Times New Roman"/>
          <w:i/>
          <w:iCs/>
          <w:sz w:val="24"/>
          <w:szCs w:val="24"/>
        </w:rPr>
        <w:t>Handbook on Innovation and standards</w:t>
      </w:r>
      <w:r w:rsidRPr="00D40D37">
        <w:rPr>
          <w:rFonts w:ascii="Times New Roman" w:hAnsi="Times New Roman" w:cs="Times New Roman"/>
          <w:sz w:val="24"/>
          <w:szCs w:val="24"/>
        </w:rPr>
        <w:t xml:space="preserve"> (Edward Elgar 2017) 377-397.</w:t>
      </w:r>
    </w:p>
    <w:p w14:paraId="4D49E029" w14:textId="2EFA9718"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Jaina</w:t>
      </w:r>
      <w:r>
        <w:rPr>
          <w:rFonts w:ascii="Times New Roman" w:hAnsi="Times New Roman" w:cs="Times New Roman"/>
          <w:sz w:val="24"/>
          <w:szCs w:val="24"/>
        </w:rPr>
        <w:t>, S.</w:t>
      </w:r>
      <w:r w:rsidRPr="00D40D37">
        <w:rPr>
          <w:rFonts w:ascii="Times New Roman" w:hAnsi="Times New Roman" w:cs="Times New Roman"/>
          <w:sz w:val="24"/>
          <w:szCs w:val="24"/>
        </w:rPr>
        <w:t xml:space="preserve"> and Jain,</w:t>
      </w:r>
      <w:r>
        <w:rPr>
          <w:rFonts w:ascii="Times New Roman" w:hAnsi="Times New Roman" w:cs="Times New Roman"/>
          <w:sz w:val="24"/>
          <w:szCs w:val="24"/>
        </w:rPr>
        <w:t xml:space="preserve"> </w:t>
      </w:r>
      <w:r w:rsidRPr="00D40D37">
        <w:rPr>
          <w:rFonts w:ascii="Times New Roman" w:hAnsi="Times New Roman" w:cs="Times New Roman"/>
          <w:sz w:val="24"/>
          <w:szCs w:val="24"/>
        </w:rPr>
        <w:t>R. K.</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w:t>
      </w:r>
      <w:r w:rsidRPr="00D40D37">
        <w:rPr>
          <w:rFonts w:ascii="Times New Roman" w:hAnsi="Times New Roman" w:cs="Times New Roman"/>
          <w:i/>
          <w:sz w:val="24"/>
          <w:szCs w:val="24"/>
        </w:rPr>
        <w:t>Patents: Procedures and Practices with Examples of Complete Specifications and Important Judgements</w:t>
      </w:r>
      <w:r w:rsidRPr="00D40D37">
        <w:rPr>
          <w:rFonts w:ascii="Times New Roman" w:hAnsi="Times New Roman" w:cs="Times New Roman"/>
          <w:sz w:val="24"/>
          <w:szCs w:val="24"/>
        </w:rPr>
        <w:t xml:space="preserve"> (Universal Law Publishing Co. Pvt. Ltd. 2011)</w:t>
      </w:r>
    </w:p>
    <w:p w14:paraId="2629645B" w14:textId="5E834CF5"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Janevski, </w:t>
      </w:r>
      <w:r>
        <w:rPr>
          <w:rFonts w:ascii="Times New Roman" w:hAnsi="Times New Roman" w:cs="Times New Roman"/>
          <w:sz w:val="24"/>
          <w:szCs w:val="24"/>
        </w:rPr>
        <w:t>T.</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i/>
          <w:sz w:val="24"/>
          <w:szCs w:val="24"/>
        </w:rPr>
        <w:t>NGN Architectures, Protocols and Services</w:t>
      </w:r>
      <w:r w:rsidRPr="00D40D37">
        <w:rPr>
          <w:rFonts w:ascii="Times New Roman" w:hAnsi="Times New Roman" w:cs="Times New Roman"/>
          <w:sz w:val="24"/>
          <w:szCs w:val="24"/>
        </w:rPr>
        <w:t xml:space="preserve"> (John Wiley &amp; Sons, Ltd. 2014)</w:t>
      </w:r>
    </w:p>
    <w:p w14:paraId="0025C04A" w14:textId="6B14901F"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Jones</w:t>
      </w:r>
      <w:r>
        <w:rPr>
          <w:rFonts w:ascii="Times New Roman" w:hAnsi="Times New Roman" w:cs="Times New Roman"/>
          <w:sz w:val="24"/>
          <w:szCs w:val="24"/>
        </w:rPr>
        <w:t>, A.</w:t>
      </w:r>
      <w:r w:rsidRPr="00D40D37">
        <w:rPr>
          <w:rFonts w:ascii="Times New Roman" w:hAnsi="Times New Roman" w:cs="Times New Roman"/>
          <w:sz w:val="24"/>
          <w:szCs w:val="24"/>
        </w:rPr>
        <w:t xml:space="preserve"> and Sufrin,</w:t>
      </w:r>
      <w:r>
        <w:rPr>
          <w:rFonts w:ascii="Times New Roman" w:hAnsi="Times New Roman" w:cs="Times New Roman"/>
          <w:sz w:val="24"/>
          <w:szCs w:val="24"/>
        </w:rPr>
        <w:t xml:space="preserve"> B.</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w:t>
      </w:r>
      <w:r w:rsidRPr="00D40D37">
        <w:rPr>
          <w:rFonts w:ascii="Times New Roman" w:hAnsi="Times New Roman" w:cs="Times New Roman"/>
          <w:i/>
          <w:iCs/>
          <w:sz w:val="24"/>
          <w:szCs w:val="24"/>
        </w:rPr>
        <w:t>EU Competition Law: Text, Cases and Materials</w:t>
      </w:r>
      <w:r w:rsidRPr="00D40D37">
        <w:rPr>
          <w:rFonts w:ascii="Times New Roman" w:hAnsi="Times New Roman" w:cs="Times New Roman"/>
          <w:sz w:val="24"/>
          <w:szCs w:val="24"/>
        </w:rPr>
        <w:t xml:space="preserve"> (5th edn, OUP 2014).</w:t>
      </w:r>
    </w:p>
    <w:p w14:paraId="434E747B" w14:textId="0EE9D82C" w:rsidR="00F146DF" w:rsidRPr="00F12515"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Jones</w:t>
      </w:r>
      <w:r>
        <w:rPr>
          <w:rFonts w:ascii="Times New Roman" w:hAnsi="Times New Roman" w:cs="Times New Roman"/>
          <w:sz w:val="24"/>
          <w:szCs w:val="24"/>
        </w:rPr>
        <w:t>, A.</w:t>
      </w:r>
      <w:r w:rsidRPr="00D40D37">
        <w:rPr>
          <w:rFonts w:ascii="Times New Roman" w:hAnsi="Times New Roman" w:cs="Times New Roman"/>
          <w:sz w:val="24"/>
          <w:szCs w:val="24"/>
        </w:rPr>
        <w:t xml:space="preserve"> and Sufrin,</w:t>
      </w:r>
      <w:r>
        <w:rPr>
          <w:rFonts w:ascii="Times New Roman" w:hAnsi="Times New Roman" w:cs="Times New Roman"/>
          <w:sz w:val="24"/>
          <w:szCs w:val="24"/>
        </w:rPr>
        <w:t xml:space="preserve"> B.</w:t>
      </w:r>
      <w:r w:rsidR="00D34468">
        <w:rPr>
          <w:rFonts w:ascii="Times New Roman" w:hAnsi="Times New Roman" w:cs="Times New Roman"/>
          <w:sz w:val="24"/>
          <w:szCs w:val="24"/>
        </w:rPr>
        <w:t>,</w:t>
      </w:r>
      <w:r w:rsidRPr="00D40D37">
        <w:rPr>
          <w:rFonts w:ascii="Times New Roman" w:hAnsi="Times New Roman" w:cs="Times New Roman"/>
          <w:color w:val="FF0000"/>
          <w:sz w:val="24"/>
          <w:szCs w:val="24"/>
        </w:rPr>
        <w:t xml:space="preserve"> </w:t>
      </w:r>
      <w:r w:rsidRPr="00D40D37">
        <w:rPr>
          <w:rFonts w:ascii="Times New Roman" w:hAnsi="Times New Roman" w:cs="Times New Roman"/>
          <w:i/>
          <w:sz w:val="24"/>
          <w:szCs w:val="24"/>
        </w:rPr>
        <w:t>EC Competition Law: Text, Cases and Materials</w:t>
      </w:r>
      <w:r w:rsidRPr="00D40D37">
        <w:rPr>
          <w:rFonts w:ascii="Times New Roman" w:hAnsi="Times New Roman" w:cs="Times New Roman"/>
          <w:sz w:val="24"/>
          <w:szCs w:val="24"/>
        </w:rPr>
        <w:t xml:space="preserve"> (4th edn, OUP 2011)</w:t>
      </w:r>
    </w:p>
    <w:p w14:paraId="33D762DC" w14:textId="3C16BA78"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J</w:t>
      </w:r>
      <w:r w:rsidRPr="00D40D37">
        <w:rPr>
          <w:rFonts w:ascii="Times New Roman" w:hAnsi="Times New Roman" w:cs="Times New Roman"/>
          <w:sz w:val="24"/>
          <w:szCs w:val="24"/>
          <w:lang w:val="tr-TR"/>
        </w:rPr>
        <w:t>ütte</w:t>
      </w:r>
      <w:r w:rsidRPr="00D40D37">
        <w:rPr>
          <w:rFonts w:ascii="Times New Roman" w:hAnsi="Times New Roman" w:cs="Times New Roman"/>
          <w:sz w:val="24"/>
          <w:szCs w:val="24"/>
        </w:rPr>
        <w:t>,</w:t>
      </w:r>
      <w:r>
        <w:rPr>
          <w:rFonts w:ascii="Times New Roman" w:hAnsi="Times New Roman" w:cs="Times New Roman"/>
          <w:sz w:val="24"/>
          <w:szCs w:val="24"/>
        </w:rPr>
        <w:t xml:space="preserve"> B. J.</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w:t>
      </w:r>
      <w:r w:rsidRPr="00F734BA">
        <w:rPr>
          <w:rFonts w:ascii="Times New Roman" w:hAnsi="Times New Roman" w:cs="Times New Roman"/>
          <w:i/>
          <w:iCs/>
          <w:sz w:val="24"/>
          <w:szCs w:val="24"/>
        </w:rPr>
        <w:t>Reconstructing European Copyright Law for the Digital Single Market: Between Old Paradigm and Digital Challenges</w:t>
      </w:r>
      <w:r w:rsidRPr="00D40D37">
        <w:rPr>
          <w:rFonts w:ascii="Times New Roman" w:hAnsi="Times New Roman" w:cs="Times New Roman"/>
          <w:sz w:val="24"/>
          <w:szCs w:val="24"/>
        </w:rPr>
        <w:t xml:space="preserve"> (Hart Publishing 2017)</w:t>
      </w:r>
    </w:p>
    <w:p w14:paraId="68F8616B" w14:textId="4EFC670F"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Karapapa</w:t>
      </w:r>
      <w:r>
        <w:rPr>
          <w:rFonts w:ascii="Times New Roman" w:hAnsi="Times New Roman" w:cs="Times New Roman"/>
          <w:sz w:val="24"/>
          <w:szCs w:val="24"/>
        </w:rPr>
        <w:t>, S.</w:t>
      </w:r>
      <w:r w:rsidRPr="00D40D37">
        <w:rPr>
          <w:rFonts w:ascii="Times New Roman" w:hAnsi="Times New Roman" w:cs="Times New Roman"/>
          <w:sz w:val="24"/>
          <w:szCs w:val="24"/>
        </w:rPr>
        <w:t xml:space="preserve"> and McDonagh, </w:t>
      </w:r>
      <w:r>
        <w:rPr>
          <w:rFonts w:ascii="Times New Roman" w:hAnsi="Times New Roman" w:cs="Times New Roman"/>
          <w:sz w:val="24"/>
          <w:szCs w:val="24"/>
        </w:rPr>
        <w:t>L.</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EF7AD1">
        <w:rPr>
          <w:rFonts w:ascii="Times New Roman" w:hAnsi="Times New Roman" w:cs="Times New Roman"/>
          <w:i/>
          <w:iCs/>
          <w:sz w:val="24"/>
          <w:szCs w:val="24"/>
        </w:rPr>
        <w:t>Intellectual Property Law</w:t>
      </w:r>
      <w:r w:rsidRPr="00D40D37">
        <w:rPr>
          <w:rFonts w:ascii="Times New Roman" w:hAnsi="Times New Roman" w:cs="Times New Roman"/>
          <w:sz w:val="24"/>
          <w:szCs w:val="24"/>
        </w:rPr>
        <w:t xml:space="preserve"> (OUP 2019)</w:t>
      </w:r>
    </w:p>
    <w:p w14:paraId="1BBE3B5C" w14:textId="440A7FA5"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Kariyawasam,</w:t>
      </w:r>
      <w:r>
        <w:rPr>
          <w:rFonts w:ascii="Times New Roman" w:hAnsi="Times New Roman" w:cs="Times New Roman"/>
          <w:sz w:val="24"/>
          <w:szCs w:val="24"/>
          <w:lang w:val="en-US"/>
        </w:rPr>
        <w:t xml:space="preserve"> R.</w:t>
      </w:r>
      <w:r w:rsidR="00D34468">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w:t>
      </w:r>
      <w:r w:rsidRPr="00D40D37">
        <w:rPr>
          <w:rFonts w:ascii="Times New Roman" w:hAnsi="Times New Roman" w:cs="Times New Roman"/>
          <w:i/>
          <w:iCs/>
          <w:sz w:val="24"/>
          <w:szCs w:val="24"/>
          <w:lang w:val="en-US"/>
        </w:rPr>
        <w:t>International Economic Law and the Digital Divide: A New Silk Road</w:t>
      </w:r>
      <w:r w:rsidRPr="00D40D37">
        <w:rPr>
          <w:rFonts w:ascii="Times New Roman" w:hAnsi="Times New Roman" w:cs="Times New Roman"/>
          <w:sz w:val="24"/>
          <w:szCs w:val="24"/>
          <w:lang w:val="en-US"/>
        </w:rPr>
        <w:t xml:space="preserve"> (Edward Elgar 2007) </w:t>
      </w:r>
    </w:p>
    <w:p w14:paraId="6BF80B11" w14:textId="61CFA492"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Kariyawasam, </w:t>
      </w:r>
      <w:r>
        <w:rPr>
          <w:rFonts w:ascii="Times New Roman" w:hAnsi="Times New Roman" w:cs="Times New Roman"/>
          <w:sz w:val="24"/>
          <w:szCs w:val="24"/>
          <w:lang w:val="en-US"/>
        </w:rPr>
        <w:t>R.</w:t>
      </w:r>
      <w:r w:rsidR="00D34468">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D40D37">
        <w:rPr>
          <w:rFonts w:ascii="Times New Roman" w:hAnsi="Times New Roman" w:cs="Times New Roman"/>
          <w:sz w:val="24"/>
          <w:szCs w:val="24"/>
          <w:lang w:val="en-US"/>
        </w:rPr>
        <w:t xml:space="preserve">‘Interconnection, Access and Peering: Law and Precedent’ in I. Walden and J. Angel (eds), </w:t>
      </w:r>
      <w:r w:rsidRPr="00D40D37">
        <w:rPr>
          <w:rFonts w:ascii="Times New Roman" w:hAnsi="Times New Roman" w:cs="Times New Roman"/>
          <w:i/>
          <w:sz w:val="24"/>
          <w:szCs w:val="24"/>
          <w:lang w:val="en-US"/>
        </w:rPr>
        <w:t>Telecommunications Law</w:t>
      </w:r>
      <w:r w:rsidRPr="00D40D37">
        <w:rPr>
          <w:rFonts w:ascii="Times New Roman" w:hAnsi="Times New Roman" w:cs="Times New Roman"/>
          <w:sz w:val="24"/>
          <w:szCs w:val="24"/>
          <w:lang w:val="en-US"/>
        </w:rPr>
        <w:t xml:space="preserve"> (Blackstone Press Limited 2001)</w:t>
      </w:r>
      <w:r>
        <w:rPr>
          <w:rFonts w:ascii="Times New Roman" w:hAnsi="Times New Roman" w:cs="Times New Roman"/>
          <w:sz w:val="24"/>
          <w:szCs w:val="24"/>
          <w:lang w:val="en-US"/>
        </w:rPr>
        <w:t xml:space="preserve"> 135-223 </w:t>
      </w:r>
    </w:p>
    <w:p w14:paraId="25CD726E" w14:textId="75E967C0"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Katsoulacos</w:t>
      </w:r>
      <w:r>
        <w:rPr>
          <w:rFonts w:ascii="Times New Roman" w:hAnsi="Times New Roman" w:cs="Times New Roman"/>
          <w:sz w:val="24"/>
          <w:szCs w:val="24"/>
        </w:rPr>
        <w:t>, Y.</w:t>
      </w:r>
      <w:r w:rsidRPr="00D40D37">
        <w:rPr>
          <w:rFonts w:ascii="Times New Roman" w:hAnsi="Times New Roman" w:cs="Times New Roman"/>
          <w:sz w:val="24"/>
          <w:szCs w:val="24"/>
        </w:rPr>
        <w:t xml:space="preserve"> and Ulph, </w:t>
      </w:r>
      <w:r>
        <w:rPr>
          <w:rFonts w:ascii="Times New Roman" w:hAnsi="Times New Roman" w:cs="Times New Roman"/>
          <w:sz w:val="24"/>
          <w:szCs w:val="24"/>
        </w:rPr>
        <w:t>D.</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sz w:val="24"/>
          <w:szCs w:val="24"/>
        </w:rPr>
        <w:t>Optimal Enforcement and Decision Structures for Competition Policy: Economic Considerations</w:t>
      </w:r>
      <w:r>
        <w:rPr>
          <w:rFonts w:ascii="Times New Roman" w:hAnsi="Times New Roman" w:cs="Times New Roman"/>
          <w:sz w:val="24"/>
          <w:szCs w:val="24"/>
        </w:rPr>
        <w:t>’</w:t>
      </w:r>
      <w:r w:rsidRPr="00D40D37">
        <w:rPr>
          <w:rFonts w:ascii="Times New Roman" w:hAnsi="Times New Roman" w:cs="Times New Roman"/>
          <w:sz w:val="24"/>
          <w:szCs w:val="24"/>
        </w:rPr>
        <w:t xml:space="preserve"> in Federico Etro and Ioannis Kokkoris, </w:t>
      </w:r>
      <w:r w:rsidRPr="00D40D37">
        <w:rPr>
          <w:rFonts w:ascii="Times New Roman" w:hAnsi="Times New Roman" w:cs="Times New Roman"/>
          <w:i/>
          <w:iCs/>
          <w:sz w:val="24"/>
          <w:szCs w:val="24"/>
        </w:rPr>
        <w:t>Competition Law and the Enforcement of Article 102</w:t>
      </w:r>
      <w:r w:rsidRPr="00D40D37">
        <w:rPr>
          <w:rFonts w:ascii="Times New Roman" w:hAnsi="Times New Roman" w:cs="Times New Roman"/>
          <w:sz w:val="24"/>
          <w:szCs w:val="24"/>
        </w:rPr>
        <w:t xml:space="preserve"> (OUP 2010)</w:t>
      </w:r>
      <w:r>
        <w:rPr>
          <w:rFonts w:ascii="Times New Roman" w:hAnsi="Times New Roman" w:cs="Times New Roman"/>
          <w:sz w:val="24"/>
          <w:szCs w:val="24"/>
        </w:rPr>
        <w:t xml:space="preserve"> 73-82</w:t>
      </w:r>
    </w:p>
    <w:p w14:paraId="55ABA520" w14:textId="163E347A"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Korah, </w:t>
      </w:r>
      <w:r>
        <w:rPr>
          <w:rFonts w:ascii="Times New Roman" w:hAnsi="Times New Roman" w:cs="Times New Roman"/>
          <w:sz w:val="24"/>
          <w:szCs w:val="24"/>
        </w:rPr>
        <w:t>V.</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i/>
          <w:iCs/>
          <w:sz w:val="24"/>
          <w:szCs w:val="24"/>
        </w:rPr>
        <w:t>Intellectual Property Rights and the EC Competition Rules</w:t>
      </w:r>
      <w:r w:rsidRPr="00D40D37">
        <w:rPr>
          <w:rFonts w:ascii="Times New Roman" w:hAnsi="Times New Roman" w:cs="Times New Roman"/>
          <w:sz w:val="24"/>
          <w:szCs w:val="24"/>
        </w:rPr>
        <w:t xml:space="preserve"> (Hart Publishing 2006)</w:t>
      </w:r>
    </w:p>
    <w:p w14:paraId="5BF7C627" w14:textId="6D60565C" w:rsidR="001046AB" w:rsidRDefault="001046AB" w:rsidP="001046AB">
      <w:pPr>
        <w:pStyle w:val="ListParagraph"/>
        <w:numPr>
          <w:ilvl w:val="0"/>
          <w:numId w:val="22"/>
        </w:numPr>
        <w:jc w:val="both"/>
        <w:rPr>
          <w:rFonts w:ascii="Times New Roman" w:hAnsi="Times New Roman"/>
          <w:sz w:val="24"/>
          <w:szCs w:val="24"/>
        </w:rPr>
      </w:pPr>
      <w:r w:rsidRPr="004B0E3C">
        <w:rPr>
          <w:rFonts w:ascii="Times New Roman" w:hAnsi="Times New Roman"/>
          <w:sz w:val="24"/>
          <w:szCs w:val="24"/>
        </w:rPr>
        <w:lastRenderedPageBreak/>
        <w:t>Laidlaw, E</w:t>
      </w:r>
      <w:r>
        <w:rPr>
          <w:rFonts w:ascii="Times New Roman" w:hAnsi="Times New Roman"/>
          <w:sz w:val="24"/>
          <w:szCs w:val="24"/>
        </w:rPr>
        <w:t>.</w:t>
      </w:r>
      <w:r w:rsidRPr="004B0E3C">
        <w:rPr>
          <w:rFonts w:ascii="Times New Roman" w:hAnsi="Times New Roman"/>
          <w:sz w:val="24"/>
          <w:szCs w:val="24"/>
        </w:rPr>
        <w:t xml:space="preserve"> B.</w:t>
      </w:r>
      <w:r>
        <w:rPr>
          <w:rFonts w:ascii="Times New Roman" w:hAnsi="Times New Roman"/>
          <w:sz w:val="24"/>
          <w:szCs w:val="24"/>
        </w:rPr>
        <w:t>,</w:t>
      </w:r>
      <w:r w:rsidRPr="004B0E3C">
        <w:rPr>
          <w:rFonts w:ascii="Times New Roman" w:hAnsi="Times New Roman"/>
          <w:sz w:val="24"/>
          <w:szCs w:val="24"/>
        </w:rPr>
        <w:t xml:space="preserve"> </w:t>
      </w:r>
      <w:r>
        <w:rPr>
          <w:rFonts w:ascii="Times New Roman" w:hAnsi="Times New Roman"/>
          <w:i/>
          <w:iCs/>
          <w:sz w:val="24"/>
          <w:szCs w:val="24"/>
        </w:rPr>
        <w:t>Re</w:t>
      </w:r>
      <w:r w:rsidRPr="004B0E3C">
        <w:rPr>
          <w:rFonts w:ascii="Times New Roman" w:hAnsi="Times New Roman"/>
          <w:i/>
          <w:iCs/>
          <w:sz w:val="24"/>
          <w:szCs w:val="24"/>
        </w:rPr>
        <w:t>gulating Speech in Cyberspace; Gatekeepers, Human Rights and Corporate Responsibility</w:t>
      </w:r>
      <w:r w:rsidRPr="004B0E3C">
        <w:rPr>
          <w:rFonts w:ascii="Times New Roman" w:hAnsi="Times New Roman"/>
          <w:sz w:val="24"/>
          <w:szCs w:val="24"/>
        </w:rPr>
        <w:t xml:space="preserve"> (Cambridge University Press 2015) </w:t>
      </w:r>
    </w:p>
    <w:p w14:paraId="34EA9B2F" w14:textId="6B6FEC62"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Laffont</w:t>
      </w:r>
      <w:r>
        <w:rPr>
          <w:rFonts w:ascii="Times New Roman" w:hAnsi="Times New Roman" w:cs="Times New Roman"/>
          <w:sz w:val="24"/>
          <w:szCs w:val="24"/>
        </w:rPr>
        <w:t>, J.</w:t>
      </w:r>
      <w:r w:rsidRPr="00D40D37">
        <w:rPr>
          <w:rFonts w:ascii="Times New Roman" w:hAnsi="Times New Roman" w:cs="Times New Roman"/>
          <w:sz w:val="24"/>
          <w:szCs w:val="24"/>
        </w:rPr>
        <w:t xml:space="preserve"> and Tirole,</w:t>
      </w:r>
      <w:r>
        <w:rPr>
          <w:rFonts w:ascii="Times New Roman" w:hAnsi="Times New Roman" w:cs="Times New Roman"/>
          <w:sz w:val="24"/>
          <w:szCs w:val="24"/>
        </w:rPr>
        <w:t xml:space="preserve"> J.</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w:t>
      </w:r>
      <w:r w:rsidRPr="00D40D37">
        <w:rPr>
          <w:rFonts w:ascii="Times New Roman" w:hAnsi="Times New Roman" w:cs="Times New Roman"/>
          <w:i/>
          <w:iCs/>
          <w:sz w:val="24"/>
          <w:szCs w:val="24"/>
        </w:rPr>
        <w:t>Competition in Telecommunications</w:t>
      </w:r>
      <w:r w:rsidRPr="00D40D37">
        <w:rPr>
          <w:rFonts w:ascii="Times New Roman" w:hAnsi="Times New Roman" w:cs="Times New Roman"/>
          <w:sz w:val="24"/>
          <w:szCs w:val="24"/>
        </w:rPr>
        <w:t xml:space="preserve"> (4</w:t>
      </w:r>
      <w:r>
        <w:rPr>
          <w:rFonts w:ascii="Times New Roman" w:hAnsi="Times New Roman" w:cs="Times New Roman"/>
          <w:sz w:val="24"/>
          <w:szCs w:val="24"/>
        </w:rPr>
        <w:t xml:space="preserve">th </w:t>
      </w:r>
      <w:r w:rsidRPr="00D40D37">
        <w:rPr>
          <w:rFonts w:ascii="Times New Roman" w:hAnsi="Times New Roman" w:cs="Times New Roman"/>
          <w:sz w:val="24"/>
          <w:szCs w:val="24"/>
        </w:rPr>
        <w:t>edn, The MIT Press 2002)</w:t>
      </w:r>
    </w:p>
    <w:p w14:paraId="27503CC2" w14:textId="3FCC510E"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Larouche</w:t>
      </w:r>
      <w:r>
        <w:rPr>
          <w:rFonts w:ascii="Times New Roman" w:hAnsi="Times New Roman" w:cs="Times New Roman"/>
          <w:sz w:val="24"/>
          <w:szCs w:val="24"/>
        </w:rPr>
        <w:t>,</w:t>
      </w:r>
      <w:r w:rsidRPr="00D40D37">
        <w:rPr>
          <w:rFonts w:ascii="Times New Roman" w:hAnsi="Times New Roman" w:cs="Times New Roman"/>
          <w:sz w:val="24"/>
          <w:szCs w:val="24"/>
        </w:rPr>
        <w:t xml:space="preserve"> P</w:t>
      </w:r>
      <w:r>
        <w:rPr>
          <w:rFonts w:ascii="Times New Roman" w:hAnsi="Times New Roman" w:cs="Times New Roman"/>
          <w:sz w:val="24"/>
          <w:szCs w:val="24"/>
        </w:rPr>
        <w:t>.</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w:t>
      </w:r>
      <w:r w:rsidRPr="00D40D37">
        <w:rPr>
          <w:rFonts w:ascii="Times New Roman" w:hAnsi="Times New Roman" w:cs="Times New Roman"/>
          <w:i/>
          <w:iCs/>
          <w:sz w:val="24"/>
          <w:szCs w:val="24"/>
        </w:rPr>
        <w:t>Competition Law and Regulation in European Telecommunications</w:t>
      </w:r>
      <w:r w:rsidRPr="00D40D37">
        <w:rPr>
          <w:rFonts w:ascii="Times New Roman" w:hAnsi="Times New Roman" w:cs="Times New Roman"/>
          <w:sz w:val="24"/>
          <w:szCs w:val="24"/>
        </w:rPr>
        <w:t xml:space="preserve"> (Hart Publishing 2000)</w:t>
      </w:r>
    </w:p>
    <w:p w14:paraId="4C379A6B" w14:textId="1C4E5DD4" w:rsidR="00F146DF" w:rsidRPr="00150D02"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Leslie,</w:t>
      </w:r>
      <w:r>
        <w:rPr>
          <w:rFonts w:ascii="Times New Roman" w:hAnsi="Times New Roman" w:cs="Times New Roman"/>
          <w:sz w:val="24"/>
          <w:szCs w:val="24"/>
        </w:rPr>
        <w:t xml:space="preserve"> C. R.</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w:t>
      </w:r>
      <w:r w:rsidRPr="00D40D37">
        <w:rPr>
          <w:rFonts w:ascii="Times New Roman" w:hAnsi="Times New Roman" w:cs="Times New Roman"/>
          <w:i/>
          <w:iCs/>
          <w:sz w:val="24"/>
          <w:szCs w:val="24"/>
        </w:rPr>
        <w:t>Antitrust Law and Intellectual Property Rights: Cases and Materials</w:t>
      </w:r>
      <w:r w:rsidRPr="00D40D37">
        <w:rPr>
          <w:rFonts w:ascii="Times New Roman" w:hAnsi="Times New Roman" w:cs="Times New Roman"/>
          <w:sz w:val="24"/>
          <w:szCs w:val="24"/>
        </w:rPr>
        <w:t xml:space="preserve"> (OUP 2011)</w:t>
      </w:r>
    </w:p>
    <w:p w14:paraId="13CC856F" w14:textId="0A995B49" w:rsidR="001046AB" w:rsidRPr="00692824" w:rsidRDefault="001046AB">
      <w:pPr>
        <w:pStyle w:val="ListParagraph"/>
        <w:numPr>
          <w:ilvl w:val="0"/>
          <w:numId w:val="22"/>
        </w:numPr>
        <w:jc w:val="both"/>
        <w:rPr>
          <w:rFonts w:ascii="Times New Roman" w:hAnsi="Times New Roman" w:cs="Times New Roman"/>
          <w:sz w:val="24"/>
          <w:szCs w:val="24"/>
        </w:rPr>
      </w:pPr>
      <w:r w:rsidRPr="00C9654C">
        <w:rPr>
          <w:rFonts w:ascii="Times New Roman" w:hAnsi="Times New Roman"/>
          <w:sz w:val="24"/>
          <w:szCs w:val="24"/>
        </w:rPr>
        <w:t xml:space="preserve">Lessig, </w:t>
      </w:r>
      <w:r>
        <w:rPr>
          <w:rFonts w:ascii="Times New Roman" w:hAnsi="Times New Roman"/>
          <w:sz w:val="24"/>
          <w:szCs w:val="24"/>
        </w:rPr>
        <w:t xml:space="preserve">L., </w:t>
      </w:r>
      <w:r w:rsidRPr="00C9654C">
        <w:rPr>
          <w:rFonts w:ascii="Times New Roman" w:hAnsi="Times New Roman"/>
          <w:i/>
          <w:iCs/>
          <w:sz w:val="24"/>
          <w:szCs w:val="24"/>
        </w:rPr>
        <w:t>Code; version 2.0</w:t>
      </w:r>
      <w:r w:rsidRPr="00C9654C">
        <w:rPr>
          <w:rFonts w:ascii="Times New Roman" w:hAnsi="Times New Roman"/>
          <w:sz w:val="24"/>
          <w:szCs w:val="24"/>
        </w:rPr>
        <w:t xml:space="preserve"> (Basic Books 2006)</w:t>
      </w:r>
    </w:p>
    <w:p w14:paraId="0C2BE0B4" w14:textId="23DDECA7"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Malcolm,</w:t>
      </w:r>
      <w:r>
        <w:rPr>
          <w:rFonts w:ascii="Times New Roman" w:hAnsi="Times New Roman" w:cs="Times New Roman"/>
          <w:sz w:val="24"/>
          <w:szCs w:val="24"/>
        </w:rPr>
        <w:t xml:space="preserve"> B.</w:t>
      </w:r>
      <w:r w:rsidRPr="00D40D37">
        <w:rPr>
          <w:rFonts w:ascii="Times New Roman" w:hAnsi="Times New Roman" w:cs="Times New Roman"/>
          <w:sz w:val="24"/>
          <w:szCs w:val="24"/>
        </w:rPr>
        <w:t xml:space="preserve"> ‘Patents and FOSS’ in Noam Shemtov and Ian Walden (eds), </w:t>
      </w:r>
      <w:r w:rsidRPr="000E6B4C">
        <w:rPr>
          <w:rFonts w:ascii="Times New Roman" w:hAnsi="Times New Roman" w:cs="Times New Roman"/>
          <w:i/>
          <w:iCs/>
          <w:sz w:val="24"/>
          <w:szCs w:val="24"/>
        </w:rPr>
        <w:t>Free and Open Source Software</w:t>
      </w:r>
      <w:r w:rsidRPr="00D40D37">
        <w:rPr>
          <w:rFonts w:ascii="Times New Roman" w:hAnsi="Times New Roman" w:cs="Times New Roman"/>
          <w:sz w:val="24"/>
          <w:szCs w:val="24"/>
        </w:rPr>
        <w:t xml:space="preserve"> (</w:t>
      </w:r>
      <w:r>
        <w:rPr>
          <w:rFonts w:ascii="Times New Roman" w:hAnsi="Times New Roman" w:cs="Times New Roman"/>
          <w:sz w:val="24"/>
          <w:szCs w:val="24"/>
        </w:rPr>
        <w:t>OUP</w:t>
      </w:r>
      <w:r w:rsidRPr="00D40D37">
        <w:rPr>
          <w:rFonts w:ascii="Times New Roman" w:hAnsi="Times New Roman" w:cs="Times New Roman"/>
          <w:sz w:val="24"/>
          <w:szCs w:val="24"/>
        </w:rPr>
        <w:t xml:space="preserve"> 2013)</w:t>
      </w:r>
    </w:p>
    <w:p w14:paraId="0A58071A" w14:textId="05725C65"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Marsden, </w:t>
      </w:r>
      <w:r>
        <w:rPr>
          <w:rFonts w:ascii="Times New Roman" w:hAnsi="Times New Roman" w:cs="Times New Roman"/>
          <w:sz w:val="24"/>
          <w:szCs w:val="24"/>
        </w:rPr>
        <w:t>P.</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sz w:val="24"/>
          <w:szCs w:val="24"/>
        </w:rPr>
        <w:t>Some Outstanding Issues from the European Commission’s Guidance on Article 102 of the TFEU: Not-so-faint Echoes of Ordoliberalism</w:t>
      </w:r>
      <w:r>
        <w:rPr>
          <w:rFonts w:ascii="Times New Roman" w:hAnsi="Times New Roman" w:cs="Times New Roman"/>
          <w:sz w:val="24"/>
          <w:szCs w:val="24"/>
        </w:rPr>
        <w:t>’</w:t>
      </w:r>
      <w:r w:rsidRPr="00D40D37">
        <w:rPr>
          <w:rFonts w:ascii="Times New Roman" w:hAnsi="Times New Roman" w:cs="Times New Roman"/>
          <w:sz w:val="24"/>
          <w:szCs w:val="24"/>
        </w:rPr>
        <w:t xml:space="preserve"> in F</w:t>
      </w:r>
      <w:r>
        <w:rPr>
          <w:rFonts w:ascii="Times New Roman" w:hAnsi="Times New Roman" w:cs="Times New Roman"/>
          <w:sz w:val="24"/>
          <w:szCs w:val="24"/>
        </w:rPr>
        <w:t>.</w:t>
      </w:r>
      <w:r w:rsidRPr="00D40D37">
        <w:rPr>
          <w:rFonts w:ascii="Times New Roman" w:hAnsi="Times New Roman" w:cs="Times New Roman"/>
          <w:sz w:val="24"/>
          <w:szCs w:val="24"/>
        </w:rPr>
        <w:t xml:space="preserve"> Etro and Ioannis Kokkoris (eds), </w:t>
      </w:r>
      <w:r w:rsidRPr="00D40D37">
        <w:rPr>
          <w:rFonts w:ascii="Times New Roman" w:hAnsi="Times New Roman" w:cs="Times New Roman"/>
          <w:i/>
          <w:iCs/>
          <w:sz w:val="24"/>
          <w:szCs w:val="24"/>
        </w:rPr>
        <w:t>Competition Law and the Enforcement of Article 102</w:t>
      </w:r>
      <w:r w:rsidRPr="00D40D37">
        <w:rPr>
          <w:rFonts w:ascii="Times New Roman" w:hAnsi="Times New Roman" w:cs="Times New Roman"/>
          <w:sz w:val="24"/>
          <w:szCs w:val="24"/>
        </w:rPr>
        <w:t xml:space="preserve"> (OUP 2010)</w:t>
      </w:r>
      <w:r>
        <w:rPr>
          <w:rFonts w:ascii="Times New Roman" w:hAnsi="Times New Roman" w:cs="Times New Roman"/>
          <w:sz w:val="24"/>
          <w:szCs w:val="24"/>
        </w:rPr>
        <w:t xml:space="preserve"> 53-72 </w:t>
      </w:r>
    </w:p>
    <w:p w14:paraId="6E151C47" w14:textId="0F4F4205" w:rsidR="00F146DF" w:rsidRPr="00C87964"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Mazhelis,</w:t>
      </w:r>
      <w:r>
        <w:rPr>
          <w:rFonts w:ascii="Times New Roman" w:hAnsi="Times New Roman" w:cs="Times New Roman"/>
          <w:sz w:val="24"/>
          <w:szCs w:val="24"/>
          <w:lang w:val="en-US"/>
        </w:rPr>
        <w:t xml:space="preserve"> O.,</w:t>
      </w:r>
      <w:r w:rsidRPr="00D40D37">
        <w:rPr>
          <w:rFonts w:ascii="Times New Roman" w:hAnsi="Times New Roman" w:cs="Times New Roman"/>
          <w:sz w:val="24"/>
          <w:szCs w:val="24"/>
          <w:lang w:val="en-US"/>
        </w:rPr>
        <w:t xml:space="preserve"> Luoma,</w:t>
      </w:r>
      <w:r>
        <w:rPr>
          <w:rFonts w:ascii="Times New Roman" w:hAnsi="Times New Roman" w:cs="Times New Roman"/>
          <w:sz w:val="24"/>
          <w:szCs w:val="24"/>
          <w:lang w:val="en-US"/>
        </w:rPr>
        <w:t xml:space="preserve"> E.</w:t>
      </w:r>
      <w:r w:rsidRPr="00D40D37">
        <w:rPr>
          <w:rFonts w:ascii="Times New Roman" w:hAnsi="Times New Roman" w:cs="Times New Roman"/>
          <w:sz w:val="24"/>
          <w:szCs w:val="24"/>
          <w:lang w:val="en-US"/>
        </w:rPr>
        <w:t xml:space="preserve"> and Warma,</w:t>
      </w:r>
      <w:r>
        <w:rPr>
          <w:rFonts w:ascii="Times New Roman" w:hAnsi="Times New Roman" w:cs="Times New Roman"/>
          <w:sz w:val="24"/>
          <w:szCs w:val="24"/>
          <w:lang w:val="en-US"/>
        </w:rPr>
        <w:t xml:space="preserve"> H.</w:t>
      </w:r>
      <w:r w:rsidR="00D34468">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‘Defining an Internet-of-Things Ecosystem’ in S. Andreev, S. Balandin and Y. Koucheryavy (eds), </w:t>
      </w:r>
      <w:r w:rsidRPr="00D40D37">
        <w:rPr>
          <w:rFonts w:ascii="Times New Roman" w:hAnsi="Times New Roman" w:cs="Times New Roman"/>
          <w:i/>
          <w:iCs/>
          <w:sz w:val="24"/>
          <w:szCs w:val="24"/>
          <w:lang w:val="en-US"/>
        </w:rPr>
        <w:t>Internet of Things, Smart Spaces, and Next Generation Networking</w:t>
      </w:r>
      <w:r w:rsidRPr="00D40D37">
        <w:rPr>
          <w:rFonts w:ascii="Times New Roman" w:hAnsi="Times New Roman" w:cs="Times New Roman"/>
          <w:sz w:val="24"/>
          <w:szCs w:val="24"/>
          <w:lang w:val="en-US"/>
        </w:rPr>
        <w:t xml:space="preserve"> (Springer 2012)</w:t>
      </w:r>
      <w:r>
        <w:rPr>
          <w:rFonts w:ascii="Times New Roman" w:hAnsi="Times New Roman" w:cs="Times New Roman"/>
          <w:sz w:val="24"/>
          <w:szCs w:val="24"/>
          <w:lang w:val="en-US"/>
        </w:rPr>
        <w:t xml:space="preserve"> </w:t>
      </w:r>
      <w:r w:rsidRPr="00C87964">
        <w:rPr>
          <w:rFonts w:ascii="Times New Roman" w:hAnsi="Times New Roman" w:cs="Times New Roman"/>
          <w:sz w:val="24"/>
          <w:szCs w:val="24"/>
        </w:rPr>
        <w:t>1</w:t>
      </w:r>
      <w:r>
        <w:rPr>
          <w:rFonts w:ascii="Times New Roman" w:hAnsi="Times New Roman" w:cs="Times New Roman"/>
          <w:sz w:val="24"/>
          <w:szCs w:val="24"/>
        </w:rPr>
        <w:t>-</w:t>
      </w:r>
      <w:r w:rsidRPr="00C87964">
        <w:rPr>
          <w:rFonts w:ascii="Times New Roman" w:hAnsi="Times New Roman" w:cs="Times New Roman"/>
          <w:sz w:val="24"/>
          <w:szCs w:val="24"/>
        </w:rPr>
        <w:t>14</w:t>
      </w:r>
    </w:p>
    <w:p w14:paraId="3AEAB399" w14:textId="6EA47D8D"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Melody, </w:t>
      </w:r>
      <w:r>
        <w:rPr>
          <w:rFonts w:ascii="Times New Roman" w:hAnsi="Times New Roman" w:cs="Times New Roman"/>
          <w:sz w:val="24"/>
          <w:szCs w:val="24"/>
        </w:rPr>
        <w:t>W. H.</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i/>
          <w:iCs/>
          <w:sz w:val="24"/>
          <w:szCs w:val="24"/>
        </w:rPr>
        <w:t>Telecom Reform: Principles, Policies and Regulatory Practices</w:t>
      </w:r>
      <w:r w:rsidRPr="00D40D37">
        <w:rPr>
          <w:rFonts w:ascii="Times New Roman" w:hAnsi="Times New Roman" w:cs="Times New Roman"/>
          <w:sz w:val="24"/>
          <w:szCs w:val="24"/>
        </w:rPr>
        <w:t xml:space="preserve"> (Private Ingeniørfond, Technical University of Denmark 1997)</w:t>
      </w:r>
    </w:p>
    <w:p w14:paraId="58F8CC52" w14:textId="77777777"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Nihoul</w:t>
      </w:r>
      <w:r>
        <w:rPr>
          <w:rFonts w:ascii="Times New Roman" w:hAnsi="Times New Roman" w:cs="Times New Roman"/>
          <w:sz w:val="24"/>
          <w:szCs w:val="24"/>
        </w:rPr>
        <w:t>, P</w:t>
      </w:r>
      <w:r w:rsidRPr="00D40D37">
        <w:rPr>
          <w:rFonts w:ascii="Times New Roman" w:hAnsi="Times New Roman" w:cs="Times New Roman"/>
          <w:sz w:val="24"/>
          <w:szCs w:val="24"/>
        </w:rPr>
        <w:t xml:space="preserve"> and Rodford,</w:t>
      </w:r>
      <w:r>
        <w:rPr>
          <w:rFonts w:ascii="Times New Roman" w:hAnsi="Times New Roman" w:cs="Times New Roman"/>
          <w:sz w:val="24"/>
          <w:szCs w:val="24"/>
        </w:rPr>
        <w:t xml:space="preserve"> P.</w:t>
      </w:r>
      <w:r w:rsidRPr="00D40D37">
        <w:rPr>
          <w:rFonts w:ascii="Times New Roman" w:hAnsi="Times New Roman" w:cs="Times New Roman"/>
          <w:sz w:val="24"/>
          <w:szCs w:val="24"/>
        </w:rPr>
        <w:t xml:space="preserve"> </w:t>
      </w:r>
      <w:r w:rsidRPr="00D40D37">
        <w:rPr>
          <w:rFonts w:ascii="Times New Roman" w:hAnsi="Times New Roman" w:cs="Times New Roman"/>
          <w:i/>
          <w:iCs/>
          <w:sz w:val="24"/>
          <w:szCs w:val="24"/>
        </w:rPr>
        <w:t>EU Electronic Communications Law: Competition and Regulation in the European Telecommunications Market</w:t>
      </w:r>
      <w:r w:rsidRPr="00D40D37">
        <w:rPr>
          <w:rFonts w:ascii="Times New Roman" w:hAnsi="Times New Roman" w:cs="Times New Roman"/>
          <w:sz w:val="24"/>
          <w:szCs w:val="24"/>
        </w:rPr>
        <w:t xml:space="preserve"> (OUP 2004)</w:t>
      </w:r>
    </w:p>
    <w:p w14:paraId="5BC35A87" w14:textId="37716BDB"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Norman,</w:t>
      </w:r>
      <w:r>
        <w:rPr>
          <w:rFonts w:ascii="Times New Roman" w:hAnsi="Times New Roman" w:cs="Times New Roman"/>
          <w:sz w:val="24"/>
          <w:szCs w:val="24"/>
        </w:rPr>
        <w:t xml:space="preserve"> H.</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w:t>
      </w:r>
      <w:r w:rsidRPr="00D40D37">
        <w:rPr>
          <w:rFonts w:ascii="Times New Roman" w:hAnsi="Times New Roman" w:cs="Times New Roman"/>
          <w:i/>
          <w:sz w:val="24"/>
          <w:szCs w:val="24"/>
        </w:rPr>
        <w:t>Intellectual Property Law</w:t>
      </w:r>
      <w:r w:rsidRPr="00D40D37">
        <w:rPr>
          <w:rFonts w:ascii="Times New Roman" w:hAnsi="Times New Roman" w:cs="Times New Roman"/>
          <w:sz w:val="24"/>
          <w:szCs w:val="24"/>
        </w:rPr>
        <w:t xml:space="preserve"> (OUP 2011)</w:t>
      </w:r>
    </w:p>
    <w:p w14:paraId="7074C6BB" w14:textId="15437E1D"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Nuechterlein</w:t>
      </w:r>
      <w:r>
        <w:rPr>
          <w:rFonts w:ascii="Times New Roman" w:hAnsi="Times New Roman" w:cs="Times New Roman"/>
          <w:sz w:val="24"/>
          <w:szCs w:val="24"/>
        </w:rPr>
        <w:t>,</w:t>
      </w:r>
      <w:r w:rsidRPr="00D40D37">
        <w:rPr>
          <w:rFonts w:ascii="Times New Roman" w:hAnsi="Times New Roman" w:cs="Times New Roman"/>
          <w:sz w:val="24"/>
          <w:szCs w:val="24"/>
        </w:rPr>
        <w:t xml:space="preserve"> J</w:t>
      </w:r>
      <w:r>
        <w:rPr>
          <w:rFonts w:ascii="Times New Roman" w:hAnsi="Times New Roman" w:cs="Times New Roman"/>
          <w:sz w:val="24"/>
          <w:szCs w:val="24"/>
        </w:rPr>
        <w:t>.</w:t>
      </w:r>
      <w:r w:rsidRPr="00D40D37">
        <w:rPr>
          <w:rFonts w:ascii="Times New Roman" w:hAnsi="Times New Roman" w:cs="Times New Roman"/>
          <w:sz w:val="24"/>
          <w:szCs w:val="24"/>
        </w:rPr>
        <w:t xml:space="preserve"> E. and Weiser, P</w:t>
      </w:r>
      <w:r>
        <w:rPr>
          <w:rFonts w:ascii="Times New Roman" w:hAnsi="Times New Roman" w:cs="Times New Roman"/>
          <w:sz w:val="24"/>
          <w:szCs w:val="24"/>
        </w:rPr>
        <w:t>.</w:t>
      </w:r>
      <w:r w:rsidRPr="00D40D37">
        <w:rPr>
          <w:rFonts w:ascii="Times New Roman" w:hAnsi="Times New Roman" w:cs="Times New Roman"/>
          <w:sz w:val="24"/>
          <w:szCs w:val="24"/>
        </w:rPr>
        <w:t xml:space="preserve"> J.</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i/>
          <w:iCs/>
          <w:sz w:val="24"/>
          <w:szCs w:val="24"/>
        </w:rPr>
        <w:t>Digital Crossroads: Telecommunications Law and Policy in the Internet Age</w:t>
      </w:r>
      <w:r w:rsidRPr="00D40D37">
        <w:rPr>
          <w:rFonts w:ascii="Times New Roman" w:hAnsi="Times New Roman" w:cs="Times New Roman"/>
          <w:sz w:val="24"/>
          <w:szCs w:val="24"/>
        </w:rPr>
        <w:t xml:space="preserve"> (2</w:t>
      </w:r>
      <w:r>
        <w:rPr>
          <w:rFonts w:ascii="Times New Roman" w:hAnsi="Times New Roman" w:cs="Times New Roman"/>
          <w:sz w:val="24"/>
          <w:szCs w:val="24"/>
        </w:rPr>
        <w:t xml:space="preserve">nd </w:t>
      </w:r>
      <w:r w:rsidRPr="00D40D37">
        <w:rPr>
          <w:rFonts w:ascii="Times New Roman" w:hAnsi="Times New Roman" w:cs="Times New Roman"/>
          <w:sz w:val="24"/>
          <w:szCs w:val="24"/>
        </w:rPr>
        <w:t>edn, The MIT Press 2013)</w:t>
      </w:r>
    </w:p>
    <w:p w14:paraId="4AF8DE08" w14:textId="5949D1EF"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Otero,</w:t>
      </w:r>
      <w:r>
        <w:rPr>
          <w:rFonts w:ascii="Times New Roman" w:hAnsi="Times New Roman" w:cs="Times New Roman"/>
          <w:sz w:val="24"/>
          <w:szCs w:val="24"/>
        </w:rPr>
        <w:t xml:space="preserve"> B. G.</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‘Compelling disclosure of software interoperability information: A risk for innovation or a balanced solution?’ in G. B. Dinwoodie (eds), </w:t>
      </w:r>
      <w:r w:rsidRPr="00D40D37">
        <w:rPr>
          <w:rFonts w:ascii="Times New Roman" w:hAnsi="Times New Roman" w:cs="Times New Roman"/>
          <w:i/>
          <w:iCs/>
          <w:sz w:val="24"/>
          <w:szCs w:val="24"/>
        </w:rPr>
        <w:t>Intellectual Property and General Legal Principles: Is IP a Lex Specialis</w:t>
      </w:r>
      <w:r w:rsidRPr="00D40D37">
        <w:rPr>
          <w:rFonts w:ascii="Times New Roman" w:hAnsi="Times New Roman" w:cs="Times New Roman"/>
          <w:sz w:val="24"/>
          <w:szCs w:val="24"/>
        </w:rPr>
        <w:t>? (Edward Elgar 2015)</w:t>
      </w:r>
      <w:r>
        <w:rPr>
          <w:rFonts w:ascii="Times New Roman" w:hAnsi="Times New Roman" w:cs="Times New Roman"/>
          <w:sz w:val="24"/>
          <w:szCs w:val="24"/>
        </w:rPr>
        <w:t xml:space="preserve"> 69-90</w:t>
      </w:r>
    </w:p>
    <w:p w14:paraId="7E7EACC7" w14:textId="77777777" w:rsidR="00D34468" w:rsidRDefault="00D34468"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Palfrey</w:t>
      </w:r>
      <w:r>
        <w:rPr>
          <w:rFonts w:ascii="Times New Roman" w:hAnsi="Times New Roman" w:cs="Times New Roman"/>
          <w:sz w:val="24"/>
          <w:szCs w:val="24"/>
        </w:rPr>
        <w:t>, J.</w:t>
      </w:r>
      <w:r w:rsidRPr="00D40D37">
        <w:rPr>
          <w:rFonts w:ascii="Times New Roman" w:hAnsi="Times New Roman" w:cs="Times New Roman"/>
          <w:sz w:val="24"/>
          <w:szCs w:val="24"/>
        </w:rPr>
        <w:t xml:space="preserve"> and Gasser,</w:t>
      </w:r>
      <w:r>
        <w:rPr>
          <w:rFonts w:ascii="Times New Roman" w:hAnsi="Times New Roman" w:cs="Times New Roman"/>
          <w:sz w:val="24"/>
          <w:szCs w:val="24"/>
        </w:rPr>
        <w:t xml:space="preserve"> U.,</w:t>
      </w:r>
      <w:r w:rsidRPr="00D40D37">
        <w:rPr>
          <w:rFonts w:ascii="Times New Roman" w:hAnsi="Times New Roman" w:cs="Times New Roman"/>
          <w:sz w:val="24"/>
          <w:szCs w:val="24"/>
        </w:rPr>
        <w:t xml:space="preserve"> </w:t>
      </w:r>
      <w:r w:rsidRPr="00D40D37">
        <w:rPr>
          <w:rFonts w:ascii="Times New Roman" w:hAnsi="Times New Roman" w:cs="Times New Roman"/>
          <w:i/>
          <w:iCs/>
          <w:sz w:val="24"/>
          <w:szCs w:val="24"/>
        </w:rPr>
        <w:t>Interop: The promise and perils of highly interconnected systems</w:t>
      </w:r>
      <w:r w:rsidRPr="00D40D37">
        <w:rPr>
          <w:rFonts w:ascii="Times New Roman" w:hAnsi="Times New Roman" w:cs="Times New Roman"/>
          <w:sz w:val="24"/>
          <w:szCs w:val="24"/>
        </w:rPr>
        <w:t xml:space="preserve"> (Basic Books 2012)</w:t>
      </w:r>
    </w:p>
    <w:p w14:paraId="486ABA8A" w14:textId="4934827C"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Petrovčič, </w:t>
      </w:r>
      <w:r>
        <w:rPr>
          <w:rFonts w:ascii="Times New Roman" w:hAnsi="Times New Roman" w:cs="Times New Roman"/>
          <w:sz w:val="24"/>
          <w:szCs w:val="24"/>
        </w:rPr>
        <w:t xml:space="preserve">U. </w:t>
      </w:r>
      <w:r w:rsidRPr="00D40D37">
        <w:rPr>
          <w:rFonts w:ascii="Times New Roman" w:hAnsi="Times New Roman" w:cs="Times New Roman"/>
          <w:i/>
          <w:iCs/>
          <w:sz w:val="24"/>
          <w:szCs w:val="24"/>
        </w:rPr>
        <w:t>Competition Law and Standard Essential Patents: A Transatlantic Perspective</w:t>
      </w:r>
      <w:r w:rsidRPr="00D40D37">
        <w:rPr>
          <w:rFonts w:ascii="Times New Roman" w:hAnsi="Times New Roman" w:cs="Times New Roman"/>
          <w:sz w:val="24"/>
          <w:szCs w:val="24"/>
        </w:rPr>
        <w:t xml:space="preserve"> </w:t>
      </w:r>
      <w:r w:rsidRPr="00D40D37">
        <w:rPr>
          <w:rFonts w:ascii="Times New Roman" w:hAnsi="Times New Roman" w:cs="Times New Roman"/>
          <w:sz w:val="24"/>
          <w:szCs w:val="24"/>
          <w:lang w:val="tr-TR"/>
        </w:rPr>
        <w:t>(</w:t>
      </w:r>
      <w:r w:rsidRPr="00D40D37">
        <w:rPr>
          <w:rFonts w:ascii="Times New Roman" w:hAnsi="Times New Roman" w:cs="Times New Roman"/>
          <w:sz w:val="24"/>
          <w:szCs w:val="24"/>
        </w:rPr>
        <w:t>Kluwer Law International BV 2014)</w:t>
      </w:r>
    </w:p>
    <w:p w14:paraId="41830D9C" w14:textId="0007AEE5"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Psygkas, </w:t>
      </w:r>
      <w:r>
        <w:rPr>
          <w:rFonts w:ascii="Times New Roman" w:hAnsi="Times New Roman" w:cs="Times New Roman"/>
          <w:sz w:val="24"/>
          <w:szCs w:val="24"/>
        </w:rPr>
        <w:t>A.</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i/>
          <w:iCs/>
          <w:sz w:val="24"/>
          <w:szCs w:val="24"/>
        </w:rPr>
        <w:t>From the “Democratic Deficit” to a “Democratic Surplus”: Constructing Administrative Democracy in Europe</w:t>
      </w:r>
      <w:r w:rsidRPr="00D40D37">
        <w:rPr>
          <w:rFonts w:ascii="Times New Roman" w:hAnsi="Times New Roman" w:cs="Times New Roman"/>
          <w:sz w:val="24"/>
          <w:szCs w:val="24"/>
        </w:rPr>
        <w:t xml:space="preserve"> (OUP 2017)</w:t>
      </w:r>
    </w:p>
    <w:p w14:paraId="5BADEC77" w14:textId="41CD3E57"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tr-TR"/>
        </w:rPr>
        <w:t>Schilling,</w:t>
      </w:r>
      <w:r>
        <w:rPr>
          <w:rFonts w:ascii="Times New Roman" w:hAnsi="Times New Roman" w:cs="Times New Roman"/>
          <w:sz w:val="24"/>
          <w:szCs w:val="24"/>
          <w:lang w:val="tr-TR"/>
        </w:rPr>
        <w:t xml:space="preserve"> </w:t>
      </w:r>
      <w:r w:rsidRPr="00D40D37">
        <w:rPr>
          <w:rFonts w:ascii="Times New Roman" w:hAnsi="Times New Roman" w:cs="Times New Roman"/>
          <w:sz w:val="24"/>
          <w:szCs w:val="24"/>
          <w:lang w:val="tr-TR"/>
        </w:rPr>
        <w:t>M</w:t>
      </w:r>
      <w:r>
        <w:rPr>
          <w:rFonts w:ascii="Times New Roman" w:hAnsi="Times New Roman" w:cs="Times New Roman"/>
          <w:sz w:val="24"/>
          <w:szCs w:val="24"/>
          <w:lang w:val="tr-TR"/>
        </w:rPr>
        <w:t>.</w:t>
      </w:r>
      <w:r w:rsidRPr="00D40D37">
        <w:rPr>
          <w:rFonts w:ascii="Times New Roman" w:hAnsi="Times New Roman" w:cs="Times New Roman"/>
          <w:sz w:val="24"/>
          <w:szCs w:val="24"/>
          <w:lang w:val="tr-TR"/>
        </w:rPr>
        <w:t xml:space="preserve"> A.</w:t>
      </w:r>
      <w:r w:rsidR="00D34468">
        <w:rPr>
          <w:rFonts w:ascii="Times New Roman" w:hAnsi="Times New Roman" w:cs="Times New Roman"/>
          <w:sz w:val="24"/>
          <w:szCs w:val="24"/>
          <w:lang w:val="tr-TR"/>
        </w:rPr>
        <w:t>,</w:t>
      </w:r>
      <w:r w:rsidRPr="00D40D37">
        <w:rPr>
          <w:rFonts w:ascii="Times New Roman" w:hAnsi="Times New Roman" w:cs="Times New Roman"/>
          <w:sz w:val="24"/>
          <w:szCs w:val="24"/>
          <w:lang w:val="tr-TR"/>
        </w:rPr>
        <w:t xml:space="preserve"> ‘Protecting or diffusing a technology platform: tradeoffs in appropriability, network externalities, and architectural control’ in Annabelle Gawer, (ed</w:t>
      </w:r>
      <w:r>
        <w:rPr>
          <w:rFonts w:ascii="Times New Roman" w:hAnsi="Times New Roman" w:cs="Times New Roman"/>
          <w:sz w:val="24"/>
          <w:szCs w:val="24"/>
          <w:lang w:val="tr-TR"/>
        </w:rPr>
        <w:t>s</w:t>
      </w:r>
      <w:r w:rsidRPr="00D40D37">
        <w:rPr>
          <w:rFonts w:ascii="Times New Roman" w:hAnsi="Times New Roman" w:cs="Times New Roman"/>
          <w:sz w:val="24"/>
          <w:szCs w:val="24"/>
          <w:lang w:val="tr-TR"/>
        </w:rPr>
        <w:t xml:space="preserve">) </w:t>
      </w:r>
      <w:r w:rsidRPr="00D40D37">
        <w:rPr>
          <w:rFonts w:ascii="Times New Roman" w:hAnsi="Times New Roman" w:cs="Times New Roman"/>
          <w:i/>
          <w:iCs/>
          <w:sz w:val="24"/>
          <w:szCs w:val="24"/>
          <w:lang w:val="tr-TR"/>
        </w:rPr>
        <w:t>Platforms, Markets and Innovation</w:t>
      </w:r>
      <w:r w:rsidRPr="00D40D37">
        <w:rPr>
          <w:rFonts w:ascii="Times New Roman" w:hAnsi="Times New Roman" w:cs="Times New Roman"/>
          <w:sz w:val="24"/>
          <w:szCs w:val="24"/>
          <w:lang w:val="tr-TR"/>
        </w:rPr>
        <w:t xml:space="preserve"> (Edward Elgar 2009)</w:t>
      </w:r>
      <w:r>
        <w:rPr>
          <w:rFonts w:ascii="Times New Roman" w:hAnsi="Times New Roman" w:cs="Times New Roman"/>
          <w:sz w:val="24"/>
          <w:szCs w:val="24"/>
          <w:lang w:val="tr-TR"/>
        </w:rPr>
        <w:t xml:space="preserve"> 192-218</w:t>
      </w:r>
    </w:p>
    <w:p w14:paraId="60950BA0" w14:textId="03B06971" w:rsidR="0018341B" w:rsidRDefault="0018341B" w:rsidP="00F146DF">
      <w:pPr>
        <w:pStyle w:val="ListParagraph"/>
        <w:numPr>
          <w:ilvl w:val="0"/>
          <w:numId w:val="22"/>
        </w:numPr>
        <w:jc w:val="both"/>
        <w:rPr>
          <w:rFonts w:ascii="Times New Roman" w:hAnsi="Times New Roman" w:cs="Times New Roman"/>
          <w:sz w:val="24"/>
          <w:szCs w:val="24"/>
        </w:rPr>
      </w:pPr>
      <w:r w:rsidRPr="004E3D5B">
        <w:rPr>
          <w:rFonts w:ascii="Times New Roman" w:hAnsi="Times New Roman" w:cs="Times New Roman"/>
          <w:sz w:val="24"/>
          <w:szCs w:val="24"/>
        </w:rPr>
        <w:t>Schneider</w:t>
      </w:r>
      <w:r>
        <w:rPr>
          <w:rFonts w:ascii="Times New Roman" w:hAnsi="Times New Roman" w:cs="Times New Roman"/>
          <w:sz w:val="24"/>
          <w:szCs w:val="24"/>
        </w:rPr>
        <w:t>, V.</w:t>
      </w:r>
      <w:r w:rsidRPr="004E3D5B">
        <w:rPr>
          <w:rFonts w:ascii="Times New Roman" w:hAnsi="Times New Roman" w:cs="Times New Roman"/>
          <w:sz w:val="24"/>
          <w:szCs w:val="24"/>
        </w:rPr>
        <w:t xml:space="preserve"> and Bauer,</w:t>
      </w:r>
      <w:r>
        <w:rPr>
          <w:rFonts w:ascii="Times New Roman" w:hAnsi="Times New Roman" w:cs="Times New Roman"/>
          <w:sz w:val="24"/>
          <w:szCs w:val="24"/>
        </w:rPr>
        <w:t xml:space="preserve"> J. M.,</w:t>
      </w:r>
      <w:r w:rsidRPr="004E3D5B">
        <w:rPr>
          <w:rFonts w:ascii="Times New Roman" w:hAnsi="Times New Roman" w:cs="Times New Roman"/>
          <w:sz w:val="24"/>
          <w:szCs w:val="24"/>
        </w:rPr>
        <w:t xml:space="preserve"> ‘A network science approach to the Internet’ in J</w:t>
      </w:r>
      <w:r w:rsidR="004C0266">
        <w:rPr>
          <w:rFonts w:ascii="Times New Roman" w:hAnsi="Times New Roman" w:cs="Times New Roman"/>
          <w:sz w:val="24"/>
          <w:szCs w:val="24"/>
        </w:rPr>
        <w:t>.</w:t>
      </w:r>
      <w:r w:rsidRPr="004E3D5B">
        <w:rPr>
          <w:rFonts w:ascii="Times New Roman" w:hAnsi="Times New Roman" w:cs="Times New Roman"/>
          <w:sz w:val="24"/>
          <w:szCs w:val="24"/>
        </w:rPr>
        <w:t xml:space="preserve"> M. Bauer and M</w:t>
      </w:r>
      <w:r w:rsidR="004C0266">
        <w:rPr>
          <w:rFonts w:ascii="Times New Roman" w:hAnsi="Times New Roman" w:cs="Times New Roman"/>
          <w:sz w:val="24"/>
          <w:szCs w:val="24"/>
        </w:rPr>
        <w:t>.</w:t>
      </w:r>
      <w:r w:rsidRPr="004E3D5B">
        <w:rPr>
          <w:rFonts w:ascii="Times New Roman" w:hAnsi="Times New Roman" w:cs="Times New Roman"/>
          <w:sz w:val="24"/>
          <w:szCs w:val="24"/>
        </w:rPr>
        <w:t xml:space="preserve"> Latzer (eds), Handbook on the Economics of the Internet (Edward Elgar 2016) 72-90</w:t>
      </w:r>
    </w:p>
    <w:p w14:paraId="3A55866B" w14:textId="79DD5D74" w:rsidR="00F146DF" w:rsidRPr="000E6B4C"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Shawish</w:t>
      </w:r>
      <w:r>
        <w:rPr>
          <w:rFonts w:ascii="Times New Roman" w:hAnsi="Times New Roman" w:cs="Times New Roman"/>
          <w:sz w:val="24"/>
          <w:szCs w:val="24"/>
        </w:rPr>
        <w:t>, A.</w:t>
      </w:r>
      <w:r w:rsidRPr="00D40D37">
        <w:rPr>
          <w:rFonts w:ascii="Times New Roman" w:hAnsi="Times New Roman" w:cs="Times New Roman"/>
          <w:sz w:val="24"/>
          <w:szCs w:val="24"/>
        </w:rPr>
        <w:t xml:space="preserve"> and Salama, </w:t>
      </w:r>
      <w:r>
        <w:rPr>
          <w:rFonts w:ascii="Times New Roman" w:hAnsi="Times New Roman" w:cs="Times New Roman"/>
          <w:sz w:val="24"/>
          <w:szCs w:val="24"/>
        </w:rPr>
        <w:t>M.</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sz w:val="24"/>
          <w:szCs w:val="24"/>
        </w:rPr>
        <w:t xml:space="preserve">‘Cloud Computing: Paradigms and Technologies’ in F. Xhafa and N. Bessis (eds), </w:t>
      </w:r>
      <w:r w:rsidRPr="00D40D37">
        <w:rPr>
          <w:rFonts w:ascii="Times New Roman" w:hAnsi="Times New Roman" w:cs="Times New Roman"/>
          <w:i/>
          <w:iCs/>
          <w:sz w:val="24"/>
          <w:szCs w:val="24"/>
        </w:rPr>
        <w:t>Inter-cooperative Collective Intelligence: Techniques and Applications, Studies in Computational Intelligence</w:t>
      </w:r>
      <w:r w:rsidRPr="00D40D37">
        <w:rPr>
          <w:rFonts w:ascii="Times New Roman" w:hAnsi="Times New Roman" w:cs="Times New Roman"/>
          <w:sz w:val="24"/>
          <w:szCs w:val="24"/>
        </w:rPr>
        <w:t xml:space="preserve"> (Springer-Verlag Berlin Heidelberg, 2014) 39-67.</w:t>
      </w:r>
    </w:p>
    <w:p w14:paraId="7E129401" w14:textId="3C572E6A"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lastRenderedPageBreak/>
        <w:t>Spulber,</w:t>
      </w:r>
      <w:r>
        <w:rPr>
          <w:rFonts w:ascii="Times New Roman" w:hAnsi="Times New Roman" w:cs="Times New Roman"/>
          <w:sz w:val="24"/>
          <w:szCs w:val="24"/>
          <w:lang w:val="en-US"/>
        </w:rPr>
        <w:t xml:space="preserve"> D. F.</w:t>
      </w:r>
      <w:r w:rsidR="00D34468">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‘Competition Policy in Telecommunications’ in M. Cave, Sumit K. Majumdar and I. Vogelsang (eds), </w:t>
      </w:r>
      <w:r w:rsidRPr="00D40D37">
        <w:rPr>
          <w:rFonts w:ascii="Times New Roman" w:hAnsi="Times New Roman" w:cs="Times New Roman"/>
          <w:i/>
          <w:iCs/>
          <w:sz w:val="24"/>
          <w:szCs w:val="24"/>
          <w:lang w:val="en-US"/>
        </w:rPr>
        <w:t>Handbook of Telecommunications Economics</w:t>
      </w:r>
      <w:r w:rsidRPr="00D40D37">
        <w:rPr>
          <w:rFonts w:ascii="Times New Roman" w:hAnsi="Times New Roman" w:cs="Times New Roman"/>
          <w:sz w:val="24"/>
          <w:szCs w:val="24"/>
          <w:lang w:val="en-US"/>
        </w:rPr>
        <w:t xml:space="preserve"> (Elsevier Science B. V. 2002)</w:t>
      </w:r>
      <w:r>
        <w:rPr>
          <w:rFonts w:ascii="Times New Roman" w:hAnsi="Times New Roman" w:cs="Times New Roman"/>
          <w:sz w:val="24"/>
          <w:szCs w:val="24"/>
          <w:lang w:val="en-US"/>
        </w:rPr>
        <w:t xml:space="preserve"> 477-508</w:t>
      </w:r>
    </w:p>
    <w:p w14:paraId="29C4E21A" w14:textId="5CB75769"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Sutor, Robert S.</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‘Software Standards, Openness, and Interoperability’ in Laura DeNardis (eds), </w:t>
      </w:r>
      <w:r w:rsidRPr="004F6975">
        <w:rPr>
          <w:rFonts w:ascii="Times New Roman" w:hAnsi="Times New Roman" w:cs="Times New Roman"/>
          <w:i/>
          <w:iCs/>
          <w:sz w:val="24"/>
          <w:szCs w:val="24"/>
        </w:rPr>
        <w:t>Opening Standards: The Global Politics of Interoperability</w:t>
      </w:r>
      <w:r w:rsidRPr="00D40D37">
        <w:rPr>
          <w:rFonts w:ascii="Times New Roman" w:hAnsi="Times New Roman" w:cs="Times New Roman"/>
          <w:sz w:val="24"/>
          <w:szCs w:val="24"/>
        </w:rPr>
        <w:t xml:space="preserve"> (The MIT Press 2011)</w:t>
      </w:r>
      <w:r>
        <w:rPr>
          <w:rFonts w:ascii="Times New Roman" w:hAnsi="Times New Roman" w:cs="Times New Roman"/>
          <w:sz w:val="24"/>
          <w:szCs w:val="24"/>
        </w:rPr>
        <w:t xml:space="preserve"> 209-217</w:t>
      </w:r>
    </w:p>
    <w:p w14:paraId="0122BD1E" w14:textId="00A14093" w:rsidR="00F146DF" w:rsidRDefault="00F146DF" w:rsidP="00F146DF">
      <w:pPr>
        <w:pStyle w:val="ListParagraph"/>
        <w:numPr>
          <w:ilvl w:val="0"/>
          <w:numId w:val="22"/>
        </w:numPr>
        <w:jc w:val="both"/>
        <w:rPr>
          <w:rFonts w:ascii="Times New Roman" w:hAnsi="Times New Roman" w:cs="Times New Roman"/>
          <w:sz w:val="24"/>
          <w:szCs w:val="24"/>
        </w:rPr>
      </w:pPr>
      <w:r w:rsidRPr="0092450A">
        <w:rPr>
          <w:rFonts w:ascii="Times New Roman" w:hAnsi="Times New Roman" w:cs="Times New Roman"/>
          <w:sz w:val="24"/>
          <w:szCs w:val="24"/>
        </w:rPr>
        <w:t>Thomas, G.</w:t>
      </w:r>
      <w:r w:rsidR="00D34468">
        <w:rPr>
          <w:rFonts w:ascii="Times New Roman" w:hAnsi="Times New Roman" w:cs="Times New Roman"/>
          <w:sz w:val="24"/>
          <w:szCs w:val="24"/>
        </w:rPr>
        <w:t>,</w:t>
      </w:r>
      <w:r w:rsidRPr="0092450A">
        <w:rPr>
          <w:rFonts w:ascii="Times New Roman" w:hAnsi="Times New Roman" w:cs="Times New Roman"/>
          <w:sz w:val="24"/>
          <w:szCs w:val="24"/>
        </w:rPr>
        <w:t xml:space="preserve"> </w:t>
      </w:r>
      <w:r w:rsidRPr="00426C17">
        <w:rPr>
          <w:rFonts w:ascii="Times New Roman" w:hAnsi="Times New Roman" w:cs="Times New Roman"/>
          <w:i/>
          <w:iCs/>
          <w:sz w:val="24"/>
          <w:szCs w:val="24"/>
        </w:rPr>
        <w:t>How to do your case study</w:t>
      </w:r>
      <w:r w:rsidRPr="0092450A">
        <w:rPr>
          <w:rFonts w:ascii="Times New Roman" w:hAnsi="Times New Roman" w:cs="Times New Roman"/>
          <w:sz w:val="24"/>
          <w:szCs w:val="24"/>
        </w:rPr>
        <w:t xml:space="preserve"> (2nd edn, Sage 2016)</w:t>
      </w:r>
    </w:p>
    <w:p w14:paraId="2CBDC7D2" w14:textId="77777777" w:rsidR="00F146DF" w:rsidRDefault="00F146DF" w:rsidP="00F146DF">
      <w:pPr>
        <w:pStyle w:val="ListParagraph"/>
        <w:numPr>
          <w:ilvl w:val="0"/>
          <w:numId w:val="22"/>
        </w:numPr>
        <w:jc w:val="both"/>
        <w:rPr>
          <w:rFonts w:ascii="Times New Roman" w:hAnsi="Times New Roman" w:cs="Times New Roman"/>
          <w:sz w:val="24"/>
          <w:szCs w:val="24"/>
        </w:rPr>
      </w:pPr>
      <w:r w:rsidRPr="0092450A">
        <w:rPr>
          <w:rFonts w:ascii="Times New Roman" w:hAnsi="Times New Roman" w:cs="Times New Roman"/>
          <w:sz w:val="24"/>
          <w:szCs w:val="24"/>
        </w:rPr>
        <w:t>Tight,</w:t>
      </w:r>
      <w:r>
        <w:rPr>
          <w:rFonts w:ascii="Times New Roman" w:hAnsi="Times New Roman" w:cs="Times New Roman"/>
          <w:sz w:val="24"/>
          <w:szCs w:val="24"/>
        </w:rPr>
        <w:t xml:space="preserve"> M.</w:t>
      </w:r>
      <w:r w:rsidRPr="0092450A">
        <w:rPr>
          <w:rFonts w:ascii="Times New Roman" w:hAnsi="Times New Roman" w:cs="Times New Roman"/>
          <w:sz w:val="24"/>
          <w:szCs w:val="24"/>
        </w:rPr>
        <w:t xml:space="preserve"> </w:t>
      </w:r>
      <w:r w:rsidRPr="004F6975">
        <w:rPr>
          <w:rFonts w:ascii="Times New Roman" w:hAnsi="Times New Roman" w:cs="Times New Roman"/>
          <w:i/>
          <w:iCs/>
          <w:sz w:val="24"/>
          <w:szCs w:val="24"/>
        </w:rPr>
        <w:t>Understanding Case Study Research: Small-scale Research with Meaning</w:t>
      </w:r>
      <w:r w:rsidRPr="0092450A">
        <w:rPr>
          <w:rFonts w:ascii="Times New Roman" w:hAnsi="Times New Roman" w:cs="Times New Roman"/>
          <w:sz w:val="24"/>
          <w:szCs w:val="24"/>
        </w:rPr>
        <w:t xml:space="preserve"> (Sage 2017).</w:t>
      </w:r>
    </w:p>
    <w:p w14:paraId="07A7854E" w14:textId="4536EA52"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Tsilas, N</w:t>
      </w:r>
      <w:r>
        <w:rPr>
          <w:rFonts w:ascii="Times New Roman" w:hAnsi="Times New Roman" w:cs="Times New Roman"/>
          <w:sz w:val="24"/>
          <w:szCs w:val="24"/>
        </w:rPr>
        <w:t>.</w:t>
      </w:r>
      <w:r w:rsidRPr="00D40D37">
        <w:rPr>
          <w:rFonts w:ascii="Times New Roman" w:hAnsi="Times New Roman" w:cs="Times New Roman"/>
          <w:sz w:val="24"/>
          <w:szCs w:val="24"/>
        </w:rPr>
        <w:t xml:space="preserve"> L.</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‘Open Innovation and Interoperability’ in L. DeNardis (eds), </w:t>
      </w:r>
      <w:r w:rsidRPr="00D40D37">
        <w:rPr>
          <w:rFonts w:ascii="Times New Roman" w:hAnsi="Times New Roman" w:cs="Times New Roman"/>
          <w:i/>
          <w:iCs/>
          <w:sz w:val="24"/>
          <w:szCs w:val="24"/>
        </w:rPr>
        <w:t>Opening Standards: The Global Politics of Interoperability</w:t>
      </w:r>
      <w:r w:rsidRPr="00D40D37">
        <w:rPr>
          <w:rFonts w:ascii="Times New Roman" w:hAnsi="Times New Roman" w:cs="Times New Roman"/>
          <w:sz w:val="24"/>
          <w:szCs w:val="24"/>
        </w:rPr>
        <w:t xml:space="preserve"> (The MIT Press 2011)</w:t>
      </w:r>
    </w:p>
    <w:p w14:paraId="40B1C14A" w14:textId="66C817FE"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Uckelmann,</w:t>
      </w:r>
      <w:r>
        <w:rPr>
          <w:rFonts w:ascii="Times New Roman" w:hAnsi="Times New Roman" w:cs="Times New Roman"/>
          <w:sz w:val="24"/>
          <w:szCs w:val="24"/>
        </w:rPr>
        <w:t xml:space="preserve"> D.,</w:t>
      </w:r>
      <w:r w:rsidRPr="00D40D37">
        <w:rPr>
          <w:rFonts w:ascii="Times New Roman" w:hAnsi="Times New Roman" w:cs="Times New Roman"/>
          <w:sz w:val="24"/>
          <w:szCs w:val="24"/>
        </w:rPr>
        <w:t xml:space="preserve"> Harrison, </w:t>
      </w:r>
      <w:r>
        <w:rPr>
          <w:rFonts w:ascii="Times New Roman" w:hAnsi="Times New Roman" w:cs="Times New Roman"/>
          <w:sz w:val="24"/>
          <w:szCs w:val="24"/>
        </w:rPr>
        <w:t xml:space="preserve">M. and </w:t>
      </w:r>
      <w:r w:rsidRPr="00D40D37">
        <w:rPr>
          <w:rFonts w:ascii="Times New Roman" w:hAnsi="Times New Roman" w:cs="Times New Roman"/>
          <w:sz w:val="24"/>
          <w:szCs w:val="24"/>
        </w:rPr>
        <w:t>Michahelles,</w:t>
      </w:r>
      <w:r>
        <w:rPr>
          <w:rFonts w:ascii="Times New Roman" w:hAnsi="Times New Roman" w:cs="Times New Roman"/>
          <w:sz w:val="24"/>
          <w:szCs w:val="24"/>
        </w:rPr>
        <w:t xml:space="preserve"> F.</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‘An Architectural Approach Towards the Future Internet of Things’ </w:t>
      </w:r>
      <w:r w:rsidRPr="00D40D37">
        <w:rPr>
          <w:rFonts w:ascii="Times New Roman" w:hAnsi="Times New Roman" w:cs="Times New Roman"/>
          <w:sz w:val="24"/>
          <w:szCs w:val="24"/>
          <w:lang w:val="en-US"/>
        </w:rPr>
        <w:t>in D</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Uckelmann, M</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Harrison and F</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Michahelles (eds), </w:t>
      </w:r>
      <w:r w:rsidRPr="00D40D37">
        <w:rPr>
          <w:rFonts w:ascii="Times New Roman" w:hAnsi="Times New Roman" w:cs="Times New Roman"/>
          <w:i/>
          <w:iCs/>
          <w:sz w:val="24"/>
          <w:szCs w:val="24"/>
          <w:lang w:val="en-US"/>
        </w:rPr>
        <w:t>Architecting the Internet of Things</w:t>
      </w:r>
      <w:r w:rsidRPr="00D40D37">
        <w:rPr>
          <w:rFonts w:ascii="Times New Roman" w:hAnsi="Times New Roman" w:cs="Times New Roman"/>
          <w:sz w:val="24"/>
          <w:szCs w:val="24"/>
          <w:lang w:val="en-US"/>
        </w:rPr>
        <w:t xml:space="preserve"> (</w:t>
      </w:r>
      <w:r w:rsidRPr="00D40D37">
        <w:rPr>
          <w:rFonts w:ascii="Times New Roman" w:hAnsi="Times New Roman" w:cs="Times New Roman"/>
          <w:sz w:val="24"/>
          <w:szCs w:val="24"/>
        </w:rPr>
        <w:t>Springer</w:t>
      </w:r>
      <w:r w:rsidRPr="00D40D37">
        <w:rPr>
          <w:rFonts w:ascii="Times New Roman" w:hAnsi="Times New Roman" w:cs="Times New Roman"/>
          <w:sz w:val="24"/>
          <w:szCs w:val="24"/>
          <w:lang w:val="en-US"/>
        </w:rPr>
        <w:t xml:space="preserve"> 2011)</w:t>
      </w:r>
    </w:p>
    <w:p w14:paraId="4A0EB3AC" w14:textId="3CEC6061" w:rsidR="00265FFC" w:rsidRPr="00692824" w:rsidRDefault="00265FFC" w:rsidP="00F146DF">
      <w:pPr>
        <w:pStyle w:val="ListParagraph"/>
        <w:numPr>
          <w:ilvl w:val="0"/>
          <w:numId w:val="22"/>
        </w:numPr>
        <w:jc w:val="both"/>
        <w:rPr>
          <w:rFonts w:ascii="Times New Roman" w:hAnsi="Times New Roman" w:cs="Times New Roman"/>
          <w:sz w:val="24"/>
          <w:szCs w:val="24"/>
        </w:rPr>
      </w:pPr>
      <w:r w:rsidRPr="00265FFC">
        <w:rPr>
          <w:rFonts w:ascii="Times New Roman" w:hAnsi="Times New Roman" w:cs="Times New Roman"/>
          <w:sz w:val="24"/>
          <w:szCs w:val="24"/>
        </w:rPr>
        <w:t>Vaidhyanathan,</w:t>
      </w:r>
      <w:r>
        <w:rPr>
          <w:rFonts w:ascii="Times New Roman" w:hAnsi="Times New Roman" w:cs="Times New Roman"/>
          <w:sz w:val="24"/>
          <w:szCs w:val="24"/>
        </w:rPr>
        <w:t xml:space="preserve"> S.,</w:t>
      </w:r>
      <w:r w:rsidRPr="00265FFC">
        <w:rPr>
          <w:rFonts w:ascii="Times New Roman" w:hAnsi="Times New Roman" w:cs="Times New Roman"/>
          <w:sz w:val="24"/>
          <w:szCs w:val="24"/>
        </w:rPr>
        <w:t xml:space="preserve"> </w:t>
      </w:r>
      <w:r w:rsidRPr="00692824">
        <w:rPr>
          <w:rFonts w:ascii="Times New Roman" w:hAnsi="Times New Roman" w:cs="Times New Roman"/>
          <w:i/>
          <w:iCs/>
          <w:sz w:val="24"/>
          <w:szCs w:val="24"/>
        </w:rPr>
        <w:t>Copyright and Copywrongs: The rise of Intellectual Property and How It Threatens Creativity</w:t>
      </w:r>
      <w:r w:rsidRPr="00265FFC">
        <w:rPr>
          <w:rFonts w:ascii="Times New Roman" w:hAnsi="Times New Roman" w:cs="Times New Roman"/>
          <w:sz w:val="24"/>
          <w:szCs w:val="24"/>
        </w:rPr>
        <w:t xml:space="preserve"> (New York University Press 2001)</w:t>
      </w:r>
    </w:p>
    <w:p w14:paraId="7E50FBB3" w14:textId="5F5B3BB7" w:rsidR="00F146DF" w:rsidRPr="00182243"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Van Eechoud,</w:t>
      </w:r>
      <w:r>
        <w:rPr>
          <w:rFonts w:ascii="Times New Roman" w:hAnsi="Times New Roman" w:cs="Times New Roman"/>
          <w:sz w:val="24"/>
          <w:szCs w:val="24"/>
          <w:lang w:val="en-US"/>
        </w:rPr>
        <w:t xml:space="preserve"> M.,</w:t>
      </w:r>
      <w:r w:rsidRPr="00D40D37">
        <w:rPr>
          <w:rFonts w:ascii="Times New Roman" w:hAnsi="Times New Roman" w:cs="Times New Roman"/>
          <w:sz w:val="24"/>
          <w:szCs w:val="24"/>
          <w:lang w:val="en-US"/>
        </w:rPr>
        <w:t xml:space="preserve"> Hugenholtz,</w:t>
      </w:r>
      <w:r>
        <w:rPr>
          <w:rFonts w:ascii="Times New Roman" w:hAnsi="Times New Roman" w:cs="Times New Roman"/>
          <w:sz w:val="24"/>
          <w:szCs w:val="24"/>
          <w:lang w:val="en-US"/>
        </w:rPr>
        <w:t xml:space="preserve"> P. B.,</w:t>
      </w:r>
      <w:r w:rsidRPr="00D40D37">
        <w:rPr>
          <w:rFonts w:ascii="Times New Roman" w:hAnsi="Times New Roman" w:cs="Times New Roman"/>
          <w:sz w:val="24"/>
          <w:szCs w:val="24"/>
          <w:lang w:val="en-US"/>
        </w:rPr>
        <w:t xml:space="preserve"> </w:t>
      </w:r>
      <w:r>
        <w:rPr>
          <w:rFonts w:ascii="Times New Roman" w:hAnsi="Times New Roman" w:cs="Times New Roman"/>
          <w:sz w:val="24"/>
          <w:szCs w:val="24"/>
          <w:lang w:val="en-US"/>
        </w:rPr>
        <w:t>V</w:t>
      </w:r>
      <w:r w:rsidRPr="00D40D37">
        <w:rPr>
          <w:rFonts w:ascii="Times New Roman" w:hAnsi="Times New Roman" w:cs="Times New Roman"/>
          <w:sz w:val="24"/>
          <w:szCs w:val="24"/>
          <w:lang w:val="en-US"/>
        </w:rPr>
        <w:t>an Gompel,</w:t>
      </w:r>
      <w:r>
        <w:rPr>
          <w:rFonts w:ascii="Times New Roman" w:hAnsi="Times New Roman" w:cs="Times New Roman"/>
          <w:sz w:val="24"/>
          <w:szCs w:val="24"/>
          <w:lang w:val="en-US"/>
        </w:rPr>
        <w:t xml:space="preserve"> S.</w:t>
      </w:r>
      <w:r w:rsidRPr="00D40D37">
        <w:rPr>
          <w:rFonts w:ascii="Times New Roman" w:hAnsi="Times New Roman" w:cs="Times New Roman"/>
          <w:sz w:val="24"/>
          <w:szCs w:val="24"/>
          <w:lang w:val="en-US"/>
        </w:rPr>
        <w:t xml:space="preserve"> Lucie Guibault and Helberger,</w:t>
      </w:r>
      <w:r>
        <w:rPr>
          <w:rFonts w:ascii="Times New Roman" w:hAnsi="Times New Roman" w:cs="Times New Roman"/>
          <w:sz w:val="24"/>
          <w:szCs w:val="24"/>
          <w:lang w:val="en-US"/>
        </w:rPr>
        <w:t xml:space="preserve"> N.</w:t>
      </w:r>
      <w:r w:rsidRPr="00D40D37">
        <w:rPr>
          <w:rFonts w:ascii="Times New Roman" w:hAnsi="Times New Roman" w:cs="Times New Roman"/>
          <w:sz w:val="24"/>
          <w:szCs w:val="24"/>
          <w:lang w:val="en-US"/>
        </w:rPr>
        <w:t xml:space="preserve"> </w:t>
      </w:r>
      <w:r w:rsidRPr="00D40D37">
        <w:rPr>
          <w:rFonts w:ascii="Times New Roman" w:hAnsi="Times New Roman" w:cs="Times New Roman"/>
          <w:i/>
          <w:sz w:val="24"/>
          <w:szCs w:val="24"/>
          <w:lang w:val="en-US"/>
        </w:rPr>
        <w:t xml:space="preserve">Harmonizing European Copyright Law: The Challenges of Better Lawmaking </w:t>
      </w:r>
      <w:r w:rsidRPr="00D40D37">
        <w:rPr>
          <w:rFonts w:ascii="Times New Roman" w:hAnsi="Times New Roman" w:cs="Times New Roman"/>
          <w:sz w:val="24"/>
          <w:szCs w:val="24"/>
          <w:lang w:val="en-US"/>
        </w:rPr>
        <w:t>(Kluwer Law International 2009)</w:t>
      </w:r>
    </w:p>
    <w:p w14:paraId="03D4F306" w14:textId="77777777" w:rsidR="00F146DF" w:rsidRPr="00521877" w:rsidRDefault="00F146DF" w:rsidP="00F146DF">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V</w:t>
      </w:r>
      <w:r w:rsidRPr="00D40D37">
        <w:rPr>
          <w:rFonts w:ascii="Times New Roman" w:hAnsi="Times New Roman" w:cs="Times New Roman"/>
          <w:sz w:val="24"/>
          <w:szCs w:val="24"/>
        </w:rPr>
        <w:t>an Rooijen,</w:t>
      </w:r>
      <w:r>
        <w:rPr>
          <w:rFonts w:ascii="Times New Roman" w:hAnsi="Times New Roman" w:cs="Times New Roman"/>
          <w:sz w:val="24"/>
          <w:szCs w:val="24"/>
        </w:rPr>
        <w:t xml:space="preserve"> A.</w:t>
      </w:r>
      <w:r w:rsidRPr="00D40D37">
        <w:rPr>
          <w:rFonts w:ascii="Times New Roman" w:hAnsi="Times New Roman" w:cs="Times New Roman"/>
          <w:sz w:val="24"/>
          <w:szCs w:val="24"/>
        </w:rPr>
        <w:t xml:space="preserve"> </w:t>
      </w:r>
      <w:r w:rsidRPr="00D40D37">
        <w:rPr>
          <w:rFonts w:ascii="Times New Roman" w:hAnsi="Times New Roman" w:cs="Times New Roman"/>
          <w:i/>
          <w:iCs/>
          <w:sz w:val="24"/>
          <w:szCs w:val="24"/>
        </w:rPr>
        <w:t xml:space="preserve">The Software Interface Between Copyright and Competition Law: A Legal Analysis of Interoperability in Computer </w:t>
      </w:r>
      <w:r w:rsidRPr="00D40D37">
        <w:rPr>
          <w:rFonts w:ascii="Times New Roman" w:hAnsi="Times New Roman" w:cs="Times New Roman"/>
          <w:i/>
          <w:iCs/>
          <w:sz w:val="24"/>
          <w:szCs w:val="24"/>
        </w:rPr>
        <w:lastRenderedPageBreak/>
        <w:t>Programs</w:t>
      </w:r>
      <w:r w:rsidRPr="00D40D37">
        <w:rPr>
          <w:rFonts w:ascii="Times New Roman" w:hAnsi="Times New Roman" w:cs="Times New Roman"/>
          <w:sz w:val="24"/>
          <w:szCs w:val="24"/>
        </w:rPr>
        <w:t xml:space="preserve"> </w:t>
      </w:r>
      <w:r w:rsidRPr="00D40D37">
        <w:rPr>
          <w:rFonts w:ascii="Times New Roman" w:hAnsi="Times New Roman" w:cs="Times New Roman"/>
          <w:sz w:val="24"/>
          <w:szCs w:val="24"/>
          <w:lang w:val="tr-TR"/>
        </w:rPr>
        <w:t>(</w:t>
      </w:r>
      <w:r w:rsidRPr="00D40D37">
        <w:rPr>
          <w:rFonts w:ascii="Times New Roman" w:hAnsi="Times New Roman" w:cs="Times New Roman"/>
          <w:sz w:val="24"/>
          <w:szCs w:val="24"/>
        </w:rPr>
        <w:t>Kluwer Law International, Information Law Series, Vol. 20, 2011)</w:t>
      </w:r>
    </w:p>
    <w:p w14:paraId="1B7BDD5C" w14:textId="254D462A" w:rsidR="00F146DF" w:rsidRDefault="00F146DF" w:rsidP="00F146DF">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V</w:t>
      </w:r>
      <w:r w:rsidRPr="00D40D37">
        <w:rPr>
          <w:rFonts w:ascii="Times New Roman" w:hAnsi="Times New Roman" w:cs="Times New Roman"/>
          <w:sz w:val="24"/>
          <w:szCs w:val="24"/>
        </w:rPr>
        <w:t>an Schewick, B</w:t>
      </w:r>
      <w:r>
        <w:rPr>
          <w:rFonts w:ascii="Times New Roman" w:hAnsi="Times New Roman" w:cs="Times New Roman"/>
          <w:sz w:val="24"/>
          <w:szCs w:val="24"/>
        </w:rPr>
        <w:t>.</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w:t>
      </w:r>
      <w:r w:rsidRPr="004F6975">
        <w:rPr>
          <w:rFonts w:ascii="Times New Roman" w:hAnsi="Times New Roman" w:cs="Times New Roman"/>
          <w:i/>
          <w:iCs/>
          <w:sz w:val="24"/>
          <w:szCs w:val="24"/>
        </w:rPr>
        <w:t>Internet Architecture and Innovation</w:t>
      </w:r>
      <w:r w:rsidRPr="00D40D37">
        <w:rPr>
          <w:rFonts w:ascii="Times New Roman" w:hAnsi="Times New Roman" w:cs="Times New Roman"/>
          <w:sz w:val="24"/>
          <w:szCs w:val="24"/>
        </w:rPr>
        <w:t xml:space="preserve"> (The MIT Press 2012)</w:t>
      </w:r>
    </w:p>
    <w:p w14:paraId="79E7E464" w14:textId="6FC1A001"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Walden, </w:t>
      </w:r>
      <w:r>
        <w:rPr>
          <w:rFonts w:ascii="Times New Roman" w:hAnsi="Times New Roman" w:cs="Times New Roman"/>
          <w:sz w:val="24"/>
          <w:szCs w:val="24"/>
        </w:rPr>
        <w:t>I.</w:t>
      </w:r>
      <w:r w:rsidR="00D34468">
        <w:rPr>
          <w:rFonts w:ascii="Times New Roman" w:hAnsi="Times New Roman" w:cs="Times New Roman"/>
          <w:sz w:val="24"/>
          <w:szCs w:val="24"/>
        </w:rPr>
        <w:t>,</w:t>
      </w:r>
      <w:r>
        <w:rPr>
          <w:rFonts w:ascii="Times New Roman" w:hAnsi="Times New Roman" w:cs="Times New Roman"/>
          <w:sz w:val="24"/>
          <w:szCs w:val="24"/>
        </w:rPr>
        <w:t xml:space="preserve"> </w:t>
      </w:r>
      <w:r w:rsidRPr="00D40D37">
        <w:rPr>
          <w:rFonts w:ascii="Times New Roman" w:hAnsi="Times New Roman" w:cs="Times New Roman"/>
          <w:sz w:val="24"/>
          <w:szCs w:val="24"/>
        </w:rPr>
        <w:t>‘Open Source as Philosophy, Methodology, and Commerce: Using Law with Attitude’ in N</w:t>
      </w:r>
      <w:r>
        <w:rPr>
          <w:rFonts w:ascii="Times New Roman" w:hAnsi="Times New Roman" w:cs="Times New Roman"/>
          <w:sz w:val="24"/>
          <w:szCs w:val="24"/>
        </w:rPr>
        <w:t>.</w:t>
      </w:r>
      <w:r w:rsidRPr="00D40D37">
        <w:rPr>
          <w:rFonts w:ascii="Times New Roman" w:hAnsi="Times New Roman" w:cs="Times New Roman"/>
          <w:sz w:val="24"/>
          <w:szCs w:val="24"/>
        </w:rPr>
        <w:t xml:space="preserve"> Shemtov and I</w:t>
      </w:r>
      <w:r>
        <w:rPr>
          <w:rFonts w:ascii="Times New Roman" w:hAnsi="Times New Roman" w:cs="Times New Roman"/>
          <w:sz w:val="24"/>
          <w:szCs w:val="24"/>
        </w:rPr>
        <w:t>.</w:t>
      </w:r>
      <w:r w:rsidRPr="00D40D37">
        <w:rPr>
          <w:rFonts w:ascii="Times New Roman" w:hAnsi="Times New Roman" w:cs="Times New Roman"/>
          <w:sz w:val="24"/>
          <w:szCs w:val="24"/>
        </w:rPr>
        <w:t xml:space="preserve"> Walden (eds), </w:t>
      </w:r>
      <w:r w:rsidRPr="004F6975">
        <w:rPr>
          <w:rFonts w:ascii="Times New Roman" w:hAnsi="Times New Roman" w:cs="Times New Roman"/>
          <w:i/>
          <w:iCs/>
          <w:sz w:val="24"/>
          <w:szCs w:val="24"/>
        </w:rPr>
        <w:t>Free and Open Source Software</w:t>
      </w:r>
      <w:r w:rsidRPr="00D40D37">
        <w:rPr>
          <w:rFonts w:ascii="Times New Roman" w:hAnsi="Times New Roman" w:cs="Times New Roman"/>
          <w:sz w:val="24"/>
          <w:szCs w:val="24"/>
        </w:rPr>
        <w:t xml:space="preserve"> (OUP 2013)</w:t>
      </w:r>
    </w:p>
    <w:p w14:paraId="5031C597" w14:textId="72242D89"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tr-TR"/>
        </w:rPr>
        <w:t>Walden</w:t>
      </w:r>
      <w:r>
        <w:rPr>
          <w:rFonts w:ascii="Times New Roman" w:hAnsi="Times New Roman" w:cs="Times New Roman"/>
          <w:sz w:val="24"/>
          <w:szCs w:val="24"/>
          <w:lang w:val="tr-TR"/>
        </w:rPr>
        <w:t>, I.</w:t>
      </w:r>
      <w:r w:rsidR="00D34468">
        <w:rPr>
          <w:rFonts w:ascii="Times New Roman" w:hAnsi="Times New Roman" w:cs="Times New Roman"/>
          <w:sz w:val="24"/>
          <w:szCs w:val="24"/>
          <w:lang w:val="tr-TR"/>
        </w:rPr>
        <w:t>,</w:t>
      </w:r>
      <w:r w:rsidRPr="00D40D37">
        <w:rPr>
          <w:rFonts w:ascii="Times New Roman" w:hAnsi="Times New Roman" w:cs="Times New Roman"/>
          <w:sz w:val="24"/>
          <w:szCs w:val="24"/>
          <w:lang w:val="tr-TR"/>
        </w:rPr>
        <w:t xml:space="preserve"> ‘Access and Interconnection’ in I</w:t>
      </w:r>
      <w:r>
        <w:rPr>
          <w:rFonts w:ascii="Times New Roman" w:hAnsi="Times New Roman" w:cs="Times New Roman"/>
          <w:sz w:val="24"/>
          <w:szCs w:val="24"/>
          <w:lang w:val="tr-TR"/>
        </w:rPr>
        <w:t>.</w:t>
      </w:r>
      <w:r w:rsidRPr="00D40D37">
        <w:rPr>
          <w:rFonts w:ascii="Times New Roman" w:hAnsi="Times New Roman" w:cs="Times New Roman"/>
          <w:sz w:val="24"/>
          <w:szCs w:val="24"/>
          <w:lang w:val="tr-TR"/>
        </w:rPr>
        <w:t xml:space="preserve"> Walden (eds)</w:t>
      </w:r>
      <w:r>
        <w:rPr>
          <w:rFonts w:ascii="Times New Roman" w:hAnsi="Times New Roman" w:cs="Times New Roman"/>
          <w:sz w:val="24"/>
          <w:szCs w:val="24"/>
          <w:lang w:val="tr-TR"/>
        </w:rPr>
        <w:t>,</w:t>
      </w:r>
      <w:r w:rsidRPr="00D40D37">
        <w:rPr>
          <w:rFonts w:ascii="Times New Roman" w:hAnsi="Times New Roman" w:cs="Times New Roman"/>
          <w:sz w:val="24"/>
          <w:szCs w:val="24"/>
          <w:lang w:val="tr-TR"/>
        </w:rPr>
        <w:t xml:space="preserve"> </w:t>
      </w:r>
      <w:r w:rsidRPr="00D40D37">
        <w:rPr>
          <w:rFonts w:ascii="Times New Roman" w:hAnsi="Times New Roman" w:cs="Times New Roman"/>
          <w:i/>
          <w:iCs/>
          <w:sz w:val="24"/>
          <w:szCs w:val="24"/>
          <w:lang w:val="tr-TR"/>
        </w:rPr>
        <w:t>Telecommunications Law and Regulation</w:t>
      </w:r>
      <w:r w:rsidRPr="00D40D37">
        <w:rPr>
          <w:rFonts w:ascii="Times New Roman" w:hAnsi="Times New Roman" w:cs="Times New Roman"/>
          <w:sz w:val="24"/>
          <w:szCs w:val="24"/>
          <w:lang w:val="tr-TR"/>
        </w:rPr>
        <w:t xml:space="preserve"> (4th edn, OUP 2012)</w:t>
      </w:r>
    </w:p>
    <w:p w14:paraId="20761609" w14:textId="70F3E59D" w:rsidR="00F146DF" w:rsidRPr="00D40D37"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Walden,</w:t>
      </w:r>
      <w:r>
        <w:rPr>
          <w:rFonts w:ascii="Times New Roman" w:hAnsi="Times New Roman" w:cs="Times New Roman"/>
          <w:sz w:val="24"/>
          <w:szCs w:val="24"/>
          <w:lang w:val="en-US"/>
        </w:rPr>
        <w:t xml:space="preserve"> I.</w:t>
      </w:r>
      <w:r w:rsidR="00D34468">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‘Access and Interconnection’ in I</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Walden and J</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Angel (eds), </w:t>
      </w:r>
      <w:r w:rsidRPr="00D40D37">
        <w:rPr>
          <w:rFonts w:ascii="Times New Roman" w:hAnsi="Times New Roman" w:cs="Times New Roman"/>
          <w:i/>
          <w:iCs/>
          <w:sz w:val="24"/>
          <w:szCs w:val="24"/>
          <w:lang w:val="en-US"/>
        </w:rPr>
        <w:t>Telecommunications Law and Regulation</w:t>
      </w:r>
      <w:r w:rsidRPr="00D40D37">
        <w:rPr>
          <w:rFonts w:ascii="Times New Roman" w:hAnsi="Times New Roman" w:cs="Times New Roman"/>
          <w:sz w:val="24"/>
          <w:szCs w:val="24"/>
          <w:lang w:val="en-US"/>
        </w:rPr>
        <w:t xml:space="preserve"> (eds), (</w:t>
      </w:r>
      <w:r w:rsidRPr="00D40D37">
        <w:rPr>
          <w:rFonts w:ascii="Times New Roman" w:hAnsi="Times New Roman" w:cs="Times New Roman"/>
          <w:sz w:val="24"/>
          <w:szCs w:val="24"/>
        </w:rPr>
        <w:t xml:space="preserve">2nd edn, OUP </w:t>
      </w:r>
      <w:r w:rsidRPr="00D40D37">
        <w:rPr>
          <w:rFonts w:ascii="Times New Roman" w:hAnsi="Times New Roman" w:cs="Times New Roman"/>
          <w:sz w:val="24"/>
          <w:szCs w:val="24"/>
          <w:lang w:val="en-US"/>
        </w:rPr>
        <w:t>2005)</w:t>
      </w:r>
    </w:p>
    <w:p w14:paraId="6D382B7D" w14:textId="57BCBA2F" w:rsidR="00F146DF" w:rsidRDefault="00F146DF" w:rsidP="00F146DF">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Whish,</w:t>
      </w:r>
      <w:r>
        <w:rPr>
          <w:rFonts w:ascii="Times New Roman" w:hAnsi="Times New Roman" w:cs="Times New Roman"/>
          <w:sz w:val="24"/>
          <w:szCs w:val="24"/>
        </w:rPr>
        <w:t xml:space="preserve"> R.</w:t>
      </w:r>
      <w:r w:rsidR="00D34468">
        <w:rPr>
          <w:rFonts w:ascii="Times New Roman" w:hAnsi="Times New Roman" w:cs="Times New Roman"/>
          <w:sz w:val="24"/>
          <w:szCs w:val="24"/>
        </w:rPr>
        <w:t>,</w:t>
      </w:r>
      <w:r w:rsidRPr="00D40D37">
        <w:rPr>
          <w:rFonts w:ascii="Times New Roman" w:hAnsi="Times New Roman" w:cs="Times New Roman"/>
          <w:sz w:val="24"/>
          <w:szCs w:val="24"/>
        </w:rPr>
        <w:t xml:space="preserve"> </w:t>
      </w:r>
      <w:r w:rsidRPr="000133D6">
        <w:rPr>
          <w:rFonts w:ascii="Times New Roman" w:hAnsi="Times New Roman" w:cs="Times New Roman"/>
          <w:i/>
          <w:iCs/>
          <w:sz w:val="24"/>
          <w:szCs w:val="24"/>
        </w:rPr>
        <w:t>Competition Law</w:t>
      </w:r>
      <w:r w:rsidRPr="00D40D37">
        <w:rPr>
          <w:rFonts w:ascii="Times New Roman" w:hAnsi="Times New Roman" w:cs="Times New Roman"/>
          <w:sz w:val="24"/>
          <w:szCs w:val="24"/>
        </w:rPr>
        <w:t xml:space="preserve"> (</w:t>
      </w:r>
      <w:r w:rsidRPr="00D40D37">
        <w:rPr>
          <w:rFonts w:ascii="Times New Roman" w:hAnsi="Times New Roman" w:cs="Times New Roman"/>
          <w:iCs/>
          <w:sz w:val="24"/>
          <w:szCs w:val="24"/>
        </w:rPr>
        <w:t>5th edn,</w:t>
      </w:r>
      <w:r w:rsidRPr="00D40D37">
        <w:rPr>
          <w:rFonts w:ascii="Times New Roman" w:hAnsi="Times New Roman" w:cs="Times New Roman"/>
          <w:sz w:val="24"/>
          <w:szCs w:val="24"/>
        </w:rPr>
        <w:t xml:space="preserve"> Butterworths 2003)</w:t>
      </w:r>
    </w:p>
    <w:p w14:paraId="0F08A677" w14:textId="7E3F8A8A" w:rsidR="007C5694" w:rsidRPr="00774EDB" w:rsidRDefault="00F146DF">
      <w:pPr>
        <w:pStyle w:val="ListParagraph"/>
        <w:numPr>
          <w:ilvl w:val="0"/>
          <w:numId w:val="22"/>
        </w:numPr>
        <w:jc w:val="both"/>
        <w:rPr>
          <w:rFonts w:ascii="Times New Roman" w:hAnsi="Times New Roman" w:cs="Times New Roman"/>
          <w:sz w:val="24"/>
          <w:szCs w:val="24"/>
        </w:rPr>
      </w:pPr>
      <w:r w:rsidRPr="00150D02">
        <w:rPr>
          <w:rFonts w:ascii="Times New Roman" w:hAnsi="Times New Roman" w:cs="Times New Roman"/>
          <w:sz w:val="24"/>
          <w:szCs w:val="24"/>
        </w:rPr>
        <w:t>Yin, R. K.</w:t>
      </w:r>
      <w:r w:rsidR="00D34468">
        <w:rPr>
          <w:rFonts w:ascii="Times New Roman" w:hAnsi="Times New Roman" w:cs="Times New Roman"/>
          <w:sz w:val="24"/>
          <w:szCs w:val="24"/>
        </w:rPr>
        <w:t>,</w:t>
      </w:r>
      <w:r w:rsidRPr="00150D02">
        <w:rPr>
          <w:rFonts w:ascii="Times New Roman" w:hAnsi="Times New Roman" w:cs="Times New Roman"/>
          <w:sz w:val="24"/>
          <w:szCs w:val="24"/>
        </w:rPr>
        <w:t xml:space="preserve"> </w:t>
      </w:r>
      <w:r w:rsidRPr="000133D6">
        <w:rPr>
          <w:rFonts w:ascii="Times New Roman" w:hAnsi="Times New Roman" w:cs="Times New Roman"/>
          <w:i/>
          <w:iCs/>
          <w:sz w:val="24"/>
          <w:szCs w:val="24"/>
        </w:rPr>
        <w:t>Case Study Research and Applications: Design and Methods</w:t>
      </w:r>
      <w:r w:rsidRPr="00150D02">
        <w:rPr>
          <w:rFonts w:ascii="Times New Roman" w:hAnsi="Times New Roman" w:cs="Times New Roman"/>
          <w:sz w:val="24"/>
          <w:szCs w:val="24"/>
        </w:rPr>
        <w:t xml:space="preserve"> (6th edn, Sage 2018)</w:t>
      </w:r>
    </w:p>
    <w:p w14:paraId="11CCE556" w14:textId="77777777" w:rsidR="00B97CB3" w:rsidRPr="00774EDB" w:rsidRDefault="00B97CB3" w:rsidP="00A70042">
      <w:pPr>
        <w:pStyle w:val="ListParagraph"/>
        <w:ind w:left="1068"/>
        <w:jc w:val="both"/>
        <w:rPr>
          <w:rFonts w:ascii="Times New Roman" w:hAnsi="Times New Roman" w:cs="Times New Roman"/>
          <w:sz w:val="24"/>
          <w:szCs w:val="24"/>
        </w:rPr>
      </w:pPr>
    </w:p>
    <w:p w14:paraId="1DBE143B" w14:textId="23E7E1C4" w:rsidR="00CF46FC" w:rsidRPr="00141C0E" w:rsidRDefault="006307DC" w:rsidP="00A70042">
      <w:pPr>
        <w:jc w:val="both"/>
        <w:rPr>
          <w:rFonts w:ascii="Times New Roman" w:hAnsi="Times New Roman" w:cs="Times New Roman"/>
          <w:sz w:val="24"/>
          <w:szCs w:val="24"/>
        </w:rPr>
      </w:pPr>
      <w:r w:rsidRPr="00141C0E">
        <w:rPr>
          <w:rFonts w:ascii="Times New Roman" w:hAnsi="Times New Roman" w:cs="Times New Roman"/>
          <w:sz w:val="24"/>
          <w:szCs w:val="24"/>
        </w:rPr>
        <w:t>Journal Articles, Reports and Web Sources</w:t>
      </w:r>
    </w:p>
    <w:p w14:paraId="64208516" w14:textId="65AD8B82" w:rsidR="006447FA" w:rsidRPr="00774EDB" w:rsidRDefault="006447FA">
      <w:pPr>
        <w:pStyle w:val="ListParagraph"/>
        <w:ind w:left="1068"/>
        <w:jc w:val="both"/>
        <w:rPr>
          <w:rFonts w:ascii="Times New Roman" w:hAnsi="Times New Roman" w:cs="Times New Roman"/>
          <w:sz w:val="24"/>
          <w:szCs w:val="24"/>
        </w:rPr>
      </w:pPr>
    </w:p>
    <w:p w14:paraId="2791C2EF"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Abbott,</w:t>
      </w:r>
      <w:r>
        <w:rPr>
          <w:rFonts w:ascii="Times New Roman" w:hAnsi="Times New Roman" w:cs="Times New Roman"/>
          <w:sz w:val="24"/>
          <w:szCs w:val="24"/>
        </w:rPr>
        <w:t xml:space="preserve"> J.</w:t>
      </w:r>
      <w:r w:rsidRPr="00D40D37">
        <w:rPr>
          <w:rFonts w:ascii="Times New Roman" w:hAnsi="Times New Roman" w:cs="Times New Roman"/>
          <w:sz w:val="24"/>
          <w:szCs w:val="24"/>
        </w:rPr>
        <w:t xml:space="preserve"> ‘Reverse Engineering of Software: Copyright and Interoperability’ [200</w:t>
      </w:r>
      <w:r>
        <w:rPr>
          <w:rFonts w:ascii="Times New Roman" w:hAnsi="Times New Roman" w:cs="Times New Roman"/>
          <w:sz w:val="24"/>
          <w:szCs w:val="24"/>
        </w:rPr>
        <w:t>3</w:t>
      </w:r>
      <w:r w:rsidRPr="00D40D37">
        <w:rPr>
          <w:rFonts w:ascii="Times New Roman" w:hAnsi="Times New Roman" w:cs="Times New Roman"/>
          <w:sz w:val="24"/>
          <w:szCs w:val="24"/>
        </w:rPr>
        <w:t>] 14 Journal of Law and Information Science</w:t>
      </w:r>
      <w:r>
        <w:rPr>
          <w:rFonts w:ascii="Times New Roman" w:hAnsi="Times New Roman" w:cs="Times New Roman"/>
          <w:sz w:val="24"/>
          <w:szCs w:val="24"/>
        </w:rPr>
        <w:t>,</w:t>
      </w:r>
      <w:r w:rsidRPr="00D40D37">
        <w:rPr>
          <w:rFonts w:ascii="Times New Roman" w:hAnsi="Times New Roman" w:cs="Times New Roman"/>
          <w:sz w:val="24"/>
          <w:szCs w:val="24"/>
        </w:rPr>
        <w:t xml:space="preserve"> 7</w:t>
      </w:r>
      <w:r>
        <w:rPr>
          <w:rFonts w:ascii="Times New Roman" w:hAnsi="Times New Roman" w:cs="Times New Roman"/>
          <w:sz w:val="24"/>
          <w:szCs w:val="24"/>
        </w:rPr>
        <w:t>-49</w:t>
      </w:r>
    </w:p>
    <w:p w14:paraId="1DF0153B"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Ahlborn, C</w:t>
      </w:r>
      <w:r>
        <w:rPr>
          <w:rFonts w:ascii="Times New Roman" w:hAnsi="Times New Roman" w:cs="Times New Roman"/>
          <w:sz w:val="24"/>
          <w:szCs w:val="24"/>
        </w:rPr>
        <w:t>.,</w:t>
      </w:r>
      <w:r w:rsidRPr="00D40D37">
        <w:rPr>
          <w:rFonts w:ascii="Times New Roman" w:hAnsi="Times New Roman" w:cs="Times New Roman"/>
          <w:sz w:val="24"/>
          <w:szCs w:val="24"/>
        </w:rPr>
        <w:t xml:space="preserve"> Evans</w:t>
      </w:r>
      <w:r>
        <w:rPr>
          <w:rFonts w:ascii="Times New Roman" w:hAnsi="Times New Roman" w:cs="Times New Roman"/>
          <w:sz w:val="24"/>
          <w:szCs w:val="24"/>
        </w:rPr>
        <w:t>,</w:t>
      </w:r>
      <w:r w:rsidRPr="00D40D37">
        <w:rPr>
          <w:rFonts w:ascii="Times New Roman" w:hAnsi="Times New Roman" w:cs="Times New Roman"/>
          <w:sz w:val="24"/>
          <w:szCs w:val="24"/>
        </w:rPr>
        <w:t xml:space="preserve"> D</w:t>
      </w:r>
      <w:r>
        <w:rPr>
          <w:rFonts w:ascii="Times New Roman" w:hAnsi="Times New Roman" w:cs="Times New Roman"/>
          <w:sz w:val="24"/>
          <w:szCs w:val="24"/>
        </w:rPr>
        <w:t>.</w:t>
      </w:r>
      <w:r w:rsidRPr="00D40D37">
        <w:rPr>
          <w:rFonts w:ascii="Times New Roman" w:hAnsi="Times New Roman" w:cs="Times New Roman"/>
          <w:sz w:val="24"/>
          <w:szCs w:val="24"/>
        </w:rPr>
        <w:t xml:space="preserve"> S.</w:t>
      </w:r>
      <w:r>
        <w:rPr>
          <w:rFonts w:ascii="Times New Roman" w:hAnsi="Times New Roman" w:cs="Times New Roman"/>
          <w:sz w:val="24"/>
          <w:szCs w:val="24"/>
        </w:rPr>
        <w:t xml:space="preserve"> </w:t>
      </w:r>
      <w:r w:rsidRPr="00D40D37">
        <w:rPr>
          <w:rFonts w:ascii="Times New Roman" w:hAnsi="Times New Roman" w:cs="Times New Roman"/>
          <w:sz w:val="24"/>
          <w:szCs w:val="24"/>
        </w:rPr>
        <w:t>and Padilla, A. J</w:t>
      </w:r>
      <w:r>
        <w:rPr>
          <w:rFonts w:ascii="Times New Roman" w:hAnsi="Times New Roman" w:cs="Times New Roman"/>
          <w:sz w:val="24"/>
          <w:szCs w:val="24"/>
        </w:rPr>
        <w:t>.</w:t>
      </w:r>
      <w:r w:rsidRPr="00D40D37">
        <w:rPr>
          <w:rFonts w:ascii="Times New Roman" w:hAnsi="Times New Roman" w:cs="Times New Roman"/>
          <w:sz w:val="24"/>
          <w:szCs w:val="24"/>
        </w:rPr>
        <w:t xml:space="preserve"> ‘The Logic &amp; Limits of the “Exceptional Circumstances Test” in Magill and IMS Health’ [2005] 28 Fordham International Law Journal, 1109-1156</w:t>
      </w:r>
    </w:p>
    <w:p w14:paraId="1E6B3A13" w14:textId="7583A2A5"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Ahmed</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M. Z</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‘How Cloud Computing Application Architecture is Di</w:t>
      </w:r>
      <w:r w:rsidRPr="00D40D37">
        <w:rPr>
          <w:rFonts w:ascii="Cambria Math" w:hAnsi="Cambria Math" w:cs="Cambria Math"/>
          <w:sz w:val="24"/>
          <w:szCs w:val="24"/>
          <w:lang w:val="en-US"/>
        </w:rPr>
        <w:t>ﬀ</w:t>
      </w:r>
      <w:r w:rsidRPr="00D40D37">
        <w:rPr>
          <w:rFonts w:ascii="Times New Roman" w:hAnsi="Times New Roman" w:cs="Times New Roman"/>
          <w:sz w:val="24"/>
          <w:szCs w:val="24"/>
          <w:lang w:val="en-US"/>
        </w:rPr>
        <w:t xml:space="preserve">erent from Traditional Application Architecture?’ (2015) </w:t>
      </w:r>
      <w:r w:rsidRPr="00D40D37">
        <w:rPr>
          <w:rFonts w:ascii="Times New Roman" w:hAnsi="Times New Roman" w:cs="Times New Roman"/>
          <w:sz w:val="24"/>
          <w:szCs w:val="24"/>
          <w:lang w:val="tr-TR"/>
        </w:rPr>
        <w:lastRenderedPageBreak/>
        <w:t>˂</w:t>
      </w:r>
      <w:r w:rsidRPr="00D40D37">
        <w:rPr>
          <w:rFonts w:ascii="Times New Roman" w:hAnsi="Times New Roman" w:cs="Times New Roman"/>
          <w:sz w:val="24"/>
          <w:szCs w:val="24"/>
          <w:lang w:val="en-US"/>
        </w:rPr>
        <w:t>https://www.linkedin.com/pulse/how-cloud-computing-application-architecture-different-muhammad-ahmed/</w:t>
      </w:r>
      <w:r w:rsidRPr="00D40D37">
        <w:rPr>
          <w:rFonts w:ascii="Times New Roman" w:hAnsi="Times New Roman" w:cs="Times New Roman"/>
          <w:sz w:val="24"/>
          <w:szCs w:val="24"/>
          <w:lang w:val="tr-TR"/>
        </w:rPr>
        <w:t>˃</w:t>
      </w:r>
      <w:r w:rsidRPr="00D40D37">
        <w:rPr>
          <w:rFonts w:ascii="Times New Roman" w:hAnsi="Times New Roman" w:cs="Times New Roman"/>
          <w:sz w:val="24"/>
          <w:szCs w:val="24"/>
          <w:lang w:val="en-US"/>
        </w:rPr>
        <w:t xml:space="preserve"> accessed </w:t>
      </w:r>
      <w:r w:rsidR="00F817B5">
        <w:rPr>
          <w:rFonts w:ascii="Times New Roman" w:hAnsi="Times New Roman" w:cs="Times New Roman"/>
          <w:sz w:val="24"/>
          <w:szCs w:val="24"/>
          <w:lang w:val="en-US"/>
        </w:rPr>
        <w:t>9 October 2020</w:t>
      </w:r>
    </w:p>
    <w:p w14:paraId="129FA2E0"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Alberro</w:t>
      </w:r>
      <w:r>
        <w:rPr>
          <w:rFonts w:ascii="Times New Roman" w:hAnsi="Times New Roman" w:cs="Times New Roman"/>
          <w:sz w:val="24"/>
          <w:szCs w:val="24"/>
        </w:rPr>
        <w:t>, J.</w:t>
      </w:r>
      <w:r w:rsidRPr="00D40D37">
        <w:rPr>
          <w:rFonts w:ascii="Times New Roman" w:hAnsi="Times New Roman" w:cs="Times New Roman"/>
          <w:sz w:val="24"/>
          <w:szCs w:val="24"/>
        </w:rPr>
        <w:t xml:space="preserve"> and Shcwabe, </w:t>
      </w:r>
      <w:r>
        <w:rPr>
          <w:rFonts w:ascii="Times New Roman" w:hAnsi="Times New Roman" w:cs="Times New Roman"/>
          <w:sz w:val="24"/>
          <w:szCs w:val="24"/>
        </w:rPr>
        <w:t>R. ‘</w:t>
      </w:r>
      <w:r w:rsidRPr="00D40D37">
        <w:rPr>
          <w:rFonts w:ascii="Times New Roman" w:hAnsi="Times New Roman" w:cs="Times New Roman"/>
          <w:sz w:val="24"/>
          <w:szCs w:val="24"/>
        </w:rPr>
        <w:t>The Theory of Contestable Markets and its Legacy in Antitrust Practice</w:t>
      </w:r>
      <w:r>
        <w:rPr>
          <w:rFonts w:ascii="Times New Roman" w:hAnsi="Times New Roman" w:cs="Times New Roman"/>
          <w:sz w:val="24"/>
          <w:szCs w:val="24"/>
        </w:rPr>
        <w:t>’</w:t>
      </w:r>
      <w:r w:rsidRPr="00D40D37">
        <w:rPr>
          <w:rFonts w:ascii="Times New Roman" w:hAnsi="Times New Roman" w:cs="Times New Roman"/>
          <w:sz w:val="24"/>
          <w:szCs w:val="24"/>
        </w:rPr>
        <w:t xml:space="preserve"> [2016] 16(1) Economics Committee Newsletter</w:t>
      </w:r>
      <w:r>
        <w:rPr>
          <w:rFonts w:ascii="Times New Roman" w:hAnsi="Times New Roman" w:cs="Times New Roman"/>
          <w:sz w:val="24"/>
          <w:szCs w:val="24"/>
        </w:rPr>
        <w:t>,</w:t>
      </w:r>
      <w:r w:rsidRPr="00D40D37">
        <w:rPr>
          <w:rFonts w:ascii="Times New Roman" w:hAnsi="Times New Roman" w:cs="Times New Roman"/>
          <w:sz w:val="24"/>
          <w:szCs w:val="24"/>
        </w:rPr>
        <w:t xml:space="preserve"> 20-28</w:t>
      </w:r>
    </w:p>
    <w:p w14:paraId="11383927"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Alexiadis,</w:t>
      </w:r>
      <w:r>
        <w:rPr>
          <w:rFonts w:ascii="Times New Roman" w:hAnsi="Times New Roman" w:cs="Times New Roman"/>
          <w:sz w:val="24"/>
          <w:szCs w:val="24"/>
        </w:rPr>
        <w:t xml:space="preserve"> P.</w:t>
      </w:r>
      <w:r w:rsidRPr="00D40D37">
        <w:rPr>
          <w:rFonts w:ascii="Times New Roman" w:hAnsi="Times New Roman" w:cs="Times New Roman"/>
          <w:sz w:val="24"/>
          <w:szCs w:val="24"/>
        </w:rPr>
        <w:t xml:space="preserve"> ‘Forging a European Competition Policy Response to Online Platforms’ [2017] 18(2) Business Law International</w:t>
      </w:r>
      <w:r>
        <w:rPr>
          <w:rFonts w:ascii="Times New Roman" w:hAnsi="Times New Roman" w:cs="Times New Roman"/>
          <w:sz w:val="24"/>
          <w:szCs w:val="24"/>
        </w:rPr>
        <w:t>,</w:t>
      </w:r>
      <w:r w:rsidRPr="00D40D37">
        <w:rPr>
          <w:rFonts w:ascii="Times New Roman" w:hAnsi="Times New Roman" w:cs="Times New Roman"/>
          <w:sz w:val="24"/>
          <w:szCs w:val="24"/>
        </w:rPr>
        <w:t xml:space="preserve"> 91</w:t>
      </w:r>
      <w:r>
        <w:rPr>
          <w:rFonts w:ascii="Times New Roman" w:hAnsi="Times New Roman" w:cs="Times New Roman"/>
          <w:sz w:val="24"/>
          <w:szCs w:val="24"/>
        </w:rPr>
        <w:t>-15</w:t>
      </w:r>
      <w:r w:rsidRPr="00D40D37">
        <w:rPr>
          <w:rFonts w:ascii="Times New Roman" w:hAnsi="Times New Roman" w:cs="Times New Roman"/>
          <w:sz w:val="24"/>
          <w:szCs w:val="24"/>
        </w:rPr>
        <w:t>4</w:t>
      </w:r>
    </w:p>
    <w:p w14:paraId="34F5557A" w14:textId="560381B6"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Alexiadis, </w:t>
      </w:r>
      <w:r>
        <w:rPr>
          <w:rFonts w:ascii="Times New Roman" w:hAnsi="Times New Roman" w:cs="Times New Roman"/>
          <w:sz w:val="24"/>
          <w:szCs w:val="24"/>
        </w:rPr>
        <w:t xml:space="preserve">P. </w:t>
      </w:r>
      <w:r w:rsidRPr="00D40D37">
        <w:rPr>
          <w:rFonts w:ascii="Times New Roman" w:hAnsi="Times New Roman" w:cs="Times New Roman"/>
          <w:sz w:val="24"/>
          <w:szCs w:val="24"/>
        </w:rPr>
        <w:t>‘Balancing the Application of ex post and ex ante Disciplines under Community Law in Electronic Communications Markets: Square Pegs in Round Holes?’ (2012)</w:t>
      </w:r>
      <w:r w:rsidRPr="00D40D37">
        <w:rPr>
          <w:rFonts w:ascii="Times New Roman" w:hAnsi="Times New Roman" w:cs="Times New Roman"/>
          <w:sz w:val="24"/>
          <w:szCs w:val="24"/>
          <w:lang w:val="en-US"/>
        </w:rPr>
        <w:t xml:space="preserve"> </w:t>
      </w:r>
      <w:r w:rsidRPr="00D40D37">
        <w:rPr>
          <w:rFonts w:ascii="Times New Roman" w:hAnsi="Times New Roman" w:cs="Times New Roman"/>
          <w:sz w:val="24"/>
          <w:szCs w:val="24"/>
        </w:rPr>
        <w:t xml:space="preserve">˂https://www.gibsondunn.com/wp-content/uploads/documents/publications/Alexiadis-BalancingtheApplicationofExPostandExAnteDisciplines.pdf˃ accessed </w:t>
      </w:r>
      <w:r w:rsidR="00F817B5">
        <w:rPr>
          <w:rFonts w:ascii="Times New Roman" w:hAnsi="Times New Roman" w:cs="Times New Roman"/>
          <w:sz w:val="24"/>
          <w:szCs w:val="24"/>
        </w:rPr>
        <w:t>9 October 2020</w:t>
      </w:r>
    </w:p>
    <w:p w14:paraId="25084599" w14:textId="54FD011E" w:rsidR="00345744" w:rsidRDefault="00345744" w:rsidP="00E27833">
      <w:pPr>
        <w:pStyle w:val="ListParagraph"/>
        <w:numPr>
          <w:ilvl w:val="0"/>
          <w:numId w:val="22"/>
        </w:numPr>
        <w:jc w:val="both"/>
        <w:rPr>
          <w:rFonts w:ascii="Times New Roman" w:hAnsi="Times New Roman" w:cs="Times New Roman"/>
          <w:sz w:val="24"/>
          <w:szCs w:val="24"/>
        </w:rPr>
      </w:pPr>
      <w:r w:rsidRPr="007269B5">
        <w:rPr>
          <w:rFonts w:ascii="Times New Roman" w:hAnsi="Times New Roman"/>
          <w:sz w:val="24"/>
          <w:szCs w:val="24"/>
        </w:rPr>
        <w:t>Alexiadis</w:t>
      </w:r>
      <w:r>
        <w:rPr>
          <w:rFonts w:ascii="Times New Roman" w:hAnsi="Times New Roman"/>
          <w:sz w:val="24"/>
          <w:szCs w:val="24"/>
        </w:rPr>
        <w:t>, P.</w:t>
      </w:r>
      <w:r w:rsidRPr="007269B5">
        <w:rPr>
          <w:rFonts w:ascii="Times New Roman" w:hAnsi="Times New Roman"/>
          <w:sz w:val="24"/>
          <w:szCs w:val="24"/>
        </w:rPr>
        <w:t xml:space="preserve"> and </w:t>
      </w:r>
      <w:r>
        <w:rPr>
          <w:rFonts w:ascii="Times New Roman" w:hAnsi="Times New Roman"/>
          <w:sz w:val="24"/>
          <w:szCs w:val="24"/>
        </w:rPr>
        <w:t>D</w:t>
      </w:r>
      <w:r w:rsidRPr="007269B5">
        <w:rPr>
          <w:rFonts w:ascii="Times New Roman" w:hAnsi="Times New Roman"/>
          <w:sz w:val="24"/>
          <w:szCs w:val="24"/>
        </w:rPr>
        <w:t>e Streel,</w:t>
      </w:r>
      <w:r>
        <w:rPr>
          <w:rFonts w:ascii="Times New Roman" w:hAnsi="Times New Roman"/>
          <w:sz w:val="24"/>
          <w:szCs w:val="24"/>
        </w:rPr>
        <w:t xml:space="preserve"> A.,</w:t>
      </w:r>
      <w:r w:rsidRPr="007269B5">
        <w:rPr>
          <w:rFonts w:ascii="Times New Roman" w:hAnsi="Times New Roman"/>
          <w:sz w:val="24"/>
          <w:szCs w:val="24"/>
        </w:rPr>
        <w:t xml:space="preserve"> ‘Designing an EU Intervention Standard for Digital Platforms’ (EUI Working Paper RSCAS 2020/14) &lt;https://papers.ssrn.com/sol3/papers.cfm?abstract_id=3544694&gt; accessed </w:t>
      </w:r>
      <w:r>
        <w:rPr>
          <w:rFonts w:ascii="Times New Roman" w:hAnsi="Times New Roman"/>
          <w:sz w:val="24"/>
          <w:szCs w:val="24"/>
        </w:rPr>
        <w:t>9 October</w:t>
      </w:r>
      <w:r w:rsidRPr="007269B5">
        <w:rPr>
          <w:rFonts w:ascii="Times New Roman" w:hAnsi="Times New Roman"/>
          <w:sz w:val="24"/>
          <w:szCs w:val="24"/>
        </w:rPr>
        <w:t xml:space="preserve"> 2020</w:t>
      </w:r>
    </w:p>
    <w:p w14:paraId="42DCE7A9" w14:textId="67C5A999"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Aliprandi</w:t>
      </w:r>
      <w:r>
        <w:rPr>
          <w:rFonts w:ascii="Times New Roman" w:hAnsi="Times New Roman" w:cs="Times New Roman"/>
          <w:sz w:val="24"/>
          <w:szCs w:val="24"/>
        </w:rPr>
        <w:t>, S.</w:t>
      </w:r>
      <w:r w:rsidRPr="00D40D37">
        <w:rPr>
          <w:rFonts w:ascii="Times New Roman" w:hAnsi="Times New Roman" w:cs="Times New Roman"/>
          <w:sz w:val="24"/>
          <w:szCs w:val="24"/>
        </w:rPr>
        <w:t xml:space="preserve"> ‘Interoperability and Open Standards: The Key to True Openness and Innovation’ [2015] 3</w:t>
      </w:r>
      <w:r>
        <w:rPr>
          <w:rFonts w:ascii="Times New Roman" w:hAnsi="Times New Roman" w:cs="Times New Roman"/>
          <w:sz w:val="24"/>
          <w:szCs w:val="24"/>
        </w:rPr>
        <w:t>(1)</w:t>
      </w:r>
      <w:r w:rsidRPr="00D40D37">
        <w:rPr>
          <w:rFonts w:ascii="Times New Roman" w:hAnsi="Times New Roman" w:cs="Times New Roman"/>
          <w:sz w:val="24"/>
          <w:szCs w:val="24"/>
        </w:rPr>
        <w:t xml:space="preserve"> International Free and Open Source Software Law Review</w:t>
      </w:r>
      <w:r>
        <w:rPr>
          <w:rFonts w:ascii="Times New Roman" w:hAnsi="Times New Roman" w:cs="Times New Roman"/>
          <w:sz w:val="24"/>
          <w:szCs w:val="24"/>
        </w:rPr>
        <w:t>,</w:t>
      </w:r>
      <w:r w:rsidRPr="00D40D37">
        <w:rPr>
          <w:rFonts w:ascii="Times New Roman" w:hAnsi="Times New Roman" w:cs="Times New Roman"/>
          <w:sz w:val="24"/>
          <w:szCs w:val="24"/>
        </w:rPr>
        <w:t xml:space="preserve"> </w:t>
      </w:r>
      <w:r>
        <w:rPr>
          <w:rFonts w:ascii="Times New Roman" w:hAnsi="Times New Roman" w:cs="Times New Roman"/>
          <w:sz w:val="24"/>
          <w:szCs w:val="24"/>
        </w:rPr>
        <w:t>5-24</w:t>
      </w:r>
    </w:p>
    <w:p w14:paraId="2FB01D08"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Arnold Porter</w:t>
      </w:r>
      <w:r>
        <w:rPr>
          <w:rFonts w:ascii="Times New Roman" w:hAnsi="Times New Roman" w:cs="Times New Roman"/>
          <w:sz w:val="24"/>
          <w:szCs w:val="24"/>
        </w:rPr>
        <w:t>,</w:t>
      </w:r>
      <w:r w:rsidRPr="00C035E7">
        <w:rPr>
          <w:rFonts w:ascii="Times New Roman" w:hAnsi="Times New Roman" w:cs="Times New Roman"/>
          <w:sz w:val="24"/>
          <w:szCs w:val="24"/>
        </w:rPr>
        <w:t xml:space="preserve"> </w:t>
      </w:r>
      <w:r w:rsidRPr="00D40D37">
        <w:rPr>
          <w:rFonts w:ascii="Times New Roman" w:hAnsi="Times New Roman" w:cs="Times New Roman"/>
          <w:sz w:val="24"/>
          <w:szCs w:val="24"/>
        </w:rPr>
        <w:t xml:space="preserve">European Telecommunications Practice Group, ‘Introduction to the New EU Regulatory Framework for Electronic Communications’, (2002) </w:t>
      </w:r>
    </w:p>
    <w:p w14:paraId="12567F32" w14:textId="5F940100" w:rsidR="00E27833" w:rsidRPr="0052187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Bagnoli,</w:t>
      </w:r>
      <w:r>
        <w:rPr>
          <w:rFonts w:ascii="Times New Roman" w:hAnsi="Times New Roman" w:cs="Times New Roman"/>
          <w:sz w:val="24"/>
          <w:szCs w:val="24"/>
        </w:rPr>
        <w:t xml:space="preserve"> V.</w:t>
      </w:r>
      <w:r w:rsidRPr="00D40D37">
        <w:rPr>
          <w:rFonts w:ascii="Times New Roman" w:hAnsi="Times New Roman" w:cs="Times New Roman"/>
          <w:sz w:val="24"/>
          <w:szCs w:val="24"/>
        </w:rPr>
        <w:t xml:space="preserve"> ‘The big data relevant market as a tool: For a case by case analysis at the digital market’ 12</w:t>
      </w:r>
      <w:r w:rsidRPr="00D40D37">
        <w:rPr>
          <w:rFonts w:ascii="Times New Roman" w:hAnsi="Times New Roman" w:cs="Times New Roman"/>
          <w:sz w:val="24"/>
          <w:szCs w:val="24"/>
          <w:vertAlign w:val="superscript"/>
        </w:rPr>
        <w:t>th</w:t>
      </w:r>
      <w:r w:rsidRPr="00D40D37">
        <w:rPr>
          <w:rFonts w:ascii="Times New Roman" w:hAnsi="Times New Roman" w:cs="Times New Roman"/>
          <w:sz w:val="24"/>
          <w:szCs w:val="24"/>
        </w:rPr>
        <w:t xml:space="preserve"> Ascola Conference (Competition Law </w:t>
      </w:r>
      <w:r w:rsidRPr="00D40D37">
        <w:rPr>
          <w:rFonts w:ascii="Times New Roman" w:hAnsi="Times New Roman" w:cs="Times New Roman"/>
          <w:sz w:val="24"/>
          <w:szCs w:val="24"/>
        </w:rPr>
        <w:lastRenderedPageBreak/>
        <w:t>for the Digital Economy) 12 June 2017) ˂</w:t>
      </w:r>
      <w:hyperlink r:id="rId37" w:history="1">
        <w:r w:rsidRPr="00D40D37">
          <w:rPr>
            <w:rFonts w:ascii="Times New Roman" w:hAnsi="Times New Roman" w:cs="Times New Roman"/>
            <w:sz w:val="24"/>
            <w:szCs w:val="24"/>
          </w:rPr>
          <w:t>https://ssrn.com/abstract=3064795</w:t>
        </w:r>
      </w:hyperlink>
      <w:r w:rsidRPr="00D40D37">
        <w:rPr>
          <w:rFonts w:ascii="Times New Roman" w:hAnsi="Times New Roman" w:cs="Times New Roman"/>
          <w:sz w:val="24"/>
          <w:szCs w:val="24"/>
        </w:rPr>
        <w:t xml:space="preserve">˃ accessed </w:t>
      </w:r>
      <w:r w:rsidR="00F817B5">
        <w:rPr>
          <w:rFonts w:ascii="Times New Roman" w:hAnsi="Times New Roman" w:cs="Times New Roman"/>
          <w:sz w:val="24"/>
          <w:szCs w:val="24"/>
        </w:rPr>
        <w:t>9 October 2020</w:t>
      </w:r>
    </w:p>
    <w:p w14:paraId="1B5A58FD" w14:textId="75E022F2"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Ballon</w:t>
      </w:r>
      <w:r>
        <w:rPr>
          <w:rFonts w:ascii="Times New Roman" w:hAnsi="Times New Roman" w:cs="Times New Roman"/>
          <w:sz w:val="24"/>
          <w:szCs w:val="24"/>
        </w:rPr>
        <w:t>, P.</w:t>
      </w:r>
      <w:r w:rsidRPr="00D40D37">
        <w:rPr>
          <w:rFonts w:ascii="Times New Roman" w:hAnsi="Times New Roman" w:cs="Times New Roman"/>
          <w:sz w:val="24"/>
          <w:szCs w:val="24"/>
        </w:rPr>
        <w:t xml:space="preserve"> and Van Heesvelde</w:t>
      </w:r>
      <w:r>
        <w:rPr>
          <w:rFonts w:ascii="Times New Roman" w:hAnsi="Times New Roman" w:cs="Times New Roman"/>
          <w:sz w:val="24"/>
          <w:szCs w:val="24"/>
        </w:rPr>
        <w:t>, E.</w:t>
      </w:r>
      <w:r w:rsidRPr="00D40D37">
        <w:rPr>
          <w:rFonts w:ascii="Times New Roman" w:hAnsi="Times New Roman" w:cs="Times New Roman"/>
          <w:sz w:val="24"/>
          <w:szCs w:val="24"/>
        </w:rPr>
        <w:t xml:space="preserve"> ‘ICT platforms and regulatory concerns in Europe’ [2011] 35 Telecommunications Policy</w:t>
      </w:r>
      <w:r>
        <w:rPr>
          <w:rFonts w:ascii="Times New Roman" w:hAnsi="Times New Roman" w:cs="Times New Roman"/>
          <w:sz w:val="24"/>
          <w:szCs w:val="24"/>
        </w:rPr>
        <w:t>,</w:t>
      </w:r>
      <w:r w:rsidRPr="00D40D37">
        <w:rPr>
          <w:rFonts w:ascii="Times New Roman" w:hAnsi="Times New Roman" w:cs="Times New Roman"/>
          <w:sz w:val="24"/>
          <w:szCs w:val="24"/>
        </w:rPr>
        <w:t xml:space="preserve"> 702-714</w:t>
      </w:r>
    </w:p>
    <w:p w14:paraId="7414A1BF" w14:textId="77777777" w:rsidR="00E27833" w:rsidRPr="00CC20F5"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Ballon,</w:t>
      </w:r>
      <w:r>
        <w:rPr>
          <w:rFonts w:ascii="Times New Roman" w:hAnsi="Times New Roman" w:cs="Times New Roman"/>
          <w:sz w:val="24"/>
          <w:szCs w:val="24"/>
          <w:lang w:val="en-US"/>
        </w:rPr>
        <w:t xml:space="preserve"> P.</w:t>
      </w:r>
      <w:r w:rsidRPr="00D40D37">
        <w:rPr>
          <w:rFonts w:ascii="Times New Roman" w:hAnsi="Times New Roman" w:cs="Times New Roman"/>
          <w:sz w:val="24"/>
          <w:szCs w:val="24"/>
          <w:lang w:val="en-US"/>
        </w:rPr>
        <w:t xml:space="preserve"> ‘The Platformisation of the European Mobile Industry’, [2009] 75 3rd Q Communications &amp; Strategies</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15</w:t>
      </w:r>
      <w:r>
        <w:rPr>
          <w:rFonts w:ascii="Times New Roman" w:hAnsi="Times New Roman" w:cs="Times New Roman"/>
          <w:sz w:val="24"/>
          <w:szCs w:val="24"/>
          <w:lang w:val="en-US"/>
        </w:rPr>
        <w:t>-34</w:t>
      </w:r>
    </w:p>
    <w:p w14:paraId="568E134C"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Bartolini, C</w:t>
      </w:r>
      <w:r>
        <w:rPr>
          <w:rFonts w:ascii="Times New Roman" w:hAnsi="Times New Roman" w:cs="Times New Roman"/>
          <w:sz w:val="24"/>
          <w:szCs w:val="24"/>
        </w:rPr>
        <w:t>.,</w:t>
      </w:r>
      <w:r w:rsidRPr="00D40D37">
        <w:rPr>
          <w:rFonts w:ascii="Times New Roman" w:hAnsi="Times New Roman" w:cs="Times New Roman"/>
          <w:sz w:val="24"/>
          <w:szCs w:val="24"/>
        </w:rPr>
        <w:t xml:space="preserve"> Santos</w:t>
      </w:r>
      <w:r>
        <w:rPr>
          <w:rFonts w:ascii="Times New Roman" w:hAnsi="Times New Roman" w:cs="Times New Roman"/>
          <w:sz w:val="24"/>
          <w:szCs w:val="24"/>
        </w:rPr>
        <w:t>,</w:t>
      </w:r>
      <w:r w:rsidRPr="00D40D37">
        <w:rPr>
          <w:rFonts w:ascii="Times New Roman" w:hAnsi="Times New Roman" w:cs="Times New Roman"/>
          <w:sz w:val="24"/>
          <w:szCs w:val="24"/>
        </w:rPr>
        <w:t xml:space="preserve"> C</w:t>
      </w:r>
      <w:r>
        <w:rPr>
          <w:rFonts w:ascii="Times New Roman" w:hAnsi="Times New Roman" w:cs="Times New Roman"/>
          <w:sz w:val="24"/>
          <w:szCs w:val="24"/>
        </w:rPr>
        <w:t>.</w:t>
      </w:r>
      <w:r w:rsidRPr="00D40D37">
        <w:rPr>
          <w:rFonts w:ascii="Times New Roman" w:hAnsi="Times New Roman" w:cs="Times New Roman"/>
          <w:sz w:val="24"/>
          <w:szCs w:val="24"/>
        </w:rPr>
        <w:t xml:space="preserve"> and Ullrich, C</w:t>
      </w:r>
      <w:r>
        <w:rPr>
          <w:rFonts w:ascii="Times New Roman" w:hAnsi="Times New Roman" w:cs="Times New Roman"/>
          <w:sz w:val="24"/>
          <w:szCs w:val="24"/>
        </w:rPr>
        <w:t>.</w:t>
      </w:r>
      <w:r w:rsidRPr="00D40D37">
        <w:rPr>
          <w:rFonts w:ascii="Times New Roman" w:hAnsi="Times New Roman" w:cs="Times New Roman"/>
          <w:sz w:val="24"/>
          <w:szCs w:val="24"/>
        </w:rPr>
        <w:t xml:space="preserve"> ‘Property and the cloud’ [2018] 34 Computer Law and Security Review, 358-390</w:t>
      </w:r>
    </w:p>
    <w:p w14:paraId="13635587" w14:textId="69E76832" w:rsidR="00974C06" w:rsidRPr="00692824" w:rsidRDefault="00974C06" w:rsidP="00E27833">
      <w:pPr>
        <w:pStyle w:val="ListParagraph"/>
        <w:numPr>
          <w:ilvl w:val="0"/>
          <w:numId w:val="22"/>
        </w:numPr>
        <w:jc w:val="both"/>
        <w:rPr>
          <w:rFonts w:ascii="Times New Roman" w:hAnsi="Times New Roman" w:cs="Times New Roman"/>
          <w:sz w:val="24"/>
          <w:szCs w:val="24"/>
        </w:rPr>
      </w:pPr>
      <w:r w:rsidRPr="00974C06">
        <w:rPr>
          <w:rFonts w:ascii="Times New Roman" w:hAnsi="Times New Roman" w:cs="Times New Roman"/>
          <w:sz w:val="24"/>
          <w:szCs w:val="24"/>
        </w:rPr>
        <w:t>Barzilai‐Nahon,</w:t>
      </w:r>
      <w:r>
        <w:rPr>
          <w:rFonts w:ascii="Times New Roman" w:hAnsi="Times New Roman" w:cs="Times New Roman"/>
          <w:sz w:val="24"/>
          <w:szCs w:val="24"/>
        </w:rPr>
        <w:t xml:space="preserve"> K.</w:t>
      </w:r>
      <w:r w:rsidRPr="00974C06">
        <w:rPr>
          <w:rFonts w:ascii="Times New Roman" w:hAnsi="Times New Roman" w:cs="Times New Roman"/>
          <w:sz w:val="24"/>
          <w:szCs w:val="24"/>
        </w:rPr>
        <w:t xml:space="preserve"> ‘Gatekeeping: A critical review’ 2009 43(1) Annual Review of Information Science and Technology 1-79</w:t>
      </w:r>
    </w:p>
    <w:p w14:paraId="23872EA4" w14:textId="6F79168F"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Barzilai-Nahon,</w:t>
      </w:r>
      <w:r>
        <w:rPr>
          <w:rFonts w:ascii="Times New Roman" w:hAnsi="Times New Roman" w:cs="Times New Roman"/>
          <w:sz w:val="24"/>
          <w:szCs w:val="24"/>
          <w:lang w:val="en-US"/>
        </w:rPr>
        <w:t xml:space="preserve"> K.</w:t>
      </w:r>
      <w:r w:rsidRPr="00D40D37">
        <w:rPr>
          <w:rFonts w:ascii="Times New Roman" w:hAnsi="Times New Roman" w:cs="Times New Roman"/>
          <w:sz w:val="24"/>
          <w:szCs w:val="24"/>
          <w:lang w:val="en-US"/>
        </w:rPr>
        <w:t xml:space="preserve"> ‘Toward a Theory of Network Gatekeeping: A Framework for Exploring Information Control’ [2008] 59(9) Journal of the American Society for Information Science and Technology</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1493</w:t>
      </w:r>
      <w:r>
        <w:rPr>
          <w:rFonts w:ascii="Times New Roman" w:hAnsi="Times New Roman" w:cs="Times New Roman"/>
          <w:sz w:val="24"/>
          <w:szCs w:val="24"/>
          <w:lang w:val="en-US"/>
        </w:rPr>
        <w:t>-1512</w:t>
      </w:r>
    </w:p>
    <w:p w14:paraId="14150FDD"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Bauer, J</w:t>
      </w:r>
      <w:r>
        <w:rPr>
          <w:rFonts w:ascii="Times New Roman" w:hAnsi="Times New Roman" w:cs="Times New Roman"/>
          <w:sz w:val="24"/>
          <w:szCs w:val="24"/>
        </w:rPr>
        <w:t>.</w:t>
      </w:r>
      <w:r w:rsidRPr="00D40D37">
        <w:rPr>
          <w:rFonts w:ascii="Times New Roman" w:hAnsi="Times New Roman" w:cs="Times New Roman"/>
          <w:sz w:val="24"/>
          <w:szCs w:val="24"/>
        </w:rPr>
        <w:t xml:space="preserve"> M. ‘Governing the Mobile Broadband Ecosystem’ [2015] 22(2)</w:t>
      </w:r>
      <w:r>
        <w:rPr>
          <w:rFonts w:ascii="Times New Roman" w:hAnsi="Times New Roman" w:cs="Times New Roman"/>
          <w:sz w:val="24"/>
          <w:szCs w:val="24"/>
        </w:rPr>
        <w:t xml:space="preserve"> </w:t>
      </w:r>
      <w:r w:rsidRPr="00D40D37">
        <w:rPr>
          <w:rFonts w:ascii="Times New Roman" w:hAnsi="Times New Roman" w:cs="Times New Roman"/>
          <w:sz w:val="24"/>
          <w:szCs w:val="24"/>
        </w:rPr>
        <w:t>International Telecommunications Policy Review</w:t>
      </w:r>
      <w:r>
        <w:rPr>
          <w:rFonts w:ascii="Times New Roman" w:hAnsi="Times New Roman" w:cs="Times New Roman"/>
          <w:sz w:val="24"/>
          <w:szCs w:val="24"/>
        </w:rPr>
        <w:t>,</w:t>
      </w:r>
      <w:r w:rsidRPr="00D40D37">
        <w:rPr>
          <w:rFonts w:ascii="Times New Roman" w:hAnsi="Times New Roman" w:cs="Times New Roman"/>
          <w:sz w:val="24"/>
          <w:szCs w:val="24"/>
        </w:rPr>
        <w:t xml:space="preserve"> 1-26</w:t>
      </w:r>
    </w:p>
    <w:p w14:paraId="070E534D"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Bauer, J. M. ‘Platforms, systems competition, and innovation: Reassessing the foundations of communications policy’ [2014] 38</w:t>
      </w:r>
      <w:r>
        <w:rPr>
          <w:rFonts w:ascii="Times New Roman" w:hAnsi="Times New Roman" w:cs="Times New Roman"/>
          <w:sz w:val="24"/>
          <w:szCs w:val="24"/>
        </w:rPr>
        <w:t xml:space="preserve"> </w:t>
      </w:r>
      <w:r w:rsidRPr="00D40D37">
        <w:rPr>
          <w:rFonts w:ascii="Times New Roman" w:hAnsi="Times New Roman" w:cs="Times New Roman"/>
          <w:sz w:val="24"/>
          <w:szCs w:val="24"/>
        </w:rPr>
        <w:t>Telecommunications Policy</w:t>
      </w:r>
      <w:r>
        <w:rPr>
          <w:rFonts w:ascii="Times New Roman" w:hAnsi="Times New Roman" w:cs="Times New Roman"/>
          <w:sz w:val="24"/>
          <w:szCs w:val="24"/>
        </w:rPr>
        <w:t>,</w:t>
      </w:r>
      <w:r w:rsidRPr="00D40D37">
        <w:rPr>
          <w:rFonts w:ascii="Times New Roman" w:hAnsi="Times New Roman" w:cs="Times New Roman"/>
          <w:sz w:val="24"/>
          <w:szCs w:val="24"/>
        </w:rPr>
        <w:t xml:space="preserve"> 662-673</w:t>
      </w:r>
    </w:p>
    <w:p w14:paraId="4B9E656C" w14:textId="210C20F4" w:rsidR="00E27833" w:rsidRPr="00692824"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Bauer, </w:t>
      </w:r>
      <w:r w:rsidRPr="00D40D37">
        <w:rPr>
          <w:rFonts w:ascii="Times New Roman" w:hAnsi="Times New Roman" w:cs="Times New Roman"/>
          <w:sz w:val="24"/>
          <w:szCs w:val="24"/>
        </w:rPr>
        <w:t>J</w:t>
      </w:r>
      <w:r>
        <w:rPr>
          <w:rFonts w:ascii="Times New Roman" w:hAnsi="Times New Roman" w:cs="Times New Roman"/>
          <w:sz w:val="24"/>
          <w:szCs w:val="24"/>
        </w:rPr>
        <w:t>.</w:t>
      </w:r>
      <w:r w:rsidRPr="00D40D37">
        <w:rPr>
          <w:rFonts w:ascii="Times New Roman" w:hAnsi="Times New Roman" w:cs="Times New Roman"/>
          <w:sz w:val="24"/>
          <w:szCs w:val="24"/>
        </w:rPr>
        <w:t xml:space="preserve"> M.</w:t>
      </w:r>
      <w:r w:rsidRPr="00D40D37">
        <w:rPr>
          <w:rFonts w:ascii="Times New Roman" w:hAnsi="Times New Roman" w:cs="Times New Roman"/>
          <w:sz w:val="24"/>
          <w:szCs w:val="24"/>
          <w:lang w:val="en-US"/>
        </w:rPr>
        <w:t xml:space="preserve"> ‘The Evolution of the European Regulatory Framework for Electronic Communications’ (2013) IBEI Working Papers Telefonica Chair Series, 2013/41</w:t>
      </w:r>
    </w:p>
    <w:p w14:paraId="6958EC5B" w14:textId="66B2DECB" w:rsidR="002E1067" w:rsidRPr="00D40D37" w:rsidRDefault="002E1067" w:rsidP="00E27833">
      <w:pPr>
        <w:pStyle w:val="ListParagraph"/>
        <w:numPr>
          <w:ilvl w:val="0"/>
          <w:numId w:val="22"/>
        </w:numPr>
        <w:jc w:val="both"/>
        <w:rPr>
          <w:rFonts w:ascii="Times New Roman" w:hAnsi="Times New Roman" w:cs="Times New Roman"/>
          <w:sz w:val="24"/>
          <w:szCs w:val="24"/>
        </w:rPr>
      </w:pPr>
      <w:r w:rsidRPr="004B0E3C">
        <w:rPr>
          <w:rFonts w:ascii="Times New Roman" w:hAnsi="Times New Roman"/>
          <w:sz w:val="24"/>
          <w:szCs w:val="24"/>
        </w:rPr>
        <w:t>Belli</w:t>
      </w:r>
      <w:r>
        <w:rPr>
          <w:rFonts w:ascii="Times New Roman" w:hAnsi="Times New Roman"/>
          <w:sz w:val="24"/>
          <w:szCs w:val="24"/>
        </w:rPr>
        <w:t>, L.</w:t>
      </w:r>
      <w:r w:rsidRPr="004B0E3C">
        <w:rPr>
          <w:rFonts w:ascii="Times New Roman" w:hAnsi="Times New Roman"/>
          <w:sz w:val="24"/>
          <w:szCs w:val="24"/>
        </w:rPr>
        <w:t xml:space="preserve"> and Zingales,</w:t>
      </w:r>
      <w:r>
        <w:rPr>
          <w:rFonts w:ascii="Times New Roman" w:hAnsi="Times New Roman"/>
          <w:sz w:val="24"/>
          <w:szCs w:val="24"/>
        </w:rPr>
        <w:t xml:space="preserve"> N.</w:t>
      </w:r>
      <w:r w:rsidRPr="004B0E3C">
        <w:rPr>
          <w:rFonts w:ascii="Times New Roman" w:hAnsi="Times New Roman"/>
          <w:sz w:val="24"/>
          <w:szCs w:val="24"/>
        </w:rPr>
        <w:t xml:space="preserve"> ‘How Platforms are Regulated and How They Regulate Us’</w:t>
      </w:r>
      <w:r>
        <w:rPr>
          <w:rFonts w:ascii="Times New Roman" w:hAnsi="Times New Roman"/>
          <w:sz w:val="24"/>
          <w:szCs w:val="24"/>
        </w:rPr>
        <w:t xml:space="preserve"> </w:t>
      </w:r>
      <w:r w:rsidRPr="004B0E3C">
        <w:rPr>
          <w:rFonts w:ascii="Times New Roman" w:hAnsi="Times New Roman"/>
          <w:sz w:val="24"/>
          <w:szCs w:val="24"/>
        </w:rPr>
        <w:t>Official Outcome of the UN IGF Dynamic Coalition on Platform Responsibility (United Nations Internet Governance Forum, 2017)</w:t>
      </w:r>
    </w:p>
    <w:p w14:paraId="16A5BFC5" w14:textId="4BF74DB1"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 xml:space="preserve">BEREC, Report Enabling the Internet of Things </w:t>
      </w:r>
      <w:r w:rsidRPr="001039D8">
        <w:rPr>
          <w:rFonts w:ascii="Times New Roman" w:hAnsi="Times New Roman" w:cs="Times New Roman"/>
        </w:rPr>
        <w:t>(BoR (16)</w:t>
      </w:r>
      <w:r w:rsidRPr="00D40D37">
        <w:rPr>
          <w:rFonts w:ascii="Times New Roman" w:hAnsi="Times New Roman" w:cs="Times New Roman"/>
          <w:sz w:val="24"/>
          <w:szCs w:val="24"/>
        </w:rPr>
        <w:t xml:space="preserve"> </w:t>
      </w:r>
      <w:r w:rsidRPr="001039D8">
        <w:rPr>
          <w:rFonts w:ascii="Times New Roman" w:hAnsi="Times New Roman" w:cs="Times New Roman"/>
        </w:rPr>
        <w:t>2016)</w:t>
      </w:r>
      <w:r w:rsidRPr="00D40D37">
        <w:rPr>
          <w:rFonts w:ascii="Times New Roman" w:hAnsi="Times New Roman" w:cs="Times New Roman"/>
          <w:sz w:val="24"/>
          <w:szCs w:val="24"/>
        </w:rPr>
        <w:t xml:space="preserve"> </w:t>
      </w:r>
      <w:r w:rsidRPr="001039D8">
        <w:rPr>
          <w:rFonts w:ascii="Times New Roman" w:hAnsi="Times New Roman" w:cs="Times New Roman"/>
        </w:rPr>
        <w:t>41</w:t>
      </w:r>
      <w:r w:rsidRPr="00D40D37">
        <w:rPr>
          <w:rFonts w:ascii="Times New Roman" w:hAnsi="Times New Roman" w:cs="Times New Roman"/>
          <w:sz w:val="24"/>
          <w:szCs w:val="24"/>
        </w:rPr>
        <w:t xml:space="preserve"> </w:t>
      </w:r>
      <w:r w:rsidRPr="001039D8">
        <w:rPr>
          <w:rFonts w:ascii="Times New Roman" w:hAnsi="Times New Roman" w:cs="Times New Roman"/>
        </w:rPr>
        <w:t>(BEREC Report)</w:t>
      </w:r>
      <w:r>
        <w:rPr>
          <w:rFonts w:ascii="Times New Roman" w:hAnsi="Times New Roman" w:cs="Times New Roman"/>
          <w:sz w:val="24"/>
          <w:szCs w:val="24"/>
        </w:rPr>
        <w:t xml:space="preserve"> </w:t>
      </w:r>
      <w:r w:rsidRPr="00D40D37">
        <w:rPr>
          <w:rFonts w:ascii="Times New Roman" w:hAnsi="Times New Roman" w:cs="Times New Roman"/>
          <w:sz w:val="24"/>
          <w:szCs w:val="24"/>
        </w:rPr>
        <w:t xml:space="preserve">&lt;http://berec.europa.eu/eng/document_register/subject_matter/berec/reports/5755-berec-report-on-enabling-the-internet-of-things&gt; accessed </w:t>
      </w:r>
      <w:r w:rsidR="00F817B5">
        <w:rPr>
          <w:rFonts w:ascii="Times New Roman" w:hAnsi="Times New Roman" w:cs="Times New Roman"/>
          <w:sz w:val="24"/>
          <w:szCs w:val="24"/>
        </w:rPr>
        <w:t>9 October 2020</w:t>
      </w:r>
    </w:p>
    <w:p w14:paraId="01A97F0B" w14:textId="10A10F50" w:rsidR="008A67DC" w:rsidRPr="008A67DC" w:rsidRDefault="008A67DC">
      <w:pPr>
        <w:pStyle w:val="ListParagraph"/>
        <w:numPr>
          <w:ilvl w:val="0"/>
          <w:numId w:val="22"/>
        </w:numPr>
        <w:jc w:val="both"/>
        <w:rPr>
          <w:rFonts w:ascii="Times New Roman" w:hAnsi="Times New Roman" w:cs="Times New Roman"/>
          <w:sz w:val="24"/>
          <w:szCs w:val="24"/>
        </w:rPr>
      </w:pPr>
      <w:r w:rsidRPr="008A67DC">
        <w:rPr>
          <w:rFonts w:ascii="Times New Roman" w:hAnsi="Times New Roman" w:cs="Times New Roman"/>
          <w:sz w:val="24"/>
          <w:szCs w:val="24"/>
        </w:rPr>
        <w:t>Besen, S</w:t>
      </w:r>
      <w:r>
        <w:rPr>
          <w:rFonts w:ascii="Times New Roman" w:hAnsi="Times New Roman" w:cs="Times New Roman"/>
          <w:sz w:val="24"/>
          <w:szCs w:val="24"/>
        </w:rPr>
        <w:t>.</w:t>
      </w:r>
      <w:r w:rsidRPr="008A67DC">
        <w:rPr>
          <w:rFonts w:ascii="Times New Roman" w:hAnsi="Times New Roman" w:cs="Times New Roman"/>
          <w:sz w:val="24"/>
          <w:szCs w:val="24"/>
        </w:rPr>
        <w:t xml:space="preserve"> M. and Sadowsky,</w:t>
      </w:r>
      <w:r>
        <w:rPr>
          <w:rFonts w:ascii="Times New Roman" w:hAnsi="Times New Roman" w:cs="Times New Roman"/>
          <w:sz w:val="24"/>
          <w:szCs w:val="24"/>
        </w:rPr>
        <w:t xml:space="preserve"> G.,</w:t>
      </w:r>
      <w:r w:rsidRPr="008A67DC">
        <w:rPr>
          <w:rFonts w:ascii="Times New Roman" w:hAnsi="Times New Roman" w:cs="Times New Roman"/>
          <w:sz w:val="24"/>
          <w:szCs w:val="24"/>
        </w:rPr>
        <w:t xml:space="preserve"> </w:t>
      </w:r>
      <w:r>
        <w:rPr>
          <w:rFonts w:ascii="Times New Roman" w:hAnsi="Times New Roman" w:cs="Times New Roman"/>
          <w:sz w:val="24"/>
          <w:szCs w:val="24"/>
        </w:rPr>
        <w:t>‘</w:t>
      </w:r>
      <w:r w:rsidRPr="008A67DC">
        <w:rPr>
          <w:rFonts w:ascii="Times New Roman" w:hAnsi="Times New Roman" w:cs="Times New Roman"/>
          <w:sz w:val="24"/>
          <w:szCs w:val="24"/>
        </w:rPr>
        <w:t>The economics of Internet standards’ in Johannes M. Bauer and Michael Latzer (ed</w:t>
      </w:r>
      <w:r>
        <w:rPr>
          <w:rFonts w:ascii="Times New Roman" w:hAnsi="Times New Roman" w:cs="Times New Roman"/>
          <w:sz w:val="24"/>
          <w:szCs w:val="24"/>
        </w:rPr>
        <w:t>s</w:t>
      </w:r>
      <w:r w:rsidRPr="008A67DC">
        <w:rPr>
          <w:rFonts w:ascii="Times New Roman" w:hAnsi="Times New Roman" w:cs="Times New Roman"/>
          <w:sz w:val="24"/>
          <w:szCs w:val="24"/>
        </w:rPr>
        <w:t xml:space="preserve">), </w:t>
      </w:r>
      <w:r w:rsidRPr="00692824">
        <w:rPr>
          <w:rFonts w:ascii="Times New Roman" w:hAnsi="Times New Roman" w:cs="Times New Roman"/>
          <w:i/>
          <w:iCs/>
          <w:sz w:val="24"/>
          <w:szCs w:val="24"/>
        </w:rPr>
        <w:t>Handbook on the Economics of the Internet</w:t>
      </w:r>
      <w:r w:rsidRPr="008A67DC">
        <w:rPr>
          <w:rFonts w:ascii="Times New Roman" w:hAnsi="Times New Roman" w:cs="Times New Roman"/>
          <w:sz w:val="24"/>
          <w:szCs w:val="24"/>
        </w:rPr>
        <w:t xml:space="preserve"> (Edward Elgar 2016) 211-228</w:t>
      </w:r>
    </w:p>
    <w:p w14:paraId="6FBAB2BE" w14:textId="4B527B3E" w:rsidR="00E27833" w:rsidRPr="008C70D4"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Biegel, A</w:t>
      </w:r>
      <w:r>
        <w:rPr>
          <w:rFonts w:ascii="Times New Roman" w:hAnsi="Times New Roman" w:cs="Times New Roman"/>
          <w:sz w:val="24"/>
          <w:szCs w:val="24"/>
        </w:rPr>
        <w:t>.,</w:t>
      </w:r>
      <w:r w:rsidRPr="00D40D37">
        <w:rPr>
          <w:rFonts w:ascii="Times New Roman" w:hAnsi="Times New Roman" w:cs="Times New Roman"/>
          <w:sz w:val="24"/>
          <w:szCs w:val="24"/>
        </w:rPr>
        <w:t xml:space="preserve"> Ganske</w:t>
      </w:r>
      <w:r>
        <w:rPr>
          <w:rFonts w:ascii="Times New Roman" w:hAnsi="Times New Roman" w:cs="Times New Roman"/>
          <w:sz w:val="24"/>
          <w:szCs w:val="24"/>
        </w:rPr>
        <w:t>,</w:t>
      </w:r>
      <w:r w:rsidRPr="00D40D37">
        <w:rPr>
          <w:rFonts w:ascii="Times New Roman" w:hAnsi="Times New Roman" w:cs="Times New Roman"/>
          <w:sz w:val="24"/>
          <w:szCs w:val="24"/>
        </w:rPr>
        <w:t xml:space="preserve"> R</w:t>
      </w:r>
      <w:r>
        <w:rPr>
          <w:rFonts w:ascii="Times New Roman" w:hAnsi="Times New Roman" w:cs="Times New Roman"/>
          <w:sz w:val="24"/>
          <w:szCs w:val="24"/>
        </w:rPr>
        <w:t>.</w:t>
      </w:r>
      <w:r w:rsidRPr="00D40D37">
        <w:rPr>
          <w:rFonts w:ascii="Times New Roman" w:hAnsi="Times New Roman" w:cs="Times New Roman"/>
          <w:sz w:val="24"/>
          <w:szCs w:val="24"/>
        </w:rPr>
        <w:t xml:space="preserve"> and Jurgovan, J</w:t>
      </w:r>
      <w:r>
        <w:rPr>
          <w:rFonts w:ascii="Times New Roman" w:hAnsi="Times New Roman" w:cs="Times New Roman"/>
          <w:sz w:val="24"/>
          <w:szCs w:val="24"/>
        </w:rPr>
        <w:t>.</w:t>
      </w:r>
      <w:r w:rsidRPr="00D40D37">
        <w:rPr>
          <w:rFonts w:ascii="Times New Roman" w:hAnsi="Times New Roman" w:cs="Times New Roman"/>
          <w:sz w:val="24"/>
          <w:szCs w:val="24"/>
        </w:rPr>
        <w:t xml:space="preserve"> ‘Broadened Antitrust Liability for Abusing Standards-Setting Process’ [2006] 18(12) Intellectual Property &amp; Technology Law Journal, 4-6</w:t>
      </w:r>
    </w:p>
    <w:p w14:paraId="68681C7B"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Björkroth,</w:t>
      </w:r>
      <w:r>
        <w:rPr>
          <w:rFonts w:ascii="Times New Roman" w:hAnsi="Times New Roman" w:cs="Times New Roman"/>
          <w:sz w:val="24"/>
          <w:szCs w:val="24"/>
        </w:rPr>
        <w:t xml:space="preserve"> T.</w:t>
      </w:r>
      <w:r w:rsidRPr="00D40D37">
        <w:rPr>
          <w:rFonts w:ascii="Times New Roman" w:hAnsi="Times New Roman" w:cs="Times New Roman"/>
          <w:sz w:val="24"/>
          <w:szCs w:val="24"/>
        </w:rPr>
        <w:t xml:space="preserve"> ‘Loyal or Locked-in – And Why Should We Care?’ [2013] 10(1) Journal of Competition Law &amp; Economics</w:t>
      </w:r>
      <w:r>
        <w:rPr>
          <w:rFonts w:ascii="Times New Roman" w:hAnsi="Times New Roman" w:cs="Times New Roman"/>
          <w:sz w:val="24"/>
          <w:szCs w:val="24"/>
        </w:rPr>
        <w:t>,</w:t>
      </w:r>
      <w:r w:rsidRPr="00D40D37">
        <w:rPr>
          <w:rFonts w:ascii="Times New Roman" w:hAnsi="Times New Roman" w:cs="Times New Roman"/>
          <w:sz w:val="24"/>
          <w:szCs w:val="24"/>
        </w:rPr>
        <w:t xml:space="preserve"> 47</w:t>
      </w:r>
      <w:r>
        <w:rPr>
          <w:rFonts w:ascii="Times New Roman" w:hAnsi="Times New Roman" w:cs="Times New Roman"/>
          <w:sz w:val="24"/>
          <w:szCs w:val="24"/>
        </w:rPr>
        <w:t>-62</w:t>
      </w:r>
    </w:p>
    <w:p w14:paraId="7D198574" w14:textId="696C6055"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tr-TR"/>
        </w:rPr>
        <w:t>Blackman</w:t>
      </w:r>
      <w:r>
        <w:rPr>
          <w:rFonts w:ascii="Times New Roman" w:hAnsi="Times New Roman" w:cs="Times New Roman"/>
          <w:sz w:val="24"/>
          <w:szCs w:val="24"/>
          <w:lang w:val="tr-TR"/>
        </w:rPr>
        <w:t>, C.</w:t>
      </w:r>
      <w:r w:rsidRPr="00D40D37">
        <w:rPr>
          <w:rFonts w:ascii="Times New Roman" w:hAnsi="Times New Roman" w:cs="Times New Roman"/>
          <w:sz w:val="24"/>
          <w:szCs w:val="24"/>
          <w:lang w:val="tr-TR"/>
        </w:rPr>
        <w:t xml:space="preserve"> and Srivastava,</w:t>
      </w:r>
      <w:r>
        <w:rPr>
          <w:rFonts w:ascii="Times New Roman" w:hAnsi="Times New Roman" w:cs="Times New Roman"/>
          <w:sz w:val="24"/>
          <w:szCs w:val="24"/>
          <w:lang w:val="tr-TR"/>
        </w:rPr>
        <w:t xml:space="preserve"> L.</w:t>
      </w:r>
      <w:r w:rsidRPr="00D40D37">
        <w:rPr>
          <w:rFonts w:ascii="Times New Roman" w:hAnsi="Times New Roman" w:cs="Times New Roman"/>
          <w:sz w:val="24"/>
          <w:szCs w:val="24"/>
          <w:lang w:val="tr-TR"/>
        </w:rPr>
        <w:t xml:space="preserve"> </w:t>
      </w:r>
      <w:r w:rsidRPr="00D40D37">
        <w:rPr>
          <w:rFonts w:ascii="Times New Roman" w:hAnsi="Times New Roman" w:cs="Times New Roman"/>
          <w:i/>
          <w:iCs/>
          <w:sz w:val="24"/>
          <w:szCs w:val="24"/>
          <w:lang w:val="tr-TR"/>
        </w:rPr>
        <w:t>Telecommunications Regulation Handbook</w:t>
      </w:r>
      <w:r w:rsidRPr="00D40D37">
        <w:rPr>
          <w:rFonts w:ascii="Times New Roman" w:hAnsi="Times New Roman" w:cs="Times New Roman"/>
          <w:sz w:val="24"/>
          <w:szCs w:val="24"/>
          <w:lang w:val="tr-TR"/>
        </w:rPr>
        <w:t xml:space="preserve"> (10th Anniversary </w:t>
      </w:r>
      <w:r>
        <w:rPr>
          <w:rFonts w:ascii="Times New Roman" w:hAnsi="Times New Roman" w:cs="Times New Roman"/>
          <w:sz w:val="24"/>
          <w:szCs w:val="24"/>
          <w:lang w:val="tr-TR"/>
        </w:rPr>
        <w:t>edn</w:t>
      </w:r>
      <w:r w:rsidRPr="00D40D37">
        <w:rPr>
          <w:rFonts w:ascii="Times New Roman" w:hAnsi="Times New Roman" w:cs="Times New Roman"/>
          <w:sz w:val="24"/>
          <w:szCs w:val="24"/>
          <w:lang w:val="tr-TR"/>
        </w:rPr>
        <w:t>,</w:t>
      </w:r>
      <w:r>
        <w:rPr>
          <w:rFonts w:ascii="Times New Roman" w:hAnsi="Times New Roman" w:cs="Times New Roman"/>
          <w:sz w:val="24"/>
          <w:szCs w:val="24"/>
          <w:lang w:val="tr-TR"/>
        </w:rPr>
        <w:t xml:space="preserve"> </w:t>
      </w:r>
      <w:r w:rsidRPr="00D40D37">
        <w:rPr>
          <w:rFonts w:ascii="Times New Roman" w:hAnsi="Times New Roman" w:cs="Times New Roman"/>
          <w:sz w:val="24"/>
          <w:szCs w:val="24"/>
          <w:lang w:val="tr-TR"/>
        </w:rPr>
        <w:t xml:space="preserve">International Bank for Reconstruction and Development / World Bank, Infodev and </w:t>
      </w:r>
      <w:r>
        <w:rPr>
          <w:rFonts w:ascii="Times New Roman" w:hAnsi="Times New Roman" w:cs="Times New Roman"/>
          <w:sz w:val="24"/>
          <w:szCs w:val="24"/>
          <w:lang w:val="tr-TR"/>
        </w:rPr>
        <w:t>ITU</w:t>
      </w:r>
      <w:r w:rsidRPr="00D40D37">
        <w:rPr>
          <w:rFonts w:ascii="Times New Roman" w:hAnsi="Times New Roman" w:cs="Times New Roman"/>
          <w:sz w:val="24"/>
          <w:szCs w:val="24"/>
          <w:lang w:val="tr-TR"/>
        </w:rPr>
        <w:t xml:space="preserve">, 2011) &lt;https://www.itu.int/pub/D-PREF-TRH.1-2011&gt; accessed </w:t>
      </w:r>
      <w:r w:rsidR="00F817B5">
        <w:rPr>
          <w:rFonts w:ascii="Times New Roman" w:hAnsi="Times New Roman" w:cs="Times New Roman"/>
          <w:sz w:val="24"/>
          <w:szCs w:val="24"/>
        </w:rPr>
        <w:t>9 October 2020</w:t>
      </w:r>
    </w:p>
    <w:p w14:paraId="5721AD1F" w14:textId="7DB87F55"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Brown, I. ‘Regulations and the Internet of Thing (IoT)’, (2015) GSR15 discussion paper, &lt;http://www.itu.int/en/ITU-D/Conferences/GSR/Pages/GSR2015/GSR15-discussion-paper.aspx&gt; accessed </w:t>
      </w:r>
      <w:r w:rsidR="00F817B5">
        <w:rPr>
          <w:rFonts w:ascii="Times New Roman" w:hAnsi="Times New Roman" w:cs="Times New Roman"/>
          <w:sz w:val="24"/>
          <w:szCs w:val="24"/>
        </w:rPr>
        <w:t>9 October 2020</w:t>
      </w:r>
    </w:p>
    <w:p w14:paraId="41FB7360" w14:textId="29F9D3A5"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Cambridge Dictionary,</w:t>
      </w:r>
      <w:r>
        <w:rPr>
          <w:rFonts w:ascii="Times New Roman" w:hAnsi="Times New Roman" w:cs="Times New Roman"/>
          <w:sz w:val="24"/>
          <w:szCs w:val="24"/>
        </w:rPr>
        <w:t xml:space="preserve"> ‘</w:t>
      </w:r>
      <w:r w:rsidRPr="00B71081">
        <w:rPr>
          <w:rFonts w:ascii="Times New Roman" w:hAnsi="Times New Roman" w:cs="Times New Roman"/>
          <w:sz w:val="24"/>
          <w:szCs w:val="24"/>
        </w:rPr>
        <w:t>Meaning of interoperability in English</w:t>
      </w:r>
      <w:r>
        <w:rPr>
          <w:rFonts w:ascii="Times New Roman" w:hAnsi="Times New Roman" w:cs="Times New Roman"/>
          <w:sz w:val="24"/>
          <w:szCs w:val="24"/>
        </w:rPr>
        <w:t>’</w:t>
      </w:r>
      <w:r w:rsidRPr="00D40D37">
        <w:rPr>
          <w:rFonts w:ascii="Times New Roman" w:hAnsi="Times New Roman" w:cs="Times New Roman"/>
          <w:sz w:val="24"/>
          <w:szCs w:val="24"/>
        </w:rPr>
        <w:t xml:space="preserve">  &lt;</w:t>
      </w:r>
      <w:hyperlink r:id="rId38" w:history="1">
        <w:r w:rsidRPr="00D40D37">
          <w:rPr>
            <w:rFonts w:ascii="Times New Roman" w:hAnsi="Times New Roman" w:cs="Times New Roman"/>
            <w:sz w:val="24"/>
            <w:szCs w:val="24"/>
          </w:rPr>
          <w:t>https://dictionary.cambridge.org/dictionary/english/interoperability</w:t>
        </w:r>
      </w:hyperlink>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6686000A" w14:textId="70392CD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Cave,</w:t>
      </w:r>
      <w:r>
        <w:rPr>
          <w:rFonts w:ascii="Times New Roman" w:hAnsi="Times New Roman" w:cs="Times New Roman"/>
          <w:sz w:val="24"/>
          <w:szCs w:val="24"/>
        </w:rPr>
        <w:t xml:space="preserve"> J.</w:t>
      </w:r>
      <w:r w:rsidRPr="00D40D37">
        <w:rPr>
          <w:rFonts w:ascii="Times New Roman" w:hAnsi="Times New Roman" w:cs="Times New Roman"/>
          <w:sz w:val="24"/>
          <w:szCs w:val="24"/>
        </w:rPr>
        <w:t xml:space="preserve"> ‘Prisoners of Our Own Device - An Evolutionary Perspective on Lock-in, Technology Clusters and Telecom Regulation’ (</w:t>
      </w:r>
      <w:r w:rsidRPr="00D40D37">
        <w:rPr>
          <w:rFonts w:ascii="Times New Roman" w:hAnsi="Times New Roman" w:cs="Times New Roman"/>
          <w:i/>
          <w:iCs/>
          <w:sz w:val="24"/>
          <w:szCs w:val="24"/>
        </w:rPr>
        <w:t>SSRN</w:t>
      </w:r>
      <w:r w:rsidRPr="00D40D37">
        <w:rPr>
          <w:rFonts w:ascii="Times New Roman" w:hAnsi="Times New Roman" w:cs="Times New Roman"/>
          <w:sz w:val="24"/>
          <w:szCs w:val="24"/>
        </w:rPr>
        <w:t xml:space="preserve">, 15 August 2009) TPRC 2009 &lt;http://ssrn.com/abstract=1995551&gt; accessed </w:t>
      </w:r>
      <w:r w:rsidR="00F817B5">
        <w:rPr>
          <w:rFonts w:ascii="Times New Roman" w:hAnsi="Times New Roman" w:cs="Times New Roman"/>
          <w:sz w:val="24"/>
          <w:szCs w:val="24"/>
        </w:rPr>
        <w:t>9 October 2020</w:t>
      </w:r>
    </w:p>
    <w:p w14:paraId="3DBC7B7D" w14:textId="57386C3E" w:rsidR="00E27833" w:rsidRPr="00D40D37" w:rsidRDefault="00E27833" w:rsidP="00E27833">
      <w:pPr>
        <w:pStyle w:val="ListParagraph"/>
        <w:numPr>
          <w:ilvl w:val="0"/>
          <w:numId w:val="22"/>
        </w:numPr>
        <w:rPr>
          <w:rFonts w:ascii="Times New Roman" w:hAnsi="Times New Roman" w:cs="Times New Roman"/>
          <w:sz w:val="24"/>
          <w:szCs w:val="24"/>
        </w:rPr>
      </w:pPr>
      <w:r w:rsidRPr="00D40D37">
        <w:rPr>
          <w:rFonts w:ascii="Times New Roman" w:hAnsi="Times New Roman" w:cs="Times New Roman"/>
          <w:sz w:val="24"/>
          <w:szCs w:val="24"/>
        </w:rPr>
        <w:t>CERRE ‘Market Definition, Market Power and Regulatory Interaction in Electronic Communications Markets’ (CERRE Study, 2014)</w:t>
      </w:r>
      <w:r>
        <w:rPr>
          <w:rFonts w:ascii="Times New Roman" w:hAnsi="Times New Roman" w:cs="Times New Roman"/>
          <w:sz w:val="24"/>
          <w:szCs w:val="24"/>
        </w:rPr>
        <w:t xml:space="preserve"> </w:t>
      </w:r>
      <w:r w:rsidRPr="00D40D37">
        <w:rPr>
          <w:rFonts w:ascii="Times New Roman" w:hAnsi="Times New Roman" w:cs="Times New Roman"/>
          <w:sz w:val="24"/>
          <w:szCs w:val="24"/>
        </w:rPr>
        <w:t>&lt;</w:t>
      </w:r>
      <w:hyperlink r:id="rId39" w:history="1">
        <w:r w:rsidRPr="00D40D37">
          <w:rPr>
            <w:rFonts w:ascii="Times New Roman" w:hAnsi="Times New Roman" w:cs="Times New Roman"/>
            <w:sz w:val="24"/>
            <w:szCs w:val="24"/>
            <w:lang w:val="en-US"/>
          </w:rPr>
          <w:t>https://www.cerre.eu/sites/cerre/files/141029_CERRE_MktDefMktPwrRegInt_ECMs_Final.pdf</w:t>
        </w:r>
      </w:hyperlink>
      <w:r w:rsidRPr="00D40D37">
        <w:rPr>
          <w:rFonts w:ascii="Times New Roman" w:hAnsi="Times New Roman" w:cs="Times New Roman"/>
          <w:sz w:val="24"/>
          <w:szCs w:val="24"/>
          <w:lang w:val="en-US"/>
        </w:rPr>
        <w:t xml:space="preserve">&gt; accessed </w:t>
      </w:r>
      <w:r w:rsidR="00F817B5">
        <w:rPr>
          <w:rFonts w:ascii="Times New Roman" w:hAnsi="Times New Roman" w:cs="Times New Roman"/>
          <w:sz w:val="24"/>
          <w:szCs w:val="24"/>
          <w:lang w:val="en-US"/>
        </w:rPr>
        <w:t>9 October 2020</w:t>
      </w:r>
    </w:p>
    <w:p w14:paraId="02DA4DEB" w14:textId="2A9D5BCB"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Cisco, </w:t>
      </w:r>
      <w:r w:rsidRPr="00D40D37">
        <w:rPr>
          <w:rFonts w:ascii="Times New Roman" w:hAnsi="Times New Roman" w:cs="Times New Roman"/>
          <w:i/>
          <w:iCs/>
          <w:sz w:val="24"/>
          <w:szCs w:val="24"/>
          <w:lang w:val="en-US"/>
        </w:rPr>
        <w:t>Cisco Global Cloud Index: Forecast and Methodology</w:t>
      </w:r>
      <w:r w:rsidRPr="00D40D37">
        <w:rPr>
          <w:rFonts w:ascii="Times New Roman" w:hAnsi="Times New Roman" w:cs="Times New Roman"/>
          <w:sz w:val="24"/>
          <w:szCs w:val="24"/>
          <w:lang w:val="en-US"/>
        </w:rPr>
        <w:t xml:space="preserve">, (2016–2021 White Paper, November 19, 2018) (‘Cisco 2018 Global Cloud Index’) ˂https://www.cisco.com/c/en/us/solutions/collateral/service-provider/global-cloud-index-gci/white-paper-c11-738085.html˃ accessed by </w:t>
      </w:r>
      <w:r w:rsidR="00F817B5">
        <w:rPr>
          <w:rFonts w:ascii="Times New Roman" w:hAnsi="Times New Roman" w:cs="Times New Roman"/>
          <w:sz w:val="24"/>
          <w:szCs w:val="24"/>
          <w:lang w:val="en-US"/>
        </w:rPr>
        <w:t>9 October 2020</w:t>
      </w:r>
    </w:p>
    <w:p w14:paraId="0BEBEC3E" w14:textId="71D74958"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Claybrook, </w:t>
      </w:r>
      <w:r>
        <w:rPr>
          <w:rFonts w:ascii="Times New Roman" w:hAnsi="Times New Roman" w:cs="Times New Roman"/>
          <w:sz w:val="24"/>
          <w:szCs w:val="24"/>
        </w:rPr>
        <w:t xml:space="preserve">B. </w:t>
      </w:r>
      <w:r w:rsidRPr="00D40D37">
        <w:rPr>
          <w:rFonts w:ascii="Times New Roman" w:hAnsi="Times New Roman" w:cs="Times New Roman"/>
          <w:sz w:val="24"/>
          <w:szCs w:val="24"/>
        </w:rPr>
        <w:t>‘Cloud interoperability: Problems and best practices’, (</w:t>
      </w:r>
      <w:r w:rsidRPr="00D40D37">
        <w:rPr>
          <w:rFonts w:ascii="Times New Roman" w:hAnsi="Times New Roman" w:cs="Times New Roman"/>
          <w:i/>
          <w:iCs/>
          <w:sz w:val="24"/>
          <w:szCs w:val="24"/>
        </w:rPr>
        <w:t>Computerworld</w:t>
      </w:r>
      <w:r w:rsidRPr="00D40D37">
        <w:rPr>
          <w:rFonts w:ascii="Times New Roman" w:hAnsi="Times New Roman" w:cs="Times New Roman"/>
          <w:sz w:val="24"/>
          <w:szCs w:val="24"/>
        </w:rPr>
        <w:t xml:space="preserve">, 1 June 2011) &lt;http://www.computerworld.com/article/2508726/cloud-computing/cloud-interoperability--problems-and-best-practices.html&gt; accessed </w:t>
      </w:r>
      <w:r w:rsidR="00F817B5">
        <w:rPr>
          <w:rFonts w:ascii="Times New Roman" w:hAnsi="Times New Roman" w:cs="Times New Roman"/>
          <w:sz w:val="24"/>
          <w:szCs w:val="24"/>
        </w:rPr>
        <w:t>9 October 2020</w:t>
      </w:r>
    </w:p>
    <w:p w14:paraId="74D2BF05" w14:textId="6B25A390"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Cloud Standard Consumer Council, </w:t>
      </w:r>
      <w:r w:rsidRPr="00D40D37">
        <w:rPr>
          <w:rFonts w:ascii="Times New Roman" w:hAnsi="Times New Roman" w:cs="Times New Roman"/>
          <w:i/>
          <w:iCs/>
          <w:sz w:val="24"/>
          <w:szCs w:val="24"/>
        </w:rPr>
        <w:t>Interoperability and Portability for Cloud Computing: A Guide</w:t>
      </w:r>
      <w:r w:rsidRPr="00D40D37">
        <w:rPr>
          <w:rFonts w:ascii="Times New Roman" w:hAnsi="Times New Roman" w:cs="Times New Roman"/>
          <w:sz w:val="24"/>
          <w:szCs w:val="24"/>
        </w:rPr>
        <w:t xml:space="preserve"> (Version 2.0, </w:t>
      </w:r>
      <w:r w:rsidRPr="00D40D37">
        <w:rPr>
          <w:rFonts w:ascii="Times New Roman" w:hAnsi="Times New Roman" w:cs="Times New Roman"/>
          <w:sz w:val="24"/>
          <w:szCs w:val="24"/>
          <w:lang w:val="en-US"/>
        </w:rPr>
        <w:t>2017)</w:t>
      </w:r>
      <w:r>
        <w:rPr>
          <w:rFonts w:ascii="Times New Roman" w:hAnsi="Times New Roman" w:cs="Times New Roman"/>
          <w:sz w:val="24"/>
          <w:szCs w:val="24"/>
          <w:lang w:val="en-US"/>
        </w:rPr>
        <w:t xml:space="preserve"> </w:t>
      </w:r>
      <w:r w:rsidRPr="00D40D37">
        <w:rPr>
          <w:rFonts w:ascii="Times New Roman" w:hAnsi="Times New Roman" w:cs="Times New Roman"/>
          <w:sz w:val="24"/>
          <w:szCs w:val="24"/>
        </w:rPr>
        <w:t>˂</w:t>
      </w:r>
      <w:r w:rsidRPr="00D40D37">
        <w:rPr>
          <w:rFonts w:ascii="Times New Roman" w:hAnsi="Times New Roman" w:cs="Times New Roman"/>
          <w:sz w:val="24"/>
          <w:szCs w:val="24"/>
          <w:lang w:val="en-US"/>
        </w:rPr>
        <w:t>https://www.omg.org/cloud/deliverables/CSCC-Interoperability-and-Portability-for-Cloud-Computing-A-Guide.pdf</w:t>
      </w:r>
      <w:r w:rsidRPr="00D40D37">
        <w:rPr>
          <w:rFonts w:ascii="Times New Roman" w:hAnsi="Times New Roman" w:cs="Times New Roman"/>
          <w:sz w:val="24"/>
          <w:szCs w:val="24"/>
        </w:rPr>
        <w:t xml:space="preserve"> ˃ accessed </w:t>
      </w:r>
      <w:r w:rsidR="00F817B5">
        <w:rPr>
          <w:rFonts w:ascii="Times New Roman" w:hAnsi="Times New Roman" w:cs="Times New Roman"/>
          <w:sz w:val="24"/>
          <w:szCs w:val="24"/>
        </w:rPr>
        <w:t>9 October 2020</w:t>
      </w:r>
    </w:p>
    <w:p w14:paraId="53F71200" w14:textId="1E00A90D"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Colomo,</w:t>
      </w:r>
      <w:r>
        <w:rPr>
          <w:rFonts w:ascii="Times New Roman" w:hAnsi="Times New Roman" w:cs="Times New Roman"/>
          <w:sz w:val="24"/>
          <w:szCs w:val="24"/>
          <w:lang w:val="en-US"/>
        </w:rPr>
        <w:t xml:space="preserve"> P. I.</w:t>
      </w:r>
      <w:r w:rsidRPr="00D40D37">
        <w:rPr>
          <w:rFonts w:ascii="Times New Roman" w:hAnsi="Times New Roman" w:cs="Times New Roman"/>
          <w:sz w:val="24"/>
          <w:szCs w:val="24"/>
          <w:lang w:val="en-US"/>
        </w:rPr>
        <w:t xml:space="preserve"> ‘EU Competition Law in the Regulated Network Industries’ (2016) LSE Law, Society and Economy Working Papers 08/2016, 6 ˂</w:t>
      </w:r>
      <w:hyperlink r:id="rId40" w:history="1">
        <w:r w:rsidRPr="00D40D37">
          <w:rPr>
            <w:rFonts w:ascii="Times New Roman" w:hAnsi="Times New Roman" w:cs="Times New Roman"/>
            <w:sz w:val="24"/>
            <w:szCs w:val="24"/>
          </w:rPr>
          <w:t>http://dx.doi.org/10.2139/ssrn.2747785</w:t>
        </w:r>
      </w:hyperlink>
      <w:r w:rsidRPr="00D40D37">
        <w:rPr>
          <w:rFonts w:ascii="Times New Roman" w:hAnsi="Times New Roman" w:cs="Times New Roman"/>
          <w:sz w:val="24"/>
          <w:szCs w:val="24"/>
        </w:rPr>
        <w:t xml:space="preserve">˃ accessed </w:t>
      </w:r>
      <w:r w:rsidR="00F817B5">
        <w:rPr>
          <w:rFonts w:ascii="Times New Roman" w:hAnsi="Times New Roman" w:cs="Times New Roman"/>
          <w:sz w:val="24"/>
          <w:szCs w:val="24"/>
        </w:rPr>
        <w:t>9 October 2020</w:t>
      </w:r>
    </w:p>
    <w:p w14:paraId="487A69FC"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Comino,</w:t>
      </w:r>
      <w:r>
        <w:rPr>
          <w:rFonts w:ascii="Times New Roman" w:hAnsi="Times New Roman" w:cs="Times New Roman"/>
          <w:sz w:val="24"/>
          <w:szCs w:val="24"/>
        </w:rPr>
        <w:t xml:space="preserve"> S.,</w:t>
      </w:r>
      <w:r w:rsidRPr="00D40D37">
        <w:rPr>
          <w:rFonts w:ascii="Times New Roman" w:hAnsi="Times New Roman" w:cs="Times New Roman"/>
          <w:sz w:val="24"/>
          <w:szCs w:val="24"/>
        </w:rPr>
        <w:t xml:space="preserve"> Manenti</w:t>
      </w:r>
      <w:r>
        <w:rPr>
          <w:rFonts w:ascii="Times New Roman" w:hAnsi="Times New Roman" w:cs="Times New Roman"/>
          <w:sz w:val="24"/>
          <w:szCs w:val="24"/>
        </w:rPr>
        <w:t>,</w:t>
      </w:r>
      <w:r w:rsidRPr="00D40D37">
        <w:rPr>
          <w:rFonts w:ascii="Times New Roman" w:hAnsi="Times New Roman" w:cs="Times New Roman"/>
          <w:sz w:val="24"/>
          <w:szCs w:val="24"/>
        </w:rPr>
        <w:t xml:space="preserve"> F</w:t>
      </w:r>
      <w:r>
        <w:rPr>
          <w:rFonts w:ascii="Times New Roman" w:hAnsi="Times New Roman" w:cs="Times New Roman"/>
          <w:sz w:val="24"/>
          <w:szCs w:val="24"/>
        </w:rPr>
        <w:t>.</w:t>
      </w:r>
      <w:r w:rsidRPr="00D40D37">
        <w:rPr>
          <w:rFonts w:ascii="Times New Roman" w:hAnsi="Times New Roman" w:cs="Times New Roman"/>
          <w:sz w:val="24"/>
          <w:szCs w:val="24"/>
        </w:rPr>
        <w:t xml:space="preserve"> M.</w:t>
      </w:r>
      <w:r>
        <w:rPr>
          <w:rFonts w:ascii="Times New Roman" w:hAnsi="Times New Roman" w:cs="Times New Roman"/>
          <w:sz w:val="24"/>
          <w:szCs w:val="24"/>
        </w:rPr>
        <w:t xml:space="preserve"> </w:t>
      </w:r>
      <w:r w:rsidRPr="00D40D37">
        <w:rPr>
          <w:rFonts w:ascii="Times New Roman" w:hAnsi="Times New Roman" w:cs="Times New Roman"/>
          <w:sz w:val="24"/>
          <w:szCs w:val="24"/>
        </w:rPr>
        <w:t>and Thumm,</w:t>
      </w:r>
      <w:r>
        <w:rPr>
          <w:rFonts w:ascii="Times New Roman" w:hAnsi="Times New Roman" w:cs="Times New Roman"/>
          <w:sz w:val="24"/>
          <w:szCs w:val="24"/>
        </w:rPr>
        <w:t xml:space="preserve"> N.</w:t>
      </w:r>
      <w:r w:rsidRPr="00D40D37">
        <w:rPr>
          <w:rFonts w:ascii="Times New Roman" w:hAnsi="Times New Roman" w:cs="Times New Roman"/>
          <w:sz w:val="24"/>
          <w:szCs w:val="24"/>
        </w:rPr>
        <w:t xml:space="preserve"> ‘The Role of Patents in Information and Communication Technologies (ICTs): A Survey of the Literature’ (2017) Marco Fanno Working Paper N. 212</w:t>
      </w:r>
    </w:p>
    <w:p w14:paraId="1B40B62D" w14:textId="1A621431"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Competition Policy International ‘The Counterfactual Analysis in EU Merger Control’ (21 November 2013) &lt;</w:t>
      </w:r>
      <w:hyperlink r:id="rId41" w:history="1">
        <w:r w:rsidRPr="00D40D37">
          <w:rPr>
            <w:rFonts w:ascii="Times New Roman" w:hAnsi="Times New Roman" w:cs="Times New Roman"/>
            <w:sz w:val="24"/>
            <w:szCs w:val="24"/>
          </w:rPr>
          <w:t>https://www.competitionpolicyinternational.com/the-counterfactual-analysis-in-eu-merger-control/</w:t>
        </w:r>
      </w:hyperlink>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1C9996B8" w14:textId="3FAD65AE"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Comptia, </w:t>
      </w:r>
      <w:r w:rsidRPr="00D40D37">
        <w:rPr>
          <w:rFonts w:ascii="Times New Roman" w:hAnsi="Times New Roman" w:cs="Times New Roman"/>
          <w:i/>
          <w:iCs/>
          <w:sz w:val="24"/>
          <w:szCs w:val="24"/>
        </w:rPr>
        <w:t>European Interoperability Framework: ICT Industry Recommendations</w:t>
      </w:r>
      <w:r w:rsidRPr="00D40D37">
        <w:rPr>
          <w:rFonts w:ascii="Times New Roman" w:hAnsi="Times New Roman" w:cs="Times New Roman"/>
          <w:sz w:val="24"/>
          <w:szCs w:val="24"/>
        </w:rPr>
        <w:t xml:space="preserve"> (White Paper, 2004) &lt;</w:t>
      </w:r>
      <w:hyperlink r:id="rId42" w:history="1">
        <w:r w:rsidRPr="00D40D37">
          <w:rPr>
            <w:rFonts w:ascii="Times New Roman" w:hAnsi="Times New Roman" w:cs="Times New Roman"/>
            <w:sz w:val="24"/>
            <w:szCs w:val="24"/>
          </w:rPr>
          <w:t>http://www.urenio.org/e-innovation/stratinc/files/library/ict/15.ICT_standards.pdf</w:t>
        </w:r>
      </w:hyperlink>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0892CDB7" w14:textId="02EA931E" w:rsidR="00D34468" w:rsidRDefault="00D34468" w:rsidP="00E27833">
      <w:pPr>
        <w:pStyle w:val="ListParagraph"/>
        <w:numPr>
          <w:ilvl w:val="0"/>
          <w:numId w:val="22"/>
        </w:numPr>
        <w:jc w:val="both"/>
        <w:rPr>
          <w:rFonts w:ascii="Times New Roman" w:hAnsi="Times New Roman" w:cs="Times New Roman"/>
          <w:sz w:val="24"/>
          <w:szCs w:val="24"/>
        </w:rPr>
      </w:pPr>
      <w:r w:rsidRPr="004E3D5B">
        <w:rPr>
          <w:rFonts w:ascii="Times New Roman" w:hAnsi="Times New Roman" w:cs="Times New Roman"/>
          <w:sz w:val="24"/>
          <w:szCs w:val="24"/>
        </w:rPr>
        <w:t xml:space="preserve">Conroy, </w:t>
      </w:r>
      <w:r>
        <w:rPr>
          <w:rFonts w:ascii="Times New Roman" w:hAnsi="Times New Roman" w:cs="Times New Roman"/>
          <w:sz w:val="24"/>
          <w:szCs w:val="24"/>
        </w:rPr>
        <w:t xml:space="preserve">M., </w:t>
      </w:r>
      <w:r w:rsidRPr="004E3D5B">
        <w:rPr>
          <w:rFonts w:ascii="Times New Roman" w:hAnsi="Times New Roman" w:cs="Times New Roman"/>
          <w:sz w:val="24"/>
          <w:szCs w:val="24"/>
        </w:rPr>
        <w:t>‘Access to Works Protected by Copyright: Right or Privilege’ [2006] 18(4) South African Mercantile Law Journal, 413-422</w:t>
      </w:r>
    </w:p>
    <w:p w14:paraId="4B37D76D"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Cottle,</w:t>
      </w:r>
      <w:r>
        <w:rPr>
          <w:rFonts w:ascii="Times New Roman" w:hAnsi="Times New Roman" w:cs="Times New Roman"/>
          <w:sz w:val="24"/>
          <w:szCs w:val="24"/>
          <w:lang w:val="en-US"/>
        </w:rPr>
        <w:t xml:space="preserve"> G.</w:t>
      </w:r>
      <w:r w:rsidRPr="00D40D37">
        <w:rPr>
          <w:rFonts w:ascii="Times New Roman" w:hAnsi="Times New Roman" w:cs="Times New Roman"/>
          <w:sz w:val="24"/>
          <w:szCs w:val="24"/>
          <w:lang w:val="en-US"/>
        </w:rPr>
        <w:t xml:space="preserve"> </w:t>
      </w:r>
      <w:r w:rsidRPr="00D40D37">
        <w:rPr>
          <w:rFonts w:ascii="Times New Roman" w:hAnsi="Times New Roman" w:cs="Times New Roman"/>
          <w:i/>
          <w:iCs/>
          <w:sz w:val="24"/>
          <w:szCs w:val="24"/>
          <w:lang w:val="en-US"/>
        </w:rPr>
        <w:t>CDNs could help smaller OTT players disrupt the content hierarchy</w:t>
      </w:r>
      <w:r w:rsidRPr="00D40D37">
        <w:rPr>
          <w:rFonts w:ascii="Times New Roman" w:hAnsi="Times New Roman" w:cs="Times New Roman"/>
          <w:sz w:val="24"/>
          <w:szCs w:val="24"/>
          <w:lang w:val="en-US"/>
        </w:rPr>
        <w:t xml:space="preserve"> (Informa, 2012</w:t>
      </w:r>
      <w:r>
        <w:rPr>
          <w:rFonts w:ascii="Times New Roman" w:hAnsi="Times New Roman" w:cs="Times New Roman"/>
          <w:sz w:val="24"/>
          <w:szCs w:val="24"/>
          <w:lang w:val="en-US"/>
        </w:rPr>
        <w:t>)</w:t>
      </w:r>
    </w:p>
    <w:p w14:paraId="23C043DE" w14:textId="7A22A1CB" w:rsidR="00CF3A0F" w:rsidRPr="00D34468" w:rsidRDefault="00E27833" w:rsidP="00D34468">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Cottle,</w:t>
      </w:r>
      <w:r>
        <w:rPr>
          <w:rFonts w:ascii="Times New Roman" w:hAnsi="Times New Roman" w:cs="Times New Roman"/>
          <w:sz w:val="24"/>
          <w:szCs w:val="24"/>
        </w:rPr>
        <w:t xml:space="preserve"> </w:t>
      </w:r>
      <w:r w:rsidRPr="00D40D37">
        <w:rPr>
          <w:rFonts w:ascii="Times New Roman" w:hAnsi="Times New Roman" w:cs="Times New Roman"/>
          <w:sz w:val="24"/>
          <w:szCs w:val="24"/>
        </w:rPr>
        <w:t>R</w:t>
      </w:r>
      <w:r>
        <w:rPr>
          <w:rFonts w:ascii="Times New Roman" w:hAnsi="Times New Roman" w:cs="Times New Roman"/>
          <w:sz w:val="24"/>
          <w:szCs w:val="24"/>
        </w:rPr>
        <w:t>.</w:t>
      </w:r>
      <w:r w:rsidRPr="00D40D37">
        <w:rPr>
          <w:rFonts w:ascii="Times New Roman" w:hAnsi="Times New Roman" w:cs="Times New Roman"/>
          <w:sz w:val="24"/>
          <w:szCs w:val="24"/>
        </w:rPr>
        <w:t xml:space="preserve"> W.  ‘Multiple Equilibria’ (International Encyclopedia of the Social Sciences, 2008) &lt;</w:t>
      </w:r>
      <w:hyperlink r:id="rId43" w:history="1">
        <w:r w:rsidRPr="00D40D37">
          <w:rPr>
            <w:rFonts w:ascii="Times New Roman" w:hAnsi="Times New Roman" w:cs="Times New Roman"/>
            <w:sz w:val="24"/>
            <w:szCs w:val="24"/>
          </w:rPr>
          <w:t>https://www.encyclopedia.com</w:t>
        </w:r>
      </w:hyperlink>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7BDFB55F"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Cowen</w:t>
      </w:r>
      <w:r>
        <w:rPr>
          <w:rFonts w:ascii="Times New Roman" w:hAnsi="Times New Roman" w:cs="Times New Roman"/>
          <w:sz w:val="24"/>
          <w:szCs w:val="24"/>
        </w:rPr>
        <w:t>, T.</w:t>
      </w:r>
      <w:r w:rsidRPr="00D40D37">
        <w:rPr>
          <w:rFonts w:ascii="Times New Roman" w:hAnsi="Times New Roman" w:cs="Times New Roman"/>
          <w:sz w:val="24"/>
          <w:szCs w:val="24"/>
        </w:rPr>
        <w:t xml:space="preserve"> and Gawer,</w:t>
      </w:r>
      <w:r>
        <w:rPr>
          <w:rFonts w:ascii="Times New Roman" w:hAnsi="Times New Roman" w:cs="Times New Roman"/>
          <w:sz w:val="24"/>
          <w:szCs w:val="24"/>
        </w:rPr>
        <w:t xml:space="preserve"> A.</w:t>
      </w:r>
      <w:r w:rsidRPr="00D40D37">
        <w:rPr>
          <w:rFonts w:ascii="Times New Roman" w:hAnsi="Times New Roman" w:cs="Times New Roman"/>
          <w:sz w:val="24"/>
          <w:szCs w:val="24"/>
        </w:rPr>
        <w:t xml:space="preserve"> ‘Competition in the Cloud: Unleashing Investment and Innovation within and across Platforms’ [2012] 85 Digiworld Economic Journal 1st Q</w:t>
      </w:r>
      <w:r>
        <w:rPr>
          <w:rFonts w:ascii="Times New Roman" w:hAnsi="Times New Roman" w:cs="Times New Roman"/>
          <w:sz w:val="24"/>
          <w:szCs w:val="24"/>
        </w:rPr>
        <w:t>,</w:t>
      </w:r>
      <w:r w:rsidRPr="00D40D37">
        <w:rPr>
          <w:rFonts w:ascii="Times New Roman" w:hAnsi="Times New Roman" w:cs="Times New Roman"/>
          <w:sz w:val="24"/>
          <w:szCs w:val="24"/>
        </w:rPr>
        <w:t xml:space="preserve"> 45-62</w:t>
      </w:r>
    </w:p>
    <w:p w14:paraId="503E04E8"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Craig Mc Taggart </w:t>
      </w:r>
      <w:r>
        <w:rPr>
          <w:rFonts w:ascii="Times New Roman" w:hAnsi="Times New Roman" w:cs="Times New Roman"/>
          <w:sz w:val="24"/>
          <w:szCs w:val="24"/>
        </w:rPr>
        <w:t>‘</w:t>
      </w:r>
      <w:r w:rsidRPr="00D40D37">
        <w:rPr>
          <w:rFonts w:ascii="Times New Roman" w:hAnsi="Times New Roman" w:cs="Times New Roman"/>
          <w:sz w:val="24"/>
          <w:szCs w:val="24"/>
        </w:rPr>
        <w:t>A Layered Approach to Internet Legal Analysis</w:t>
      </w:r>
      <w:r>
        <w:rPr>
          <w:rFonts w:ascii="Times New Roman" w:hAnsi="Times New Roman" w:cs="Times New Roman"/>
          <w:sz w:val="24"/>
          <w:szCs w:val="24"/>
        </w:rPr>
        <w:t>’</w:t>
      </w:r>
      <w:r w:rsidRPr="00D40D37">
        <w:rPr>
          <w:rFonts w:ascii="Times New Roman" w:hAnsi="Times New Roman" w:cs="Times New Roman"/>
          <w:sz w:val="24"/>
          <w:szCs w:val="24"/>
        </w:rPr>
        <w:t xml:space="preserve"> [2003] 48 McGill Law Journal</w:t>
      </w:r>
      <w:r>
        <w:rPr>
          <w:rFonts w:ascii="Times New Roman" w:hAnsi="Times New Roman" w:cs="Times New Roman"/>
          <w:sz w:val="24"/>
          <w:szCs w:val="24"/>
        </w:rPr>
        <w:t>,</w:t>
      </w:r>
      <w:r w:rsidRPr="00D40D37">
        <w:rPr>
          <w:rFonts w:ascii="Times New Roman" w:hAnsi="Times New Roman" w:cs="Times New Roman"/>
          <w:sz w:val="24"/>
          <w:szCs w:val="24"/>
        </w:rPr>
        <w:t xml:space="preserve"> 571-625</w:t>
      </w:r>
    </w:p>
    <w:p w14:paraId="764F1ACF" w14:textId="1DA5E3EE"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CREATE, EU Copyright Reform &lt;https://www.create.ac.uk/policy-responses/eu-copyright-reform/&gt; accessed </w:t>
      </w:r>
      <w:r w:rsidR="00F817B5">
        <w:rPr>
          <w:rFonts w:ascii="Times New Roman" w:hAnsi="Times New Roman" w:cs="Times New Roman"/>
          <w:sz w:val="24"/>
          <w:szCs w:val="24"/>
        </w:rPr>
        <w:t>9 October 2020</w:t>
      </w:r>
    </w:p>
    <w:p w14:paraId="53C471EE" w14:textId="0025EC9E"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 xml:space="preserve">Crémer, </w:t>
      </w:r>
      <w:r>
        <w:rPr>
          <w:rFonts w:ascii="Times New Roman" w:hAnsi="Times New Roman" w:cs="Times New Roman"/>
          <w:sz w:val="24"/>
          <w:szCs w:val="24"/>
        </w:rPr>
        <w:t>J., D</w:t>
      </w:r>
      <w:r w:rsidRPr="00D40D37">
        <w:rPr>
          <w:rFonts w:ascii="Times New Roman" w:hAnsi="Times New Roman" w:cs="Times New Roman"/>
          <w:sz w:val="24"/>
          <w:szCs w:val="24"/>
        </w:rPr>
        <w:t>e Montjoye</w:t>
      </w:r>
      <w:r>
        <w:rPr>
          <w:rFonts w:ascii="Times New Roman" w:hAnsi="Times New Roman" w:cs="Times New Roman"/>
          <w:sz w:val="24"/>
          <w:szCs w:val="24"/>
        </w:rPr>
        <w:t>, Y.</w:t>
      </w:r>
      <w:r w:rsidRPr="00D40D37">
        <w:rPr>
          <w:rFonts w:ascii="Times New Roman" w:hAnsi="Times New Roman" w:cs="Times New Roman"/>
          <w:sz w:val="24"/>
          <w:szCs w:val="24"/>
        </w:rPr>
        <w:t xml:space="preserve"> and Schweitzer,</w:t>
      </w:r>
      <w:r>
        <w:rPr>
          <w:rFonts w:ascii="Times New Roman" w:hAnsi="Times New Roman" w:cs="Times New Roman"/>
          <w:sz w:val="24"/>
          <w:szCs w:val="24"/>
        </w:rPr>
        <w:t xml:space="preserve"> H.</w:t>
      </w:r>
      <w:r w:rsidRPr="00D40D37">
        <w:rPr>
          <w:rFonts w:ascii="Times New Roman" w:hAnsi="Times New Roman" w:cs="Times New Roman"/>
          <w:sz w:val="24"/>
          <w:szCs w:val="24"/>
        </w:rPr>
        <w:t xml:space="preserve"> </w:t>
      </w:r>
      <w:r w:rsidRPr="00D40D37">
        <w:rPr>
          <w:rFonts w:ascii="Times New Roman" w:hAnsi="Times New Roman" w:cs="Times New Roman"/>
          <w:i/>
          <w:iCs/>
          <w:sz w:val="24"/>
          <w:szCs w:val="24"/>
        </w:rPr>
        <w:t>Competition policy for the digital era</w:t>
      </w:r>
      <w:r w:rsidRPr="00D40D37">
        <w:rPr>
          <w:rFonts w:ascii="Times New Roman" w:hAnsi="Times New Roman" w:cs="Times New Roman"/>
          <w:sz w:val="24"/>
          <w:szCs w:val="24"/>
        </w:rPr>
        <w:t>, (2019) &lt;</w:t>
      </w:r>
      <w:hyperlink r:id="rId44" w:history="1">
        <w:r w:rsidRPr="00D40D37">
          <w:rPr>
            <w:rFonts w:ascii="Times New Roman" w:hAnsi="Times New Roman" w:cs="Times New Roman"/>
            <w:sz w:val="24"/>
            <w:szCs w:val="24"/>
          </w:rPr>
          <w:t>http://ec.europa.eu/competition/publications/reports/kd0419345enn.pdf</w:t>
        </w:r>
      </w:hyperlink>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3253A5AE" w14:textId="77777777" w:rsidR="00E27833" w:rsidRDefault="00E27833" w:rsidP="00E27833">
      <w:pPr>
        <w:pStyle w:val="ListParagraph"/>
        <w:numPr>
          <w:ilvl w:val="0"/>
          <w:numId w:val="22"/>
        </w:numPr>
        <w:jc w:val="both"/>
        <w:rPr>
          <w:rFonts w:ascii="Times New Roman" w:hAnsi="Times New Roman" w:cs="Times New Roman"/>
          <w:sz w:val="24"/>
          <w:szCs w:val="24"/>
        </w:rPr>
      </w:pPr>
      <w:r w:rsidRPr="001A1C86">
        <w:rPr>
          <w:rFonts w:ascii="Times New Roman" w:hAnsi="Times New Roman" w:cs="Times New Roman"/>
          <w:sz w:val="24"/>
          <w:szCs w:val="24"/>
        </w:rPr>
        <w:t>Cygler, J., Sroka, W., Solesvik, M. and Debkowska, K. ‘Benefits and Drawbacks of Coopetition: The Roles of Scope and Durability in Coopetitive Relationships’ [2018] 10(8) Sustainability, 1-24</w:t>
      </w:r>
    </w:p>
    <w:p w14:paraId="4E07E578" w14:textId="3E957668"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Da Correggio Luciano</w:t>
      </w:r>
      <w:r>
        <w:rPr>
          <w:rFonts w:ascii="Times New Roman" w:hAnsi="Times New Roman" w:cs="Times New Roman"/>
          <w:sz w:val="24"/>
          <w:szCs w:val="24"/>
        </w:rPr>
        <w:t>, L.</w:t>
      </w:r>
      <w:r w:rsidRPr="00D40D37">
        <w:rPr>
          <w:rFonts w:ascii="Times New Roman" w:hAnsi="Times New Roman" w:cs="Times New Roman"/>
          <w:sz w:val="24"/>
          <w:szCs w:val="24"/>
        </w:rPr>
        <w:t xml:space="preserve"> and Walden,</w:t>
      </w:r>
      <w:r>
        <w:rPr>
          <w:rFonts w:ascii="Times New Roman" w:hAnsi="Times New Roman" w:cs="Times New Roman"/>
          <w:sz w:val="24"/>
          <w:szCs w:val="24"/>
        </w:rPr>
        <w:t xml:space="preserve"> I.</w:t>
      </w:r>
      <w:r w:rsidRPr="00D40D37">
        <w:rPr>
          <w:rFonts w:ascii="Times New Roman" w:hAnsi="Times New Roman" w:cs="Times New Roman"/>
          <w:sz w:val="24"/>
          <w:szCs w:val="24"/>
        </w:rPr>
        <w:t xml:space="preserve"> ‘Ensuring competition in the Clouds: The role of competition law?’ (</w:t>
      </w:r>
      <w:r w:rsidRPr="00D40D37">
        <w:rPr>
          <w:rFonts w:ascii="Times New Roman" w:hAnsi="Times New Roman" w:cs="Times New Roman"/>
          <w:i/>
          <w:iCs/>
          <w:sz w:val="24"/>
          <w:szCs w:val="24"/>
        </w:rPr>
        <w:t>SSRN</w:t>
      </w:r>
      <w:r w:rsidRPr="00D40D37">
        <w:rPr>
          <w:rFonts w:ascii="Times New Roman" w:hAnsi="Times New Roman" w:cs="Times New Roman"/>
          <w:sz w:val="24"/>
          <w:szCs w:val="24"/>
        </w:rPr>
        <w:t xml:space="preserve">, 7 April 2014) &lt;http://ssrn.com/abstract=1840547&gt; accessed </w:t>
      </w:r>
      <w:r w:rsidR="00F817B5">
        <w:rPr>
          <w:rFonts w:ascii="Times New Roman" w:hAnsi="Times New Roman" w:cs="Times New Roman"/>
          <w:sz w:val="24"/>
          <w:szCs w:val="24"/>
        </w:rPr>
        <w:t>9 October 2020</w:t>
      </w:r>
    </w:p>
    <w:p w14:paraId="1FFAFD98" w14:textId="06EC58A3"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Dadhich,</w:t>
      </w:r>
      <w:r>
        <w:rPr>
          <w:rFonts w:ascii="Times New Roman" w:hAnsi="Times New Roman" w:cs="Times New Roman"/>
          <w:sz w:val="24"/>
          <w:szCs w:val="24"/>
        </w:rPr>
        <w:t xml:space="preserve"> M.</w:t>
      </w:r>
      <w:r w:rsidRPr="00D40D37">
        <w:rPr>
          <w:rFonts w:ascii="Times New Roman" w:hAnsi="Times New Roman" w:cs="Times New Roman"/>
          <w:sz w:val="24"/>
          <w:szCs w:val="24"/>
        </w:rPr>
        <w:t xml:space="preserve"> ‘Regulation of vertical mergers under European Union Law: Lessons to be Learnt by Other Jurisdictions’ (2015) Europea Colleg Hamburg, Study Paper No. 3/15 &lt;https://europa-kolleg-hamburg.de/wp-content/uploads/2015/11/Study-Paper_Dadhich.pdf&gt; accessed </w:t>
      </w:r>
      <w:r w:rsidR="00F817B5">
        <w:rPr>
          <w:rFonts w:ascii="Times New Roman" w:hAnsi="Times New Roman" w:cs="Times New Roman"/>
          <w:sz w:val="24"/>
          <w:szCs w:val="24"/>
        </w:rPr>
        <w:t>9 October 2020</w:t>
      </w:r>
    </w:p>
    <w:p w14:paraId="7ADF7141"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D</w:t>
      </w:r>
      <w:r w:rsidRPr="00D40D37">
        <w:rPr>
          <w:rFonts w:ascii="Times New Roman" w:hAnsi="Times New Roman" w:cs="Times New Roman"/>
          <w:sz w:val="24"/>
          <w:szCs w:val="24"/>
        </w:rPr>
        <w:t>e Carvalho</w:t>
      </w:r>
      <w:r>
        <w:rPr>
          <w:rFonts w:ascii="Times New Roman" w:hAnsi="Times New Roman" w:cs="Times New Roman"/>
          <w:sz w:val="24"/>
          <w:szCs w:val="24"/>
        </w:rPr>
        <w:t xml:space="preserve">, </w:t>
      </w:r>
      <w:r w:rsidRPr="00D40D37">
        <w:rPr>
          <w:rFonts w:ascii="Times New Roman" w:hAnsi="Times New Roman" w:cs="Times New Roman"/>
          <w:sz w:val="24"/>
          <w:szCs w:val="24"/>
        </w:rPr>
        <w:t>N. P</w:t>
      </w:r>
      <w:r>
        <w:rPr>
          <w:rFonts w:ascii="Times New Roman" w:hAnsi="Times New Roman" w:cs="Times New Roman"/>
          <w:sz w:val="24"/>
          <w:szCs w:val="24"/>
        </w:rPr>
        <w:t>.</w:t>
      </w:r>
      <w:r w:rsidRPr="00D40D37">
        <w:rPr>
          <w:rFonts w:ascii="Times New Roman" w:hAnsi="Times New Roman" w:cs="Times New Roman"/>
          <w:sz w:val="24"/>
          <w:szCs w:val="24"/>
        </w:rPr>
        <w:t xml:space="preserve"> ‘Technical Standards, Intellectual Property and Competition - An Holistic View’ [2015] 47 Washington University Journal Law &amp; Policy</w:t>
      </w:r>
      <w:r>
        <w:rPr>
          <w:rFonts w:ascii="Times New Roman" w:hAnsi="Times New Roman" w:cs="Times New Roman"/>
          <w:sz w:val="24"/>
          <w:szCs w:val="24"/>
        </w:rPr>
        <w:t>,</w:t>
      </w:r>
      <w:r w:rsidRPr="00D40D37">
        <w:rPr>
          <w:rFonts w:ascii="Times New Roman" w:hAnsi="Times New Roman" w:cs="Times New Roman"/>
          <w:sz w:val="24"/>
          <w:szCs w:val="24"/>
        </w:rPr>
        <w:t xml:space="preserve"> 61-129</w:t>
      </w:r>
    </w:p>
    <w:p w14:paraId="6908BDED" w14:textId="11BBAFA5" w:rsidR="00E27833" w:rsidRPr="00306DC6" w:rsidRDefault="00E27833" w:rsidP="00E27833">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D</w:t>
      </w:r>
      <w:r w:rsidRPr="00D40D37">
        <w:rPr>
          <w:rFonts w:ascii="Times New Roman" w:hAnsi="Times New Roman" w:cs="Times New Roman"/>
          <w:sz w:val="24"/>
          <w:szCs w:val="24"/>
        </w:rPr>
        <w:t>e la Guía,</w:t>
      </w:r>
      <w:r>
        <w:rPr>
          <w:rFonts w:ascii="Times New Roman" w:hAnsi="Times New Roman" w:cs="Times New Roman"/>
          <w:sz w:val="24"/>
          <w:szCs w:val="24"/>
        </w:rPr>
        <w:t xml:space="preserve"> </w:t>
      </w:r>
      <w:r w:rsidRPr="00D40D37">
        <w:rPr>
          <w:rFonts w:ascii="Times New Roman" w:hAnsi="Times New Roman" w:cs="Times New Roman"/>
          <w:sz w:val="24"/>
          <w:szCs w:val="24"/>
        </w:rPr>
        <w:t>E</w:t>
      </w:r>
      <w:r>
        <w:rPr>
          <w:rFonts w:ascii="Times New Roman" w:hAnsi="Times New Roman" w:cs="Times New Roman"/>
          <w:sz w:val="24"/>
          <w:szCs w:val="24"/>
        </w:rPr>
        <w:t>.,</w:t>
      </w:r>
      <w:r w:rsidRPr="00D40D37">
        <w:rPr>
          <w:rFonts w:ascii="Times New Roman" w:hAnsi="Times New Roman" w:cs="Times New Roman"/>
          <w:sz w:val="24"/>
          <w:szCs w:val="24"/>
        </w:rPr>
        <w:t xml:space="preserve"> Lozano</w:t>
      </w:r>
      <w:r>
        <w:rPr>
          <w:rFonts w:ascii="Times New Roman" w:hAnsi="Times New Roman" w:cs="Times New Roman"/>
          <w:sz w:val="24"/>
          <w:szCs w:val="24"/>
        </w:rPr>
        <w:t xml:space="preserve">, </w:t>
      </w:r>
      <w:r w:rsidRPr="00D40D37">
        <w:rPr>
          <w:rFonts w:ascii="Times New Roman" w:hAnsi="Times New Roman" w:cs="Times New Roman"/>
          <w:sz w:val="24"/>
          <w:szCs w:val="24"/>
        </w:rPr>
        <w:t>M</w:t>
      </w:r>
      <w:r>
        <w:rPr>
          <w:rFonts w:ascii="Times New Roman" w:hAnsi="Times New Roman" w:cs="Times New Roman"/>
          <w:sz w:val="24"/>
          <w:szCs w:val="24"/>
        </w:rPr>
        <w:t>.</w:t>
      </w:r>
      <w:r w:rsidRPr="00D40D37">
        <w:rPr>
          <w:rFonts w:ascii="Times New Roman" w:hAnsi="Times New Roman" w:cs="Times New Roman"/>
          <w:sz w:val="24"/>
          <w:szCs w:val="24"/>
        </w:rPr>
        <w:t xml:space="preserve"> D. and Penichet</w:t>
      </w:r>
      <w:r>
        <w:rPr>
          <w:rFonts w:ascii="Times New Roman" w:hAnsi="Times New Roman" w:cs="Times New Roman"/>
          <w:sz w:val="24"/>
          <w:szCs w:val="24"/>
        </w:rPr>
        <w:t xml:space="preserve">, </w:t>
      </w:r>
      <w:r w:rsidRPr="00D40D37">
        <w:rPr>
          <w:rFonts w:ascii="Times New Roman" w:hAnsi="Times New Roman" w:cs="Times New Roman"/>
          <w:sz w:val="24"/>
          <w:szCs w:val="24"/>
        </w:rPr>
        <w:t>V</w:t>
      </w:r>
      <w:r>
        <w:rPr>
          <w:rFonts w:ascii="Times New Roman" w:hAnsi="Times New Roman" w:cs="Times New Roman"/>
          <w:sz w:val="24"/>
          <w:szCs w:val="24"/>
        </w:rPr>
        <w:t>.</w:t>
      </w:r>
      <w:r w:rsidRPr="00D40D37">
        <w:rPr>
          <w:rFonts w:ascii="Times New Roman" w:hAnsi="Times New Roman" w:cs="Times New Roman"/>
          <w:sz w:val="24"/>
          <w:szCs w:val="24"/>
        </w:rPr>
        <w:t xml:space="preserve"> M. R. ‘Interacting with Objects in Games through RFID Technology’ (2012) Intechopen </w:t>
      </w:r>
      <w:r w:rsidRPr="00D40D37">
        <w:rPr>
          <w:rFonts w:ascii="Times New Roman" w:hAnsi="Times New Roman" w:cs="Times New Roman"/>
          <w:sz w:val="24"/>
          <w:szCs w:val="24"/>
          <w:lang w:val="en-US"/>
        </w:rPr>
        <w:t>&lt;</w:t>
      </w:r>
      <w:r w:rsidRPr="00D40D37">
        <w:rPr>
          <w:rFonts w:ascii="Times New Roman" w:hAnsi="Times New Roman" w:cs="Times New Roman"/>
          <w:sz w:val="24"/>
          <w:szCs w:val="24"/>
        </w:rPr>
        <w:t>https://www.intechopen.com/books/radio-frequency-identification-from-system-to-applications/interacting-with-objects-in-games-through-rfid-technology</w:t>
      </w:r>
      <w:r w:rsidRPr="00D40D37">
        <w:rPr>
          <w:rFonts w:ascii="Times New Roman" w:hAnsi="Times New Roman" w:cs="Times New Roman"/>
          <w:sz w:val="24"/>
          <w:szCs w:val="24"/>
          <w:lang w:val="en-US"/>
        </w:rPr>
        <w:t xml:space="preserve">&gt; accessed </w:t>
      </w:r>
      <w:r w:rsidR="00F817B5">
        <w:rPr>
          <w:rFonts w:ascii="Times New Roman" w:hAnsi="Times New Roman" w:cs="Times New Roman"/>
          <w:sz w:val="24"/>
          <w:szCs w:val="24"/>
          <w:lang w:val="en-US"/>
        </w:rPr>
        <w:t>9 October 2020</w:t>
      </w:r>
    </w:p>
    <w:p w14:paraId="0F6B1BEB"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De Streel,</w:t>
      </w:r>
      <w:r>
        <w:rPr>
          <w:rFonts w:ascii="Times New Roman" w:hAnsi="Times New Roman" w:cs="Times New Roman"/>
          <w:sz w:val="24"/>
          <w:szCs w:val="24"/>
        </w:rPr>
        <w:t xml:space="preserve"> A.</w:t>
      </w:r>
      <w:r w:rsidRPr="00D40D37">
        <w:rPr>
          <w:rFonts w:ascii="Times New Roman" w:hAnsi="Times New Roman" w:cs="Times New Roman"/>
          <w:sz w:val="24"/>
          <w:szCs w:val="24"/>
        </w:rPr>
        <w:t xml:space="preserve"> ‘The Relationship between Competition Law and Sector Specific Regulation: The case of electronic communications’ [2008] </w:t>
      </w:r>
      <w:r w:rsidRPr="00D40D37">
        <w:rPr>
          <w:rFonts w:ascii="Times New Roman" w:hAnsi="Times New Roman" w:cs="Times New Roman"/>
          <w:sz w:val="24"/>
          <w:szCs w:val="24"/>
        </w:rPr>
        <w:lastRenderedPageBreak/>
        <w:t>Volume XLVII, 2008/1 Reflets et perspectives de la vie économique, 53-70</w:t>
      </w:r>
    </w:p>
    <w:p w14:paraId="1B1AD2A7"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De Streel, A</w:t>
      </w:r>
      <w:r>
        <w:rPr>
          <w:rFonts w:ascii="Times New Roman" w:hAnsi="Times New Roman" w:cs="Times New Roman"/>
          <w:sz w:val="24"/>
          <w:szCs w:val="24"/>
        </w:rPr>
        <w:t>.</w:t>
      </w:r>
      <w:r w:rsidRPr="00D40D37">
        <w:rPr>
          <w:rFonts w:ascii="Times New Roman" w:hAnsi="Times New Roman" w:cs="Times New Roman"/>
          <w:sz w:val="24"/>
          <w:szCs w:val="24"/>
        </w:rPr>
        <w:t xml:space="preserve"> ‘The New Concept of “Significant Market Power” in Electronic Communications: The Hybridisation of the Sectoral Regulation by Competition Law’ [2003] 24(10) European Competition Law Review, 535-542</w:t>
      </w:r>
    </w:p>
    <w:p w14:paraId="6F1000B2" w14:textId="5B591B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Devlin,</w:t>
      </w:r>
      <w:r>
        <w:rPr>
          <w:rFonts w:ascii="Times New Roman" w:hAnsi="Times New Roman" w:cs="Times New Roman"/>
          <w:sz w:val="24"/>
          <w:szCs w:val="24"/>
        </w:rPr>
        <w:t xml:space="preserve"> A.,</w:t>
      </w:r>
      <w:r w:rsidRPr="00D40D37">
        <w:rPr>
          <w:rFonts w:ascii="Times New Roman" w:hAnsi="Times New Roman" w:cs="Times New Roman"/>
          <w:sz w:val="24"/>
          <w:szCs w:val="24"/>
        </w:rPr>
        <w:t xml:space="preserve"> Jacobs</w:t>
      </w:r>
      <w:r>
        <w:rPr>
          <w:rFonts w:ascii="Times New Roman" w:hAnsi="Times New Roman" w:cs="Times New Roman"/>
          <w:sz w:val="24"/>
          <w:szCs w:val="24"/>
        </w:rPr>
        <w:t>, M.</w:t>
      </w:r>
      <w:r w:rsidRPr="00D40D37">
        <w:rPr>
          <w:rFonts w:ascii="Times New Roman" w:hAnsi="Times New Roman" w:cs="Times New Roman"/>
          <w:sz w:val="24"/>
          <w:szCs w:val="24"/>
        </w:rPr>
        <w:t xml:space="preserve"> and Peixoto,</w:t>
      </w:r>
      <w:r>
        <w:rPr>
          <w:rFonts w:ascii="Times New Roman" w:hAnsi="Times New Roman" w:cs="Times New Roman"/>
          <w:sz w:val="24"/>
          <w:szCs w:val="24"/>
        </w:rPr>
        <w:t xml:space="preserve"> B.</w:t>
      </w:r>
      <w:r w:rsidRPr="00D40D37">
        <w:rPr>
          <w:rFonts w:ascii="Times New Roman" w:hAnsi="Times New Roman" w:cs="Times New Roman"/>
          <w:sz w:val="24"/>
          <w:szCs w:val="24"/>
        </w:rPr>
        <w:t xml:space="preserve"> ‘Success, Dominance and Interoperability’ [2009] 84 Indiana Law Journal</w:t>
      </w:r>
      <w:r>
        <w:rPr>
          <w:rFonts w:ascii="Times New Roman" w:hAnsi="Times New Roman" w:cs="Times New Roman"/>
          <w:sz w:val="24"/>
          <w:szCs w:val="24"/>
        </w:rPr>
        <w:t>,</w:t>
      </w:r>
      <w:r w:rsidRPr="00D40D37">
        <w:rPr>
          <w:rFonts w:ascii="Times New Roman" w:hAnsi="Times New Roman" w:cs="Times New Roman"/>
          <w:sz w:val="24"/>
          <w:szCs w:val="24"/>
        </w:rPr>
        <w:t xml:space="preserve"> </w:t>
      </w:r>
      <w:r>
        <w:rPr>
          <w:rFonts w:ascii="Times New Roman" w:hAnsi="Times New Roman" w:cs="Times New Roman"/>
          <w:sz w:val="24"/>
          <w:szCs w:val="24"/>
        </w:rPr>
        <w:t>1157-1203</w:t>
      </w:r>
    </w:p>
    <w:p w14:paraId="2E139C2C" w14:textId="275AA15F" w:rsidR="002E1067" w:rsidRDefault="002E1067" w:rsidP="002E1067">
      <w:pPr>
        <w:pStyle w:val="ListParagraph"/>
        <w:numPr>
          <w:ilvl w:val="0"/>
          <w:numId w:val="22"/>
        </w:numPr>
        <w:jc w:val="both"/>
        <w:rPr>
          <w:rFonts w:ascii="Times New Roman" w:hAnsi="Times New Roman"/>
          <w:sz w:val="24"/>
          <w:szCs w:val="24"/>
        </w:rPr>
      </w:pPr>
      <w:r w:rsidRPr="004B0E3C">
        <w:rPr>
          <w:rFonts w:ascii="Times New Roman" w:hAnsi="Times New Roman"/>
          <w:sz w:val="24"/>
          <w:szCs w:val="24"/>
        </w:rPr>
        <w:t xml:space="preserve">Dr2 consultants, ‘The Digital Services Act – How does it affect businesses in the EU?’ (14 September, 2020) &lt;https://dr2consultants.eu/digital-services-act-how-does-it-affect-businesses-in-the-eu/&gt; accessed </w:t>
      </w:r>
      <w:r>
        <w:rPr>
          <w:rFonts w:ascii="Times New Roman" w:hAnsi="Times New Roman"/>
          <w:sz w:val="24"/>
          <w:szCs w:val="24"/>
        </w:rPr>
        <w:t>9</w:t>
      </w:r>
      <w:r w:rsidRPr="004B0E3C">
        <w:rPr>
          <w:rFonts w:ascii="Times New Roman" w:hAnsi="Times New Roman"/>
          <w:sz w:val="24"/>
          <w:szCs w:val="24"/>
        </w:rPr>
        <w:t xml:space="preserve"> </w:t>
      </w:r>
      <w:r>
        <w:rPr>
          <w:rFonts w:ascii="Times New Roman" w:hAnsi="Times New Roman"/>
          <w:sz w:val="24"/>
          <w:szCs w:val="24"/>
        </w:rPr>
        <w:t>Octo</w:t>
      </w:r>
      <w:r w:rsidRPr="004B0E3C">
        <w:rPr>
          <w:rFonts w:ascii="Times New Roman" w:hAnsi="Times New Roman"/>
          <w:sz w:val="24"/>
          <w:szCs w:val="24"/>
        </w:rPr>
        <w:t>ber 2020</w:t>
      </w:r>
    </w:p>
    <w:p w14:paraId="047F98BF" w14:textId="1D0456FA" w:rsidR="002E1067" w:rsidRDefault="002E1067" w:rsidP="002E1067">
      <w:pPr>
        <w:pStyle w:val="ListParagraph"/>
        <w:numPr>
          <w:ilvl w:val="0"/>
          <w:numId w:val="22"/>
        </w:numPr>
        <w:jc w:val="both"/>
        <w:rPr>
          <w:rFonts w:ascii="Times New Roman" w:hAnsi="Times New Roman" w:cs="Times New Roman"/>
          <w:sz w:val="24"/>
          <w:szCs w:val="24"/>
        </w:rPr>
      </w:pPr>
      <w:r w:rsidRPr="00A4309D">
        <w:rPr>
          <w:rFonts w:ascii="Times New Roman" w:hAnsi="Times New Roman"/>
          <w:sz w:val="24"/>
          <w:szCs w:val="24"/>
        </w:rPr>
        <w:t>Dredge, S</w:t>
      </w:r>
      <w:r>
        <w:rPr>
          <w:rFonts w:ascii="Times New Roman" w:hAnsi="Times New Roman"/>
          <w:sz w:val="24"/>
          <w:szCs w:val="24"/>
        </w:rPr>
        <w:t>.,</w:t>
      </w:r>
      <w:r w:rsidRPr="00A4309D">
        <w:rPr>
          <w:rFonts w:ascii="Times New Roman" w:hAnsi="Times New Roman"/>
          <w:sz w:val="24"/>
          <w:szCs w:val="24"/>
        </w:rPr>
        <w:t xml:space="preserve"> ‘How does Facebook decide what to show in my news feed?’ (Guardian, 30 June 2014) &lt;https://www.theguardian.com/technology/2014/jun/30/facebook-news-feed-filters-emotion-study&gt; accessed </w:t>
      </w:r>
      <w:r>
        <w:rPr>
          <w:rFonts w:ascii="Times New Roman" w:hAnsi="Times New Roman"/>
          <w:sz w:val="24"/>
          <w:szCs w:val="24"/>
        </w:rPr>
        <w:t>9</w:t>
      </w:r>
      <w:r w:rsidRPr="00A4309D">
        <w:rPr>
          <w:rFonts w:ascii="Times New Roman" w:hAnsi="Times New Roman"/>
          <w:sz w:val="24"/>
          <w:szCs w:val="24"/>
        </w:rPr>
        <w:t xml:space="preserve"> </w:t>
      </w:r>
      <w:r>
        <w:rPr>
          <w:rFonts w:ascii="Times New Roman" w:hAnsi="Times New Roman"/>
          <w:sz w:val="24"/>
          <w:szCs w:val="24"/>
        </w:rPr>
        <w:t>Octo</w:t>
      </w:r>
      <w:r w:rsidRPr="00A4309D">
        <w:rPr>
          <w:rFonts w:ascii="Times New Roman" w:hAnsi="Times New Roman"/>
          <w:sz w:val="24"/>
          <w:szCs w:val="24"/>
        </w:rPr>
        <w:t>ber 2020</w:t>
      </w:r>
    </w:p>
    <w:p w14:paraId="53F79710"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Drexl, J</w:t>
      </w:r>
      <w:r>
        <w:rPr>
          <w:rFonts w:ascii="Times New Roman" w:hAnsi="Times New Roman" w:cs="Times New Roman"/>
          <w:sz w:val="24"/>
          <w:szCs w:val="24"/>
        </w:rPr>
        <w:t>.</w:t>
      </w:r>
      <w:r w:rsidRPr="00D40D37">
        <w:rPr>
          <w:rFonts w:ascii="Times New Roman" w:hAnsi="Times New Roman" w:cs="Times New Roman"/>
          <w:sz w:val="24"/>
          <w:szCs w:val="24"/>
        </w:rPr>
        <w:t xml:space="preserve"> </w:t>
      </w:r>
      <w:r>
        <w:rPr>
          <w:rFonts w:ascii="Times New Roman" w:hAnsi="Times New Roman" w:cs="Times New Roman"/>
          <w:sz w:val="24"/>
          <w:szCs w:val="24"/>
        </w:rPr>
        <w:t>‘</w:t>
      </w:r>
      <w:r w:rsidRPr="00D40D37">
        <w:rPr>
          <w:rFonts w:ascii="Times New Roman" w:hAnsi="Times New Roman" w:cs="Times New Roman"/>
          <w:sz w:val="24"/>
          <w:szCs w:val="24"/>
        </w:rPr>
        <w:t>Anticompetitive Stumbling Stones on the Way to a Cleaner World: Protecting Competition in Innovation Without a Market</w:t>
      </w:r>
      <w:r>
        <w:rPr>
          <w:rFonts w:ascii="Times New Roman" w:hAnsi="Times New Roman" w:cs="Times New Roman"/>
          <w:sz w:val="24"/>
          <w:szCs w:val="24"/>
        </w:rPr>
        <w:t>’</w:t>
      </w:r>
      <w:r w:rsidRPr="00D40D37">
        <w:rPr>
          <w:rFonts w:ascii="Times New Roman" w:hAnsi="Times New Roman" w:cs="Times New Roman"/>
          <w:sz w:val="24"/>
          <w:szCs w:val="24"/>
        </w:rPr>
        <w:t xml:space="preserve"> [2012] 8(3) Journal of Competition Law and Economics, 507-543</w:t>
      </w:r>
    </w:p>
    <w:p w14:paraId="5C6B17F4" w14:textId="684E0583" w:rsidR="00E27833" w:rsidRPr="00C54F4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Easley,</w:t>
      </w:r>
      <w:r>
        <w:rPr>
          <w:rFonts w:ascii="Times New Roman" w:hAnsi="Times New Roman" w:cs="Times New Roman"/>
          <w:sz w:val="24"/>
          <w:szCs w:val="24"/>
          <w:lang w:val="en-US"/>
        </w:rPr>
        <w:t xml:space="preserve"> R.,</w:t>
      </w:r>
      <w:r w:rsidRPr="00D40D37">
        <w:rPr>
          <w:rFonts w:ascii="Times New Roman" w:hAnsi="Times New Roman" w:cs="Times New Roman"/>
          <w:sz w:val="24"/>
          <w:szCs w:val="24"/>
          <w:lang w:val="en-US"/>
        </w:rPr>
        <w:t xml:space="preserve"> Guo</w:t>
      </w:r>
      <w:r>
        <w:rPr>
          <w:rFonts w:ascii="Times New Roman" w:hAnsi="Times New Roman" w:cs="Times New Roman"/>
          <w:sz w:val="24"/>
          <w:szCs w:val="24"/>
          <w:lang w:val="en-US"/>
        </w:rPr>
        <w:t>, H.</w:t>
      </w:r>
      <w:r w:rsidRPr="00D40D37">
        <w:rPr>
          <w:rFonts w:ascii="Times New Roman" w:hAnsi="Times New Roman" w:cs="Times New Roman"/>
          <w:sz w:val="24"/>
          <w:szCs w:val="24"/>
          <w:lang w:val="en-US"/>
        </w:rPr>
        <w:t xml:space="preserve"> and Kraemer</w:t>
      </w:r>
      <w:r>
        <w:rPr>
          <w:rFonts w:ascii="Times New Roman" w:hAnsi="Times New Roman" w:cs="Times New Roman"/>
          <w:sz w:val="24"/>
          <w:szCs w:val="24"/>
          <w:lang w:val="en-US"/>
        </w:rPr>
        <w:t>, J.</w:t>
      </w:r>
      <w:r w:rsidRPr="00D40D37">
        <w:rPr>
          <w:rFonts w:ascii="Times New Roman" w:hAnsi="Times New Roman" w:cs="Times New Roman"/>
          <w:sz w:val="24"/>
          <w:szCs w:val="24"/>
          <w:lang w:val="en-US"/>
        </w:rPr>
        <w:t xml:space="preserve"> ‘From Network Neutrality to Data Neutrality: A Techno-Economic Framework and Research Agenda’ (</w:t>
      </w:r>
      <w:r w:rsidRPr="00D40D37">
        <w:rPr>
          <w:rFonts w:ascii="Times New Roman" w:hAnsi="Times New Roman" w:cs="Times New Roman"/>
          <w:i/>
          <w:iCs/>
          <w:sz w:val="24"/>
          <w:szCs w:val="24"/>
          <w:lang w:val="en-US"/>
        </w:rPr>
        <w:t>SSRN</w:t>
      </w:r>
      <w:r w:rsidRPr="00D40D37">
        <w:rPr>
          <w:rFonts w:ascii="Times New Roman" w:hAnsi="Times New Roman" w:cs="Times New Roman"/>
          <w:sz w:val="24"/>
          <w:szCs w:val="24"/>
          <w:lang w:val="en-US"/>
        </w:rPr>
        <w:t xml:space="preserve">, 8 March 2017) ˂https://ssrn.com/abstract=2666217˃ accessed </w:t>
      </w:r>
      <w:r w:rsidR="00F817B5">
        <w:rPr>
          <w:rFonts w:ascii="Times New Roman" w:hAnsi="Times New Roman" w:cs="Times New Roman"/>
          <w:sz w:val="24"/>
          <w:szCs w:val="24"/>
          <w:lang w:val="en-US"/>
        </w:rPr>
        <w:t>9 October 2020</w:t>
      </w:r>
    </w:p>
    <w:p w14:paraId="1382CF00" w14:textId="143651C0"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ECIS ‘Special paper on cloud computing: Portability and interoperability of software and data across cloud services’ (27 June 2016) </w:t>
      </w:r>
      <w:r w:rsidRPr="00D40D37">
        <w:rPr>
          <w:rFonts w:ascii="Times New Roman" w:hAnsi="Times New Roman" w:cs="Times New Roman"/>
          <w:sz w:val="24"/>
          <w:szCs w:val="24"/>
        </w:rPr>
        <w:lastRenderedPageBreak/>
        <w:t xml:space="preserve">&lt;http://www.ecis.eu/2016/06/special-paper-on-cloud-computing-portability-and-interoperability/&gt; accessed </w:t>
      </w:r>
      <w:r w:rsidR="00F817B5">
        <w:rPr>
          <w:rFonts w:ascii="Times New Roman" w:hAnsi="Times New Roman" w:cs="Times New Roman"/>
          <w:sz w:val="24"/>
          <w:szCs w:val="24"/>
        </w:rPr>
        <w:t>9 October 2020</w:t>
      </w:r>
    </w:p>
    <w:p w14:paraId="1C4BE0EF" w14:textId="77777777" w:rsidR="00E27833" w:rsidRPr="00CB725E"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ECORYS and TNO, </w:t>
      </w:r>
      <w:r w:rsidRPr="00D40D37">
        <w:rPr>
          <w:rFonts w:ascii="Times New Roman" w:hAnsi="Times New Roman" w:cs="Times New Roman"/>
          <w:i/>
          <w:iCs/>
          <w:sz w:val="24"/>
          <w:szCs w:val="24"/>
          <w:lang w:val="en-US"/>
        </w:rPr>
        <w:t>A study on future trends and business models in communication services</w:t>
      </w:r>
      <w:r w:rsidRPr="00D40D37">
        <w:rPr>
          <w:rFonts w:ascii="Times New Roman" w:hAnsi="Times New Roman" w:cs="Times New Roman"/>
          <w:sz w:val="24"/>
          <w:szCs w:val="24"/>
          <w:lang w:val="en-US"/>
        </w:rPr>
        <w:t xml:space="preserve"> (Final Report: A Study prepared for the European Commission DG Communications Networks, Content &amp; Technology, 2016) (‘2016 OTT Report’)</w:t>
      </w:r>
    </w:p>
    <w:p w14:paraId="2600F190"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Edwards</w:t>
      </w:r>
      <w:r>
        <w:rPr>
          <w:rFonts w:ascii="Times New Roman" w:hAnsi="Times New Roman" w:cs="Times New Roman"/>
          <w:sz w:val="24"/>
          <w:szCs w:val="24"/>
          <w:lang w:val="en-US"/>
        </w:rPr>
        <w:t xml:space="preserve">, </w:t>
      </w:r>
      <w:r w:rsidRPr="00D40D37">
        <w:rPr>
          <w:rFonts w:ascii="Times New Roman" w:hAnsi="Times New Roman" w:cs="Times New Roman"/>
          <w:sz w:val="24"/>
          <w:szCs w:val="24"/>
          <w:lang w:val="en-US"/>
        </w:rPr>
        <w:t>D</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W. ‘Circulation Gatekeepers: Unbundling the Platform Politics of YouTube’s Content ID’, [2018] 47 Computers and Composition</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61</w:t>
      </w:r>
      <w:r>
        <w:rPr>
          <w:rFonts w:ascii="Times New Roman" w:hAnsi="Times New Roman" w:cs="Times New Roman"/>
          <w:sz w:val="24"/>
          <w:szCs w:val="24"/>
          <w:lang w:val="en-US"/>
        </w:rPr>
        <w:t>-74</w:t>
      </w:r>
    </w:p>
    <w:p w14:paraId="0D3FF8C2" w14:textId="4D39EE1A"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Elkhodr, </w:t>
      </w:r>
      <w:r>
        <w:rPr>
          <w:rFonts w:ascii="Times New Roman" w:hAnsi="Times New Roman" w:cs="Times New Roman"/>
          <w:sz w:val="24"/>
          <w:szCs w:val="24"/>
        </w:rPr>
        <w:t xml:space="preserve">M., </w:t>
      </w:r>
      <w:r w:rsidRPr="00D40D37">
        <w:rPr>
          <w:rFonts w:ascii="Times New Roman" w:hAnsi="Times New Roman" w:cs="Times New Roman"/>
          <w:sz w:val="24"/>
          <w:szCs w:val="24"/>
        </w:rPr>
        <w:t>Shahrestani</w:t>
      </w:r>
      <w:r>
        <w:rPr>
          <w:rFonts w:ascii="Times New Roman" w:hAnsi="Times New Roman" w:cs="Times New Roman"/>
          <w:sz w:val="24"/>
          <w:szCs w:val="24"/>
        </w:rPr>
        <w:t>, S.</w:t>
      </w:r>
      <w:r w:rsidRPr="00D40D37">
        <w:rPr>
          <w:rFonts w:ascii="Times New Roman" w:hAnsi="Times New Roman" w:cs="Times New Roman"/>
          <w:sz w:val="24"/>
          <w:szCs w:val="24"/>
        </w:rPr>
        <w:t xml:space="preserve"> and Cheung</w:t>
      </w:r>
      <w:r>
        <w:rPr>
          <w:rFonts w:ascii="Times New Roman" w:hAnsi="Times New Roman" w:cs="Times New Roman"/>
          <w:sz w:val="24"/>
          <w:szCs w:val="24"/>
        </w:rPr>
        <w:t>, H.</w:t>
      </w:r>
      <w:r w:rsidRPr="00D40D37">
        <w:rPr>
          <w:rFonts w:ascii="Times New Roman" w:hAnsi="Times New Roman" w:cs="Times New Roman"/>
          <w:sz w:val="24"/>
          <w:szCs w:val="24"/>
        </w:rPr>
        <w:t xml:space="preserve"> ‘The Internet of Things: New Interoperability, Management and Security Challenges’ [2016] 8(2) International Journal of Network Security &amp; Its Applications</w:t>
      </w:r>
      <w:r>
        <w:rPr>
          <w:rFonts w:ascii="Times New Roman" w:hAnsi="Times New Roman" w:cs="Times New Roman"/>
          <w:sz w:val="24"/>
          <w:szCs w:val="24"/>
        </w:rPr>
        <w:t>,</w:t>
      </w:r>
      <w:r w:rsidRPr="00D40D37">
        <w:rPr>
          <w:rFonts w:ascii="Times New Roman" w:hAnsi="Times New Roman" w:cs="Times New Roman"/>
          <w:sz w:val="24"/>
          <w:szCs w:val="24"/>
        </w:rPr>
        <w:t xml:space="preserve"> 85-102</w:t>
      </w:r>
    </w:p>
    <w:p w14:paraId="59947178" w14:textId="6A5528B1" w:rsidR="00265FFC" w:rsidRPr="00692824" w:rsidRDefault="00265FFC">
      <w:pPr>
        <w:pStyle w:val="ListParagraph"/>
        <w:numPr>
          <w:ilvl w:val="0"/>
          <w:numId w:val="22"/>
        </w:numPr>
        <w:jc w:val="both"/>
        <w:rPr>
          <w:rFonts w:ascii="Times New Roman" w:hAnsi="Times New Roman" w:cs="Times New Roman"/>
          <w:sz w:val="24"/>
          <w:szCs w:val="24"/>
        </w:rPr>
      </w:pPr>
      <w:r w:rsidRPr="00692824">
        <w:rPr>
          <w:rFonts w:ascii="Times New Roman" w:hAnsi="Times New Roman" w:cs="Times New Roman"/>
          <w:sz w:val="24"/>
          <w:szCs w:val="24"/>
        </w:rPr>
        <w:t>Elkin-Koren,</w:t>
      </w:r>
      <w:r>
        <w:rPr>
          <w:rFonts w:ascii="Times New Roman" w:hAnsi="Times New Roman" w:cs="Times New Roman"/>
          <w:sz w:val="24"/>
          <w:szCs w:val="24"/>
        </w:rPr>
        <w:t xml:space="preserve"> N.,</w:t>
      </w:r>
      <w:r w:rsidRPr="00692824">
        <w:rPr>
          <w:rFonts w:ascii="Times New Roman" w:hAnsi="Times New Roman" w:cs="Times New Roman"/>
          <w:sz w:val="24"/>
          <w:szCs w:val="24"/>
        </w:rPr>
        <w:t xml:space="preserve"> ‘Copyrights in Cyberspace - Rights without Laws’ [1998] 73 Chicago-Kent Law Review, 1155-1201</w:t>
      </w:r>
    </w:p>
    <w:p w14:paraId="3B0F2EF9" w14:textId="6871AF96" w:rsidR="00175D9C" w:rsidRDefault="00175D9C" w:rsidP="00175D9C">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Elkin-Koren, N.,</w:t>
      </w:r>
      <w:r w:rsidRPr="00692824">
        <w:rPr>
          <w:rFonts w:ascii="Times New Roman" w:hAnsi="Times New Roman" w:cs="Times New Roman"/>
          <w:sz w:val="24"/>
          <w:szCs w:val="24"/>
        </w:rPr>
        <w:t xml:space="preserve"> ‘Cyberlaw and Social Change: A democratic approach to copyright law in cyberspace’ [1996] 14 Cardozo Arts and Entertainment Law Journal 215</w:t>
      </w:r>
      <w:r>
        <w:rPr>
          <w:rFonts w:ascii="Times New Roman" w:hAnsi="Times New Roman" w:cs="Times New Roman"/>
          <w:sz w:val="24"/>
          <w:szCs w:val="24"/>
        </w:rPr>
        <w:t>-</w:t>
      </w:r>
      <w:r w:rsidR="00B426DA">
        <w:rPr>
          <w:rFonts w:ascii="Times New Roman" w:hAnsi="Times New Roman" w:cs="Times New Roman"/>
          <w:sz w:val="24"/>
          <w:szCs w:val="24"/>
        </w:rPr>
        <w:t>296</w:t>
      </w:r>
    </w:p>
    <w:p w14:paraId="757F3EF0" w14:textId="762BF954" w:rsidR="001D1ECA" w:rsidRPr="00692824" w:rsidRDefault="001D1ECA">
      <w:pPr>
        <w:pStyle w:val="ListParagraph"/>
        <w:numPr>
          <w:ilvl w:val="0"/>
          <w:numId w:val="22"/>
        </w:numPr>
        <w:jc w:val="both"/>
        <w:rPr>
          <w:rFonts w:ascii="Times New Roman" w:hAnsi="Times New Roman" w:cs="Times New Roman"/>
          <w:sz w:val="24"/>
          <w:szCs w:val="24"/>
        </w:rPr>
      </w:pPr>
      <w:r w:rsidRPr="001D1ECA">
        <w:rPr>
          <w:rFonts w:ascii="Times New Roman" w:hAnsi="Times New Roman" w:cs="Times New Roman"/>
          <w:sz w:val="24"/>
          <w:szCs w:val="24"/>
        </w:rPr>
        <w:t>Elkin-Koren,</w:t>
      </w:r>
      <w:r w:rsidR="00B426DA">
        <w:rPr>
          <w:rFonts w:ascii="Times New Roman" w:hAnsi="Times New Roman" w:cs="Times New Roman"/>
          <w:sz w:val="24"/>
          <w:szCs w:val="24"/>
        </w:rPr>
        <w:t xml:space="preserve"> N.</w:t>
      </w:r>
      <w:r w:rsidRPr="001D1ECA">
        <w:rPr>
          <w:rFonts w:ascii="Times New Roman" w:hAnsi="Times New Roman" w:cs="Times New Roman"/>
          <w:sz w:val="24"/>
          <w:szCs w:val="24"/>
        </w:rPr>
        <w:t xml:space="preserve"> ‘Public/Private and Copyright Reform in Cyberspace’ (1996) 2(2) Journal of Computer-Mediated Communication &lt;https://doi.org/10.1111/j.1083-6101.1996.tb00059.x&gt; accessed 9 October 2020</w:t>
      </w:r>
    </w:p>
    <w:p w14:paraId="6A36DCFA" w14:textId="02EB0074" w:rsidR="00E27833" w:rsidRPr="00CB725E"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EPO, ‘Fundamentals of infringement’ &lt;</w:t>
      </w:r>
      <w:hyperlink r:id="rId45" w:history="1">
        <w:r w:rsidRPr="00D40D37">
          <w:rPr>
            <w:rFonts w:ascii="Times New Roman" w:hAnsi="Times New Roman" w:cs="Times New Roman"/>
            <w:sz w:val="24"/>
            <w:szCs w:val="24"/>
          </w:rPr>
          <w:t>https://e-courses.epo.org/wbts_int/litigation/FundamentalsOfInfringement.pdf</w:t>
        </w:r>
      </w:hyperlink>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55C84CFE" w14:textId="0C7D237B"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lastRenderedPageBreak/>
        <w:t xml:space="preserve">EPO, </w:t>
      </w:r>
      <w:r>
        <w:rPr>
          <w:rFonts w:ascii="Times New Roman" w:hAnsi="Times New Roman" w:cs="Times New Roman"/>
          <w:sz w:val="24"/>
          <w:szCs w:val="24"/>
          <w:lang w:val="en-US"/>
        </w:rPr>
        <w:t>‘</w:t>
      </w:r>
      <w:r w:rsidRPr="00D40D37">
        <w:rPr>
          <w:rFonts w:ascii="Times New Roman" w:hAnsi="Times New Roman" w:cs="Times New Roman"/>
          <w:sz w:val="24"/>
          <w:szCs w:val="24"/>
          <w:lang w:val="en-US"/>
        </w:rPr>
        <w:t>Patents for software? European law and practice</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(2009) ˂https://tt.tecnico.ulisboa.pt/files/sites/41/PI-Pack-INPI-E-Patents-for-Software-EPO.pdf˃ accessed </w:t>
      </w:r>
      <w:r w:rsidR="00F817B5">
        <w:rPr>
          <w:rFonts w:ascii="Times New Roman" w:hAnsi="Times New Roman" w:cs="Times New Roman"/>
          <w:sz w:val="24"/>
          <w:szCs w:val="24"/>
          <w:lang w:val="en-US"/>
        </w:rPr>
        <w:t>9 October 2020</w:t>
      </w:r>
    </w:p>
    <w:p w14:paraId="003E94E1" w14:textId="37C6E826" w:rsidR="00E27833" w:rsidRPr="008C70D4"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Erdos,</w:t>
      </w:r>
      <w:r>
        <w:rPr>
          <w:rFonts w:ascii="Times New Roman" w:hAnsi="Times New Roman" w:cs="Times New Roman"/>
          <w:sz w:val="24"/>
          <w:szCs w:val="24"/>
        </w:rPr>
        <w:t xml:space="preserve"> I.</w:t>
      </w:r>
      <w:r w:rsidRPr="00D40D37">
        <w:rPr>
          <w:rFonts w:ascii="Times New Roman" w:hAnsi="Times New Roman" w:cs="Times New Roman"/>
          <w:sz w:val="24"/>
          <w:szCs w:val="24"/>
        </w:rPr>
        <w:t xml:space="preserve"> ‘A Measure to Protect Computer-Implemented Inventions in Europe’ [2004] 3 Journal of Information, Law and Technology</w:t>
      </w:r>
      <w:r w:rsidRPr="00D40D37">
        <w:rPr>
          <w:rFonts w:ascii="Times New Roman" w:hAnsi="Times New Roman" w:cs="Times New Roman"/>
          <w:sz w:val="24"/>
          <w:szCs w:val="24"/>
          <w:lang w:val="en-US"/>
        </w:rPr>
        <w:t xml:space="preserve"> ˂https://warwick.ac.uk/fac/soc/law/elj/jilt/2004_3/erdos˃ accessed </w:t>
      </w:r>
      <w:r w:rsidR="00F817B5">
        <w:rPr>
          <w:rFonts w:ascii="Times New Roman" w:hAnsi="Times New Roman" w:cs="Times New Roman"/>
          <w:sz w:val="24"/>
          <w:szCs w:val="24"/>
          <w:lang w:val="en-US"/>
        </w:rPr>
        <w:t>9 October 2020</w:t>
      </w:r>
    </w:p>
    <w:p w14:paraId="7BE21EBA" w14:textId="64C4C8B1" w:rsidR="00E27833" w:rsidRPr="007D2564"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ERG, Final Report on IP Interconnection, Project Team on IP - Interconnection and NGN, (2007) ERG (07) 09 ˂</w:t>
      </w:r>
      <w:r w:rsidRPr="00D40D37">
        <w:rPr>
          <w:rFonts w:ascii="Times New Roman" w:hAnsi="Times New Roman" w:cs="Times New Roman"/>
          <w:sz w:val="24"/>
          <w:szCs w:val="24"/>
          <w:lang w:val="tr-TR"/>
        </w:rPr>
        <w:t xml:space="preserve">https://www.berec.europa.eu/doc/publications/erg_07_09_rept_on_ip_interconn.pdf˃ accessed </w:t>
      </w:r>
      <w:r w:rsidR="00F817B5">
        <w:rPr>
          <w:rFonts w:ascii="Times New Roman" w:hAnsi="Times New Roman" w:cs="Times New Roman"/>
          <w:sz w:val="24"/>
          <w:szCs w:val="24"/>
          <w:lang w:val="tr-TR"/>
        </w:rPr>
        <w:t>9 October 2020</w:t>
      </w:r>
    </w:p>
    <w:p w14:paraId="2CC1BF1B" w14:textId="6C54297B" w:rsidR="00E27833" w:rsidRPr="008D6D09" w:rsidRDefault="00E27833" w:rsidP="00E27833">
      <w:pPr>
        <w:pStyle w:val="ListParagraph"/>
        <w:numPr>
          <w:ilvl w:val="0"/>
          <w:numId w:val="22"/>
        </w:numPr>
        <w:jc w:val="both"/>
        <w:rPr>
          <w:rFonts w:ascii="Times New Roman" w:hAnsi="Times New Roman" w:cs="Times New Roman"/>
          <w:sz w:val="24"/>
          <w:szCs w:val="24"/>
        </w:rPr>
      </w:pPr>
      <w:r w:rsidRPr="007D2564">
        <w:rPr>
          <w:rFonts w:ascii="Times New Roman" w:hAnsi="Times New Roman" w:cs="Times New Roman"/>
          <w:sz w:val="24"/>
          <w:szCs w:val="24"/>
        </w:rPr>
        <w:t>European Commission, ‘</w:t>
      </w:r>
      <w:r w:rsidRPr="007D2564">
        <w:rPr>
          <w:rFonts w:ascii="Times New Roman" w:hAnsi="Times New Roman" w:cs="Times New Roman"/>
          <w:sz w:val="24"/>
          <w:szCs w:val="24"/>
          <w:lang w:val="tr-TR"/>
        </w:rPr>
        <w:t xml:space="preserve">Digital Single Market: Bringing down barriers to unlock online opportunities’ </w:t>
      </w:r>
      <w:r w:rsidRPr="007D2564">
        <w:rPr>
          <w:rFonts w:ascii="Times New Roman" w:hAnsi="Times New Roman" w:cs="Times New Roman"/>
          <w:sz w:val="24"/>
          <w:szCs w:val="24"/>
        </w:rPr>
        <w:t>˂</w:t>
      </w:r>
      <w:r w:rsidRPr="007D2564">
        <w:rPr>
          <w:rFonts w:ascii="Times New Roman" w:hAnsi="Times New Roman" w:cs="Times New Roman"/>
          <w:sz w:val="24"/>
          <w:szCs w:val="24"/>
          <w:lang w:val="tr-TR"/>
        </w:rPr>
        <w:t xml:space="preserve">http://ec.europa.eu/priorities/digital-single-market_en˃ accessed </w:t>
      </w:r>
      <w:r w:rsidR="00F817B5">
        <w:rPr>
          <w:rFonts w:ascii="Times New Roman" w:hAnsi="Times New Roman" w:cs="Times New Roman"/>
          <w:sz w:val="24"/>
          <w:szCs w:val="24"/>
          <w:lang w:val="tr-TR"/>
        </w:rPr>
        <w:t>9 October 2020</w:t>
      </w:r>
    </w:p>
    <w:p w14:paraId="1FCD4880" w14:textId="73C84532" w:rsidR="00E27833" w:rsidRPr="008D6D09" w:rsidRDefault="00E27833" w:rsidP="00E27833">
      <w:pPr>
        <w:pStyle w:val="ListParagraph"/>
        <w:numPr>
          <w:ilvl w:val="0"/>
          <w:numId w:val="22"/>
        </w:numPr>
        <w:jc w:val="both"/>
        <w:rPr>
          <w:rFonts w:ascii="Times New Roman" w:hAnsi="Times New Roman" w:cs="Times New Roman"/>
          <w:sz w:val="24"/>
          <w:szCs w:val="24"/>
          <w:lang w:val="tr-TR"/>
        </w:rPr>
      </w:pPr>
      <w:r>
        <w:rPr>
          <w:rFonts w:ascii="Times New Roman" w:hAnsi="Times New Roman" w:cs="Times New Roman"/>
          <w:sz w:val="24"/>
          <w:szCs w:val="24"/>
          <w:lang w:val="tr-TR"/>
        </w:rPr>
        <w:t>European Commission, ‘</w:t>
      </w:r>
      <w:r w:rsidRPr="00454625">
        <w:rPr>
          <w:rFonts w:ascii="Times New Roman" w:hAnsi="Times New Roman" w:cs="Times New Roman"/>
          <w:sz w:val="24"/>
          <w:szCs w:val="24"/>
          <w:lang w:val="tr-TR"/>
        </w:rPr>
        <w:t>Digital Single Market</w:t>
      </w:r>
      <w:r>
        <w:rPr>
          <w:rFonts w:ascii="Times New Roman" w:hAnsi="Times New Roman" w:cs="Times New Roman"/>
          <w:sz w:val="24"/>
          <w:szCs w:val="24"/>
          <w:lang w:val="tr-TR"/>
        </w:rPr>
        <w:t>:</w:t>
      </w:r>
      <w:r w:rsidRPr="00454625">
        <w:rPr>
          <w:rFonts w:ascii="Times New Roman" w:hAnsi="Times New Roman" w:cs="Times New Roman"/>
          <w:sz w:val="24"/>
          <w:szCs w:val="24"/>
          <w:lang w:val="tr-TR"/>
        </w:rPr>
        <w:t xml:space="preserve"> Electronic Communications Laws</w:t>
      </w:r>
      <w:r>
        <w:rPr>
          <w:rFonts w:ascii="Times New Roman" w:hAnsi="Times New Roman" w:cs="Times New Roman"/>
          <w:sz w:val="24"/>
          <w:szCs w:val="24"/>
          <w:lang w:val="tr-TR"/>
        </w:rPr>
        <w:t>’</w:t>
      </w:r>
      <w:r w:rsidRPr="00454625">
        <w:rPr>
          <w:rFonts w:ascii="Times New Roman" w:hAnsi="Times New Roman" w:cs="Times New Roman"/>
          <w:sz w:val="24"/>
          <w:szCs w:val="24"/>
          <w:lang w:val="tr-TR"/>
        </w:rPr>
        <w:t xml:space="preserve"> &lt;</w:t>
      </w:r>
      <w:hyperlink r:id="rId46" w:history="1">
        <w:r w:rsidRPr="008D6D09">
          <w:rPr>
            <w:rFonts w:ascii="Times New Roman" w:hAnsi="Times New Roman" w:cs="Times New Roman"/>
            <w:sz w:val="24"/>
            <w:szCs w:val="24"/>
            <w:lang w:val="tr-TR"/>
          </w:rPr>
          <w:t>https://ec.europa.eu/digital-single-market/en/telecoms-rules</w:t>
        </w:r>
      </w:hyperlink>
      <w:r w:rsidRPr="00454625">
        <w:rPr>
          <w:rFonts w:ascii="Times New Roman" w:hAnsi="Times New Roman" w:cs="Times New Roman"/>
          <w:sz w:val="24"/>
          <w:szCs w:val="24"/>
          <w:lang w:val="tr-TR"/>
        </w:rPr>
        <w:t xml:space="preserve">&gt; accessed </w:t>
      </w:r>
      <w:r w:rsidR="00F817B5">
        <w:rPr>
          <w:rFonts w:ascii="Times New Roman" w:hAnsi="Times New Roman" w:cs="Times New Roman"/>
          <w:sz w:val="24"/>
          <w:szCs w:val="24"/>
          <w:lang w:val="tr-TR"/>
        </w:rPr>
        <w:t>9 October 2020</w:t>
      </w:r>
    </w:p>
    <w:p w14:paraId="21631A3D" w14:textId="6513968F" w:rsidR="00E27833" w:rsidRDefault="00E27833" w:rsidP="00E27833">
      <w:pPr>
        <w:pStyle w:val="ListParagraph"/>
        <w:numPr>
          <w:ilvl w:val="0"/>
          <w:numId w:val="22"/>
        </w:numPr>
        <w:rPr>
          <w:rFonts w:ascii="Times New Roman" w:hAnsi="Times New Roman" w:cs="Times New Roman"/>
          <w:sz w:val="24"/>
          <w:szCs w:val="24"/>
        </w:rPr>
      </w:pPr>
      <w:r w:rsidRPr="007D2564">
        <w:rPr>
          <w:rFonts w:ascii="Times New Roman" w:hAnsi="Times New Roman" w:cs="Times New Roman"/>
          <w:sz w:val="24"/>
          <w:szCs w:val="24"/>
        </w:rPr>
        <w:t>European Commission</w:t>
      </w:r>
      <w:r>
        <w:rPr>
          <w:rFonts w:ascii="Times New Roman" w:hAnsi="Times New Roman" w:cs="Times New Roman"/>
          <w:sz w:val="24"/>
          <w:szCs w:val="24"/>
        </w:rPr>
        <w:t>,</w:t>
      </w:r>
      <w:r w:rsidRPr="00D40D37">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D40D37">
        <w:rPr>
          <w:rFonts w:ascii="Times New Roman" w:hAnsi="Times New Roman" w:cs="Times New Roman"/>
          <w:sz w:val="24"/>
          <w:szCs w:val="24"/>
          <w:lang w:val="en-US"/>
        </w:rPr>
        <w:t>Digital Single Market</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w:t>
      </w:r>
      <w:r w:rsidRPr="00D40D37">
        <w:rPr>
          <w:rFonts w:ascii="Times New Roman" w:hAnsi="Times New Roman" w:cs="Times New Roman"/>
          <w:sz w:val="24"/>
          <w:szCs w:val="24"/>
        </w:rPr>
        <w:t xml:space="preserve">Free ﬂow of non-personal data’ </w:t>
      </w:r>
      <w:r w:rsidRPr="00D40D37">
        <w:rPr>
          <w:rFonts w:ascii="Times New Roman" w:hAnsi="Times New Roman" w:cs="Times New Roman"/>
          <w:sz w:val="24"/>
          <w:szCs w:val="24"/>
          <w:lang w:val="tr-TR"/>
        </w:rPr>
        <w:t>˂</w:t>
      </w:r>
      <w:r w:rsidRPr="00D40D37">
        <w:rPr>
          <w:rFonts w:ascii="Times New Roman" w:hAnsi="Times New Roman" w:cs="Times New Roman"/>
          <w:sz w:val="24"/>
          <w:szCs w:val="24"/>
        </w:rPr>
        <w:t>https://ec.europa.eu/digital-single-market/en/free-flow-non-personal-data</w:t>
      </w:r>
      <w:r w:rsidRPr="00D40D37">
        <w:rPr>
          <w:rFonts w:ascii="Times New Roman" w:hAnsi="Times New Roman" w:cs="Times New Roman"/>
          <w:sz w:val="24"/>
          <w:szCs w:val="24"/>
          <w:lang w:val="tr-TR"/>
        </w:rPr>
        <w:t>˃</w:t>
      </w:r>
      <w:r w:rsidRPr="00D40D37">
        <w:rPr>
          <w:rFonts w:ascii="Times New Roman" w:hAnsi="Times New Roman" w:cs="Times New Roman"/>
          <w:sz w:val="24"/>
          <w:szCs w:val="24"/>
        </w:rPr>
        <w:t xml:space="preserve"> accessed </w:t>
      </w:r>
      <w:r w:rsidR="00F817B5">
        <w:rPr>
          <w:rFonts w:ascii="Times New Roman" w:hAnsi="Times New Roman" w:cs="Times New Roman"/>
          <w:sz w:val="24"/>
          <w:szCs w:val="24"/>
        </w:rPr>
        <w:t>9 October 2020</w:t>
      </w:r>
    </w:p>
    <w:p w14:paraId="71F2516D" w14:textId="4A95190D" w:rsidR="00E27833" w:rsidRDefault="00E27833" w:rsidP="00E27833">
      <w:pPr>
        <w:pStyle w:val="ListParagraph"/>
        <w:numPr>
          <w:ilvl w:val="0"/>
          <w:numId w:val="22"/>
        </w:numPr>
        <w:rPr>
          <w:rFonts w:ascii="Times New Roman" w:hAnsi="Times New Roman" w:cs="Times New Roman"/>
          <w:sz w:val="24"/>
          <w:szCs w:val="24"/>
        </w:rPr>
      </w:pPr>
      <w:r w:rsidRPr="00D40D37">
        <w:rPr>
          <w:rFonts w:ascii="Times New Roman" w:hAnsi="Times New Roman" w:cs="Times New Roman"/>
          <w:sz w:val="24"/>
          <w:szCs w:val="24"/>
        </w:rPr>
        <w:t xml:space="preserve">European Commission, </w:t>
      </w:r>
      <w:r>
        <w:rPr>
          <w:rFonts w:ascii="Times New Roman" w:hAnsi="Times New Roman" w:cs="Times New Roman"/>
          <w:sz w:val="24"/>
          <w:szCs w:val="24"/>
        </w:rPr>
        <w:t>‘</w:t>
      </w:r>
      <w:r w:rsidRPr="00D40D37">
        <w:rPr>
          <w:rFonts w:ascii="Times New Roman" w:hAnsi="Times New Roman" w:cs="Times New Roman"/>
          <w:sz w:val="24"/>
          <w:szCs w:val="24"/>
        </w:rPr>
        <w:t>Digital Single Market</w:t>
      </w:r>
      <w:r>
        <w:rPr>
          <w:rFonts w:ascii="Times New Roman" w:hAnsi="Times New Roman" w:cs="Times New Roman"/>
          <w:sz w:val="24"/>
          <w:szCs w:val="24"/>
        </w:rPr>
        <w:t>:</w:t>
      </w:r>
      <w:r w:rsidRPr="00D40D37">
        <w:rPr>
          <w:rFonts w:ascii="Times New Roman" w:hAnsi="Times New Roman" w:cs="Times New Roman"/>
          <w:sz w:val="24"/>
          <w:szCs w:val="24"/>
        </w:rPr>
        <w:t xml:space="preserve"> The EU copyright legislation</w:t>
      </w:r>
      <w:r>
        <w:rPr>
          <w:rFonts w:ascii="Times New Roman" w:hAnsi="Times New Roman" w:cs="Times New Roman"/>
          <w:sz w:val="24"/>
          <w:szCs w:val="24"/>
        </w:rPr>
        <w:t>’</w:t>
      </w:r>
      <w:r w:rsidRPr="00D40D37">
        <w:rPr>
          <w:rFonts w:ascii="Times New Roman" w:hAnsi="Times New Roman" w:cs="Times New Roman"/>
          <w:sz w:val="24"/>
          <w:szCs w:val="24"/>
        </w:rPr>
        <w:t xml:space="preserve"> (28 August 2015) ˂https://ec.europa.eu/digital-single-market/en/eu-copyright-legislation˃ accessed </w:t>
      </w:r>
      <w:r w:rsidR="00F817B5">
        <w:rPr>
          <w:rFonts w:ascii="Times New Roman" w:hAnsi="Times New Roman" w:cs="Times New Roman"/>
          <w:sz w:val="24"/>
          <w:szCs w:val="24"/>
        </w:rPr>
        <w:t>9 October 2020</w:t>
      </w:r>
    </w:p>
    <w:p w14:paraId="782AB66F" w14:textId="54EEF5CB"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lastRenderedPageBreak/>
        <w:t xml:space="preserve">European Parliament, </w:t>
      </w:r>
      <w:r>
        <w:rPr>
          <w:rFonts w:ascii="Times New Roman" w:hAnsi="Times New Roman" w:cs="Times New Roman"/>
          <w:sz w:val="24"/>
          <w:szCs w:val="24"/>
          <w:lang w:val="en-US"/>
        </w:rPr>
        <w:t>‘</w:t>
      </w:r>
      <w:r w:rsidRPr="00D40D37">
        <w:rPr>
          <w:rFonts w:ascii="Times New Roman" w:hAnsi="Times New Roman" w:cs="Times New Roman"/>
          <w:sz w:val="24"/>
          <w:szCs w:val="24"/>
          <w:lang w:val="en-US"/>
        </w:rPr>
        <w:t>Legislative Train Schedule</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w:t>
      </w:r>
      <w:hyperlink r:id="rId47" w:history="1">
        <w:r w:rsidRPr="00D40D37">
          <w:rPr>
            <w:rFonts w:ascii="Times New Roman" w:hAnsi="Times New Roman" w:cs="Times New Roman"/>
            <w:sz w:val="24"/>
            <w:szCs w:val="24"/>
          </w:rPr>
          <w:t>http://www.europarl.europa.eu/legislative-train/theme-connected-digital-single-market</w:t>
        </w:r>
      </w:hyperlink>
      <w:r w:rsidRPr="00D40D37">
        <w:rPr>
          <w:rFonts w:ascii="Times New Roman" w:hAnsi="Times New Roman" w:cs="Times New Roman"/>
          <w:sz w:val="24"/>
          <w:szCs w:val="24"/>
          <w:lang w:val="en-US"/>
        </w:rPr>
        <w:t xml:space="preserve">˃ accessed </w:t>
      </w:r>
      <w:r w:rsidR="00F817B5">
        <w:rPr>
          <w:rFonts w:ascii="Times New Roman" w:hAnsi="Times New Roman" w:cs="Times New Roman"/>
          <w:sz w:val="24"/>
          <w:szCs w:val="24"/>
          <w:lang w:val="en-US"/>
        </w:rPr>
        <w:t>9 October 2020</w:t>
      </w:r>
    </w:p>
    <w:p w14:paraId="19A5B9A3" w14:textId="6E584010"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European Parliament ‘Review of the ePrivacy Directive’ (Think Tank, 03/02/2017) &lt;http://www.europarl.europa.eu/thinktank/en/document.html?reference=EPRS_BRI(2017)587347&gt; accessed </w:t>
      </w:r>
      <w:r w:rsidR="00F817B5">
        <w:rPr>
          <w:rFonts w:ascii="Times New Roman" w:hAnsi="Times New Roman" w:cs="Times New Roman"/>
          <w:sz w:val="24"/>
          <w:szCs w:val="24"/>
        </w:rPr>
        <w:t>9 October 2020</w:t>
      </w:r>
    </w:p>
    <w:p w14:paraId="05CF58B1" w14:textId="433CBA3C"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European Research Cluster on the Internet of Things, ‘IoT Semantic Interoperability: Research Challenges, Best Practices, Recommendations and Next Steps’ (2015) &lt;http://www.internet-of-things-research.eu/pdf/IERC_Position_Paper_IoT_Semantic_Interoperability_Final.pdf&gt; accessed </w:t>
      </w:r>
      <w:r w:rsidR="00F817B5">
        <w:rPr>
          <w:rFonts w:ascii="Times New Roman" w:hAnsi="Times New Roman" w:cs="Times New Roman"/>
          <w:sz w:val="24"/>
          <w:szCs w:val="24"/>
        </w:rPr>
        <w:t>9 October 2020</w:t>
      </w:r>
    </w:p>
    <w:p w14:paraId="7E8A33CC" w14:textId="0BC16AC3" w:rsidR="00E27833" w:rsidRPr="003457C1"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European Telecommunications Standards Institute (ETSI), </w:t>
      </w:r>
      <w:r w:rsidRPr="00D40D37">
        <w:rPr>
          <w:rFonts w:ascii="Times New Roman" w:hAnsi="Times New Roman" w:cs="Times New Roman"/>
          <w:i/>
          <w:iCs/>
          <w:sz w:val="24"/>
          <w:szCs w:val="24"/>
        </w:rPr>
        <w:t>Version 1.0.</w:t>
      </w:r>
      <w:r w:rsidRPr="00D40D37">
        <w:rPr>
          <w:rFonts w:ascii="Times New Roman" w:hAnsi="Times New Roman" w:cs="Times New Roman"/>
          <w:sz w:val="24"/>
          <w:szCs w:val="24"/>
        </w:rPr>
        <w:t xml:space="preserve"> (Cloud Standards Coordination, Final report, 2013) ˂https://www.etsi.org/images/files/Events/2013/2013_CSC_Delivery_WS/CSC-Final_report-013-CSC_Final_report_v1_0_PDF_format-.PDF˃ accessed </w:t>
      </w:r>
      <w:r w:rsidR="00F817B5">
        <w:rPr>
          <w:rFonts w:ascii="Times New Roman" w:hAnsi="Times New Roman" w:cs="Times New Roman"/>
          <w:sz w:val="24"/>
          <w:szCs w:val="24"/>
        </w:rPr>
        <w:t>9 October 2020</w:t>
      </w:r>
    </w:p>
    <w:p w14:paraId="16F20D7A"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Faulhaber, G</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R. ‘Access ≠ Access1 + Access2’ [2002] 3 Law Review of Michigan State University, Detroit College of Law</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677</w:t>
      </w:r>
      <w:r>
        <w:rPr>
          <w:rFonts w:ascii="Times New Roman" w:hAnsi="Times New Roman" w:cs="Times New Roman"/>
          <w:sz w:val="24"/>
          <w:szCs w:val="24"/>
          <w:lang w:val="en-US"/>
        </w:rPr>
        <w:t>-708</w:t>
      </w:r>
    </w:p>
    <w:p w14:paraId="39D37323" w14:textId="641B985C" w:rsidR="00CF3A0F" w:rsidRPr="00692824" w:rsidRDefault="00CF3A0F">
      <w:pPr>
        <w:pStyle w:val="ListParagraph"/>
        <w:numPr>
          <w:ilvl w:val="0"/>
          <w:numId w:val="22"/>
        </w:numPr>
        <w:jc w:val="both"/>
        <w:rPr>
          <w:rFonts w:ascii="Times New Roman" w:hAnsi="Times New Roman" w:cs="Times New Roman"/>
          <w:sz w:val="24"/>
          <w:szCs w:val="24"/>
        </w:rPr>
      </w:pPr>
      <w:r w:rsidRPr="00692824">
        <w:rPr>
          <w:rFonts w:ascii="Times New Roman" w:hAnsi="Times New Roman" w:cs="Times New Roman"/>
          <w:sz w:val="24"/>
          <w:szCs w:val="24"/>
        </w:rPr>
        <w:t>Favale,</w:t>
      </w:r>
      <w:r>
        <w:rPr>
          <w:rFonts w:ascii="Times New Roman" w:hAnsi="Times New Roman" w:cs="Times New Roman"/>
          <w:sz w:val="24"/>
          <w:szCs w:val="24"/>
        </w:rPr>
        <w:t xml:space="preserve"> M.,</w:t>
      </w:r>
      <w:r w:rsidRPr="00692824">
        <w:rPr>
          <w:rFonts w:ascii="Times New Roman" w:hAnsi="Times New Roman" w:cs="Times New Roman"/>
          <w:sz w:val="24"/>
          <w:szCs w:val="24"/>
        </w:rPr>
        <w:t xml:space="preserve"> ‘The Right of Access in Digital Copyright: Right of the Owner or Right of the User?’ [2012] 15(1) The Journal of World Intellectual Property, 1-25</w:t>
      </w:r>
    </w:p>
    <w:p w14:paraId="5EFBB83E" w14:textId="53626EFF"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Feasey,</w:t>
      </w:r>
      <w:r>
        <w:rPr>
          <w:rFonts w:ascii="Times New Roman" w:hAnsi="Times New Roman" w:cs="Times New Roman"/>
          <w:sz w:val="24"/>
          <w:szCs w:val="24"/>
        </w:rPr>
        <w:t xml:space="preserve"> R.</w:t>
      </w:r>
      <w:r w:rsidRPr="00D40D37">
        <w:rPr>
          <w:rFonts w:ascii="Times New Roman" w:hAnsi="Times New Roman" w:cs="Times New Roman"/>
          <w:sz w:val="24"/>
          <w:szCs w:val="24"/>
        </w:rPr>
        <w:t xml:space="preserve"> ‘Confusion, denial and anger: The response of the telecommunications industry to the challenge of the Internet’ [2015] 39(6) Telecommunications Policy</w:t>
      </w:r>
      <w:r>
        <w:rPr>
          <w:rFonts w:ascii="Times New Roman" w:hAnsi="Times New Roman" w:cs="Times New Roman"/>
          <w:sz w:val="24"/>
          <w:szCs w:val="24"/>
        </w:rPr>
        <w:t>,</w:t>
      </w:r>
      <w:r w:rsidRPr="00D40D37">
        <w:rPr>
          <w:rFonts w:ascii="Times New Roman" w:hAnsi="Times New Roman" w:cs="Times New Roman"/>
          <w:sz w:val="24"/>
          <w:szCs w:val="24"/>
        </w:rPr>
        <w:t xml:space="preserve"> 444-449</w:t>
      </w:r>
    </w:p>
    <w:p w14:paraId="79D801D4" w14:textId="162981F3"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lastRenderedPageBreak/>
        <w:t>Fernandes,</w:t>
      </w:r>
      <w:r>
        <w:rPr>
          <w:rFonts w:ascii="Times New Roman" w:hAnsi="Times New Roman" w:cs="Times New Roman"/>
          <w:sz w:val="24"/>
          <w:szCs w:val="24"/>
          <w:lang w:val="en-US"/>
        </w:rPr>
        <w:t xml:space="preserve"> </w:t>
      </w:r>
      <w:r w:rsidRPr="00D40D37">
        <w:rPr>
          <w:rFonts w:ascii="Times New Roman" w:hAnsi="Times New Roman" w:cs="Times New Roman"/>
          <w:sz w:val="24"/>
          <w:szCs w:val="24"/>
          <w:lang w:val="en-US"/>
        </w:rPr>
        <w:t>M</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D</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‘Internet of Things’ (PwC Partner, 2018), </w:t>
      </w:r>
      <w:r w:rsidRPr="00D40D37">
        <w:rPr>
          <w:rFonts w:ascii="Times New Roman" w:hAnsi="Times New Roman" w:cs="Times New Roman"/>
          <w:sz w:val="24"/>
          <w:szCs w:val="24"/>
        </w:rPr>
        <w:t>&lt;</w:t>
      </w:r>
      <w:r w:rsidRPr="00D40D37">
        <w:rPr>
          <w:rFonts w:ascii="Times New Roman" w:hAnsi="Times New Roman" w:cs="Times New Roman"/>
          <w:sz w:val="24"/>
          <w:szCs w:val="24"/>
          <w:lang w:val="en-US"/>
        </w:rPr>
        <w:t>https://www.pwc.pt/pt/temas-actuais/pwc-apresentacao-iot.pdf</w:t>
      </w:r>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6ECB2404"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Fishwick,</w:t>
      </w:r>
      <w:r>
        <w:rPr>
          <w:rFonts w:ascii="Times New Roman" w:hAnsi="Times New Roman" w:cs="Times New Roman"/>
          <w:sz w:val="24"/>
          <w:szCs w:val="24"/>
          <w:lang w:val="en-US"/>
        </w:rPr>
        <w:t xml:space="preserve"> F.</w:t>
      </w:r>
      <w:r w:rsidRPr="00D40D37">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D40D37">
        <w:rPr>
          <w:rFonts w:ascii="Times New Roman" w:hAnsi="Times New Roman" w:cs="Times New Roman"/>
          <w:sz w:val="24"/>
          <w:szCs w:val="24"/>
          <w:lang w:val="en-US"/>
        </w:rPr>
        <w:t>The Definition of the Relevant Market in the Competition Policy of the European Economic Community</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[1993] 63</w:t>
      </w:r>
      <w:r>
        <w:rPr>
          <w:rFonts w:ascii="Times New Roman" w:hAnsi="Times New Roman" w:cs="Times New Roman"/>
          <w:sz w:val="24"/>
          <w:szCs w:val="24"/>
          <w:lang w:val="en-US"/>
        </w:rPr>
        <w:t>(1)</w:t>
      </w:r>
      <w:r w:rsidRPr="00D40D37">
        <w:rPr>
          <w:rFonts w:ascii="Times New Roman" w:hAnsi="Times New Roman" w:cs="Times New Roman"/>
          <w:sz w:val="24"/>
          <w:szCs w:val="24"/>
          <w:lang w:val="en-US"/>
        </w:rPr>
        <w:t xml:space="preserve"> Revue D'économie Industrielle</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174</w:t>
      </w:r>
      <w:r>
        <w:rPr>
          <w:rFonts w:ascii="Times New Roman" w:hAnsi="Times New Roman" w:cs="Times New Roman"/>
          <w:sz w:val="24"/>
          <w:szCs w:val="24"/>
          <w:lang w:val="en-US"/>
        </w:rPr>
        <w:t>-192</w:t>
      </w:r>
    </w:p>
    <w:p w14:paraId="32D579D0" w14:textId="516B0937" w:rsidR="00C36E55" w:rsidRPr="00A70042" w:rsidRDefault="00C36E55">
      <w:pPr>
        <w:pStyle w:val="ListParagraph"/>
        <w:numPr>
          <w:ilvl w:val="0"/>
          <w:numId w:val="22"/>
        </w:numPr>
        <w:jc w:val="both"/>
        <w:rPr>
          <w:rFonts w:ascii="Times New Roman" w:hAnsi="Times New Roman" w:cs="Times New Roman"/>
          <w:sz w:val="24"/>
          <w:szCs w:val="24"/>
        </w:rPr>
      </w:pPr>
      <w:r w:rsidRPr="00A70042">
        <w:rPr>
          <w:rFonts w:ascii="Times New Roman" w:hAnsi="Times New Roman" w:cs="Times New Roman"/>
          <w:sz w:val="24"/>
          <w:szCs w:val="24"/>
        </w:rPr>
        <w:t>Fraga-Lamas,</w:t>
      </w:r>
      <w:r>
        <w:rPr>
          <w:rFonts w:ascii="Times New Roman" w:hAnsi="Times New Roman" w:cs="Times New Roman"/>
          <w:sz w:val="24"/>
          <w:szCs w:val="24"/>
        </w:rPr>
        <w:t xml:space="preserve"> P.,</w:t>
      </w:r>
      <w:r w:rsidRPr="00A70042">
        <w:rPr>
          <w:rFonts w:ascii="Times New Roman" w:hAnsi="Times New Roman" w:cs="Times New Roman"/>
          <w:sz w:val="24"/>
          <w:szCs w:val="24"/>
        </w:rPr>
        <w:t xml:space="preserve"> Fernández-Caramés,</w:t>
      </w:r>
      <w:r>
        <w:rPr>
          <w:rFonts w:ascii="Times New Roman" w:hAnsi="Times New Roman" w:cs="Times New Roman"/>
          <w:sz w:val="24"/>
          <w:szCs w:val="24"/>
        </w:rPr>
        <w:t xml:space="preserve"> T. M.,</w:t>
      </w:r>
      <w:r w:rsidRPr="00A70042">
        <w:rPr>
          <w:rFonts w:ascii="Times New Roman" w:hAnsi="Times New Roman" w:cs="Times New Roman"/>
          <w:sz w:val="24"/>
          <w:szCs w:val="24"/>
        </w:rPr>
        <w:t xml:space="preserve"> Suárez-Albela,</w:t>
      </w:r>
      <w:r>
        <w:rPr>
          <w:rFonts w:ascii="Times New Roman" w:hAnsi="Times New Roman" w:cs="Times New Roman"/>
          <w:sz w:val="24"/>
          <w:szCs w:val="24"/>
        </w:rPr>
        <w:t xml:space="preserve"> M.,</w:t>
      </w:r>
      <w:r w:rsidRPr="00A70042">
        <w:rPr>
          <w:rFonts w:ascii="Times New Roman" w:hAnsi="Times New Roman" w:cs="Times New Roman"/>
          <w:sz w:val="24"/>
          <w:szCs w:val="24"/>
        </w:rPr>
        <w:t xml:space="preserve"> Castedo</w:t>
      </w:r>
      <w:r>
        <w:rPr>
          <w:rFonts w:ascii="Times New Roman" w:hAnsi="Times New Roman" w:cs="Times New Roman"/>
          <w:sz w:val="24"/>
          <w:szCs w:val="24"/>
        </w:rPr>
        <w:t>, L.</w:t>
      </w:r>
      <w:r w:rsidRPr="00A70042">
        <w:rPr>
          <w:rFonts w:ascii="Times New Roman" w:hAnsi="Times New Roman" w:cs="Times New Roman"/>
          <w:sz w:val="24"/>
          <w:szCs w:val="24"/>
        </w:rPr>
        <w:t xml:space="preserve"> and González-López,</w:t>
      </w:r>
      <w:r>
        <w:rPr>
          <w:rFonts w:ascii="Times New Roman" w:hAnsi="Times New Roman" w:cs="Times New Roman"/>
          <w:sz w:val="24"/>
          <w:szCs w:val="24"/>
        </w:rPr>
        <w:t xml:space="preserve"> M.</w:t>
      </w:r>
      <w:r w:rsidRPr="00A70042">
        <w:rPr>
          <w:rFonts w:ascii="Times New Roman" w:hAnsi="Times New Roman" w:cs="Times New Roman"/>
          <w:sz w:val="24"/>
          <w:szCs w:val="24"/>
        </w:rPr>
        <w:t xml:space="preserve"> ‘A Review of the Internet of Things for Defense and Public Safety’ (2016) 16 Sensors &lt;https://www.mdpi.com/1424-8220/16/10/1644&gt; accessed </w:t>
      </w:r>
      <w:r w:rsidR="00F817B5">
        <w:rPr>
          <w:rFonts w:ascii="Times New Roman" w:hAnsi="Times New Roman" w:cs="Times New Roman"/>
          <w:sz w:val="24"/>
          <w:szCs w:val="24"/>
        </w:rPr>
        <w:t>9 October 2020</w:t>
      </w:r>
    </w:p>
    <w:p w14:paraId="02318CFE" w14:textId="1F7870C0"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Funk</w:t>
      </w:r>
      <w:r>
        <w:rPr>
          <w:rFonts w:ascii="Times New Roman" w:hAnsi="Times New Roman" w:cs="Times New Roman"/>
          <w:sz w:val="24"/>
          <w:szCs w:val="24"/>
        </w:rPr>
        <w:t xml:space="preserve">, </w:t>
      </w:r>
      <w:r w:rsidRPr="00D40D37">
        <w:rPr>
          <w:rFonts w:ascii="Times New Roman" w:hAnsi="Times New Roman" w:cs="Times New Roman"/>
          <w:sz w:val="24"/>
          <w:szCs w:val="24"/>
        </w:rPr>
        <w:t>J</w:t>
      </w:r>
      <w:r>
        <w:rPr>
          <w:rFonts w:ascii="Times New Roman" w:hAnsi="Times New Roman" w:cs="Times New Roman"/>
          <w:sz w:val="24"/>
          <w:szCs w:val="24"/>
        </w:rPr>
        <w:t>.</w:t>
      </w:r>
      <w:r w:rsidRPr="00D40D37">
        <w:rPr>
          <w:rFonts w:ascii="Times New Roman" w:hAnsi="Times New Roman" w:cs="Times New Roman"/>
          <w:sz w:val="24"/>
          <w:szCs w:val="24"/>
        </w:rPr>
        <w:t xml:space="preserve"> L. ‘Standards, critical mass, and the formation of complex industries: A case study of the mobile Internet’ [2011] 28(4) Journal of Engineering and Technology Management</w:t>
      </w:r>
      <w:r>
        <w:rPr>
          <w:rFonts w:ascii="Times New Roman" w:hAnsi="Times New Roman" w:cs="Times New Roman"/>
          <w:sz w:val="24"/>
          <w:szCs w:val="24"/>
        </w:rPr>
        <w:t>,</w:t>
      </w:r>
      <w:r w:rsidRPr="00D40D37">
        <w:rPr>
          <w:rFonts w:ascii="Times New Roman" w:hAnsi="Times New Roman" w:cs="Times New Roman"/>
          <w:sz w:val="24"/>
          <w:szCs w:val="24"/>
        </w:rPr>
        <w:t xml:space="preserve"> 232-248</w:t>
      </w:r>
    </w:p>
    <w:p w14:paraId="41FA902A" w14:textId="124D56D4"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Gandhi,</w:t>
      </w:r>
      <w:r>
        <w:rPr>
          <w:rFonts w:ascii="Times New Roman" w:hAnsi="Times New Roman" w:cs="Times New Roman"/>
          <w:sz w:val="24"/>
          <w:szCs w:val="24"/>
        </w:rPr>
        <w:t xml:space="preserve"> V.</w:t>
      </w:r>
      <w:r w:rsidRPr="00D40D37">
        <w:rPr>
          <w:rFonts w:ascii="Times New Roman" w:hAnsi="Times New Roman" w:cs="Times New Roman"/>
          <w:sz w:val="24"/>
          <w:szCs w:val="24"/>
        </w:rPr>
        <w:t xml:space="preserve"> ‘5G to become the catalyst for innovation in the IoT’ (Network World, 13 April 2018) &lt;https://www.networkworld.com/article/3268668/internet-of-things/5g-to-become-the-catalyst-for-innovation-in-iot.html&gt; accessed </w:t>
      </w:r>
      <w:r w:rsidR="00F817B5">
        <w:rPr>
          <w:rFonts w:ascii="Times New Roman" w:hAnsi="Times New Roman" w:cs="Times New Roman"/>
          <w:sz w:val="24"/>
          <w:szCs w:val="24"/>
        </w:rPr>
        <w:t>9 October 2020</w:t>
      </w:r>
    </w:p>
    <w:p w14:paraId="44797553" w14:textId="3C08C04F"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Gasser,</w:t>
      </w:r>
      <w:r>
        <w:rPr>
          <w:rFonts w:ascii="Times New Roman" w:hAnsi="Times New Roman" w:cs="Times New Roman"/>
          <w:sz w:val="24"/>
          <w:szCs w:val="24"/>
        </w:rPr>
        <w:t xml:space="preserve"> U.</w:t>
      </w:r>
      <w:r w:rsidRPr="00D40D37">
        <w:rPr>
          <w:rFonts w:ascii="Times New Roman" w:hAnsi="Times New Roman" w:cs="Times New Roman"/>
          <w:sz w:val="24"/>
          <w:szCs w:val="24"/>
        </w:rPr>
        <w:t xml:space="preserve"> ‘Interoperability in the digital ecosystem’ (2015) GSR15 discussion paper, &lt;http://www.itu.int/en/ITU-D/Conferences/GSR/Pages/GSR2015/GSR15-discussion-paper.aspx&gt; accessed </w:t>
      </w:r>
      <w:r w:rsidR="00F817B5">
        <w:rPr>
          <w:rFonts w:ascii="Times New Roman" w:hAnsi="Times New Roman" w:cs="Times New Roman"/>
          <w:sz w:val="24"/>
          <w:szCs w:val="24"/>
        </w:rPr>
        <w:t>9 October 2020</w:t>
      </w:r>
    </w:p>
    <w:p w14:paraId="0296C85F"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George</w:t>
      </w:r>
      <w:r>
        <w:rPr>
          <w:rFonts w:ascii="Times New Roman" w:hAnsi="Times New Roman" w:cs="Times New Roman"/>
          <w:sz w:val="24"/>
          <w:szCs w:val="24"/>
        </w:rPr>
        <w:t>, C.</w:t>
      </w:r>
      <w:r w:rsidRPr="00D40D37">
        <w:rPr>
          <w:rFonts w:ascii="Times New Roman" w:hAnsi="Times New Roman" w:cs="Times New Roman"/>
          <w:sz w:val="24"/>
          <w:szCs w:val="24"/>
        </w:rPr>
        <w:t xml:space="preserve"> and Chandak</w:t>
      </w:r>
      <w:r>
        <w:rPr>
          <w:rFonts w:ascii="Times New Roman" w:hAnsi="Times New Roman" w:cs="Times New Roman"/>
          <w:sz w:val="24"/>
          <w:szCs w:val="24"/>
        </w:rPr>
        <w:t xml:space="preserve">, </w:t>
      </w:r>
      <w:r w:rsidRPr="00D40D37">
        <w:rPr>
          <w:rFonts w:ascii="Times New Roman" w:hAnsi="Times New Roman" w:cs="Times New Roman"/>
          <w:sz w:val="24"/>
          <w:szCs w:val="24"/>
        </w:rPr>
        <w:t>N</w:t>
      </w:r>
      <w:r>
        <w:rPr>
          <w:rFonts w:ascii="Times New Roman" w:hAnsi="Times New Roman" w:cs="Times New Roman"/>
          <w:sz w:val="24"/>
          <w:szCs w:val="24"/>
        </w:rPr>
        <w:t>.</w:t>
      </w:r>
      <w:r w:rsidRPr="00D40D37">
        <w:rPr>
          <w:rFonts w:ascii="Times New Roman" w:hAnsi="Times New Roman" w:cs="Times New Roman"/>
          <w:sz w:val="24"/>
          <w:szCs w:val="24"/>
        </w:rPr>
        <w:t xml:space="preserve"> ‘Issues and Challenges in Securing Interoperability of DRM Systems in the Digital Music Market’ [2006] 20/3 International Review of Law Computers &amp; Technology</w:t>
      </w:r>
      <w:r>
        <w:rPr>
          <w:rFonts w:ascii="Times New Roman" w:hAnsi="Times New Roman" w:cs="Times New Roman"/>
          <w:sz w:val="24"/>
          <w:szCs w:val="24"/>
        </w:rPr>
        <w:t>,</w:t>
      </w:r>
      <w:r w:rsidRPr="00D40D37">
        <w:rPr>
          <w:rFonts w:ascii="Times New Roman" w:hAnsi="Times New Roman" w:cs="Times New Roman"/>
          <w:sz w:val="24"/>
          <w:szCs w:val="24"/>
        </w:rPr>
        <w:t xml:space="preserve"> 271-285</w:t>
      </w:r>
    </w:p>
    <w:p w14:paraId="6D91A878"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EF7AD1">
        <w:rPr>
          <w:rFonts w:ascii="Times New Roman" w:hAnsi="Times New Roman" w:cs="Times New Roman"/>
          <w:sz w:val="24"/>
          <w:szCs w:val="24"/>
        </w:rPr>
        <w:lastRenderedPageBreak/>
        <w:t>Geradin, D. and Layne-Farrar, A. ‘The Logic and Limits of Ex Ante Competition in a Standard Setting Environment’ [2007] 3(1) Competition Policy International</w:t>
      </w:r>
      <w:r>
        <w:rPr>
          <w:rFonts w:ascii="Times New Roman" w:hAnsi="Times New Roman" w:cs="Times New Roman"/>
          <w:sz w:val="24"/>
          <w:szCs w:val="24"/>
        </w:rPr>
        <w:t>,</w:t>
      </w:r>
      <w:r w:rsidRPr="00EF7AD1">
        <w:rPr>
          <w:rFonts w:ascii="Times New Roman" w:hAnsi="Times New Roman" w:cs="Times New Roman"/>
          <w:sz w:val="24"/>
          <w:szCs w:val="24"/>
        </w:rPr>
        <w:t xml:space="preserve"> 78-106</w:t>
      </w:r>
    </w:p>
    <w:p w14:paraId="2EF97B33" w14:textId="22C3C003" w:rsidR="00380692" w:rsidRDefault="00380692" w:rsidP="00E27833">
      <w:pPr>
        <w:pStyle w:val="ListParagraph"/>
        <w:numPr>
          <w:ilvl w:val="0"/>
          <w:numId w:val="22"/>
        </w:numPr>
        <w:jc w:val="both"/>
        <w:rPr>
          <w:rFonts w:ascii="Times New Roman" w:hAnsi="Times New Roman" w:cs="Times New Roman"/>
          <w:sz w:val="24"/>
          <w:szCs w:val="24"/>
        </w:rPr>
      </w:pPr>
      <w:r w:rsidRPr="00380692">
        <w:rPr>
          <w:rFonts w:ascii="Times New Roman" w:hAnsi="Times New Roman" w:cs="Times New Roman"/>
          <w:sz w:val="24"/>
          <w:szCs w:val="24"/>
        </w:rPr>
        <w:t>Geier,</w:t>
      </w:r>
      <w:r>
        <w:rPr>
          <w:rFonts w:ascii="Times New Roman" w:hAnsi="Times New Roman" w:cs="Times New Roman"/>
          <w:sz w:val="24"/>
          <w:szCs w:val="24"/>
        </w:rPr>
        <w:t xml:space="preserve"> M.</w:t>
      </w:r>
      <w:r w:rsidRPr="00380692">
        <w:rPr>
          <w:rFonts w:ascii="Times New Roman" w:hAnsi="Times New Roman" w:cs="Times New Roman"/>
          <w:sz w:val="24"/>
          <w:szCs w:val="24"/>
        </w:rPr>
        <w:t xml:space="preserve"> </w:t>
      </w:r>
      <w:r>
        <w:rPr>
          <w:rFonts w:ascii="Times New Roman" w:hAnsi="Times New Roman" w:cs="Times New Roman"/>
          <w:sz w:val="24"/>
          <w:szCs w:val="24"/>
        </w:rPr>
        <w:t>‘</w:t>
      </w:r>
      <w:r w:rsidRPr="00380692">
        <w:rPr>
          <w:rFonts w:ascii="Times New Roman" w:hAnsi="Times New Roman" w:cs="Times New Roman"/>
          <w:sz w:val="24"/>
          <w:szCs w:val="24"/>
        </w:rPr>
        <w:t>United States v. Microsoft Corp.</w:t>
      </w:r>
      <w:r>
        <w:rPr>
          <w:rFonts w:ascii="Times New Roman" w:hAnsi="Times New Roman" w:cs="Times New Roman"/>
          <w:sz w:val="24"/>
          <w:szCs w:val="24"/>
        </w:rPr>
        <w:t>’</w:t>
      </w:r>
      <w:r w:rsidRPr="00380692">
        <w:rPr>
          <w:rFonts w:ascii="Times New Roman" w:hAnsi="Times New Roman" w:cs="Times New Roman"/>
          <w:sz w:val="24"/>
          <w:szCs w:val="24"/>
        </w:rPr>
        <w:t xml:space="preserve"> [2001] 16(1) Berkeley Technology Law Journal, 297-322</w:t>
      </w:r>
    </w:p>
    <w:p w14:paraId="07F8FA23" w14:textId="3A0362FE"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Geradin</w:t>
      </w:r>
      <w:r>
        <w:rPr>
          <w:rFonts w:ascii="Times New Roman" w:hAnsi="Times New Roman" w:cs="Times New Roman"/>
          <w:sz w:val="24"/>
          <w:szCs w:val="24"/>
        </w:rPr>
        <w:t>,</w:t>
      </w:r>
      <w:r w:rsidRPr="00D40D37">
        <w:rPr>
          <w:rFonts w:ascii="Times New Roman" w:hAnsi="Times New Roman" w:cs="Times New Roman"/>
          <w:sz w:val="24"/>
          <w:szCs w:val="24"/>
        </w:rPr>
        <w:t xml:space="preserve"> D</w:t>
      </w:r>
      <w:r>
        <w:rPr>
          <w:rFonts w:ascii="Times New Roman" w:hAnsi="Times New Roman" w:cs="Times New Roman"/>
          <w:sz w:val="24"/>
          <w:szCs w:val="24"/>
        </w:rPr>
        <w:t>.</w:t>
      </w:r>
      <w:r w:rsidRPr="00D40D37">
        <w:rPr>
          <w:rFonts w:ascii="Times New Roman" w:hAnsi="Times New Roman" w:cs="Times New Roman"/>
          <w:sz w:val="24"/>
          <w:szCs w:val="24"/>
        </w:rPr>
        <w:t xml:space="preserve"> and Rato</w:t>
      </w:r>
      <w:r>
        <w:rPr>
          <w:rFonts w:ascii="Times New Roman" w:hAnsi="Times New Roman" w:cs="Times New Roman"/>
          <w:sz w:val="24"/>
          <w:szCs w:val="24"/>
        </w:rPr>
        <w:t>,</w:t>
      </w:r>
      <w:r w:rsidRPr="00D40D37">
        <w:rPr>
          <w:rFonts w:ascii="Times New Roman" w:hAnsi="Times New Roman" w:cs="Times New Roman"/>
          <w:sz w:val="24"/>
          <w:szCs w:val="24"/>
        </w:rPr>
        <w:t xml:space="preserve"> M</w:t>
      </w:r>
      <w:r>
        <w:rPr>
          <w:rFonts w:ascii="Times New Roman" w:hAnsi="Times New Roman" w:cs="Times New Roman"/>
          <w:sz w:val="24"/>
          <w:szCs w:val="24"/>
        </w:rPr>
        <w:t>.</w:t>
      </w:r>
      <w:r w:rsidRPr="00D40D37">
        <w:rPr>
          <w:rFonts w:ascii="Times New Roman" w:hAnsi="Times New Roman" w:cs="Times New Roman"/>
          <w:sz w:val="24"/>
          <w:szCs w:val="24"/>
        </w:rPr>
        <w:t xml:space="preserve"> ‘Can Standards-Setting Lead to Exploitative Abuse? A Dissonant View on Patent Hold-up, Royalty-Stacking and the Meaning of FRAND’ [2007] 3(1) European Competition Journal</w:t>
      </w:r>
      <w:r>
        <w:rPr>
          <w:rFonts w:ascii="Times New Roman" w:hAnsi="Times New Roman" w:cs="Times New Roman"/>
          <w:sz w:val="24"/>
          <w:szCs w:val="24"/>
        </w:rPr>
        <w:t>,</w:t>
      </w:r>
      <w:r w:rsidRPr="00D40D37">
        <w:rPr>
          <w:rFonts w:ascii="Times New Roman" w:hAnsi="Times New Roman" w:cs="Times New Roman"/>
          <w:sz w:val="24"/>
          <w:szCs w:val="24"/>
        </w:rPr>
        <w:t xml:space="preserve"> 101-1</w:t>
      </w:r>
      <w:r>
        <w:rPr>
          <w:rFonts w:ascii="Times New Roman" w:hAnsi="Times New Roman" w:cs="Times New Roman"/>
          <w:sz w:val="24"/>
          <w:szCs w:val="24"/>
        </w:rPr>
        <w:t>6</w:t>
      </w:r>
      <w:r w:rsidRPr="00D40D37">
        <w:rPr>
          <w:rFonts w:ascii="Times New Roman" w:hAnsi="Times New Roman" w:cs="Times New Roman"/>
          <w:sz w:val="24"/>
          <w:szCs w:val="24"/>
        </w:rPr>
        <w:t>1</w:t>
      </w:r>
    </w:p>
    <w:p w14:paraId="75A0C28A" w14:textId="36C66081"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Giannino,</w:t>
      </w:r>
      <w:r>
        <w:rPr>
          <w:rFonts w:ascii="Times New Roman" w:hAnsi="Times New Roman" w:cs="Times New Roman"/>
          <w:sz w:val="24"/>
          <w:szCs w:val="24"/>
        </w:rPr>
        <w:t xml:space="preserve"> M.</w:t>
      </w:r>
      <w:r w:rsidRPr="00D40D37">
        <w:rPr>
          <w:rFonts w:ascii="Times New Roman" w:hAnsi="Times New Roman" w:cs="Times New Roman"/>
          <w:sz w:val="24"/>
          <w:szCs w:val="24"/>
        </w:rPr>
        <w:t xml:space="preserve"> ‘The appraisal of mergers in high technology markets under the EU merger control regulation: from </w:t>
      </w:r>
      <w:r w:rsidRPr="00D40D37">
        <w:rPr>
          <w:rFonts w:ascii="Times New Roman" w:hAnsi="Times New Roman" w:cs="Times New Roman"/>
          <w:i/>
          <w:sz w:val="24"/>
          <w:szCs w:val="24"/>
        </w:rPr>
        <w:t xml:space="preserve">Microsoft/Skype </w:t>
      </w:r>
      <w:r w:rsidRPr="00D40D37">
        <w:rPr>
          <w:rFonts w:ascii="Times New Roman" w:hAnsi="Times New Roman" w:cs="Times New Roman"/>
          <w:sz w:val="24"/>
          <w:szCs w:val="24"/>
        </w:rPr>
        <w:t>to</w:t>
      </w:r>
      <w:r w:rsidRPr="00D40D37">
        <w:rPr>
          <w:rFonts w:ascii="Times New Roman" w:hAnsi="Times New Roman" w:cs="Times New Roman"/>
          <w:i/>
          <w:sz w:val="24"/>
          <w:szCs w:val="24"/>
        </w:rPr>
        <w:t xml:space="preserve"> Facebook/WhatsApp</w:t>
      </w:r>
      <w:r w:rsidRPr="00D40D37">
        <w:rPr>
          <w:rFonts w:ascii="Times New Roman" w:hAnsi="Times New Roman" w:cs="Times New Roman"/>
          <w:sz w:val="24"/>
          <w:szCs w:val="24"/>
          <w:lang w:val="en-US"/>
        </w:rPr>
        <w:t>’ (</w:t>
      </w:r>
      <w:r w:rsidRPr="00D40D37">
        <w:rPr>
          <w:rFonts w:ascii="Times New Roman" w:hAnsi="Times New Roman" w:cs="Times New Roman"/>
          <w:i/>
          <w:iCs/>
          <w:sz w:val="24"/>
          <w:szCs w:val="24"/>
          <w:lang w:val="en-US"/>
        </w:rPr>
        <w:t>SSRN</w:t>
      </w:r>
      <w:r w:rsidRPr="00D40D37">
        <w:rPr>
          <w:rFonts w:ascii="Times New Roman" w:hAnsi="Times New Roman" w:cs="Times New Roman"/>
          <w:sz w:val="24"/>
          <w:szCs w:val="24"/>
          <w:lang w:val="en-US"/>
        </w:rPr>
        <w:t xml:space="preserve">, 12 January 2015) ˂https://ssrn.com/abstract=2548560˃ accessed </w:t>
      </w:r>
      <w:r w:rsidR="00F817B5">
        <w:rPr>
          <w:rFonts w:ascii="Times New Roman" w:hAnsi="Times New Roman" w:cs="Times New Roman"/>
          <w:sz w:val="24"/>
          <w:szCs w:val="24"/>
          <w:lang w:val="en-US"/>
        </w:rPr>
        <w:t>9 October 2020</w:t>
      </w:r>
    </w:p>
    <w:p w14:paraId="33542052" w14:textId="73710B7A"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Gil-Moltó, M. J. ‘Economic Aspects of the Microsoft Case: Networks, Interoperability and Competition’ (2008) University of Leicester, Working Paper No. 08/39 &lt;http://www.le.ac.uk/economics/research/RePEc/lec/leecon/dp08-39.pdf&gt; accessed </w:t>
      </w:r>
      <w:r w:rsidR="00F817B5">
        <w:rPr>
          <w:rFonts w:ascii="Times New Roman" w:hAnsi="Times New Roman" w:cs="Times New Roman"/>
          <w:sz w:val="24"/>
          <w:szCs w:val="24"/>
        </w:rPr>
        <w:t>9 October 2020</w:t>
      </w:r>
    </w:p>
    <w:p w14:paraId="073E8CF0" w14:textId="05B189AA" w:rsidR="001046AB" w:rsidRDefault="001046AB" w:rsidP="00E27833">
      <w:pPr>
        <w:pStyle w:val="ListParagraph"/>
        <w:numPr>
          <w:ilvl w:val="0"/>
          <w:numId w:val="22"/>
        </w:numPr>
        <w:jc w:val="both"/>
        <w:rPr>
          <w:rFonts w:ascii="Times New Roman" w:hAnsi="Times New Roman" w:cs="Times New Roman"/>
          <w:sz w:val="24"/>
          <w:szCs w:val="24"/>
        </w:rPr>
      </w:pPr>
      <w:r w:rsidRPr="004E3D5B">
        <w:rPr>
          <w:rFonts w:ascii="Times New Roman" w:hAnsi="Times New Roman" w:cs="Times New Roman"/>
          <w:sz w:val="24"/>
          <w:szCs w:val="24"/>
        </w:rPr>
        <w:t>Ginsburg,</w:t>
      </w:r>
      <w:r>
        <w:rPr>
          <w:rFonts w:ascii="Times New Roman" w:hAnsi="Times New Roman" w:cs="Times New Roman"/>
          <w:sz w:val="24"/>
          <w:szCs w:val="24"/>
        </w:rPr>
        <w:t xml:space="preserve"> J. C.,</w:t>
      </w:r>
      <w:r w:rsidRPr="004E3D5B">
        <w:rPr>
          <w:rFonts w:ascii="Times New Roman" w:hAnsi="Times New Roman" w:cs="Times New Roman"/>
          <w:sz w:val="24"/>
          <w:szCs w:val="24"/>
        </w:rPr>
        <w:t xml:space="preserve"> ‘Essay: From Having Copies to Experiencing Works: The Development of an Access Right in U.S. Copyright Law’ [2003] 50 Journal of the Copyright Society of the U.S.A., 113-132</w:t>
      </w:r>
    </w:p>
    <w:p w14:paraId="3D68AAC1" w14:textId="52D2469F"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Gleeson</w:t>
      </w:r>
      <w:r>
        <w:rPr>
          <w:rFonts w:ascii="Times New Roman" w:hAnsi="Times New Roman" w:cs="Times New Roman"/>
          <w:sz w:val="24"/>
          <w:szCs w:val="24"/>
        </w:rPr>
        <w:t>, N.</w:t>
      </w:r>
      <w:r w:rsidRPr="00D40D37">
        <w:rPr>
          <w:rFonts w:ascii="Times New Roman" w:hAnsi="Times New Roman" w:cs="Times New Roman"/>
          <w:sz w:val="24"/>
          <w:szCs w:val="24"/>
        </w:rPr>
        <w:t xml:space="preserve"> and Walden</w:t>
      </w:r>
      <w:r>
        <w:rPr>
          <w:rFonts w:ascii="Times New Roman" w:hAnsi="Times New Roman" w:cs="Times New Roman"/>
          <w:sz w:val="24"/>
          <w:szCs w:val="24"/>
        </w:rPr>
        <w:t>, I.</w:t>
      </w:r>
      <w:r w:rsidRPr="00D40D37">
        <w:rPr>
          <w:rFonts w:ascii="Times New Roman" w:hAnsi="Times New Roman" w:cs="Times New Roman"/>
          <w:sz w:val="24"/>
          <w:szCs w:val="24"/>
        </w:rPr>
        <w:t xml:space="preserve"> ‘‘It's a jungle out there’?: Cloud computing, standards and the law’ (2014) 5(2) European Journal of Law and Technology ˂http://ejlt.org/article/view/363/460˃ accessed </w:t>
      </w:r>
      <w:r w:rsidR="00F817B5">
        <w:rPr>
          <w:rFonts w:ascii="Times New Roman" w:hAnsi="Times New Roman" w:cs="Times New Roman"/>
          <w:sz w:val="24"/>
          <w:szCs w:val="24"/>
        </w:rPr>
        <w:t>9 October 2020</w:t>
      </w:r>
    </w:p>
    <w:p w14:paraId="736B7418"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Graef,</w:t>
      </w:r>
      <w:r>
        <w:rPr>
          <w:rFonts w:ascii="Times New Roman" w:hAnsi="Times New Roman" w:cs="Times New Roman"/>
          <w:sz w:val="24"/>
          <w:szCs w:val="24"/>
        </w:rPr>
        <w:t xml:space="preserve"> I.</w:t>
      </w:r>
      <w:r w:rsidRPr="00D40D37">
        <w:rPr>
          <w:rFonts w:ascii="Times New Roman" w:hAnsi="Times New Roman" w:cs="Times New Roman"/>
          <w:sz w:val="24"/>
          <w:szCs w:val="24"/>
        </w:rPr>
        <w:t xml:space="preserve"> ‘Data as Essential Facility Competition and Innovation on Online Platforms’ (PhD Dissertation, KU Leuven Faculty of Law 2016)</w:t>
      </w:r>
    </w:p>
    <w:p w14:paraId="7C51AF95"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Graef,</w:t>
      </w:r>
      <w:r>
        <w:rPr>
          <w:rFonts w:ascii="Times New Roman" w:hAnsi="Times New Roman" w:cs="Times New Roman"/>
          <w:sz w:val="24"/>
          <w:szCs w:val="24"/>
        </w:rPr>
        <w:t xml:space="preserve"> I.</w:t>
      </w:r>
      <w:r w:rsidRPr="00D40D37">
        <w:rPr>
          <w:rFonts w:ascii="Times New Roman" w:hAnsi="Times New Roman" w:cs="Times New Roman"/>
          <w:sz w:val="24"/>
          <w:szCs w:val="24"/>
        </w:rPr>
        <w:t xml:space="preserve"> ‘How can software interoperability be achieved under European competition law and related regimes?’ [2011] 5(1)</w:t>
      </w:r>
      <w:r>
        <w:rPr>
          <w:rFonts w:ascii="Times New Roman" w:hAnsi="Times New Roman" w:cs="Times New Roman"/>
          <w:sz w:val="24"/>
          <w:szCs w:val="24"/>
        </w:rPr>
        <w:t xml:space="preserve"> </w:t>
      </w:r>
      <w:r w:rsidRPr="00D40D37">
        <w:rPr>
          <w:rFonts w:ascii="Times New Roman" w:hAnsi="Times New Roman" w:cs="Times New Roman"/>
          <w:sz w:val="24"/>
          <w:szCs w:val="24"/>
        </w:rPr>
        <w:t>Journal of European Competition Law &amp; Practice</w:t>
      </w:r>
      <w:r>
        <w:rPr>
          <w:rFonts w:ascii="Times New Roman" w:hAnsi="Times New Roman" w:cs="Times New Roman"/>
          <w:sz w:val="24"/>
          <w:szCs w:val="24"/>
        </w:rPr>
        <w:t>,</w:t>
      </w:r>
      <w:r w:rsidRPr="00D40D37">
        <w:rPr>
          <w:rFonts w:ascii="Times New Roman" w:hAnsi="Times New Roman" w:cs="Times New Roman"/>
          <w:sz w:val="24"/>
          <w:szCs w:val="24"/>
        </w:rPr>
        <w:t xml:space="preserve"> 6-19</w:t>
      </w:r>
    </w:p>
    <w:p w14:paraId="64C9D280"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Graef, I</w:t>
      </w:r>
      <w:r>
        <w:rPr>
          <w:rFonts w:ascii="Times New Roman" w:hAnsi="Times New Roman" w:cs="Times New Roman"/>
          <w:sz w:val="24"/>
          <w:szCs w:val="24"/>
        </w:rPr>
        <w:t>.</w:t>
      </w:r>
      <w:r w:rsidRPr="00D40D37">
        <w:rPr>
          <w:rFonts w:ascii="Times New Roman" w:hAnsi="Times New Roman" w:cs="Times New Roman"/>
          <w:sz w:val="24"/>
          <w:szCs w:val="24"/>
        </w:rPr>
        <w:t xml:space="preserve"> ‘Tailoring the Essential Facilities Doctrine to the IT Sector: Compulsory Licensing of Intellectual Property Rights after Microsoft’ [2011] 7 Cambridge Student Law Review</w:t>
      </w:r>
      <w:r>
        <w:rPr>
          <w:rFonts w:ascii="Times New Roman" w:hAnsi="Times New Roman" w:cs="Times New Roman"/>
          <w:sz w:val="24"/>
          <w:szCs w:val="24"/>
        </w:rPr>
        <w:t>,</w:t>
      </w:r>
      <w:r w:rsidRPr="00D40D37">
        <w:rPr>
          <w:rFonts w:ascii="Times New Roman" w:hAnsi="Times New Roman" w:cs="Times New Roman"/>
          <w:sz w:val="24"/>
          <w:szCs w:val="24"/>
        </w:rPr>
        <w:t xml:space="preserve"> 1</w:t>
      </w:r>
      <w:r>
        <w:rPr>
          <w:rFonts w:ascii="Times New Roman" w:hAnsi="Times New Roman" w:cs="Times New Roman"/>
          <w:sz w:val="24"/>
          <w:szCs w:val="24"/>
        </w:rPr>
        <w:t>-20</w:t>
      </w:r>
    </w:p>
    <w:p w14:paraId="2D9D5D94" w14:textId="3B91BBC2"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Gregory G. W</w:t>
      </w:r>
      <w:r>
        <w:rPr>
          <w:rFonts w:ascii="Times New Roman" w:hAnsi="Times New Roman" w:cs="Times New Roman"/>
          <w:sz w:val="24"/>
          <w:szCs w:val="24"/>
        </w:rPr>
        <w:t>.</w:t>
      </w:r>
      <w:r w:rsidRPr="00D40D37">
        <w:rPr>
          <w:rFonts w:ascii="Times New Roman" w:hAnsi="Times New Roman" w:cs="Times New Roman"/>
          <w:sz w:val="24"/>
          <w:szCs w:val="24"/>
        </w:rPr>
        <w:t xml:space="preserve"> ‘Connecting Antitrust Standards to the Internet of Things’ [2014] 29(1) Antitrust ABA</w:t>
      </w:r>
      <w:r>
        <w:rPr>
          <w:rFonts w:ascii="Times New Roman" w:hAnsi="Times New Roman" w:cs="Times New Roman"/>
          <w:sz w:val="24"/>
          <w:szCs w:val="24"/>
        </w:rPr>
        <w:t>,</w:t>
      </w:r>
      <w:r w:rsidRPr="00D40D37">
        <w:rPr>
          <w:rFonts w:ascii="Times New Roman" w:hAnsi="Times New Roman" w:cs="Times New Roman"/>
          <w:sz w:val="24"/>
          <w:szCs w:val="24"/>
        </w:rPr>
        <w:t xml:space="preserve"> 62</w:t>
      </w:r>
      <w:r>
        <w:rPr>
          <w:rFonts w:ascii="Times New Roman" w:hAnsi="Times New Roman" w:cs="Times New Roman"/>
          <w:sz w:val="24"/>
          <w:szCs w:val="24"/>
        </w:rPr>
        <w:t>-70</w:t>
      </w:r>
    </w:p>
    <w:p w14:paraId="60DCD70B" w14:textId="5ADD7E0D" w:rsidR="001A3F4F" w:rsidRPr="00D40D37" w:rsidRDefault="001A3F4F" w:rsidP="00E27833">
      <w:pPr>
        <w:pStyle w:val="ListParagraph"/>
        <w:numPr>
          <w:ilvl w:val="0"/>
          <w:numId w:val="22"/>
        </w:numPr>
        <w:jc w:val="both"/>
        <w:rPr>
          <w:rFonts w:ascii="Times New Roman" w:hAnsi="Times New Roman" w:cs="Times New Roman"/>
          <w:sz w:val="24"/>
          <w:szCs w:val="24"/>
        </w:rPr>
      </w:pPr>
      <w:r w:rsidRPr="001A3F4F">
        <w:rPr>
          <w:rFonts w:ascii="Times New Roman" w:hAnsi="Times New Roman" w:cs="Times New Roman"/>
          <w:sz w:val="24"/>
          <w:szCs w:val="24"/>
        </w:rPr>
        <w:t xml:space="preserve">Griffin, </w:t>
      </w:r>
      <w:r w:rsidR="00077217" w:rsidRPr="001A3F4F">
        <w:rPr>
          <w:rFonts w:ascii="Times New Roman" w:hAnsi="Times New Roman" w:cs="Times New Roman"/>
          <w:sz w:val="24"/>
          <w:szCs w:val="24"/>
        </w:rPr>
        <w:t>J</w:t>
      </w:r>
      <w:r w:rsidR="00077217">
        <w:rPr>
          <w:rFonts w:ascii="Times New Roman" w:hAnsi="Times New Roman" w:cs="Times New Roman"/>
          <w:sz w:val="24"/>
          <w:szCs w:val="24"/>
        </w:rPr>
        <w:t>.</w:t>
      </w:r>
      <w:r w:rsidR="00077217" w:rsidRPr="001A3F4F">
        <w:rPr>
          <w:rFonts w:ascii="Times New Roman" w:hAnsi="Times New Roman" w:cs="Times New Roman"/>
          <w:sz w:val="24"/>
          <w:szCs w:val="24"/>
        </w:rPr>
        <w:t xml:space="preserve"> G.H.</w:t>
      </w:r>
      <w:r w:rsidR="00077217">
        <w:rPr>
          <w:rFonts w:ascii="Times New Roman" w:hAnsi="Times New Roman" w:cs="Times New Roman"/>
          <w:sz w:val="24"/>
          <w:szCs w:val="24"/>
        </w:rPr>
        <w:t>,</w:t>
      </w:r>
      <w:r w:rsidR="00077217" w:rsidRPr="001A3F4F">
        <w:rPr>
          <w:rFonts w:ascii="Times New Roman" w:hAnsi="Times New Roman" w:cs="Times New Roman"/>
          <w:sz w:val="24"/>
          <w:szCs w:val="24"/>
        </w:rPr>
        <w:t xml:space="preserve"> </w:t>
      </w:r>
      <w:r w:rsidRPr="001A3F4F">
        <w:rPr>
          <w:rFonts w:ascii="Times New Roman" w:hAnsi="Times New Roman" w:cs="Times New Roman"/>
          <w:sz w:val="24"/>
          <w:szCs w:val="24"/>
        </w:rPr>
        <w:t>‘A call for a doctrine of “information justice”’ [2016] 1 Intellectual Property Quarterly</w:t>
      </w:r>
      <w:r>
        <w:rPr>
          <w:rFonts w:ascii="Times New Roman" w:hAnsi="Times New Roman" w:cs="Times New Roman"/>
          <w:sz w:val="24"/>
          <w:szCs w:val="24"/>
        </w:rPr>
        <w:t>,</w:t>
      </w:r>
      <w:r w:rsidRPr="001A3F4F">
        <w:rPr>
          <w:rFonts w:ascii="Times New Roman" w:hAnsi="Times New Roman" w:cs="Times New Roman"/>
          <w:sz w:val="24"/>
          <w:szCs w:val="24"/>
        </w:rPr>
        <w:t xml:space="preserve"> 44-62</w:t>
      </w:r>
    </w:p>
    <w:p w14:paraId="091BD1E2" w14:textId="67EC32FA" w:rsidR="00E27833" w:rsidRPr="00423F48"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Hahn, J</w:t>
      </w:r>
      <w:r>
        <w:rPr>
          <w:rFonts w:ascii="Times New Roman" w:hAnsi="Times New Roman" w:cs="Times New Roman"/>
          <w:sz w:val="24"/>
          <w:szCs w:val="24"/>
        </w:rPr>
        <w:t>.</w:t>
      </w:r>
      <w:r w:rsidRPr="00D40D37">
        <w:rPr>
          <w:rFonts w:ascii="Times New Roman" w:hAnsi="Times New Roman" w:cs="Times New Roman"/>
          <w:sz w:val="24"/>
          <w:szCs w:val="24"/>
        </w:rPr>
        <w:t xml:space="preserve"> ‘Nonlinear Pricing of Telecommunications with Call and Network Externalities’ (2002) &lt;http://www.krannert.purdue.edu/centers/ijio/Accepted/1720.pdf&gt; accessed </w:t>
      </w:r>
      <w:r w:rsidR="00F817B5">
        <w:rPr>
          <w:rFonts w:ascii="Times New Roman" w:hAnsi="Times New Roman" w:cs="Times New Roman"/>
          <w:sz w:val="24"/>
          <w:szCs w:val="24"/>
        </w:rPr>
        <w:t>9 October 2020</w:t>
      </w:r>
    </w:p>
    <w:p w14:paraId="0B4F79C9" w14:textId="6B6C8C44"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Harrison,</w:t>
      </w:r>
      <w:r>
        <w:rPr>
          <w:rFonts w:ascii="Times New Roman" w:hAnsi="Times New Roman" w:cs="Times New Roman"/>
          <w:sz w:val="24"/>
          <w:szCs w:val="24"/>
        </w:rPr>
        <w:t xml:space="preserve"> H.,</w:t>
      </w:r>
      <w:r w:rsidRPr="00D40D37">
        <w:rPr>
          <w:rFonts w:ascii="Times New Roman" w:hAnsi="Times New Roman" w:cs="Times New Roman"/>
          <w:sz w:val="24"/>
          <w:szCs w:val="24"/>
        </w:rPr>
        <w:t xml:space="preserve"> Birks,</w:t>
      </w:r>
      <w:r>
        <w:rPr>
          <w:rFonts w:ascii="Times New Roman" w:hAnsi="Times New Roman" w:cs="Times New Roman"/>
          <w:sz w:val="24"/>
          <w:szCs w:val="24"/>
        </w:rPr>
        <w:t xml:space="preserve"> M.,</w:t>
      </w:r>
      <w:r w:rsidRPr="00D40D37">
        <w:rPr>
          <w:rFonts w:ascii="Times New Roman" w:hAnsi="Times New Roman" w:cs="Times New Roman"/>
          <w:sz w:val="24"/>
          <w:szCs w:val="24"/>
        </w:rPr>
        <w:t xml:space="preserve"> Franklin</w:t>
      </w:r>
      <w:r>
        <w:rPr>
          <w:rFonts w:ascii="Times New Roman" w:hAnsi="Times New Roman" w:cs="Times New Roman"/>
          <w:sz w:val="24"/>
          <w:szCs w:val="24"/>
        </w:rPr>
        <w:t>, R.</w:t>
      </w:r>
      <w:r w:rsidRPr="00D40D37">
        <w:rPr>
          <w:rFonts w:ascii="Times New Roman" w:hAnsi="Times New Roman" w:cs="Times New Roman"/>
          <w:sz w:val="24"/>
          <w:szCs w:val="24"/>
        </w:rPr>
        <w:t xml:space="preserve"> and Mills,</w:t>
      </w:r>
      <w:r>
        <w:rPr>
          <w:rFonts w:ascii="Times New Roman" w:hAnsi="Times New Roman" w:cs="Times New Roman"/>
          <w:sz w:val="24"/>
          <w:szCs w:val="24"/>
        </w:rPr>
        <w:t xml:space="preserve"> J.</w:t>
      </w:r>
      <w:r w:rsidRPr="00D40D37">
        <w:rPr>
          <w:rFonts w:ascii="Times New Roman" w:hAnsi="Times New Roman" w:cs="Times New Roman"/>
          <w:sz w:val="24"/>
          <w:szCs w:val="24"/>
        </w:rPr>
        <w:t xml:space="preserve"> ‘Case Study Research: Foundations and Methodological Orientations’ (2017) 18 Forum: Qualitative Social Research ˂http://dx.doi.org/10.17169/fqs-18.1.2655˃ accessed </w:t>
      </w:r>
      <w:r w:rsidR="00F817B5">
        <w:rPr>
          <w:rFonts w:ascii="Times New Roman" w:hAnsi="Times New Roman" w:cs="Times New Roman"/>
          <w:sz w:val="24"/>
          <w:szCs w:val="24"/>
        </w:rPr>
        <w:t>9 October 2020</w:t>
      </w:r>
    </w:p>
    <w:p w14:paraId="02FFCDB8"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Hart</w:t>
      </w:r>
      <w:r>
        <w:rPr>
          <w:rFonts w:ascii="Times New Roman" w:hAnsi="Times New Roman" w:cs="Times New Roman"/>
          <w:sz w:val="24"/>
          <w:szCs w:val="24"/>
        </w:rPr>
        <w:t>, R.</w:t>
      </w:r>
      <w:r w:rsidRPr="00D40D37">
        <w:rPr>
          <w:rFonts w:ascii="Times New Roman" w:hAnsi="Times New Roman" w:cs="Times New Roman"/>
          <w:sz w:val="24"/>
          <w:szCs w:val="24"/>
        </w:rPr>
        <w:t xml:space="preserve"> ‘Interoperability Information and the Microsoft Decision’ [2006] 7 </w:t>
      </w:r>
      <w:r w:rsidRPr="00D40D37">
        <w:rPr>
          <w:rFonts w:ascii="Times New Roman" w:hAnsi="Times New Roman" w:cs="Times New Roman"/>
          <w:iCs/>
          <w:sz w:val="24"/>
          <w:szCs w:val="24"/>
        </w:rPr>
        <w:t>European Intellectual Property Review</w:t>
      </w:r>
      <w:r>
        <w:rPr>
          <w:rFonts w:ascii="Times New Roman" w:hAnsi="Times New Roman" w:cs="Times New Roman"/>
          <w:iCs/>
          <w:sz w:val="24"/>
          <w:szCs w:val="24"/>
        </w:rPr>
        <w:t>,</w:t>
      </w:r>
      <w:r w:rsidRPr="00D40D37">
        <w:rPr>
          <w:rFonts w:ascii="Times New Roman" w:hAnsi="Times New Roman" w:cs="Times New Roman"/>
          <w:sz w:val="24"/>
          <w:szCs w:val="24"/>
        </w:rPr>
        <w:t xml:space="preserve"> 361</w:t>
      </w:r>
      <w:r>
        <w:rPr>
          <w:rFonts w:ascii="Times New Roman" w:hAnsi="Times New Roman" w:cs="Times New Roman"/>
          <w:sz w:val="24"/>
          <w:szCs w:val="24"/>
        </w:rPr>
        <w:t>-367</w:t>
      </w:r>
    </w:p>
    <w:p w14:paraId="2A83BA13"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Hau,</w:t>
      </w:r>
      <w:r>
        <w:rPr>
          <w:rFonts w:ascii="Times New Roman" w:hAnsi="Times New Roman" w:cs="Times New Roman"/>
          <w:sz w:val="24"/>
          <w:szCs w:val="24"/>
        </w:rPr>
        <w:t xml:space="preserve"> T.,</w:t>
      </w:r>
      <w:r w:rsidRPr="00D40D37">
        <w:rPr>
          <w:rFonts w:ascii="Times New Roman" w:hAnsi="Times New Roman" w:cs="Times New Roman"/>
          <w:sz w:val="24"/>
          <w:szCs w:val="24"/>
        </w:rPr>
        <w:t xml:space="preserve"> Burghardt</w:t>
      </w:r>
      <w:r>
        <w:rPr>
          <w:rFonts w:ascii="Times New Roman" w:hAnsi="Times New Roman" w:cs="Times New Roman"/>
          <w:sz w:val="24"/>
          <w:szCs w:val="24"/>
        </w:rPr>
        <w:t>, D.</w:t>
      </w:r>
      <w:r w:rsidRPr="00D40D37">
        <w:rPr>
          <w:rFonts w:ascii="Times New Roman" w:hAnsi="Times New Roman" w:cs="Times New Roman"/>
          <w:sz w:val="24"/>
          <w:szCs w:val="24"/>
        </w:rPr>
        <w:t xml:space="preserve"> and Brenner,</w:t>
      </w:r>
      <w:r>
        <w:rPr>
          <w:rFonts w:ascii="Times New Roman" w:hAnsi="Times New Roman" w:cs="Times New Roman"/>
          <w:sz w:val="24"/>
          <w:szCs w:val="24"/>
        </w:rPr>
        <w:t xml:space="preserve"> </w:t>
      </w:r>
      <w:r w:rsidRPr="00D40D37">
        <w:rPr>
          <w:rFonts w:ascii="Times New Roman" w:hAnsi="Times New Roman" w:cs="Times New Roman"/>
          <w:sz w:val="24"/>
          <w:szCs w:val="24"/>
        </w:rPr>
        <w:t>W</w:t>
      </w:r>
      <w:r>
        <w:rPr>
          <w:rFonts w:ascii="Times New Roman" w:hAnsi="Times New Roman" w:cs="Times New Roman"/>
          <w:sz w:val="24"/>
          <w:szCs w:val="24"/>
        </w:rPr>
        <w:t>.</w:t>
      </w:r>
      <w:r w:rsidRPr="00D40D37">
        <w:rPr>
          <w:rFonts w:ascii="Times New Roman" w:hAnsi="Times New Roman" w:cs="Times New Roman"/>
          <w:sz w:val="24"/>
          <w:szCs w:val="24"/>
        </w:rPr>
        <w:t xml:space="preserve"> ‘Multihoming, content delivery networks, and the market for Internet connectivity’ [2011] 35 Telecommunications Policy</w:t>
      </w:r>
      <w:r>
        <w:rPr>
          <w:rFonts w:ascii="Times New Roman" w:hAnsi="Times New Roman" w:cs="Times New Roman"/>
          <w:sz w:val="24"/>
          <w:szCs w:val="24"/>
        </w:rPr>
        <w:t>,</w:t>
      </w:r>
      <w:r w:rsidRPr="00D40D37">
        <w:rPr>
          <w:rFonts w:ascii="Times New Roman" w:hAnsi="Times New Roman" w:cs="Times New Roman"/>
          <w:sz w:val="24"/>
          <w:szCs w:val="24"/>
        </w:rPr>
        <w:t xml:space="preserve"> 532</w:t>
      </w:r>
      <w:r>
        <w:rPr>
          <w:rFonts w:ascii="Times New Roman" w:hAnsi="Times New Roman" w:cs="Times New Roman"/>
          <w:sz w:val="24"/>
          <w:szCs w:val="24"/>
        </w:rPr>
        <w:t>-</w:t>
      </w:r>
      <w:r w:rsidRPr="00D40D37">
        <w:rPr>
          <w:rFonts w:ascii="Times New Roman" w:hAnsi="Times New Roman" w:cs="Times New Roman"/>
          <w:sz w:val="24"/>
          <w:szCs w:val="24"/>
        </w:rPr>
        <w:t>542</w:t>
      </w:r>
    </w:p>
    <w:p w14:paraId="1A864785" w14:textId="77777777" w:rsidR="00E27833" w:rsidRPr="00423F48"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Helberger,</w:t>
      </w:r>
      <w:r>
        <w:rPr>
          <w:rFonts w:ascii="Times New Roman" w:hAnsi="Times New Roman" w:cs="Times New Roman"/>
          <w:sz w:val="24"/>
          <w:szCs w:val="24"/>
        </w:rPr>
        <w:t xml:space="preserve"> N.</w:t>
      </w:r>
      <w:r w:rsidRPr="00D40D37">
        <w:rPr>
          <w:rFonts w:ascii="Times New Roman" w:hAnsi="Times New Roman" w:cs="Times New Roman"/>
          <w:sz w:val="24"/>
          <w:szCs w:val="24"/>
        </w:rPr>
        <w:t xml:space="preserve"> ‘Access to technical bottleneck facilities: the new European approach’ [2002] 46, 2nd Q Communications &amp; Strategies, 33-74</w:t>
      </w:r>
    </w:p>
    <w:p w14:paraId="2C7270EA" w14:textId="77777777" w:rsidR="00E27833" w:rsidRPr="003457C1"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Helberger, N</w:t>
      </w:r>
      <w:r>
        <w:rPr>
          <w:rFonts w:ascii="Times New Roman" w:hAnsi="Times New Roman" w:cs="Times New Roman"/>
          <w:sz w:val="24"/>
          <w:szCs w:val="24"/>
        </w:rPr>
        <w:t>.,</w:t>
      </w:r>
      <w:r w:rsidRPr="00D40D37">
        <w:rPr>
          <w:rFonts w:ascii="Times New Roman" w:hAnsi="Times New Roman" w:cs="Times New Roman"/>
          <w:sz w:val="24"/>
          <w:szCs w:val="24"/>
        </w:rPr>
        <w:t xml:space="preserve"> Kleinen-von Königslöw</w:t>
      </w:r>
      <w:r>
        <w:rPr>
          <w:rFonts w:ascii="Times New Roman" w:hAnsi="Times New Roman" w:cs="Times New Roman"/>
          <w:sz w:val="24"/>
          <w:szCs w:val="24"/>
        </w:rPr>
        <w:t>, K.</w:t>
      </w:r>
      <w:r w:rsidRPr="00D40D37">
        <w:rPr>
          <w:rFonts w:ascii="Times New Roman" w:hAnsi="Times New Roman" w:cs="Times New Roman"/>
          <w:sz w:val="24"/>
          <w:szCs w:val="24"/>
        </w:rPr>
        <w:t xml:space="preserve"> and </w:t>
      </w:r>
      <w:r>
        <w:rPr>
          <w:rFonts w:ascii="Times New Roman" w:hAnsi="Times New Roman" w:cs="Times New Roman"/>
          <w:sz w:val="24"/>
          <w:szCs w:val="24"/>
        </w:rPr>
        <w:t>V</w:t>
      </w:r>
      <w:r w:rsidRPr="00D40D37">
        <w:rPr>
          <w:rFonts w:ascii="Times New Roman" w:hAnsi="Times New Roman" w:cs="Times New Roman"/>
          <w:sz w:val="24"/>
          <w:szCs w:val="24"/>
        </w:rPr>
        <w:t>an der Noll,</w:t>
      </w:r>
      <w:r>
        <w:rPr>
          <w:rFonts w:ascii="Times New Roman" w:hAnsi="Times New Roman" w:cs="Times New Roman"/>
          <w:sz w:val="24"/>
          <w:szCs w:val="24"/>
        </w:rPr>
        <w:t xml:space="preserve"> </w:t>
      </w:r>
      <w:r w:rsidRPr="00D40D37">
        <w:rPr>
          <w:rFonts w:ascii="Times New Roman" w:hAnsi="Times New Roman" w:cs="Times New Roman"/>
          <w:sz w:val="24"/>
          <w:szCs w:val="24"/>
        </w:rPr>
        <w:t>R</w:t>
      </w:r>
      <w:r>
        <w:rPr>
          <w:rFonts w:ascii="Times New Roman" w:hAnsi="Times New Roman" w:cs="Times New Roman"/>
          <w:sz w:val="24"/>
          <w:szCs w:val="24"/>
        </w:rPr>
        <w:t>.</w:t>
      </w:r>
      <w:r w:rsidRPr="00D40D37">
        <w:rPr>
          <w:rFonts w:ascii="Times New Roman" w:hAnsi="Times New Roman" w:cs="Times New Roman"/>
          <w:sz w:val="24"/>
          <w:szCs w:val="24"/>
        </w:rPr>
        <w:t xml:space="preserve"> </w:t>
      </w:r>
      <w:r>
        <w:rPr>
          <w:rFonts w:ascii="Times New Roman" w:hAnsi="Times New Roman" w:cs="Times New Roman"/>
          <w:sz w:val="24"/>
          <w:szCs w:val="24"/>
        </w:rPr>
        <w:t>‘</w:t>
      </w:r>
      <w:r w:rsidRPr="00D40D37">
        <w:rPr>
          <w:rFonts w:ascii="Times New Roman" w:hAnsi="Times New Roman" w:cs="Times New Roman"/>
          <w:sz w:val="24"/>
          <w:szCs w:val="24"/>
        </w:rPr>
        <w:t>Regulating the new information intermediaries as gatekeepers of information diversity</w:t>
      </w:r>
      <w:r>
        <w:rPr>
          <w:rFonts w:ascii="Times New Roman" w:hAnsi="Times New Roman" w:cs="Times New Roman"/>
          <w:sz w:val="24"/>
          <w:szCs w:val="24"/>
        </w:rPr>
        <w:t>’</w:t>
      </w:r>
      <w:r w:rsidRPr="00D40D37">
        <w:rPr>
          <w:rFonts w:ascii="Times New Roman" w:hAnsi="Times New Roman" w:cs="Times New Roman"/>
          <w:sz w:val="24"/>
          <w:szCs w:val="24"/>
        </w:rPr>
        <w:t xml:space="preserve"> [2015] 17(6) Info</w:t>
      </w:r>
      <w:r>
        <w:rPr>
          <w:rFonts w:ascii="Times New Roman" w:hAnsi="Times New Roman" w:cs="Times New Roman"/>
          <w:sz w:val="24"/>
          <w:szCs w:val="24"/>
        </w:rPr>
        <w:t>,</w:t>
      </w:r>
      <w:r w:rsidRPr="00D40D37">
        <w:rPr>
          <w:rFonts w:ascii="Times New Roman" w:hAnsi="Times New Roman" w:cs="Times New Roman"/>
          <w:sz w:val="24"/>
          <w:szCs w:val="24"/>
        </w:rPr>
        <w:t xml:space="preserve"> 50-71</w:t>
      </w:r>
    </w:p>
    <w:p w14:paraId="3D62924E" w14:textId="0343A5D4" w:rsidR="00E27833" w:rsidRPr="00A70042"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Hoehn</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T</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and Lewis, A</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‘Interoperability Remedies, FRAND Licensing and Innovation: A Review of Recent Case Law’ (2013) 34(2) European Competition Law Review</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101</w:t>
      </w:r>
      <w:r>
        <w:rPr>
          <w:rFonts w:ascii="Times New Roman" w:hAnsi="Times New Roman" w:cs="Times New Roman"/>
          <w:sz w:val="24"/>
          <w:szCs w:val="24"/>
          <w:lang w:val="en-US"/>
        </w:rPr>
        <w:t>-111</w:t>
      </w:r>
    </w:p>
    <w:p w14:paraId="553D6957" w14:textId="3F4E60E3" w:rsidR="00AF398D" w:rsidRPr="00D40D37" w:rsidRDefault="00AF398D" w:rsidP="00E27833">
      <w:pPr>
        <w:pStyle w:val="ListParagraph"/>
        <w:numPr>
          <w:ilvl w:val="0"/>
          <w:numId w:val="22"/>
        </w:numPr>
        <w:jc w:val="both"/>
        <w:rPr>
          <w:rFonts w:ascii="Times New Roman" w:hAnsi="Times New Roman" w:cs="Times New Roman"/>
          <w:sz w:val="24"/>
          <w:szCs w:val="24"/>
        </w:rPr>
      </w:pPr>
      <w:r w:rsidRPr="00AF398D">
        <w:rPr>
          <w:rFonts w:ascii="Times New Roman" w:hAnsi="Times New Roman" w:cs="Times New Roman"/>
          <w:sz w:val="24"/>
          <w:szCs w:val="24"/>
        </w:rPr>
        <w:t>Holm,</w:t>
      </w:r>
      <w:r>
        <w:rPr>
          <w:rFonts w:ascii="Times New Roman" w:hAnsi="Times New Roman" w:cs="Times New Roman"/>
          <w:sz w:val="24"/>
          <w:szCs w:val="24"/>
        </w:rPr>
        <w:t xml:space="preserve"> J.</w:t>
      </w:r>
      <w:r w:rsidRPr="00AF398D">
        <w:rPr>
          <w:rFonts w:ascii="Times New Roman" w:hAnsi="Times New Roman" w:cs="Times New Roman"/>
          <w:sz w:val="24"/>
          <w:szCs w:val="24"/>
        </w:rPr>
        <w:t xml:space="preserve"> ‘Regulating Network Access Prices under Uncertainty and Increasing Competition: The Case of Telecommunications and Local Loop Unbundling in the EU’ (MSc Thesis, University of Copenhagen 2000)</w:t>
      </w:r>
    </w:p>
    <w:p w14:paraId="09939740"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House of Lords, Select Committee on Communications, </w:t>
      </w:r>
      <w:r w:rsidRPr="00D40D37">
        <w:rPr>
          <w:rFonts w:ascii="Times New Roman" w:hAnsi="Times New Roman" w:cs="Times New Roman"/>
          <w:i/>
          <w:iCs/>
          <w:sz w:val="24"/>
          <w:szCs w:val="24"/>
        </w:rPr>
        <w:t>Regulating in a digital world</w:t>
      </w:r>
      <w:r w:rsidRPr="00D40D37">
        <w:rPr>
          <w:rFonts w:ascii="Times New Roman" w:hAnsi="Times New Roman" w:cs="Times New Roman"/>
          <w:sz w:val="24"/>
          <w:szCs w:val="24"/>
        </w:rPr>
        <w:t xml:space="preserve"> (2</w:t>
      </w:r>
      <w:r w:rsidRPr="00D40D37">
        <w:rPr>
          <w:rFonts w:ascii="Times New Roman" w:hAnsi="Times New Roman" w:cs="Times New Roman"/>
          <w:sz w:val="24"/>
          <w:szCs w:val="24"/>
          <w:vertAlign w:val="superscript"/>
        </w:rPr>
        <w:t>nd</w:t>
      </w:r>
      <w:r w:rsidRPr="00D40D37">
        <w:rPr>
          <w:rFonts w:ascii="Times New Roman" w:hAnsi="Times New Roman" w:cs="Times New Roman"/>
          <w:sz w:val="24"/>
          <w:szCs w:val="24"/>
        </w:rPr>
        <w:t xml:space="preserve"> Report of Session 2017-19, March 2019)</w:t>
      </w:r>
    </w:p>
    <w:p w14:paraId="7E1E2EB7"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Hutchinson</w:t>
      </w:r>
      <w:r>
        <w:rPr>
          <w:rFonts w:ascii="Times New Roman" w:hAnsi="Times New Roman" w:cs="Times New Roman"/>
          <w:sz w:val="24"/>
          <w:szCs w:val="24"/>
        </w:rPr>
        <w:t>, T.</w:t>
      </w:r>
      <w:r w:rsidRPr="00D40D37">
        <w:rPr>
          <w:rFonts w:ascii="Times New Roman" w:hAnsi="Times New Roman" w:cs="Times New Roman"/>
          <w:sz w:val="24"/>
          <w:szCs w:val="24"/>
        </w:rPr>
        <w:t xml:space="preserve"> ‘The Doctrinal Method: Incorporating Interdisciplinary Methods in Reforming the Law’ 3 [2015] Erasmus Law Review, 130-138.</w:t>
      </w:r>
    </w:p>
    <w:p w14:paraId="66F312B9" w14:textId="5049D4F2"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Institute of Electrical and Electronics Engineers (IEEE), Standards Glossary, 2016 &lt;https://www.standardsuniversity.org/article/standards-glossary/&gt; accessed </w:t>
      </w:r>
      <w:r w:rsidR="00F817B5">
        <w:rPr>
          <w:rFonts w:ascii="Times New Roman" w:hAnsi="Times New Roman" w:cs="Times New Roman"/>
          <w:sz w:val="24"/>
          <w:szCs w:val="24"/>
        </w:rPr>
        <w:t>9 October 2020</w:t>
      </w:r>
    </w:p>
    <w:p w14:paraId="162220F2" w14:textId="3B7B286C" w:rsidR="00E27833" w:rsidRDefault="00E27833" w:rsidP="00E27833">
      <w:pPr>
        <w:pStyle w:val="ListParagraph"/>
        <w:numPr>
          <w:ilvl w:val="0"/>
          <w:numId w:val="22"/>
        </w:numPr>
        <w:rPr>
          <w:rFonts w:ascii="Times New Roman" w:hAnsi="Times New Roman" w:cs="Times New Roman"/>
          <w:sz w:val="24"/>
          <w:szCs w:val="24"/>
        </w:rPr>
      </w:pPr>
      <w:r w:rsidRPr="00D40D37">
        <w:rPr>
          <w:rFonts w:ascii="Times New Roman" w:hAnsi="Times New Roman" w:cs="Times New Roman"/>
          <w:sz w:val="24"/>
          <w:szCs w:val="24"/>
          <w:lang w:val="en-US"/>
        </w:rPr>
        <w:t xml:space="preserve">International Telecommunications Union </w:t>
      </w:r>
      <w:r>
        <w:rPr>
          <w:rFonts w:ascii="Times New Roman" w:hAnsi="Times New Roman" w:cs="Times New Roman"/>
          <w:sz w:val="24"/>
          <w:szCs w:val="24"/>
          <w:lang w:val="en-US"/>
        </w:rPr>
        <w:t>(</w:t>
      </w:r>
      <w:r w:rsidRPr="00D40D37">
        <w:rPr>
          <w:rFonts w:ascii="Times New Roman" w:hAnsi="Times New Roman" w:cs="Times New Roman"/>
          <w:sz w:val="24"/>
          <w:szCs w:val="24"/>
          <w:lang w:val="en-US"/>
        </w:rPr>
        <w:t>ITU</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Telecommunications Development Sector, </w:t>
      </w:r>
      <w:r w:rsidRPr="00D40D37">
        <w:rPr>
          <w:rFonts w:ascii="Times New Roman" w:hAnsi="Times New Roman" w:cs="Times New Roman"/>
          <w:i/>
          <w:iCs/>
          <w:sz w:val="24"/>
          <w:szCs w:val="24"/>
          <w:lang w:val="en-US"/>
        </w:rPr>
        <w:t>Regulatory Challenges and Opportunities in the New ICT Ecosystem</w:t>
      </w:r>
      <w:r>
        <w:rPr>
          <w:rFonts w:ascii="Times New Roman" w:hAnsi="Times New Roman" w:cs="Times New Roman"/>
          <w:i/>
          <w:iCs/>
          <w:sz w:val="24"/>
          <w:szCs w:val="24"/>
          <w:lang w:val="en-US"/>
        </w:rPr>
        <w:t xml:space="preserve"> &lt;</w:t>
      </w:r>
      <w:r w:rsidRPr="000960FE">
        <w:rPr>
          <w:rFonts w:ascii="Times New Roman" w:hAnsi="Times New Roman" w:cs="Times New Roman"/>
          <w:sz w:val="24"/>
          <w:szCs w:val="24"/>
          <w:lang w:val="en-US"/>
        </w:rPr>
        <w:t>https://www.itu.int/pub/D-PREF-BB.REG_OUT03-2018</w:t>
      </w:r>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3656A04F" w14:textId="7ECA8F46" w:rsidR="00E27833" w:rsidRPr="00D40D37" w:rsidRDefault="00E27833" w:rsidP="00E27833">
      <w:pPr>
        <w:pStyle w:val="ListParagraph"/>
        <w:numPr>
          <w:ilvl w:val="0"/>
          <w:numId w:val="22"/>
        </w:numPr>
        <w:rPr>
          <w:rFonts w:ascii="Times New Roman" w:hAnsi="Times New Roman" w:cs="Times New Roman"/>
          <w:sz w:val="24"/>
          <w:szCs w:val="24"/>
        </w:rPr>
      </w:pPr>
      <w:r w:rsidRPr="00D40D37">
        <w:rPr>
          <w:rFonts w:ascii="Times New Roman" w:hAnsi="Times New Roman" w:cs="Times New Roman"/>
          <w:sz w:val="24"/>
          <w:szCs w:val="24"/>
          <w:lang w:val="en-US"/>
        </w:rPr>
        <w:t>ITU</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w:t>
      </w:r>
      <w:r w:rsidRPr="00D40D37">
        <w:rPr>
          <w:rFonts w:ascii="Times New Roman" w:hAnsi="Times New Roman" w:cs="Times New Roman"/>
          <w:i/>
          <w:iCs/>
          <w:sz w:val="24"/>
          <w:szCs w:val="24"/>
          <w:lang w:val="en-US"/>
        </w:rPr>
        <w:t>Overview of the Internet of Things</w:t>
      </w:r>
      <w:r w:rsidRPr="00D40D37">
        <w:rPr>
          <w:rFonts w:ascii="Times New Roman" w:hAnsi="Times New Roman" w:cs="Times New Roman"/>
          <w:sz w:val="24"/>
          <w:szCs w:val="24"/>
          <w:lang w:val="en-US"/>
        </w:rPr>
        <w:t xml:space="preserve"> (ITU-T Y.4000/Y.2060.</w:t>
      </w:r>
      <w:r>
        <w:rPr>
          <w:rFonts w:ascii="Times New Roman" w:hAnsi="Times New Roman" w:cs="Times New Roman"/>
          <w:sz w:val="24"/>
          <w:szCs w:val="24"/>
          <w:lang w:val="en-US"/>
        </w:rPr>
        <w:t xml:space="preserve"> </w:t>
      </w:r>
      <w:r w:rsidRPr="00D40D37">
        <w:rPr>
          <w:rFonts w:ascii="Times New Roman" w:hAnsi="Times New Roman" w:cs="Times New Roman"/>
          <w:sz w:val="24"/>
          <w:szCs w:val="24"/>
          <w:lang w:val="en-US"/>
        </w:rPr>
        <w:t xml:space="preserve">2012) &lt;https://www.itu.int/rec/T-REC-Y.2060-201206-I&gt; accessed </w:t>
      </w:r>
      <w:r w:rsidR="00F817B5">
        <w:rPr>
          <w:rFonts w:ascii="Times New Roman" w:hAnsi="Times New Roman" w:cs="Times New Roman"/>
          <w:sz w:val="24"/>
          <w:szCs w:val="24"/>
          <w:lang w:val="en-US"/>
        </w:rPr>
        <w:t>9 October 2020</w:t>
      </w:r>
    </w:p>
    <w:p w14:paraId="3450B99C" w14:textId="3BE75AAE" w:rsidR="00E27833" w:rsidRPr="00D40D37" w:rsidRDefault="00E27833" w:rsidP="00E27833">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lastRenderedPageBreak/>
        <w:t>ITU, ‘NGN Working Definition’ &lt;</w:t>
      </w:r>
      <w:r w:rsidRPr="00D40D37">
        <w:rPr>
          <w:rFonts w:ascii="Times New Roman" w:hAnsi="Times New Roman" w:cs="Times New Roman"/>
          <w:sz w:val="24"/>
          <w:szCs w:val="24"/>
        </w:rPr>
        <w:t xml:space="preserve">http://www.itu.int/ITU-T/studygroups/com13/ngn2004/working_definition.html&gt; accessed </w:t>
      </w:r>
      <w:r w:rsidR="00F817B5">
        <w:rPr>
          <w:rFonts w:ascii="Times New Roman" w:hAnsi="Times New Roman" w:cs="Times New Roman"/>
          <w:sz w:val="24"/>
          <w:szCs w:val="24"/>
        </w:rPr>
        <w:t>9 October 2020</w:t>
      </w:r>
    </w:p>
    <w:p w14:paraId="17ED7762"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Kariyawasam</w:t>
      </w:r>
      <w:r>
        <w:rPr>
          <w:rFonts w:ascii="Times New Roman" w:hAnsi="Times New Roman" w:cs="Times New Roman"/>
          <w:sz w:val="24"/>
          <w:szCs w:val="24"/>
        </w:rPr>
        <w:t>, R.</w:t>
      </w:r>
      <w:r w:rsidRPr="00D40D37">
        <w:rPr>
          <w:rFonts w:ascii="Times New Roman" w:hAnsi="Times New Roman" w:cs="Times New Roman"/>
          <w:sz w:val="24"/>
          <w:szCs w:val="24"/>
        </w:rPr>
        <w:t xml:space="preserve"> ‘Defining Dominance for Bits and Bytes: A new Layering Theory for Significant Market Power?’ [2005] 26(10) European Competition Law Review</w:t>
      </w:r>
      <w:r>
        <w:rPr>
          <w:rFonts w:ascii="Times New Roman" w:hAnsi="Times New Roman" w:cs="Times New Roman"/>
          <w:sz w:val="24"/>
          <w:szCs w:val="24"/>
        </w:rPr>
        <w:t>,</w:t>
      </w:r>
      <w:r w:rsidRPr="00D40D37">
        <w:rPr>
          <w:rFonts w:ascii="Times New Roman" w:hAnsi="Times New Roman" w:cs="Times New Roman"/>
          <w:sz w:val="24"/>
          <w:szCs w:val="24"/>
        </w:rPr>
        <w:t xml:space="preserve"> 581</w:t>
      </w:r>
      <w:r>
        <w:rPr>
          <w:rFonts w:ascii="Times New Roman" w:hAnsi="Times New Roman" w:cs="Times New Roman"/>
          <w:sz w:val="24"/>
          <w:szCs w:val="24"/>
        </w:rPr>
        <w:t>-</w:t>
      </w:r>
      <w:r w:rsidRPr="00D40D37">
        <w:rPr>
          <w:rFonts w:ascii="Times New Roman" w:hAnsi="Times New Roman" w:cs="Times New Roman"/>
          <w:sz w:val="24"/>
          <w:szCs w:val="24"/>
        </w:rPr>
        <w:t>5</w:t>
      </w:r>
      <w:r>
        <w:rPr>
          <w:rFonts w:ascii="Times New Roman" w:hAnsi="Times New Roman" w:cs="Times New Roman"/>
          <w:sz w:val="24"/>
          <w:szCs w:val="24"/>
        </w:rPr>
        <w:t>94</w:t>
      </w:r>
    </w:p>
    <w:p w14:paraId="0C0998B0"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eastAsia="Arial Unicode MS" w:hAnsi="Times New Roman" w:cs="Times New Roman"/>
          <w:sz w:val="24"/>
          <w:szCs w:val="24"/>
          <w:lang w:val="en-US"/>
        </w:rPr>
        <w:t>Kariyawasam,</w:t>
      </w:r>
      <w:r>
        <w:rPr>
          <w:rFonts w:ascii="Times New Roman" w:eastAsia="Arial Unicode MS" w:hAnsi="Times New Roman" w:cs="Times New Roman"/>
          <w:sz w:val="24"/>
          <w:szCs w:val="24"/>
          <w:lang w:val="en-US"/>
        </w:rPr>
        <w:t xml:space="preserve"> R.</w:t>
      </w:r>
      <w:r w:rsidRPr="00D40D37">
        <w:rPr>
          <w:rFonts w:ascii="Times New Roman" w:eastAsia="Arial Unicode MS" w:hAnsi="Times New Roman" w:cs="Times New Roman"/>
          <w:sz w:val="24"/>
          <w:szCs w:val="24"/>
          <w:lang w:val="en-US"/>
        </w:rPr>
        <w:t xml:space="preserve"> ‘Telecoms Regulation - Peering and Transit Over TCP/IP Networks’ [2001] 17(1) Computer Law &amp; Security Report, 36-40</w:t>
      </w:r>
    </w:p>
    <w:p w14:paraId="6733403F"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Kartner,</w:t>
      </w:r>
      <w:r>
        <w:rPr>
          <w:rFonts w:ascii="Times New Roman" w:hAnsi="Times New Roman" w:cs="Times New Roman"/>
          <w:sz w:val="24"/>
          <w:szCs w:val="24"/>
        </w:rPr>
        <w:t xml:space="preserve"> F.</w:t>
      </w:r>
      <w:r w:rsidRPr="00D40D37">
        <w:rPr>
          <w:rFonts w:ascii="Times New Roman" w:hAnsi="Times New Roman" w:cs="Times New Roman"/>
          <w:sz w:val="24"/>
          <w:szCs w:val="24"/>
        </w:rPr>
        <w:t xml:space="preserve"> ‘Merger remedies: fostering innovation?’ </w:t>
      </w:r>
      <w:r>
        <w:rPr>
          <w:rFonts w:ascii="Times New Roman" w:hAnsi="Times New Roman" w:cs="Times New Roman"/>
          <w:sz w:val="24"/>
          <w:szCs w:val="24"/>
        </w:rPr>
        <w:t xml:space="preserve">[2016] </w:t>
      </w:r>
      <w:r w:rsidRPr="00D40D37">
        <w:rPr>
          <w:rFonts w:ascii="Times New Roman" w:hAnsi="Times New Roman" w:cs="Times New Roman"/>
          <w:sz w:val="24"/>
          <w:szCs w:val="24"/>
        </w:rPr>
        <w:t>12</w:t>
      </w:r>
      <w:r>
        <w:rPr>
          <w:rFonts w:ascii="Times New Roman" w:hAnsi="Times New Roman" w:cs="Times New Roman"/>
          <w:sz w:val="24"/>
          <w:szCs w:val="24"/>
        </w:rPr>
        <w:t>(</w:t>
      </w:r>
      <w:r w:rsidRPr="00D40D37">
        <w:rPr>
          <w:rFonts w:ascii="Times New Roman" w:hAnsi="Times New Roman" w:cs="Times New Roman"/>
          <w:sz w:val="24"/>
          <w:szCs w:val="24"/>
        </w:rPr>
        <w:t>2-3</w:t>
      </w:r>
      <w:r>
        <w:rPr>
          <w:rFonts w:ascii="Times New Roman" w:hAnsi="Times New Roman" w:cs="Times New Roman"/>
          <w:sz w:val="24"/>
          <w:szCs w:val="24"/>
        </w:rPr>
        <w:t xml:space="preserve">) </w:t>
      </w:r>
      <w:r w:rsidRPr="00D40D37">
        <w:rPr>
          <w:rFonts w:ascii="Times New Roman" w:hAnsi="Times New Roman" w:cs="Times New Roman"/>
          <w:sz w:val="24"/>
          <w:szCs w:val="24"/>
        </w:rPr>
        <w:t>European Competition Journal, 298-319</w:t>
      </w:r>
    </w:p>
    <w:p w14:paraId="3434A673"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Kerber, W. and Schweitzer, H. ‘Interoperability in the Digital Economy’ [2011] 8(1) JIPITEC</w:t>
      </w:r>
      <w:r>
        <w:rPr>
          <w:rFonts w:ascii="Times New Roman" w:hAnsi="Times New Roman" w:cs="Times New Roman"/>
          <w:sz w:val="24"/>
          <w:szCs w:val="24"/>
        </w:rPr>
        <w:t>,</w:t>
      </w:r>
      <w:r w:rsidRPr="00D40D37">
        <w:rPr>
          <w:rFonts w:ascii="Times New Roman" w:hAnsi="Times New Roman" w:cs="Times New Roman"/>
          <w:sz w:val="24"/>
          <w:szCs w:val="24"/>
        </w:rPr>
        <w:t xml:space="preserve"> 39-58</w:t>
      </w:r>
    </w:p>
    <w:p w14:paraId="62E26364" w14:textId="358E8E91"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tr-TR"/>
        </w:rPr>
        <w:t>Kesan, J</w:t>
      </w:r>
      <w:r>
        <w:rPr>
          <w:rFonts w:ascii="Times New Roman" w:hAnsi="Times New Roman" w:cs="Times New Roman"/>
          <w:sz w:val="24"/>
          <w:szCs w:val="24"/>
          <w:lang w:val="tr-TR"/>
        </w:rPr>
        <w:t>.</w:t>
      </w:r>
      <w:r w:rsidRPr="00D40D37">
        <w:rPr>
          <w:rFonts w:ascii="Times New Roman" w:hAnsi="Times New Roman" w:cs="Times New Roman"/>
          <w:sz w:val="24"/>
          <w:szCs w:val="24"/>
          <w:lang w:val="tr-TR"/>
        </w:rPr>
        <w:t xml:space="preserve"> P. ‘Open Standards’ (2018) University of Illinois College of Law Legal Studies Research Paper No. 18-38 &lt;</w:t>
      </w:r>
      <w:hyperlink r:id="rId48" w:history="1">
        <w:r w:rsidRPr="00D40D37">
          <w:rPr>
            <w:rFonts w:ascii="Times New Roman" w:hAnsi="Times New Roman" w:cs="Times New Roman"/>
            <w:sz w:val="24"/>
            <w:szCs w:val="24"/>
          </w:rPr>
          <w:t>https://ssrn.com/abstract=3260138</w:t>
        </w:r>
      </w:hyperlink>
      <w:r w:rsidRPr="00D40D37">
        <w:rPr>
          <w:rFonts w:ascii="Times New Roman" w:hAnsi="Times New Roman" w:cs="Times New Roman"/>
          <w:sz w:val="24"/>
          <w:szCs w:val="24"/>
          <w:lang w:val="tr-TR"/>
        </w:rPr>
        <w:t xml:space="preserve">&gt; accessed </w:t>
      </w:r>
      <w:r w:rsidR="00F817B5">
        <w:rPr>
          <w:rFonts w:ascii="Times New Roman" w:hAnsi="Times New Roman" w:cs="Times New Roman"/>
          <w:sz w:val="24"/>
          <w:szCs w:val="24"/>
          <w:lang w:val="tr-TR"/>
        </w:rPr>
        <w:t>9 October 2020</w:t>
      </w:r>
    </w:p>
    <w:p w14:paraId="220BD676" w14:textId="390023D9"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KPMG, Securing the benefits of industry digitisation (A Report for Vodafone, 2015) 5 ˂https://assets.kpmg.com/content/dam/kpmg/uk/pdf/2017/02/vodafonewebaccess.pdf˃ accessed </w:t>
      </w:r>
      <w:r w:rsidR="00F817B5">
        <w:rPr>
          <w:rFonts w:ascii="Times New Roman" w:hAnsi="Times New Roman" w:cs="Times New Roman"/>
          <w:sz w:val="24"/>
          <w:szCs w:val="24"/>
        </w:rPr>
        <w:t>9 October 2020</w:t>
      </w:r>
    </w:p>
    <w:p w14:paraId="3B2F2C42" w14:textId="03B96CFC"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Kutterer,</w:t>
      </w:r>
      <w:r>
        <w:rPr>
          <w:rFonts w:ascii="Times New Roman" w:hAnsi="Times New Roman" w:cs="Times New Roman"/>
          <w:sz w:val="24"/>
          <w:szCs w:val="24"/>
        </w:rPr>
        <w:t xml:space="preserve"> C.</w:t>
      </w:r>
      <w:r w:rsidRPr="00D40D37">
        <w:rPr>
          <w:rFonts w:ascii="Times New Roman" w:hAnsi="Times New Roman" w:cs="Times New Roman"/>
          <w:sz w:val="24"/>
          <w:szCs w:val="24"/>
        </w:rPr>
        <w:t xml:space="preserve"> ‘</w:t>
      </w:r>
      <w:r w:rsidRPr="00D40D37">
        <w:rPr>
          <w:rFonts w:ascii="Times New Roman" w:hAnsi="Times New Roman" w:cs="Times New Roman"/>
          <w:sz w:val="24"/>
          <w:szCs w:val="24"/>
          <w:lang w:val="en-US"/>
        </w:rPr>
        <w:t xml:space="preserve">Future Models for Service Regulation - Implications for OTTs, Telcoes and Consumers’ (WIK Conference: </w:t>
      </w:r>
      <w:r w:rsidRPr="00D40D37">
        <w:rPr>
          <w:rFonts w:ascii="Times New Roman" w:hAnsi="Times New Roman" w:cs="Times New Roman"/>
          <w:sz w:val="24"/>
          <w:szCs w:val="24"/>
        </w:rPr>
        <w:t>New rules for digital networks and services?, Brussels, 18 October 2016)</w:t>
      </w:r>
    </w:p>
    <w:p w14:paraId="7B96A442" w14:textId="4F114218" w:rsidR="002E1067" w:rsidRDefault="002E1067" w:rsidP="00E27833">
      <w:pPr>
        <w:pStyle w:val="ListParagraph"/>
        <w:numPr>
          <w:ilvl w:val="0"/>
          <w:numId w:val="22"/>
        </w:numPr>
        <w:jc w:val="both"/>
        <w:rPr>
          <w:rFonts w:ascii="Times New Roman" w:hAnsi="Times New Roman" w:cs="Times New Roman"/>
          <w:sz w:val="24"/>
          <w:szCs w:val="24"/>
        </w:rPr>
      </w:pPr>
      <w:r w:rsidRPr="002E1067">
        <w:rPr>
          <w:rFonts w:ascii="Times New Roman" w:hAnsi="Times New Roman" w:cs="Times New Roman"/>
          <w:sz w:val="24"/>
          <w:szCs w:val="24"/>
        </w:rPr>
        <w:t>Laidlaw, E</w:t>
      </w:r>
      <w:r>
        <w:rPr>
          <w:rFonts w:ascii="Times New Roman" w:hAnsi="Times New Roman" w:cs="Times New Roman"/>
          <w:sz w:val="24"/>
          <w:szCs w:val="24"/>
        </w:rPr>
        <w:t>.</w:t>
      </w:r>
      <w:r w:rsidRPr="002E1067">
        <w:rPr>
          <w:rFonts w:ascii="Times New Roman" w:hAnsi="Times New Roman" w:cs="Times New Roman"/>
          <w:sz w:val="24"/>
          <w:szCs w:val="24"/>
        </w:rPr>
        <w:t xml:space="preserve"> B. ‘Private Power, Public Interest: An Examination of Search Engine Accountability’ [2009] 17(1) International Journal of Law and Information Technology</w:t>
      </w:r>
      <w:r w:rsidR="00B426DA">
        <w:rPr>
          <w:rFonts w:ascii="Times New Roman" w:hAnsi="Times New Roman" w:cs="Times New Roman"/>
          <w:sz w:val="24"/>
          <w:szCs w:val="24"/>
        </w:rPr>
        <w:t>,</w:t>
      </w:r>
      <w:r w:rsidRPr="002E1067">
        <w:rPr>
          <w:rFonts w:ascii="Times New Roman" w:hAnsi="Times New Roman" w:cs="Times New Roman"/>
          <w:sz w:val="24"/>
          <w:szCs w:val="24"/>
        </w:rPr>
        <w:t xml:space="preserve"> 113</w:t>
      </w:r>
      <w:r>
        <w:rPr>
          <w:rFonts w:ascii="Times New Roman" w:hAnsi="Times New Roman" w:cs="Times New Roman"/>
          <w:sz w:val="24"/>
          <w:szCs w:val="24"/>
        </w:rPr>
        <w:t>-</w:t>
      </w:r>
      <w:r w:rsidRPr="002E1067">
        <w:rPr>
          <w:rFonts w:ascii="Times New Roman" w:hAnsi="Times New Roman" w:cs="Times New Roman"/>
          <w:sz w:val="24"/>
          <w:szCs w:val="24"/>
        </w:rPr>
        <w:t>145</w:t>
      </w:r>
    </w:p>
    <w:p w14:paraId="1BC1AD15" w14:textId="77777777" w:rsidR="00E27833" w:rsidRPr="000960FE"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lastRenderedPageBreak/>
        <w:t>Larouche</w:t>
      </w:r>
      <w:r>
        <w:rPr>
          <w:rFonts w:ascii="Times New Roman" w:hAnsi="Times New Roman" w:cs="Times New Roman"/>
          <w:sz w:val="24"/>
          <w:szCs w:val="24"/>
          <w:lang w:val="en-US"/>
        </w:rPr>
        <w:t>, P.</w:t>
      </w:r>
      <w:r w:rsidRPr="00D40D37">
        <w:rPr>
          <w:rFonts w:ascii="Times New Roman" w:hAnsi="Times New Roman" w:cs="Times New Roman"/>
          <w:sz w:val="24"/>
          <w:szCs w:val="24"/>
          <w:lang w:val="en-US"/>
        </w:rPr>
        <w:t xml:space="preserve"> and Van Overwalle,</w:t>
      </w:r>
      <w:r>
        <w:rPr>
          <w:rFonts w:ascii="Times New Roman" w:hAnsi="Times New Roman" w:cs="Times New Roman"/>
          <w:sz w:val="24"/>
          <w:szCs w:val="24"/>
          <w:lang w:val="en-US"/>
        </w:rPr>
        <w:t xml:space="preserve"> G.</w:t>
      </w:r>
      <w:r w:rsidRPr="00D40D37">
        <w:rPr>
          <w:rFonts w:ascii="Times New Roman" w:hAnsi="Times New Roman" w:cs="Times New Roman"/>
          <w:sz w:val="24"/>
          <w:szCs w:val="24"/>
          <w:lang w:val="en-US"/>
        </w:rPr>
        <w:t xml:space="preserve"> ‘Interoperability standards, patents and competition policy’ (2014) TILEC Discussion Paper DP 2014-050, December 2014</w:t>
      </w:r>
    </w:p>
    <w:p w14:paraId="7019AE95" w14:textId="556C0722" w:rsidR="00E27833" w:rsidRPr="00734992"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Lassig, </w:t>
      </w:r>
      <w:r>
        <w:rPr>
          <w:rFonts w:ascii="Times New Roman" w:hAnsi="Times New Roman" w:cs="Times New Roman"/>
          <w:sz w:val="24"/>
          <w:szCs w:val="24"/>
          <w:lang w:val="en-US"/>
        </w:rPr>
        <w:t xml:space="preserve">B. </w:t>
      </w:r>
      <w:r w:rsidRPr="00D40D37">
        <w:rPr>
          <w:rFonts w:ascii="Times New Roman" w:hAnsi="Times New Roman" w:cs="Times New Roman"/>
          <w:sz w:val="24"/>
          <w:szCs w:val="24"/>
          <w:lang w:val="en-US"/>
        </w:rPr>
        <w:t xml:space="preserve">‘CDN Technology: </w:t>
      </w:r>
      <w:r w:rsidRPr="00D40D37">
        <w:rPr>
          <w:rFonts w:ascii="Times New Roman" w:hAnsi="Times New Roman" w:cs="Times New Roman"/>
          <w:sz w:val="24"/>
          <w:szCs w:val="24"/>
        </w:rPr>
        <w:t>How Net Neutrality Will Affect Global CDNs</w:t>
      </w:r>
      <w:r w:rsidRPr="00D40D37">
        <w:rPr>
          <w:rFonts w:ascii="Times New Roman" w:hAnsi="Times New Roman" w:cs="Times New Roman"/>
          <w:sz w:val="24"/>
          <w:szCs w:val="24"/>
          <w:lang w:val="en-US"/>
        </w:rPr>
        <w:t>’</w:t>
      </w:r>
      <w:r w:rsidRPr="00D40D37">
        <w:rPr>
          <w:rFonts w:ascii="Times New Roman" w:hAnsi="Times New Roman" w:cs="Times New Roman"/>
          <w:sz w:val="24"/>
          <w:szCs w:val="24"/>
        </w:rPr>
        <w:t xml:space="preserve"> (</w:t>
      </w:r>
      <w:r w:rsidRPr="00D40D37">
        <w:rPr>
          <w:rFonts w:ascii="Times New Roman" w:hAnsi="Times New Roman" w:cs="Times New Roman"/>
          <w:i/>
          <w:iCs/>
          <w:sz w:val="24"/>
          <w:szCs w:val="24"/>
          <w:lang w:val="en-US"/>
        </w:rPr>
        <w:t>CDNetworks Americas</w:t>
      </w:r>
      <w:r w:rsidRPr="00D40D37">
        <w:rPr>
          <w:rFonts w:ascii="Times New Roman" w:hAnsi="Times New Roman" w:cs="Times New Roman"/>
          <w:sz w:val="24"/>
          <w:szCs w:val="24"/>
          <w:lang w:val="en-US"/>
        </w:rPr>
        <w:t>,</w:t>
      </w:r>
      <w:r w:rsidRPr="00D40D37">
        <w:rPr>
          <w:rFonts w:ascii="Times New Roman" w:hAnsi="Times New Roman" w:cs="Times New Roman"/>
          <w:sz w:val="24"/>
          <w:szCs w:val="24"/>
        </w:rPr>
        <w:t xml:space="preserve"> 21 February 2018) </w:t>
      </w:r>
      <w:r w:rsidRPr="00D40D37">
        <w:rPr>
          <w:rFonts w:ascii="Times New Roman" w:hAnsi="Times New Roman" w:cs="Times New Roman"/>
          <w:sz w:val="24"/>
          <w:szCs w:val="24"/>
          <w:lang w:val="en-US"/>
        </w:rPr>
        <w:t>˂</w:t>
      </w:r>
      <w:r w:rsidRPr="00D40D37">
        <w:rPr>
          <w:rFonts w:ascii="Times New Roman" w:hAnsi="Times New Roman" w:cs="Times New Roman"/>
          <w:sz w:val="24"/>
          <w:szCs w:val="24"/>
        </w:rPr>
        <w:t>http://nl.cdnetworks.com/en/news/how-net-neutrality-will-affect-global-cdns/6811</w:t>
      </w:r>
      <w:r w:rsidRPr="00D40D37">
        <w:rPr>
          <w:rFonts w:ascii="Times New Roman" w:hAnsi="Times New Roman" w:cs="Times New Roman"/>
          <w:sz w:val="24"/>
          <w:szCs w:val="24"/>
          <w:lang w:val="en-US"/>
        </w:rPr>
        <w:t xml:space="preserve">˃ accessed </w:t>
      </w:r>
      <w:r w:rsidR="00F817B5">
        <w:rPr>
          <w:rFonts w:ascii="Times New Roman" w:hAnsi="Times New Roman" w:cs="Times New Roman"/>
          <w:sz w:val="24"/>
          <w:szCs w:val="24"/>
          <w:lang w:val="en-US"/>
        </w:rPr>
        <w:t>9 October 2020</w:t>
      </w:r>
    </w:p>
    <w:p w14:paraId="244B6D90" w14:textId="2C5A923F"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Leonard,</w:t>
      </w:r>
      <w:r>
        <w:rPr>
          <w:rFonts w:ascii="Times New Roman" w:hAnsi="Times New Roman" w:cs="Times New Roman"/>
          <w:sz w:val="24"/>
          <w:szCs w:val="24"/>
          <w:lang w:val="en-US"/>
        </w:rPr>
        <w:t xml:space="preserve"> J.</w:t>
      </w:r>
      <w:r w:rsidRPr="00D40D37">
        <w:rPr>
          <w:rFonts w:ascii="Times New Roman" w:hAnsi="Times New Roman" w:cs="Times New Roman"/>
          <w:sz w:val="24"/>
          <w:szCs w:val="24"/>
          <w:lang w:val="en-US"/>
        </w:rPr>
        <w:t xml:space="preserve"> ‘Google, Microsoft, Facebook and Twitter team up on data portability project’ (</w:t>
      </w:r>
      <w:r w:rsidRPr="00D40D37">
        <w:rPr>
          <w:rFonts w:ascii="Times New Roman" w:hAnsi="Times New Roman" w:cs="Times New Roman"/>
          <w:i/>
          <w:iCs/>
          <w:sz w:val="24"/>
          <w:szCs w:val="24"/>
          <w:lang w:val="en-US"/>
        </w:rPr>
        <w:t>Computing</w:t>
      </w:r>
      <w:r w:rsidRPr="00D40D37">
        <w:rPr>
          <w:rFonts w:ascii="Times New Roman" w:hAnsi="Times New Roman" w:cs="Times New Roman"/>
          <w:sz w:val="24"/>
          <w:szCs w:val="24"/>
          <w:lang w:val="en-US"/>
        </w:rPr>
        <w:t xml:space="preserve">, July 23, 2018) </w:t>
      </w:r>
      <w:r w:rsidRPr="00D40D37">
        <w:rPr>
          <w:rFonts w:ascii="Times New Roman" w:hAnsi="Times New Roman" w:cs="Times New Roman"/>
          <w:sz w:val="24"/>
          <w:szCs w:val="24"/>
        </w:rPr>
        <w:t>˂</w:t>
      </w:r>
      <w:r w:rsidRPr="00D40D37">
        <w:rPr>
          <w:rFonts w:ascii="Times New Roman" w:hAnsi="Times New Roman" w:cs="Times New Roman"/>
          <w:sz w:val="24"/>
          <w:szCs w:val="24"/>
          <w:lang w:val="en-US"/>
        </w:rPr>
        <w:t>https://www.computing.co.uk/ctg/news/3036306/google-microsoft-facebook-and-twitter-team-up-on-data-portability-project</w:t>
      </w:r>
      <w:r w:rsidRPr="00D40D37">
        <w:rPr>
          <w:rFonts w:ascii="Times New Roman" w:hAnsi="Times New Roman" w:cs="Times New Roman"/>
          <w:sz w:val="24"/>
          <w:szCs w:val="24"/>
        </w:rPr>
        <w:t xml:space="preserve">˃ accessed </w:t>
      </w:r>
      <w:r w:rsidR="00F817B5">
        <w:rPr>
          <w:rFonts w:ascii="Times New Roman" w:hAnsi="Times New Roman" w:cs="Times New Roman"/>
          <w:sz w:val="24"/>
          <w:szCs w:val="24"/>
        </w:rPr>
        <w:t>9 October 2020</w:t>
      </w:r>
    </w:p>
    <w:p w14:paraId="7CB6E249" w14:textId="29A94E22" w:rsidR="00E27833" w:rsidRPr="00692824"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Lynskey,</w:t>
      </w:r>
      <w:r>
        <w:rPr>
          <w:rFonts w:ascii="Times New Roman" w:hAnsi="Times New Roman" w:cs="Times New Roman"/>
          <w:sz w:val="24"/>
          <w:szCs w:val="24"/>
          <w:lang w:val="en-US"/>
        </w:rPr>
        <w:t xml:space="preserve"> O.</w:t>
      </w:r>
      <w:r w:rsidRPr="00D40D37">
        <w:rPr>
          <w:rFonts w:ascii="Times New Roman" w:hAnsi="Times New Roman" w:cs="Times New Roman"/>
          <w:sz w:val="24"/>
          <w:szCs w:val="24"/>
          <w:lang w:val="en-US"/>
        </w:rPr>
        <w:t xml:space="preserve"> ‘Regulating ‘Platform Power’ (2017) LSE Law, Society and Economy Working Papers, 1/2017 ˂</w:t>
      </w:r>
      <w:r w:rsidRPr="00D40D37">
        <w:rPr>
          <w:rFonts w:ascii="Times New Roman" w:hAnsi="Times New Roman" w:cs="Times New Roman"/>
          <w:sz w:val="24"/>
          <w:szCs w:val="24"/>
        </w:rPr>
        <w:t>http://eprints.lse.ac.uk/73404/1/WPS2017-01_Lynskey.pdf</w:t>
      </w:r>
      <w:r w:rsidRPr="00D40D37">
        <w:rPr>
          <w:rFonts w:ascii="Times New Roman" w:hAnsi="Times New Roman" w:cs="Times New Roman"/>
          <w:sz w:val="24"/>
          <w:szCs w:val="24"/>
          <w:lang w:val="en-US"/>
        </w:rPr>
        <w:t xml:space="preserve">˃ accessed </w:t>
      </w:r>
      <w:r w:rsidR="00F817B5">
        <w:rPr>
          <w:rFonts w:ascii="Times New Roman" w:hAnsi="Times New Roman" w:cs="Times New Roman"/>
          <w:sz w:val="24"/>
          <w:szCs w:val="24"/>
          <w:lang w:val="en-US"/>
        </w:rPr>
        <w:t>9 October 2020</w:t>
      </w:r>
    </w:p>
    <w:p w14:paraId="0AFBC7C8" w14:textId="163A7B70" w:rsidR="001D1ECA" w:rsidRPr="00D40D37" w:rsidRDefault="001D1ECA" w:rsidP="00E27833">
      <w:pPr>
        <w:pStyle w:val="ListParagraph"/>
        <w:numPr>
          <w:ilvl w:val="0"/>
          <w:numId w:val="22"/>
        </w:numPr>
        <w:jc w:val="both"/>
        <w:rPr>
          <w:rFonts w:ascii="Times New Roman" w:hAnsi="Times New Roman" w:cs="Times New Roman"/>
          <w:sz w:val="24"/>
          <w:szCs w:val="24"/>
        </w:rPr>
      </w:pPr>
      <w:r w:rsidRPr="001D1ECA">
        <w:rPr>
          <w:rFonts w:ascii="Times New Roman" w:hAnsi="Times New Roman" w:cs="Times New Roman"/>
          <w:sz w:val="24"/>
          <w:szCs w:val="24"/>
        </w:rPr>
        <w:t>Mansell</w:t>
      </w:r>
      <w:r>
        <w:rPr>
          <w:rFonts w:ascii="Times New Roman" w:hAnsi="Times New Roman" w:cs="Times New Roman"/>
          <w:sz w:val="24"/>
          <w:szCs w:val="24"/>
        </w:rPr>
        <w:t>, R.</w:t>
      </w:r>
      <w:r w:rsidRPr="001D1ECA">
        <w:rPr>
          <w:rFonts w:ascii="Times New Roman" w:hAnsi="Times New Roman" w:cs="Times New Roman"/>
          <w:sz w:val="24"/>
          <w:szCs w:val="24"/>
        </w:rPr>
        <w:t xml:space="preserve"> and Steinmueller,</w:t>
      </w:r>
      <w:r>
        <w:rPr>
          <w:rFonts w:ascii="Times New Roman" w:hAnsi="Times New Roman" w:cs="Times New Roman"/>
          <w:sz w:val="24"/>
          <w:szCs w:val="24"/>
        </w:rPr>
        <w:t xml:space="preserve"> </w:t>
      </w:r>
      <w:r w:rsidRPr="001D1ECA">
        <w:rPr>
          <w:rFonts w:ascii="Times New Roman" w:hAnsi="Times New Roman" w:cs="Times New Roman"/>
          <w:sz w:val="24"/>
          <w:szCs w:val="24"/>
        </w:rPr>
        <w:t>W. E</w:t>
      </w:r>
      <w:r>
        <w:rPr>
          <w:rFonts w:ascii="Times New Roman" w:hAnsi="Times New Roman" w:cs="Times New Roman"/>
          <w:sz w:val="24"/>
          <w:szCs w:val="24"/>
        </w:rPr>
        <w:t>.,</w:t>
      </w:r>
      <w:r w:rsidRPr="001D1ECA">
        <w:rPr>
          <w:rFonts w:ascii="Times New Roman" w:hAnsi="Times New Roman" w:cs="Times New Roman"/>
          <w:sz w:val="24"/>
          <w:szCs w:val="24"/>
        </w:rPr>
        <w:t xml:space="preserve"> ‘Intellectual property rights: the development of information infrastructures for the information society’ (A study carried out for the STOA programme of the European Parliament, Final Report, 1995) &lt;http://eprints.lse.ac.uk/24969/&gt; accessed 9 October 2020</w:t>
      </w:r>
    </w:p>
    <w:p w14:paraId="0F13F479"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tr-TR"/>
        </w:rPr>
        <w:t>Marcus</w:t>
      </w:r>
      <w:r>
        <w:rPr>
          <w:rFonts w:ascii="Times New Roman" w:hAnsi="Times New Roman" w:cs="Times New Roman"/>
          <w:sz w:val="24"/>
          <w:szCs w:val="24"/>
          <w:lang w:val="tr-TR"/>
        </w:rPr>
        <w:t>,</w:t>
      </w:r>
      <w:r w:rsidRPr="00D40D37">
        <w:rPr>
          <w:rFonts w:ascii="Times New Roman" w:hAnsi="Times New Roman" w:cs="Times New Roman"/>
          <w:sz w:val="24"/>
          <w:szCs w:val="24"/>
          <w:lang w:val="tr-TR"/>
        </w:rPr>
        <w:t xml:space="preserve"> </w:t>
      </w:r>
      <w:r w:rsidRPr="00D40D37">
        <w:rPr>
          <w:rFonts w:ascii="Times New Roman" w:hAnsi="Times New Roman" w:cs="Times New Roman"/>
          <w:sz w:val="24"/>
          <w:szCs w:val="24"/>
        </w:rPr>
        <w:t>J. S</w:t>
      </w:r>
      <w:r>
        <w:rPr>
          <w:rFonts w:ascii="Times New Roman" w:hAnsi="Times New Roman" w:cs="Times New Roman"/>
          <w:sz w:val="24"/>
          <w:szCs w:val="24"/>
        </w:rPr>
        <w:t>.</w:t>
      </w:r>
      <w:r w:rsidRPr="00D40D37">
        <w:rPr>
          <w:rFonts w:ascii="Times New Roman" w:hAnsi="Times New Roman" w:cs="Times New Roman"/>
          <w:sz w:val="24"/>
          <w:szCs w:val="24"/>
          <w:lang w:val="tr-TR"/>
        </w:rPr>
        <w:t xml:space="preserve"> and Elixmann,</w:t>
      </w:r>
      <w:r>
        <w:rPr>
          <w:rFonts w:ascii="Times New Roman" w:hAnsi="Times New Roman" w:cs="Times New Roman"/>
          <w:sz w:val="24"/>
          <w:szCs w:val="24"/>
          <w:lang w:val="tr-TR"/>
        </w:rPr>
        <w:t xml:space="preserve"> D.</w:t>
      </w:r>
      <w:r w:rsidRPr="00D40D37">
        <w:rPr>
          <w:rFonts w:ascii="Times New Roman" w:hAnsi="Times New Roman" w:cs="Times New Roman"/>
          <w:sz w:val="24"/>
          <w:szCs w:val="24"/>
          <w:lang w:val="tr-TR"/>
        </w:rPr>
        <w:t xml:space="preserve"> ‘Regulatory Approaches to NGNs: An International Comparison’ </w:t>
      </w:r>
      <w:r w:rsidRPr="00D40D37">
        <w:rPr>
          <w:rFonts w:ascii="Times New Roman" w:hAnsi="Times New Roman" w:cs="Times New Roman"/>
          <w:sz w:val="24"/>
          <w:szCs w:val="24"/>
        </w:rPr>
        <w:t xml:space="preserve">[2008] 69, 1st Q Communications &amp; Strategies, </w:t>
      </w:r>
      <w:r>
        <w:rPr>
          <w:rFonts w:ascii="Times New Roman" w:hAnsi="Times New Roman" w:cs="Times New Roman"/>
          <w:sz w:val="24"/>
          <w:szCs w:val="24"/>
        </w:rPr>
        <w:t>19-40</w:t>
      </w:r>
    </w:p>
    <w:p w14:paraId="0B967371"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Marini-Balestra</w:t>
      </w:r>
      <w:r>
        <w:rPr>
          <w:rFonts w:ascii="Times New Roman" w:hAnsi="Times New Roman" w:cs="Times New Roman"/>
          <w:sz w:val="24"/>
          <w:szCs w:val="24"/>
        </w:rPr>
        <w:t>, F.</w:t>
      </w:r>
      <w:r w:rsidRPr="00D40D37">
        <w:rPr>
          <w:rFonts w:ascii="Times New Roman" w:hAnsi="Times New Roman" w:cs="Times New Roman"/>
          <w:sz w:val="24"/>
          <w:szCs w:val="24"/>
        </w:rPr>
        <w:t xml:space="preserve"> and Tremolada,</w:t>
      </w:r>
      <w:r>
        <w:rPr>
          <w:rFonts w:ascii="Times New Roman" w:hAnsi="Times New Roman" w:cs="Times New Roman"/>
          <w:sz w:val="24"/>
          <w:szCs w:val="24"/>
        </w:rPr>
        <w:t xml:space="preserve"> R.</w:t>
      </w:r>
      <w:r w:rsidRPr="00D40D37">
        <w:rPr>
          <w:rFonts w:ascii="Times New Roman" w:hAnsi="Times New Roman" w:cs="Times New Roman"/>
          <w:sz w:val="24"/>
          <w:szCs w:val="24"/>
        </w:rPr>
        <w:t xml:space="preserve"> ‘Digital markets and merger control: balancing big data and privacy against competition law </w:t>
      </w:r>
      <w:r>
        <w:rPr>
          <w:rFonts w:ascii="Times New Roman" w:hAnsi="Times New Roman" w:cs="Times New Roman"/>
          <w:sz w:val="24"/>
          <w:szCs w:val="24"/>
        </w:rPr>
        <w:t>-</w:t>
      </w:r>
      <w:r w:rsidRPr="00D40D37">
        <w:rPr>
          <w:rFonts w:ascii="Times New Roman" w:hAnsi="Times New Roman" w:cs="Times New Roman"/>
          <w:sz w:val="24"/>
          <w:szCs w:val="24"/>
        </w:rPr>
        <w:t xml:space="preserve"> a comment on the European Commission’s decision in the </w:t>
      </w:r>
      <w:r w:rsidRPr="00D40D37">
        <w:rPr>
          <w:rFonts w:ascii="Times New Roman" w:hAnsi="Times New Roman" w:cs="Times New Roman"/>
          <w:i/>
          <w:iCs/>
          <w:sz w:val="24"/>
          <w:szCs w:val="24"/>
        </w:rPr>
        <w:t>Microsoft/LinkedIn</w:t>
      </w:r>
      <w:r w:rsidRPr="00D40D37">
        <w:rPr>
          <w:rFonts w:ascii="Times New Roman" w:hAnsi="Times New Roman" w:cs="Times New Roman"/>
          <w:sz w:val="24"/>
          <w:szCs w:val="24"/>
        </w:rPr>
        <w:t xml:space="preserve"> merger’ [2017] 38(7) European Competition Law Review</w:t>
      </w:r>
      <w:r>
        <w:rPr>
          <w:rFonts w:ascii="Times New Roman" w:hAnsi="Times New Roman" w:cs="Times New Roman"/>
          <w:sz w:val="24"/>
          <w:szCs w:val="24"/>
        </w:rPr>
        <w:t>,</w:t>
      </w:r>
      <w:r w:rsidRPr="00D40D37">
        <w:rPr>
          <w:rFonts w:ascii="Times New Roman" w:hAnsi="Times New Roman" w:cs="Times New Roman"/>
          <w:sz w:val="24"/>
          <w:szCs w:val="24"/>
        </w:rPr>
        <w:t xml:space="preserve"> 337</w:t>
      </w:r>
      <w:r>
        <w:rPr>
          <w:rFonts w:ascii="Times New Roman" w:hAnsi="Times New Roman" w:cs="Times New Roman"/>
          <w:sz w:val="24"/>
          <w:szCs w:val="24"/>
        </w:rPr>
        <w:t>-</w:t>
      </w:r>
      <w:r w:rsidRPr="00D40D37">
        <w:rPr>
          <w:rFonts w:ascii="Times New Roman" w:hAnsi="Times New Roman" w:cs="Times New Roman"/>
          <w:sz w:val="24"/>
          <w:szCs w:val="24"/>
        </w:rPr>
        <w:t>34</w:t>
      </w:r>
      <w:r>
        <w:rPr>
          <w:rFonts w:ascii="Times New Roman" w:hAnsi="Times New Roman" w:cs="Times New Roman"/>
          <w:sz w:val="24"/>
          <w:szCs w:val="24"/>
        </w:rPr>
        <w:t>5</w:t>
      </w:r>
    </w:p>
    <w:p w14:paraId="25D77358"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Markwith, J</w:t>
      </w:r>
      <w:r>
        <w:rPr>
          <w:rFonts w:ascii="Times New Roman" w:hAnsi="Times New Roman" w:cs="Times New Roman"/>
          <w:sz w:val="24"/>
          <w:szCs w:val="24"/>
        </w:rPr>
        <w:t>.</w:t>
      </w:r>
      <w:r w:rsidRPr="00D40D37">
        <w:rPr>
          <w:rFonts w:ascii="Times New Roman" w:hAnsi="Times New Roman" w:cs="Times New Roman"/>
          <w:sz w:val="24"/>
          <w:szCs w:val="24"/>
        </w:rPr>
        <w:t xml:space="preserve"> ‘Key intellectual property issues in acquisitions involving open source software’ [2008] Computer and Telecommunications Law Review</w:t>
      </w:r>
      <w:r>
        <w:rPr>
          <w:rFonts w:ascii="Times New Roman" w:hAnsi="Times New Roman" w:cs="Times New Roman"/>
          <w:sz w:val="24"/>
          <w:szCs w:val="24"/>
        </w:rPr>
        <w:t>,</w:t>
      </w:r>
      <w:r w:rsidRPr="00D40D37">
        <w:rPr>
          <w:rFonts w:ascii="Times New Roman" w:hAnsi="Times New Roman" w:cs="Times New Roman"/>
          <w:sz w:val="24"/>
          <w:szCs w:val="24"/>
        </w:rPr>
        <w:t xml:space="preserve"> 45</w:t>
      </w:r>
      <w:r>
        <w:rPr>
          <w:rFonts w:ascii="Times New Roman" w:hAnsi="Times New Roman" w:cs="Times New Roman"/>
          <w:sz w:val="24"/>
          <w:szCs w:val="24"/>
        </w:rPr>
        <w:t>-49</w:t>
      </w:r>
    </w:p>
    <w:p w14:paraId="5570C0C6"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Mc Taggart, </w:t>
      </w:r>
      <w:r>
        <w:rPr>
          <w:rFonts w:ascii="Times New Roman" w:hAnsi="Times New Roman" w:cs="Times New Roman"/>
          <w:sz w:val="24"/>
          <w:szCs w:val="24"/>
        </w:rPr>
        <w:t>C. ‘</w:t>
      </w:r>
      <w:r w:rsidRPr="00D40D37">
        <w:rPr>
          <w:rFonts w:ascii="Times New Roman" w:hAnsi="Times New Roman" w:cs="Times New Roman"/>
          <w:sz w:val="24"/>
          <w:szCs w:val="24"/>
        </w:rPr>
        <w:t>A Layered Approach to Internet Legal Analysis</w:t>
      </w:r>
      <w:r>
        <w:rPr>
          <w:rFonts w:ascii="Times New Roman" w:hAnsi="Times New Roman" w:cs="Times New Roman"/>
          <w:sz w:val="24"/>
          <w:szCs w:val="24"/>
        </w:rPr>
        <w:t>’,</w:t>
      </w:r>
      <w:r w:rsidRPr="00D40D37">
        <w:rPr>
          <w:rFonts w:ascii="Times New Roman" w:hAnsi="Times New Roman" w:cs="Times New Roman"/>
          <w:sz w:val="24"/>
          <w:szCs w:val="24"/>
        </w:rPr>
        <w:t xml:space="preserve"> [2003] 48 McGill Law Journal</w:t>
      </w:r>
      <w:r>
        <w:rPr>
          <w:rFonts w:ascii="Times New Roman" w:hAnsi="Times New Roman" w:cs="Times New Roman"/>
          <w:sz w:val="24"/>
          <w:szCs w:val="24"/>
        </w:rPr>
        <w:t>,</w:t>
      </w:r>
      <w:r w:rsidRPr="00D40D37">
        <w:rPr>
          <w:rFonts w:ascii="Times New Roman" w:hAnsi="Times New Roman" w:cs="Times New Roman"/>
          <w:sz w:val="24"/>
          <w:szCs w:val="24"/>
        </w:rPr>
        <w:t xml:space="preserve"> 571</w:t>
      </w:r>
      <w:r>
        <w:rPr>
          <w:rFonts w:ascii="Times New Roman" w:hAnsi="Times New Roman" w:cs="Times New Roman"/>
          <w:sz w:val="24"/>
          <w:szCs w:val="24"/>
        </w:rPr>
        <w:t>-625</w:t>
      </w:r>
    </w:p>
    <w:p w14:paraId="61A0428C"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McMahon,</w:t>
      </w:r>
      <w:r>
        <w:rPr>
          <w:rFonts w:ascii="Times New Roman" w:hAnsi="Times New Roman" w:cs="Times New Roman"/>
          <w:sz w:val="24"/>
          <w:szCs w:val="24"/>
        </w:rPr>
        <w:t xml:space="preserve"> K.</w:t>
      </w:r>
      <w:r w:rsidRPr="00D40D37">
        <w:rPr>
          <w:rFonts w:ascii="Times New Roman" w:hAnsi="Times New Roman" w:cs="Times New Roman"/>
          <w:sz w:val="24"/>
          <w:szCs w:val="24"/>
        </w:rPr>
        <w:t xml:space="preserve"> ‘Interoperability: “Indispensability” and “Special Responsibility” in High Technology Markets’ [2007] 9 Tulane Journal of Technology and Intellectual Property</w:t>
      </w:r>
      <w:r>
        <w:rPr>
          <w:rFonts w:ascii="Times New Roman" w:hAnsi="Times New Roman" w:cs="Times New Roman"/>
          <w:sz w:val="24"/>
          <w:szCs w:val="24"/>
        </w:rPr>
        <w:t>,</w:t>
      </w:r>
      <w:r w:rsidRPr="00D40D37">
        <w:rPr>
          <w:rFonts w:ascii="Times New Roman" w:hAnsi="Times New Roman" w:cs="Times New Roman"/>
          <w:sz w:val="24"/>
          <w:szCs w:val="24"/>
        </w:rPr>
        <w:t xml:space="preserve"> 123</w:t>
      </w:r>
      <w:r>
        <w:rPr>
          <w:rFonts w:ascii="Times New Roman" w:hAnsi="Times New Roman" w:cs="Times New Roman"/>
          <w:sz w:val="24"/>
          <w:szCs w:val="24"/>
        </w:rPr>
        <w:t>-172</w:t>
      </w:r>
    </w:p>
    <w:p w14:paraId="5C25CDCC"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Meisel</w:t>
      </w:r>
      <w:r>
        <w:rPr>
          <w:rFonts w:ascii="Times New Roman" w:hAnsi="Times New Roman" w:cs="Times New Roman"/>
          <w:sz w:val="24"/>
          <w:szCs w:val="24"/>
        </w:rPr>
        <w:t>,</w:t>
      </w:r>
      <w:r w:rsidRPr="00D40D37">
        <w:rPr>
          <w:rFonts w:ascii="Times New Roman" w:hAnsi="Times New Roman" w:cs="Times New Roman"/>
          <w:sz w:val="24"/>
          <w:szCs w:val="24"/>
        </w:rPr>
        <w:t xml:space="preserve"> J. B. and</w:t>
      </w:r>
      <w:r>
        <w:rPr>
          <w:rFonts w:ascii="Times New Roman" w:hAnsi="Times New Roman" w:cs="Times New Roman"/>
          <w:sz w:val="24"/>
          <w:szCs w:val="24"/>
        </w:rPr>
        <w:t xml:space="preserve"> </w:t>
      </w:r>
      <w:r w:rsidRPr="00D40D37">
        <w:rPr>
          <w:rFonts w:ascii="Times New Roman" w:hAnsi="Times New Roman" w:cs="Times New Roman"/>
          <w:sz w:val="24"/>
          <w:szCs w:val="24"/>
        </w:rPr>
        <w:t>Needles, M. ‘Voice over internet protocol (VoIP) development and public policy implications’ [2005] 7(3) Info</w:t>
      </w:r>
      <w:r>
        <w:rPr>
          <w:rFonts w:ascii="Times New Roman" w:hAnsi="Times New Roman" w:cs="Times New Roman"/>
          <w:sz w:val="24"/>
          <w:szCs w:val="24"/>
        </w:rPr>
        <w:t>,</w:t>
      </w:r>
      <w:r w:rsidRPr="00D40D37">
        <w:rPr>
          <w:rFonts w:ascii="Times New Roman" w:hAnsi="Times New Roman" w:cs="Times New Roman"/>
          <w:sz w:val="24"/>
          <w:szCs w:val="24"/>
        </w:rPr>
        <w:t xml:space="preserve"> 3-15</w:t>
      </w:r>
    </w:p>
    <w:p w14:paraId="3154FC41"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Mendler,</w:t>
      </w:r>
      <w:r>
        <w:rPr>
          <w:rFonts w:ascii="Times New Roman" w:hAnsi="Times New Roman" w:cs="Times New Roman"/>
          <w:sz w:val="24"/>
          <w:szCs w:val="24"/>
          <w:lang w:val="en-US"/>
        </w:rPr>
        <w:t xml:space="preserve"> C.</w:t>
      </w:r>
      <w:r w:rsidRPr="00D40D37">
        <w:rPr>
          <w:rFonts w:ascii="Times New Roman" w:hAnsi="Times New Roman" w:cs="Times New Roman"/>
          <w:sz w:val="24"/>
          <w:szCs w:val="24"/>
          <w:lang w:val="en-US"/>
        </w:rPr>
        <w:t xml:space="preserve"> </w:t>
      </w:r>
      <w:r w:rsidRPr="00D40D37">
        <w:rPr>
          <w:rFonts w:ascii="Times New Roman" w:hAnsi="Times New Roman" w:cs="Times New Roman"/>
          <w:i/>
          <w:iCs/>
          <w:sz w:val="24"/>
          <w:szCs w:val="24"/>
          <w:lang w:val="en-US"/>
        </w:rPr>
        <w:t>CDNs, the Cloud and Carrier Ethernet: The new golden triangle</w:t>
      </w:r>
      <w:r w:rsidRPr="00D40D37">
        <w:rPr>
          <w:rFonts w:ascii="Times New Roman" w:hAnsi="Times New Roman" w:cs="Times New Roman"/>
          <w:sz w:val="24"/>
          <w:szCs w:val="24"/>
          <w:lang w:val="en-US"/>
        </w:rPr>
        <w:t xml:space="preserve"> (Informa, 2012)</w:t>
      </w:r>
    </w:p>
    <w:p w14:paraId="245E07BB"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Messina,</w:t>
      </w:r>
      <w:r>
        <w:rPr>
          <w:rFonts w:ascii="Times New Roman" w:hAnsi="Times New Roman" w:cs="Times New Roman"/>
          <w:sz w:val="24"/>
          <w:szCs w:val="24"/>
        </w:rPr>
        <w:t xml:space="preserve"> M.</w:t>
      </w:r>
      <w:r w:rsidRPr="00D40D37">
        <w:rPr>
          <w:rFonts w:ascii="Times New Roman" w:hAnsi="Times New Roman" w:cs="Times New Roman"/>
          <w:sz w:val="24"/>
          <w:szCs w:val="24"/>
        </w:rPr>
        <w:t xml:space="preserve"> ‘Article 82 and the New Economy: Need for Modernisation?’ [2006] 2(2) The Competition Law Review</w:t>
      </w:r>
      <w:r>
        <w:rPr>
          <w:rFonts w:ascii="Times New Roman" w:hAnsi="Times New Roman" w:cs="Times New Roman"/>
          <w:sz w:val="24"/>
          <w:szCs w:val="24"/>
        </w:rPr>
        <w:t>,</w:t>
      </w:r>
      <w:r w:rsidRPr="00D40D37">
        <w:rPr>
          <w:rFonts w:ascii="Times New Roman" w:hAnsi="Times New Roman" w:cs="Times New Roman"/>
          <w:sz w:val="24"/>
          <w:szCs w:val="24"/>
        </w:rPr>
        <w:t xml:space="preserve"> 73-98</w:t>
      </w:r>
    </w:p>
    <w:p w14:paraId="465B5AAA"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Miller, L</w:t>
      </w:r>
      <w:r>
        <w:rPr>
          <w:rFonts w:ascii="Times New Roman" w:hAnsi="Times New Roman" w:cs="Times New Roman"/>
          <w:sz w:val="24"/>
          <w:szCs w:val="24"/>
        </w:rPr>
        <w:t>.</w:t>
      </w:r>
      <w:r w:rsidRPr="00D40D37">
        <w:rPr>
          <w:rFonts w:ascii="Times New Roman" w:hAnsi="Times New Roman" w:cs="Times New Roman"/>
          <w:sz w:val="24"/>
          <w:szCs w:val="24"/>
        </w:rPr>
        <w:t xml:space="preserve"> L. ‘The Use of Case Studies in law and Social Science Research’ [2018] 14 Annual Review of Law and Social Science 381</w:t>
      </w:r>
      <w:r>
        <w:rPr>
          <w:rFonts w:ascii="Times New Roman" w:hAnsi="Times New Roman" w:cs="Times New Roman"/>
          <w:sz w:val="24"/>
          <w:szCs w:val="24"/>
        </w:rPr>
        <w:t>-396</w:t>
      </w:r>
    </w:p>
    <w:p w14:paraId="39B1FB68" w14:textId="5F27409F"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Miller, </w:t>
      </w:r>
      <w:r>
        <w:rPr>
          <w:rFonts w:ascii="Times New Roman" w:hAnsi="Times New Roman" w:cs="Times New Roman"/>
          <w:sz w:val="24"/>
          <w:szCs w:val="24"/>
        </w:rPr>
        <w:t xml:space="preserve">R. </w:t>
      </w:r>
      <w:r w:rsidRPr="00D40D37">
        <w:rPr>
          <w:rFonts w:ascii="Times New Roman" w:hAnsi="Times New Roman" w:cs="Times New Roman"/>
          <w:sz w:val="24"/>
          <w:szCs w:val="24"/>
        </w:rPr>
        <w:t xml:space="preserve">‘The OSI Model: An Overview’ (SANS Institute Information Security Reading Room, 2019) </w:t>
      </w:r>
      <w:r w:rsidRPr="00D40D37">
        <w:rPr>
          <w:rFonts w:ascii="Times New Roman" w:hAnsi="Times New Roman" w:cs="Times New Roman"/>
          <w:sz w:val="24"/>
          <w:szCs w:val="24"/>
          <w:lang w:val="tr-TR"/>
        </w:rPr>
        <w:t>˂</w:t>
      </w:r>
      <w:hyperlink r:id="rId49" w:history="1">
        <w:r w:rsidRPr="00D40D37">
          <w:rPr>
            <w:rFonts w:ascii="Times New Roman" w:hAnsi="Times New Roman" w:cs="Times New Roman"/>
            <w:sz w:val="24"/>
            <w:szCs w:val="24"/>
          </w:rPr>
          <w:t>https://www.sans.org/reading-room/whitepapers/standards/osi-model-overview-543</w:t>
        </w:r>
      </w:hyperlink>
      <w:r w:rsidRPr="00D40D37">
        <w:rPr>
          <w:rFonts w:ascii="Times New Roman" w:hAnsi="Times New Roman" w:cs="Times New Roman"/>
          <w:sz w:val="24"/>
          <w:szCs w:val="24"/>
          <w:lang w:val="tr-TR"/>
        </w:rPr>
        <w:t xml:space="preserve">˃ accessed by </w:t>
      </w:r>
      <w:r w:rsidR="00F817B5">
        <w:rPr>
          <w:rFonts w:ascii="Times New Roman" w:hAnsi="Times New Roman" w:cs="Times New Roman"/>
          <w:sz w:val="24"/>
          <w:szCs w:val="24"/>
          <w:lang w:val="tr-TR"/>
        </w:rPr>
        <w:t>9 October 2020</w:t>
      </w:r>
    </w:p>
    <w:p w14:paraId="7C06A1D7"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Mindel</w:t>
      </w:r>
      <w:r>
        <w:rPr>
          <w:rFonts w:ascii="Times New Roman" w:hAnsi="Times New Roman" w:cs="Times New Roman"/>
          <w:sz w:val="24"/>
          <w:szCs w:val="24"/>
        </w:rPr>
        <w:t>,</w:t>
      </w:r>
      <w:r w:rsidRPr="00D40D37">
        <w:rPr>
          <w:rFonts w:ascii="Times New Roman" w:hAnsi="Times New Roman" w:cs="Times New Roman"/>
          <w:sz w:val="24"/>
          <w:szCs w:val="24"/>
        </w:rPr>
        <w:t xml:space="preserve"> J. L.</w:t>
      </w:r>
      <w:r>
        <w:rPr>
          <w:rFonts w:ascii="Times New Roman" w:hAnsi="Times New Roman" w:cs="Times New Roman"/>
          <w:sz w:val="24"/>
          <w:szCs w:val="24"/>
        </w:rPr>
        <w:t xml:space="preserve"> </w:t>
      </w:r>
      <w:r w:rsidRPr="00D40D37">
        <w:rPr>
          <w:rFonts w:ascii="Times New Roman" w:hAnsi="Times New Roman" w:cs="Times New Roman"/>
          <w:sz w:val="24"/>
          <w:szCs w:val="24"/>
        </w:rPr>
        <w:t>and Sicker, D. C. ‘Leveraging the EU regulatory framework to improve a layered policy model for US telecommunications markets’ [2006] 30 Telecommunications Policy</w:t>
      </w:r>
      <w:r>
        <w:rPr>
          <w:rFonts w:ascii="Times New Roman" w:hAnsi="Times New Roman" w:cs="Times New Roman"/>
          <w:sz w:val="24"/>
          <w:szCs w:val="24"/>
        </w:rPr>
        <w:t>,</w:t>
      </w:r>
      <w:r w:rsidRPr="00D40D37">
        <w:rPr>
          <w:rFonts w:ascii="Times New Roman" w:hAnsi="Times New Roman" w:cs="Times New Roman"/>
          <w:sz w:val="24"/>
          <w:szCs w:val="24"/>
        </w:rPr>
        <w:t xml:space="preserve"> 136-148</w:t>
      </w:r>
    </w:p>
    <w:p w14:paraId="257BA5E0" w14:textId="6BA14331"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Mintzer</w:t>
      </w:r>
      <w:r>
        <w:rPr>
          <w:rFonts w:ascii="Times New Roman" w:hAnsi="Times New Roman" w:cs="Times New Roman"/>
          <w:sz w:val="24"/>
          <w:szCs w:val="24"/>
        </w:rPr>
        <w:t>,</w:t>
      </w:r>
      <w:r w:rsidRPr="00D40D37">
        <w:rPr>
          <w:rFonts w:ascii="Times New Roman" w:hAnsi="Times New Roman" w:cs="Times New Roman"/>
          <w:sz w:val="24"/>
          <w:szCs w:val="24"/>
        </w:rPr>
        <w:t xml:space="preserve"> E</w:t>
      </w:r>
      <w:r>
        <w:rPr>
          <w:rFonts w:ascii="Times New Roman" w:hAnsi="Times New Roman" w:cs="Times New Roman"/>
          <w:sz w:val="24"/>
          <w:szCs w:val="24"/>
        </w:rPr>
        <w:t>.</w:t>
      </w:r>
      <w:r w:rsidRPr="00D40D37">
        <w:rPr>
          <w:rFonts w:ascii="Times New Roman" w:hAnsi="Times New Roman" w:cs="Times New Roman"/>
          <w:sz w:val="24"/>
          <w:szCs w:val="24"/>
        </w:rPr>
        <w:t xml:space="preserve"> S.</w:t>
      </w:r>
      <w:r>
        <w:rPr>
          <w:rFonts w:ascii="Times New Roman" w:hAnsi="Times New Roman" w:cs="Times New Roman"/>
          <w:sz w:val="24"/>
          <w:szCs w:val="24"/>
        </w:rPr>
        <w:t xml:space="preserve"> </w:t>
      </w:r>
      <w:r w:rsidRPr="00D40D37">
        <w:rPr>
          <w:rFonts w:ascii="Times New Roman" w:hAnsi="Times New Roman" w:cs="Times New Roman"/>
          <w:sz w:val="24"/>
          <w:szCs w:val="24"/>
        </w:rPr>
        <w:t>and Breed, L</w:t>
      </w:r>
      <w:r>
        <w:rPr>
          <w:rFonts w:ascii="Times New Roman" w:hAnsi="Times New Roman" w:cs="Times New Roman"/>
          <w:sz w:val="24"/>
          <w:szCs w:val="24"/>
        </w:rPr>
        <w:t>.</w:t>
      </w:r>
      <w:r w:rsidRPr="00D40D37">
        <w:rPr>
          <w:rFonts w:ascii="Times New Roman" w:hAnsi="Times New Roman" w:cs="Times New Roman"/>
          <w:sz w:val="24"/>
          <w:szCs w:val="24"/>
        </w:rPr>
        <w:t xml:space="preserve"> M. ‘How to Keep the Fox Out of the Henhouse: Monopolization in the Context of Standards-Setting Organizations’ [2007] 19(9) Intellectual Property &amp; Technology Law Journal</w:t>
      </w:r>
      <w:r>
        <w:rPr>
          <w:rFonts w:ascii="Times New Roman" w:hAnsi="Times New Roman" w:cs="Times New Roman"/>
          <w:sz w:val="24"/>
          <w:szCs w:val="24"/>
        </w:rPr>
        <w:t>,</w:t>
      </w:r>
      <w:r w:rsidRPr="00D40D37">
        <w:rPr>
          <w:rFonts w:ascii="Times New Roman" w:hAnsi="Times New Roman" w:cs="Times New Roman"/>
          <w:sz w:val="24"/>
          <w:szCs w:val="24"/>
        </w:rPr>
        <w:t xml:space="preserve"> 5</w:t>
      </w:r>
      <w:r>
        <w:rPr>
          <w:rFonts w:ascii="Times New Roman" w:hAnsi="Times New Roman" w:cs="Times New Roman"/>
          <w:sz w:val="24"/>
          <w:szCs w:val="24"/>
        </w:rPr>
        <w:t>-12</w:t>
      </w:r>
    </w:p>
    <w:p w14:paraId="249BA424" w14:textId="5DC37043" w:rsidR="00E2707D" w:rsidRPr="00692824" w:rsidRDefault="00E2707D">
      <w:pPr>
        <w:pStyle w:val="ListParagraph"/>
        <w:numPr>
          <w:ilvl w:val="0"/>
          <w:numId w:val="22"/>
        </w:numPr>
        <w:jc w:val="both"/>
        <w:rPr>
          <w:rFonts w:ascii="Times New Roman" w:hAnsi="Times New Roman"/>
          <w:sz w:val="24"/>
          <w:szCs w:val="24"/>
        </w:rPr>
      </w:pPr>
      <w:r w:rsidRPr="007269B5">
        <w:rPr>
          <w:rFonts w:ascii="Times New Roman" w:hAnsi="Times New Roman"/>
          <w:sz w:val="24"/>
          <w:szCs w:val="24"/>
        </w:rPr>
        <w:t>Mittelstadt</w:t>
      </w:r>
      <w:r>
        <w:rPr>
          <w:rFonts w:ascii="Times New Roman" w:hAnsi="Times New Roman"/>
          <w:sz w:val="24"/>
          <w:szCs w:val="24"/>
        </w:rPr>
        <w:t>, B. D.,</w:t>
      </w:r>
      <w:r w:rsidRPr="007269B5">
        <w:rPr>
          <w:rFonts w:ascii="Times New Roman" w:hAnsi="Times New Roman"/>
          <w:sz w:val="24"/>
          <w:szCs w:val="24"/>
        </w:rPr>
        <w:t xml:space="preserve"> et al</w:t>
      </w:r>
      <w:r>
        <w:rPr>
          <w:rFonts w:ascii="Times New Roman" w:hAnsi="Times New Roman"/>
          <w:sz w:val="24"/>
          <w:szCs w:val="24"/>
        </w:rPr>
        <w:t>,</w:t>
      </w:r>
      <w:r w:rsidRPr="007269B5">
        <w:rPr>
          <w:rFonts w:ascii="Times New Roman" w:hAnsi="Times New Roman"/>
          <w:sz w:val="24"/>
          <w:szCs w:val="24"/>
        </w:rPr>
        <w:t xml:space="preserve"> ‘The ethics of algorithms: Mapping the debate’ July-December 2016, Big Data &amp; Society, </w:t>
      </w:r>
      <w:r>
        <w:rPr>
          <w:rFonts w:ascii="Times New Roman" w:hAnsi="Times New Roman"/>
          <w:sz w:val="24"/>
          <w:szCs w:val="24"/>
        </w:rPr>
        <w:t>1-21</w:t>
      </w:r>
    </w:p>
    <w:p w14:paraId="13974417"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National Institute for Standards and Technology (NIST), US Department of Commerce, The NIST Definition of Cloud Computing (Recommendations of the National Institute for Standards and Technology, Special publication 800-145</w:t>
      </w:r>
      <w:r>
        <w:rPr>
          <w:rFonts w:ascii="Times New Roman" w:hAnsi="Times New Roman" w:cs="Times New Roman"/>
          <w:sz w:val="24"/>
          <w:szCs w:val="24"/>
        </w:rPr>
        <w:t>,</w:t>
      </w:r>
      <w:r w:rsidRPr="00D40D37">
        <w:rPr>
          <w:rFonts w:ascii="Times New Roman" w:hAnsi="Times New Roman" w:cs="Times New Roman"/>
          <w:sz w:val="24"/>
          <w:szCs w:val="24"/>
        </w:rPr>
        <w:t xml:space="preserve"> 2011</w:t>
      </w:r>
      <w:r>
        <w:rPr>
          <w:rFonts w:ascii="Times New Roman" w:hAnsi="Times New Roman" w:cs="Times New Roman"/>
          <w:sz w:val="24"/>
          <w:szCs w:val="24"/>
        </w:rPr>
        <w:t>)</w:t>
      </w:r>
    </w:p>
    <w:p w14:paraId="2D1BE54C"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Ni</w:t>
      </w:r>
      <w:r>
        <w:rPr>
          <w:rFonts w:ascii="Times New Roman" w:hAnsi="Times New Roman" w:cs="Times New Roman"/>
          <w:sz w:val="24"/>
          <w:szCs w:val="24"/>
        </w:rPr>
        <w:t>k</w:t>
      </w:r>
      <w:r w:rsidRPr="00D40D37">
        <w:rPr>
          <w:rFonts w:ascii="Times New Roman" w:hAnsi="Times New Roman" w:cs="Times New Roman"/>
          <w:sz w:val="24"/>
          <w:szCs w:val="24"/>
        </w:rPr>
        <w:t>olinakos</w:t>
      </w:r>
      <w:r>
        <w:rPr>
          <w:rFonts w:ascii="Times New Roman" w:hAnsi="Times New Roman" w:cs="Times New Roman"/>
          <w:sz w:val="24"/>
          <w:szCs w:val="24"/>
        </w:rPr>
        <w:t>,</w:t>
      </w:r>
      <w:r w:rsidRPr="00D40D37">
        <w:rPr>
          <w:rFonts w:ascii="Times New Roman" w:hAnsi="Times New Roman" w:cs="Times New Roman"/>
          <w:sz w:val="24"/>
          <w:szCs w:val="24"/>
        </w:rPr>
        <w:t xml:space="preserve"> N</w:t>
      </w:r>
      <w:r>
        <w:rPr>
          <w:rFonts w:ascii="Times New Roman" w:hAnsi="Times New Roman" w:cs="Times New Roman"/>
          <w:sz w:val="24"/>
          <w:szCs w:val="24"/>
        </w:rPr>
        <w:t>.</w:t>
      </w:r>
      <w:r w:rsidRPr="00D40D37">
        <w:rPr>
          <w:rFonts w:ascii="Times New Roman" w:hAnsi="Times New Roman" w:cs="Times New Roman"/>
          <w:sz w:val="24"/>
          <w:szCs w:val="24"/>
        </w:rPr>
        <w:t xml:space="preserve"> ‘The New Legal Framework for Digital Gateways-The Complementary Nature of Competition Law and Sector-Specific Regulation’ [2000] 9 European Competition Law Review</w:t>
      </w:r>
      <w:r>
        <w:rPr>
          <w:rFonts w:ascii="Times New Roman" w:hAnsi="Times New Roman" w:cs="Times New Roman"/>
          <w:sz w:val="24"/>
          <w:szCs w:val="24"/>
        </w:rPr>
        <w:t>,</w:t>
      </w:r>
      <w:r w:rsidRPr="00D40D37">
        <w:rPr>
          <w:rFonts w:ascii="Times New Roman" w:hAnsi="Times New Roman" w:cs="Times New Roman"/>
          <w:sz w:val="24"/>
          <w:szCs w:val="24"/>
        </w:rPr>
        <w:t xml:space="preserve"> 408-414</w:t>
      </w:r>
    </w:p>
    <w:p w14:paraId="22385E44"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Noura,</w:t>
      </w:r>
      <w:r>
        <w:rPr>
          <w:rFonts w:ascii="Times New Roman" w:hAnsi="Times New Roman" w:cs="Times New Roman"/>
          <w:sz w:val="24"/>
          <w:szCs w:val="24"/>
        </w:rPr>
        <w:t xml:space="preserve"> M.,</w:t>
      </w:r>
      <w:r w:rsidRPr="00D40D37">
        <w:rPr>
          <w:rFonts w:ascii="Times New Roman" w:hAnsi="Times New Roman" w:cs="Times New Roman"/>
          <w:sz w:val="24"/>
          <w:szCs w:val="24"/>
        </w:rPr>
        <w:t xml:space="preserve"> Atiquzzaman</w:t>
      </w:r>
      <w:r>
        <w:rPr>
          <w:rFonts w:ascii="Times New Roman" w:hAnsi="Times New Roman" w:cs="Times New Roman"/>
          <w:sz w:val="24"/>
          <w:szCs w:val="24"/>
        </w:rPr>
        <w:t>, M.</w:t>
      </w:r>
      <w:r w:rsidRPr="00D40D37">
        <w:rPr>
          <w:rFonts w:ascii="Times New Roman" w:hAnsi="Times New Roman" w:cs="Times New Roman"/>
          <w:sz w:val="24"/>
          <w:szCs w:val="24"/>
        </w:rPr>
        <w:t xml:space="preserve"> and Gaedke,</w:t>
      </w:r>
      <w:r>
        <w:rPr>
          <w:rFonts w:ascii="Times New Roman" w:hAnsi="Times New Roman" w:cs="Times New Roman"/>
          <w:sz w:val="24"/>
          <w:szCs w:val="24"/>
        </w:rPr>
        <w:t xml:space="preserve"> M.</w:t>
      </w:r>
      <w:r w:rsidRPr="00D40D37">
        <w:rPr>
          <w:rFonts w:ascii="Times New Roman" w:hAnsi="Times New Roman" w:cs="Times New Roman"/>
          <w:sz w:val="24"/>
          <w:szCs w:val="24"/>
        </w:rPr>
        <w:t xml:space="preserve"> </w:t>
      </w:r>
      <w:r>
        <w:rPr>
          <w:rFonts w:ascii="Times New Roman" w:hAnsi="Times New Roman" w:cs="Times New Roman"/>
          <w:sz w:val="24"/>
          <w:szCs w:val="24"/>
        </w:rPr>
        <w:t>‘</w:t>
      </w:r>
      <w:r w:rsidRPr="00D40D37">
        <w:rPr>
          <w:rFonts w:ascii="Times New Roman" w:hAnsi="Times New Roman" w:cs="Times New Roman"/>
          <w:sz w:val="24"/>
          <w:szCs w:val="24"/>
        </w:rPr>
        <w:t>Interoperability in Internet of Things: Taxonomies and Open Challenges</w:t>
      </w:r>
      <w:r>
        <w:rPr>
          <w:rFonts w:ascii="Times New Roman" w:hAnsi="Times New Roman" w:cs="Times New Roman"/>
          <w:sz w:val="24"/>
          <w:szCs w:val="24"/>
        </w:rPr>
        <w:t>’</w:t>
      </w:r>
      <w:r w:rsidRPr="00D40D37">
        <w:rPr>
          <w:rFonts w:ascii="Times New Roman" w:hAnsi="Times New Roman" w:cs="Times New Roman"/>
          <w:sz w:val="24"/>
          <w:szCs w:val="24"/>
        </w:rPr>
        <w:t xml:space="preserve"> [2019] 24 Mobile Networks and Applications, 796-809</w:t>
      </w:r>
    </w:p>
    <w:p w14:paraId="67851F62"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Ocho</w:t>
      </w:r>
      <w:r>
        <w:rPr>
          <w:rFonts w:ascii="Times New Roman" w:hAnsi="Times New Roman" w:cs="Times New Roman"/>
          <w:sz w:val="24"/>
          <w:szCs w:val="24"/>
        </w:rPr>
        <w:t>, R. E.</w:t>
      </w:r>
      <w:r w:rsidRPr="00D40D37">
        <w:rPr>
          <w:rFonts w:ascii="Times New Roman" w:hAnsi="Times New Roman" w:cs="Times New Roman"/>
          <w:sz w:val="24"/>
          <w:szCs w:val="24"/>
          <w:lang w:val="en-US"/>
        </w:rPr>
        <w:t xml:space="preserve"> ‘Architectural evolution through softwarisation: On the advent of software-defined networks’ (PhD Thesis, The London School of Economics and Political Science, 2016)</w:t>
      </w:r>
    </w:p>
    <w:p w14:paraId="7911D3C8" w14:textId="7FE6FE88"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tr-TR"/>
        </w:rPr>
        <w:t xml:space="preserve">OECD, </w:t>
      </w:r>
      <w:r w:rsidRPr="00D40D37">
        <w:rPr>
          <w:rFonts w:ascii="Times New Roman" w:hAnsi="Times New Roman" w:cs="Times New Roman"/>
          <w:i/>
          <w:iCs/>
          <w:sz w:val="24"/>
          <w:szCs w:val="24"/>
          <w:lang w:val="tr-TR"/>
        </w:rPr>
        <w:t>Communications Outlook 2013</w:t>
      </w:r>
      <w:r w:rsidRPr="00D40D37">
        <w:rPr>
          <w:rFonts w:ascii="Times New Roman" w:hAnsi="Times New Roman" w:cs="Times New Roman"/>
          <w:sz w:val="24"/>
          <w:szCs w:val="24"/>
          <w:lang w:val="tr-TR"/>
        </w:rPr>
        <w:t xml:space="preserve"> (2013) </w:t>
      </w:r>
      <w:r w:rsidRPr="00D40D37">
        <w:rPr>
          <w:rFonts w:ascii="Times New Roman" w:hAnsi="Times New Roman" w:cs="Times New Roman"/>
          <w:sz w:val="24"/>
          <w:szCs w:val="24"/>
        </w:rPr>
        <w:t>˂http://www.oecd.org/sti/broadband/oecd-communications-outlook-19991460.htm</w:t>
      </w:r>
      <w:r w:rsidRPr="00D40D37">
        <w:rPr>
          <w:rFonts w:ascii="Times New Roman" w:hAnsi="Times New Roman" w:cs="Times New Roman"/>
          <w:sz w:val="24"/>
          <w:szCs w:val="24"/>
          <w:lang w:val="tr-TR"/>
        </w:rPr>
        <w:t xml:space="preserve">˃ accessed </w:t>
      </w:r>
      <w:r w:rsidR="00F817B5">
        <w:rPr>
          <w:rFonts w:ascii="Times New Roman" w:hAnsi="Times New Roman" w:cs="Times New Roman"/>
          <w:sz w:val="24"/>
          <w:szCs w:val="24"/>
          <w:lang w:val="tr-TR"/>
        </w:rPr>
        <w:t>9 October 2020</w:t>
      </w:r>
    </w:p>
    <w:p w14:paraId="3BF6900D"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 xml:space="preserve">OECD, </w:t>
      </w:r>
      <w:r w:rsidRPr="00D40D37">
        <w:rPr>
          <w:rFonts w:ascii="Times New Roman" w:hAnsi="Times New Roman" w:cs="Times New Roman"/>
          <w:i/>
          <w:sz w:val="24"/>
          <w:szCs w:val="24"/>
        </w:rPr>
        <w:t>The Internet of Things: Seizing the benefits and Addressing the Challenges</w:t>
      </w:r>
      <w:r w:rsidRPr="00D40D37">
        <w:rPr>
          <w:rFonts w:ascii="Times New Roman" w:hAnsi="Times New Roman" w:cs="Times New Roman"/>
          <w:sz w:val="24"/>
          <w:szCs w:val="24"/>
        </w:rPr>
        <w:t xml:space="preserve"> (Background report for Ministerial Panel 2.2, 2016)</w:t>
      </w:r>
    </w:p>
    <w:p w14:paraId="7D0107E1"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Oen, H</w:t>
      </w:r>
      <w:r>
        <w:rPr>
          <w:rFonts w:ascii="Times New Roman" w:hAnsi="Times New Roman" w:cs="Times New Roman"/>
          <w:sz w:val="24"/>
          <w:szCs w:val="24"/>
        </w:rPr>
        <w:t>.</w:t>
      </w:r>
      <w:r w:rsidRPr="00D40D37">
        <w:rPr>
          <w:rFonts w:ascii="Times New Roman" w:hAnsi="Times New Roman" w:cs="Times New Roman"/>
          <w:sz w:val="24"/>
          <w:szCs w:val="24"/>
        </w:rPr>
        <w:t xml:space="preserve"> M</w:t>
      </w:r>
      <w:r>
        <w:rPr>
          <w:rFonts w:ascii="Times New Roman" w:hAnsi="Times New Roman" w:cs="Times New Roman"/>
          <w:sz w:val="24"/>
          <w:szCs w:val="24"/>
        </w:rPr>
        <w:t>.</w:t>
      </w:r>
      <w:r w:rsidRPr="00D40D37">
        <w:rPr>
          <w:rFonts w:ascii="Times New Roman" w:hAnsi="Times New Roman" w:cs="Times New Roman"/>
          <w:sz w:val="24"/>
          <w:szCs w:val="24"/>
        </w:rPr>
        <w:t xml:space="preserve"> ‘Interoperability at the Application Layer in the Internet of Things’ (MSc Thesis, Norwegian University of Science and Technology 2015)</w:t>
      </w:r>
    </w:p>
    <w:p w14:paraId="4BF85199" w14:textId="2F61EA40" w:rsidR="00E2707D" w:rsidRPr="00692824" w:rsidRDefault="00E2707D" w:rsidP="00E27833">
      <w:pPr>
        <w:pStyle w:val="ListParagraph"/>
        <w:numPr>
          <w:ilvl w:val="0"/>
          <w:numId w:val="22"/>
        </w:numPr>
        <w:jc w:val="both"/>
        <w:rPr>
          <w:rFonts w:ascii="Times New Roman" w:hAnsi="Times New Roman" w:cs="Times New Roman"/>
          <w:sz w:val="24"/>
          <w:szCs w:val="24"/>
        </w:rPr>
      </w:pPr>
      <w:r w:rsidRPr="00681B91">
        <w:rPr>
          <w:rFonts w:ascii="Times New Roman" w:hAnsi="Times New Roman"/>
          <w:sz w:val="24"/>
          <w:szCs w:val="24"/>
        </w:rPr>
        <w:t>Olhede</w:t>
      </w:r>
      <w:r>
        <w:rPr>
          <w:rFonts w:ascii="Times New Roman" w:hAnsi="Times New Roman"/>
          <w:sz w:val="24"/>
          <w:szCs w:val="24"/>
        </w:rPr>
        <w:t xml:space="preserve">, </w:t>
      </w:r>
      <w:r w:rsidRPr="00681B91">
        <w:rPr>
          <w:rFonts w:ascii="Times New Roman" w:hAnsi="Times New Roman"/>
          <w:sz w:val="24"/>
          <w:szCs w:val="24"/>
        </w:rPr>
        <w:t>S. C. and Wolfe,</w:t>
      </w:r>
      <w:r>
        <w:rPr>
          <w:rFonts w:ascii="Times New Roman" w:hAnsi="Times New Roman"/>
          <w:sz w:val="24"/>
          <w:szCs w:val="24"/>
        </w:rPr>
        <w:t xml:space="preserve"> </w:t>
      </w:r>
      <w:r w:rsidRPr="00681B91">
        <w:rPr>
          <w:rFonts w:ascii="Times New Roman" w:hAnsi="Times New Roman"/>
          <w:sz w:val="24"/>
          <w:szCs w:val="24"/>
        </w:rPr>
        <w:t>P. J.</w:t>
      </w:r>
      <w:r>
        <w:rPr>
          <w:rFonts w:ascii="Times New Roman" w:hAnsi="Times New Roman"/>
          <w:sz w:val="24"/>
          <w:szCs w:val="24"/>
        </w:rPr>
        <w:t>,</w:t>
      </w:r>
      <w:r w:rsidRPr="00681B91">
        <w:rPr>
          <w:rFonts w:ascii="Times New Roman" w:hAnsi="Times New Roman"/>
          <w:sz w:val="24"/>
          <w:szCs w:val="24"/>
        </w:rPr>
        <w:t xml:space="preserve"> ‘The algorithms ubiquity of algorithms in society: implications, impacts and innovations’ </w:t>
      </w:r>
      <w:r>
        <w:rPr>
          <w:rFonts w:ascii="Times New Roman" w:hAnsi="Times New Roman"/>
          <w:sz w:val="24"/>
          <w:szCs w:val="24"/>
        </w:rPr>
        <w:t xml:space="preserve">(2018) The </w:t>
      </w:r>
      <w:r w:rsidRPr="00681B91">
        <w:rPr>
          <w:rFonts w:ascii="Times New Roman" w:hAnsi="Times New Roman"/>
          <w:sz w:val="24"/>
          <w:szCs w:val="24"/>
        </w:rPr>
        <w:t>Royal Society</w:t>
      </w:r>
      <w:r>
        <w:rPr>
          <w:rFonts w:ascii="Times New Roman" w:hAnsi="Times New Roman"/>
          <w:sz w:val="24"/>
          <w:szCs w:val="24"/>
        </w:rPr>
        <w:t xml:space="preserve"> Publishing</w:t>
      </w:r>
      <w:r w:rsidRPr="00681B91">
        <w:rPr>
          <w:rFonts w:ascii="Times New Roman" w:hAnsi="Times New Roman"/>
          <w:sz w:val="24"/>
          <w:szCs w:val="24"/>
        </w:rPr>
        <w:t xml:space="preserve"> &lt;https://dx.doi.org/10.1098/rsta.2017.0364&gt; accessed </w:t>
      </w:r>
      <w:r>
        <w:rPr>
          <w:rFonts w:ascii="Times New Roman" w:hAnsi="Times New Roman"/>
          <w:sz w:val="24"/>
          <w:szCs w:val="24"/>
        </w:rPr>
        <w:t>9 October</w:t>
      </w:r>
      <w:r w:rsidRPr="00681B91">
        <w:rPr>
          <w:rFonts w:ascii="Times New Roman" w:hAnsi="Times New Roman"/>
          <w:sz w:val="24"/>
          <w:szCs w:val="24"/>
        </w:rPr>
        <w:t xml:space="preserve"> 2020.</w:t>
      </w:r>
    </w:p>
    <w:p w14:paraId="2B9835AE" w14:textId="5BBFA163"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Open Connectivity Foundation, 10 October 2016 &lt;https://openconnectivity.org/announcements/allseen-alliance-merges-open-connectivity-foundation-accelerate-internet-things&gt; accessed </w:t>
      </w:r>
      <w:r w:rsidR="00F817B5">
        <w:rPr>
          <w:rFonts w:ascii="Times New Roman" w:hAnsi="Times New Roman" w:cs="Times New Roman"/>
          <w:sz w:val="24"/>
          <w:szCs w:val="24"/>
          <w:lang w:val="en-US"/>
        </w:rPr>
        <w:t>9 October 2020</w:t>
      </w:r>
    </w:p>
    <w:p w14:paraId="09502044"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Otero, B</w:t>
      </w:r>
      <w:r>
        <w:rPr>
          <w:rFonts w:ascii="Times New Roman" w:hAnsi="Times New Roman" w:cs="Times New Roman"/>
          <w:sz w:val="24"/>
          <w:szCs w:val="24"/>
        </w:rPr>
        <w:t>.</w:t>
      </w:r>
      <w:r w:rsidRPr="00D40D37">
        <w:rPr>
          <w:rFonts w:ascii="Times New Roman" w:hAnsi="Times New Roman" w:cs="Times New Roman"/>
          <w:sz w:val="24"/>
          <w:szCs w:val="24"/>
        </w:rPr>
        <w:t xml:space="preserve"> G</w:t>
      </w:r>
      <w:r>
        <w:rPr>
          <w:rFonts w:ascii="Times New Roman" w:hAnsi="Times New Roman" w:cs="Times New Roman"/>
          <w:sz w:val="24"/>
          <w:szCs w:val="24"/>
        </w:rPr>
        <w:t>.</w:t>
      </w:r>
      <w:r w:rsidRPr="00D40D37">
        <w:rPr>
          <w:rFonts w:ascii="Times New Roman" w:hAnsi="Times New Roman" w:cs="Times New Roman"/>
          <w:sz w:val="24"/>
          <w:szCs w:val="24"/>
        </w:rPr>
        <w:t xml:space="preserve"> ‘Mandating Portability as a Strategy to Achieve Interoperability between On-line Platforms: Pros &amp; Cons’, Proceedings of the 12th International Conference on Internet, Law &amp; Politics (Universitat Oberta de Catalunya, Barcelona, 7-8 July 2016) 217-233</w:t>
      </w:r>
    </w:p>
    <w:p w14:paraId="61F29230" w14:textId="619F4813"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Oxford Dictionaries</w:t>
      </w:r>
      <w:r>
        <w:rPr>
          <w:rFonts w:ascii="Times New Roman" w:hAnsi="Times New Roman" w:cs="Times New Roman"/>
          <w:sz w:val="24"/>
          <w:szCs w:val="24"/>
        </w:rPr>
        <w:t>, ‘</w:t>
      </w:r>
      <w:r w:rsidRPr="00461B41">
        <w:rPr>
          <w:rFonts w:ascii="Times New Roman" w:hAnsi="Times New Roman" w:cs="Times New Roman"/>
          <w:sz w:val="24"/>
          <w:szCs w:val="24"/>
        </w:rPr>
        <w:t>Definition of interoperability in English</w:t>
      </w:r>
      <w:r>
        <w:rPr>
          <w:rFonts w:ascii="Times New Roman" w:hAnsi="Times New Roman" w:cs="Times New Roman"/>
          <w:sz w:val="24"/>
          <w:szCs w:val="24"/>
        </w:rPr>
        <w:t>’</w:t>
      </w:r>
      <w:r w:rsidRPr="00D40D37">
        <w:rPr>
          <w:rFonts w:ascii="Times New Roman" w:hAnsi="Times New Roman" w:cs="Times New Roman"/>
          <w:sz w:val="24"/>
          <w:szCs w:val="24"/>
        </w:rPr>
        <w:t xml:space="preserve"> &lt;</w:t>
      </w:r>
      <w:hyperlink r:id="rId50" w:history="1">
        <w:r w:rsidRPr="00D40D37">
          <w:rPr>
            <w:rFonts w:ascii="Times New Roman" w:hAnsi="Times New Roman" w:cs="Times New Roman"/>
            <w:sz w:val="24"/>
            <w:szCs w:val="24"/>
          </w:rPr>
          <w:t>https://en.oxforddictionaries.com/definition/interoperability</w:t>
        </w:r>
      </w:hyperlink>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31DF3233" w14:textId="369CFD6F"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Palfrey</w:t>
      </w:r>
      <w:r>
        <w:rPr>
          <w:rFonts w:ascii="Times New Roman" w:hAnsi="Times New Roman" w:cs="Times New Roman"/>
          <w:sz w:val="24"/>
          <w:szCs w:val="24"/>
        </w:rPr>
        <w:t>, J</w:t>
      </w:r>
      <w:r w:rsidRPr="00D40D37">
        <w:rPr>
          <w:rFonts w:ascii="Times New Roman" w:hAnsi="Times New Roman" w:cs="Times New Roman"/>
          <w:sz w:val="24"/>
          <w:szCs w:val="24"/>
        </w:rPr>
        <w:t xml:space="preserve"> and Gasser,</w:t>
      </w:r>
      <w:r>
        <w:rPr>
          <w:rFonts w:ascii="Times New Roman" w:hAnsi="Times New Roman" w:cs="Times New Roman"/>
          <w:sz w:val="24"/>
          <w:szCs w:val="24"/>
        </w:rPr>
        <w:t xml:space="preserve"> U.</w:t>
      </w:r>
      <w:r w:rsidRPr="00D40D37">
        <w:rPr>
          <w:rFonts w:ascii="Times New Roman" w:hAnsi="Times New Roman" w:cs="Times New Roman"/>
          <w:sz w:val="24"/>
          <w:szCs w:val="24"/>
        </w:rPr>
        <w:t xml:space="preserve"> ‘Fostering innovation and trade in the global information society: The different facets and roles of interoperability’ (2011) NCCR Trade Regulation Working Paper No. 2011/39 &lt;https://www.wti.org/media/filer_public/f7/a7/f7a7ae35-d43a-4e82-8cef-4ca26b7bb778/gasser_and_palfrey_final.pdf&gt; accessed </w:t>
      </w:r>
      <w:r w:rsidR="00F817B5">
        <w:rPr>
          <w:rFonts w:ascii="Times New Roman" w:hAnsi="Times New Roman" w:cs="Times New Roman"/>
          <w:sz w:val="24"/>
          <w:szCs w:val="24"/>
        </w:rPr>
        <w:t>9 October 2020</w:t>
      </w:r>
    </w:p>
    <w:p w14:paraId="5A95A48B"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Peitz</w:t>
      </w:r>
      <w:r>
        <w:rPr>
          <w:rFonts w:ascii="Times New Roman" w:hAnsi="Times New Roman" w:cs="Times New Roman"/>
          <w:sz w:val="24"/>
          <w:szCs w:val="24"/>
        </w:rPr>
        <w:t>, M.</w:t>
      </w:r>
      <w:r w:rsidRPr="00D40D37">
        <w:rPr>
          <w:rFonts w:ascii="Times New Roman" w:hAnsi="Times New Roman" w:cs="Times New Roman"/>
          <w:sz w:val="24"/>
          <w:szCs w:val="24"/>
        </w:rPr>
        <w:t xml:space="preserve"> and Valletti</w:t>
      </w:r>
      <w:r>
        <w:rPr>
          <w:rFonts w:ascii="Times New Roman" w:hAnsi="Times New Roman" w:cs="Times New Roman"/>
          <w:sz w:val="24"/>
          <w:szCs w:val="24"/>
        </w:rPr>
        <w:t>, T.</w:t>
      </w:r>
      <w:r w:rsidRPr="00D40D37">
        <w:rPr>
          <w:rFonts w:ascii="Times New Roman" w:hAnsi="Times New Roman" w:cs="Times New Roman"/>
          <w:sz w:val="24"/>
          <w:szCs w:val="24"/>
        </w:rPr>
        <w:t xml:space="preserve"> ‘Reassessing competition concerns in electronic communications markets’ [2015] 39 Telecommunications Policy</w:t>
      </w:r>
      <w:r>
        <w:rPr>
          <w:rFonts w:ascii="Times New Roman" w:hAnsi="Times New Roman" w:cs="Times New Roman"/>
          <w:sz w:val="24"/>
          <w:szCs w:val="24"/>
        </w:rPr>
        <w:t>,</w:t>
      </w:r>
      <w:r w:rsidRPr="00D40D37">
        <w:rPr>
          <w:rFonts w:ascii="Times New Roman" w:hAnsi="Times New Roman" w:cs="Times New Roman"/>
          <w:sz w:val="24"/>
          <w:szCs w:val="24"/>
        </w:rPr>
        <w:t xml:space="preserve"> 896-912</w:t>
      </w:r>
    </w:p>
    <w:p w14:paraId="39D6566B" w14:textId="3FB360D1"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Petit,</w:t>
      </w:r>
      <w:r>
        <w:rPr>
          <w:rFonts w:ascii="Times New Roman" w:hAnsi="Times New Roman" w:cs="Times New Roman"/>
          <w:sz w:val="24"/>
          <w:szCs w:val="24"/>
        </w:rPr>
        <w:t xml:space="preserve"> N.</w:t>
      </w:r>
      <w:r w:rsidRPr="00D40D37">
        <w:rPr>
          <w:rFonts w:ascii="Times New Roman" w:hAnsi="Times New Roman" w:cs="Times New Roman"/>
          <w:sz w:val="24"/>
          <w:szCs w:val="24"/>
        </w:rPr>
        <w:t xml:space="preserve"> ‘Innovation, Competition, Unilateral Effects and Merger Control Policy’ (SSRN, 29 January 2018) &lt;https://ssrn.com/abstract=3113077&gt; accessed </w:t>
      </w:r>
      <w:r w:rsidR="00F817B5">
        <w:rPr>
          <w:rFonts w:ascii="Times New Roman" w:hAnsi="Times New Roman" w:cs="Times New Roman"/>
          <w:sz w:val="24"/>
          <w:szCs w:val="24"/>
        </w:rPr>
        <w:t>9 October 2020</w:t>
      </w:r>
    </w:p>
    <w:p w14:paraId="6EBE0C41" w14:textId="694B897B"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Plantin,</w:t>
      </w:r>
      <w:r>
        <w:rPr>
          <w:rFonts w:ascii="Times New Roman" w:hAnsi="Times New Roman" w:cs="Times New Roman"/>
          <w:sz w:val="24"/>
          <w:szCs w:val="24"/>
        </w:rPr>
        <w:t xml:space="preserve"> J.,</w:t>
      </w:r>
      <w:r w:rsidRPr="00D40D37">
        <w:rPr>
          <w:rFonts w:ascii="Times New Roman" w:hAnsi="Times New Roman" w:cs="Times New Roman"/>
          <w:sz w:val="24"/>
          <w:szCs w:val="24"/>
        </w:rPr>
        <w:t xml:space="preserve"> Lagoze, C</w:t>
      </w:r>
      <w:r>
        <w:rPr>
          <w:rFonts w:ascii="Times New Roman" w:hAnsi="Times New Roman" w:cs="Times New Roman"/>
          <w:sz w:val="24"/>
          <w:szCs w:val="24"/>
        </w:rPr>
        <w:t>.,</w:t>
      </w:r>
      <w:r w:rsidRPr="00D40D37">
        <w:rPr>
          <w:rFonts w:ascii="Times New Roman" w:hAnsi="Times New Roman" w:cs="Times New Roman"/>
          <w:sz w:val="24"/>
          <w:szCs w:val="24"/>
        </w:rPr>
        <w:t xml:space="preserve"> Edwards</w:t>
      </w:r>
      <w:r>
        <w:rPr>
          <w:rFonts w:ascii="Times New Roman" w:hAnsi="Times New Roman" w:cs="Times New Roman"/>
          <w:sz w:val="24"/>
          <w:szCs w:val="24"/>
        </w:rPr>
        <w:t>,</w:t>
      </w:r>
      <w:r w:rsidRPr="00D40D37">
        <w:rPr>
          <w:rFonts w:ascii="Times New Roman" w:hAnsi="Times New Roman" w:cs="Times New Roman"/>
          <w:sz w:val="24"/>
          <w:szCs w:val="24"/>
        </w:rPr>
        <w:t xml:space="preserve"> P</w:t>
      </w:r>
      <w:r>
        <w:rPr>
          <w:rFonts w:ascii="Times New Roman" w:hAnsi="Times New Roman" w:cs="Times New Roman"/>
          <w:sz w:val="24"/>
          <w:szCs w:val="24"/>
        </w:rPr>
        <w:t>.</w:t>
      </w:r>
      <w:r w:rsidRPr="00D40D37">
        <w:rPr>
          <w:rFonts w:ascii="Times New Roman" w:hAnsi="Times New Roman" w:cs="Times New Roman"/>
          <w:sz w:val="24"/>
          <w:szCs w:val="24"/>
        </w:rPr>
        <w:t xml:space="preserve"> N</w:t>
      </w:r>
      <w:r>
        <w:rPr>
          <w:rFonts w:ascii="Times New Roman" w:hAnsi="Times New Roman" w:cs="Times New Roman"/>
          <w:sz w:val="24"/>
          <w:szCs w:val="24"/>
        </w:rPr>
        <w:t>.</w:t>
      </w:r>
      <w:r w:rsidRPr="00D40D37">
        <w:rPr>
          <w:rFonts w:ascii="Times New Roman" w:hAnsi="Times New Roman" w:cs="Times New Roman"/>
          <w:sz w:val="24"/>
          <w:szCs w:val="24"/>
        </w:rPr>
        <w:t xml:space="preserve"> and Sandvig, C</w:t>
      </w:r>
      <w:r>
        <w:rPr>
          <w:rFonts w:ascii="Times New Roman" w:hAnsi="Times New Roman" w:cs="Times New Roman"/>
          <w:sz w:val="24"/>
          <w:szCs w:val="24"/>
        </w:rPr>
        <w:t>.</w:t>
      </w:r>
      <w:r w:rsidRPr="00D40D37">
        <w:rPr>
          <w:rFonts w:ascii="Times New Roman" w:hAnsi="Times New Roman" w:cs="Times New Roman"/>
          <w:sz w:val="24"/>
          <w:szCs w:val="24"/>
        </w:rPr>
        <w:t xml:space="preserve"> ‘Infrastructure studies meet platform studies in the age of Google and Facebook’ [2018] 20(1) New media &amp; society, 293–310</w:t>
      </w:r>
    </w:p>
    <w:p w14:paraId="11E6207C" w14:textId="4478DEA2" w:rsidR="00CF3A0F" w:rsidRDefault="00CF3A0F" w:rsidP="00E27833">
      <w:pPr>
        <w:pStyle w:val="ListParagraph"/>
        <w:numPr>
          <w:ilvl w:val="0"/>
          <w:numId w:val="22"/>
        </w:numPr>
        <w:jc w:val="both"/>
        <w:rPr>
          <w:rFonts w:ascii="Times New Roman" w:hAnsi="Times New Roman" w:cs="Times New Roman"/>
          <w:sz w:val="24"/>
          <w:szCs w:val="24"/>
        </w:rPr>
      </w:pPr>
      <w:r w:rsidRPr="004E3D5B">
        <w:rPr>
          <w:rFonts w:ascii="Times New Roman" w:hAnsi="Times New Roman" w:cs="Times New Roman"/>
          <w:sz w:val="24"/>
          <w:szCs w:val="24"/>
        </w:rPr>
        <w:t>Popernik,</w:t>
      </w:r>
      <w:r>
        <w:rPr>
          <w:rFonts w:ascii="Times New Roman" w:hAnsi="Times New Roman" w:cs="Times New Roman"/>
          <w:sz w:val="24"/>
          <w:szCs w:val="24"/>
        </w:rPr>
        <w:t xml:space="preserve"> </w:t>
      </w:r>
      <w:r w:rsidRPr="004E3D5B">
        <w:rPr>
          <w:rFonts w:ascii="Times New Roman" w:hAnsi="Times New Roman" w:cs="Times New Roman"/>
          <w:sz w:val="24"/>
          <w:szCs w:val="24"/>
        </w:rPr>
        <w:t>S</w:t>
      </w:r>
      <w:r>
        <w:rPr>
          <w:rFonts w:ascii="Times New Roman" w:hAnsi="Times New Roman" w:cs="Times New Roman"/>
          <w:sz w:val="24"/>
          <w:szCs w:val="24"/>
        </w:rPr>
        <w:t>.</w:t>
      </w:r>
      <w:r w:rsidRPr="004E3D5B">
        <w:rPr>
          <w:rFonts w:ascii="Times New Roman" w:hAnsi="Times New Roman" w:cs="Times New Roman"/>
          <w:sz w:val="24"/>
          <w:szCs w:val="24"/>
        </w:rPr>
        <w:t xml:space="preserve"> B. ‘The Creation of an Access Right in the Ninth Circuit's Digital Copyright Jurisprudence’ [2013] 78(2) Brooklyn Law Review, 697-740</w:t>
      </w:r>
    </w:p>
    <w:p w14:paraId="0BE8FB19" w14:textId="5F96156E" w:rsidR="00E27833" w:rsidRPr="005B539D"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Porter</w:t>
      </w:r>
      <w:r>
        <w:rPr>
          <w:rFonts w:ascii="Times New Roman" w:hAnsi="Times New Roman" w:cs="Times New Roman"/>
          <w:sz w:val="24"/>
          <w:szCs w:val="24"/>
          <w:lang w:val="en-US"/>
        </w:rPr>
        <w:t xml:space="preserve">, </w:t>
      </w:r>
      <w:r w:rsidRPr="00D40D37">
        <w:rPr>
          <w:rFonts w:ascii="Times New Roman" w:hAnsi="Times New Roman" w:cs="Times New Roman"/>
          <w:sz w:val="24"/>
          <w:szCs w:val="24"/>
          <w:lang w:val="en-US"/>
        </w:rPr>
        <w:t>M</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E. and Heppelmann,</w:t>
      </w:r>
      <w:r>
        <w:rPr>
          <w:rFonts w:ascii="Times New Roman" w:hAnsi="Times New Roman" w:cs="Times New Roman"/>
          <w:sz w:val="24"/>
          <w:szCs w:val="24"/>
          <w:lang w:val="en-US"/>
        </w:rPr>
        <w:t xml:space="preserve"> </w:t>
      </w:r>
      <w:r w:rsidRPr="00D40D37">
        <w:rPr>
          <w:rFonts w:ascii="Times New Roman" w:hAnsi="Times New Roman" w:cs="Times New Roman"/>
          <w:sz w:val="24"/>
          <w:szCs w:val="24"/>
          <w:lang w:val="en-US"/>
        </w:rPr>
        <w:t>J</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E. ‘How Smart, Connected Products Are Transforming Competition’ (2014) Harvard Business Review, &lt;https://hbr.org/2014/11/how-smart-connected-products-are-transforming-competition&gt; accessed </w:t>
      </w:r>
      <w:r w:rsidR="00F817B5">
        <w:rPr>
          <w:rFonts w:ascii="Times New Roman" w:hAnsi="Times New Roman" w:cs="Times New Roman"/>
          <w:sz w:val="24"/>
          <w:szCs w:val="24"/>
          <w:lang w:val="en-US"/>
        </w:rPr>
        <w:t>9 October 2020</w:t>
      </w:r>
    </w:p>
    <w:p w14:paraId="03F5ADB3"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Poudel,</w:t>
      </w:r>
      <w:r>
        <w:rPr>
          <w:rFonts w:ascii="Times New Roman" w:hAnsi="Times New Roman" w:cs="Times New Roman"/>
          <w:sz w:val="24"/>
          <w:szCs w:val="24"/>
        </w:rPr>
        <w:t xml:space="preserve"> S.</w:t>
      </w:r>
      <w:r w:rsidRPr="00D40D37">
        <w:rPr>
          <w:rFonts w:ascii="Times New Roman" w:hAnsi="Times New Roman" w:cs="Times New Roman"/>
          <w:sz w:val="24"/>
          <w:szCs w:val="24"/>
        </w:rPr>
        <w:t xml:space="preserve"> ‘Internet of Things: Underlying Technologies, Interoperability, and Treats to Privacy and Security’ [2016] 31(2) Berkeley Technology Law Journal Annual Review</w:t>
      </w:r>
      <w:r>
        <w:rPr>
          <w:rFonts w:ascii="Times New Roman" w:hAnsi="Times New Roman" w:cs="Times New Roman"/>
          <w:sz w:val="24"/>
          <w:szCs w:val="24"/>
        </w:rPr>
        <w:t>,</w:t>
      </w:r>
      <w:r w:rsidRPr="00D40D37">
        <w:rPr>
          <w:rFonts w:ascii="Times New Roman" w:hAnsi="Times New Roman" w:cs="Times New Roman"/>
          <w:sz w:val="24"/>
          <w:szCs w:val="24"/>
        </w:rPr>
        <w:t xml:space="preserve"> 997-1022</w:t>
      </w:r>
    </w:p>
    <w:p w14:paraId="031567AD" w14:textId="77777777" w:rsidR="00E27833" w:rsidRPr="00E374CB"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tr-TR"/>
        </w:rPr>
        <w:t>Reichl</w:t>
      </w:r>
      <w:r>
        <w:rPr>
          <w:rFonts w:ascii="Times New Roman" w:hAnsi="Times New Roman" w:cs="Times New Roman"/>
          <w:sz w:val="24"/>
          <w:szCs w:val="24"/>
          <w:lang w:val="tr-TR"/>
        </w:rPr>
        <w:t>, W.</w:t>
      </w:r>
      <w:r w:rsidRPr="00D40D37">
        <w:rPr>
          <w:rFonts w:ascii="Times New Roman" w:hAnsi="Times New Roman" w:cs="Times New Roman"/>
          <w:sz w:val="24"/>
          <w:szCs w:val="24"/>
          <w:lang w:val="tr-TR"/>
        </w:rPr>
        <w:t xml:space="preserve"> and Ruhle,</w:t>
      </w:r>
      <w:r>
        <w:rPr>
          <w:rFonts w:ascii="Times New Roman" w:hAnsi="Times New Roman" w:cs="Times New Roman"/>
          <w:sz w:val="24"/>
          <w:szCs w:val="24"/>
          <w:lang w:val="tr-TR"/>
        </w:rPr>
        <w:t xml:space="preserve"> E.</w:t>
      </w:r>
      <w:r w:rsidRPr="00D40D37">
        <w:rPr>
          <w:rFonts w:ascii="Times New Roman" w:hAnsi="Times New Roman" w:cs="Times New Roman"/>
          <w:sz w:val="24"/>
          <w:szCs w:val="24"/>
          <w:lang w:val="tr-TR"/>
        </w:rPr>
        <w:t xml:space="preserve"> </w:t>
      </w:r>
      <w:r>
        <w:rPr>
          <w:rFonts w:ascii="Times New Roman" w:hAnsi="Times New Roman" w:cs="Times New Roman"/>
          <w:sz w:val="24"/>
          <w:szCs w:val="24"/>
          <w:lang w:val="tr-TR"/>
        </w:rPr>
        <w:t>‘</w:t>
      </w:r>
      <w:r w:rsidRPr="00D40D37">
        <w:rPr>
          <w:rFonts w:ascii="Times New Roman" w:hAnsi="Times New Roman" w:cs="Times New Roman"/>
          <w:sz w:val="24"/>
          <w:szCs w:val="24"/>
          <w:lang w:val="tr-TR"/>
        </w:rPr>
        <w:t>NGA, IP-Interconnection and their Impact on Business Models and Competition</w:t>
      </w:r>
      <w:r>
        <w:rPr>
          <w:rFonts w:ascii="Times New Roman" w:hAnsi="Times New Roman" w:cs="Times New Roman"/>
          <w:sz w:val="24"/>
          <w:szCs w:val="24"/>
          <w:lang w:val="tr-TR"/>
        </w:rPr>
        <w:t>’</w:t>
      </w:r>
      <w:r w:rsidRPr="00D40D37">
        <w:rPr>
          <w:rFonts w:ascii="Times New Roman" w:hAnsi="Times New Roman" w:cs="Times New Roman"/>
          <w:sz w:val="24"/>
          <w:szCs w:val="24"/>
          <w:lang w:val="tr-TR"/>
        </w:rPr>
        <w:t xml:space="preserve"> [2008] 69, 1st Q </w:t>
      </w:r>
      <w:r w:rsidRPr="00D40D37">
        <w:rPr>
          <w:rFonts w:ascii="Times New Roman" w:hAnsi="Times New Roman" w:cs="Times New Roman"/>
          <w:iCs/>
          <w:sz w:val="24"/>
          <w:szCs w:val="24"/>
          <w:lang w:val="tr-TR"/>
        </w:rPr>
        <w:t>Communications &amp; Strategies</w:t>
      </w:r>
      <w:r w:rsidRPr="00D40D37">
        <w:rPr>
          <w:rFonts w:ascii="Times New Roman" w:hAnsi="Times New Roman" w:cs="Times New Roman"/>
          <w:sz w:val="24"/>
          <w:szCs w:val="24"/>
          <w:lang w:val="tr-TR"/>
        </w:rPr>
        <w:t xml:space="preserve"> 41</w:t>
      </w:r>
      <w:r>
        <w:rPr>
          <w:rFonts w:ascii="Times New Roman" w:hAnsi="Times New Roman" w:cs="Times New Roman"/>
          <w:sz w:val="24"/>
          <w:szCs w:val="24"/>
          <w:lang w:val="tr-TR"/>
        </w:rPr>
        <w:t>-62</w:t>
      </w:r>
    </w:p>
    <w:p w14:paraId="6736FB70" w14:textId="77777777" w:rsidR="00E27833" w:rsidRPr="00461B41"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Renda,</w:t>
      </w:r>
      <w:r>
        <w:rPr>
          <w:rFonts w:ascii="Times New Roman" w:hAnsi="Times New Roman" w:cs="Times New Roman"/>
          <w:sz w:val="24"/>
          <w:szCs w:val="24"/>
        </w:rPr>
        <w:t xml:space="preserve"> A.</w:t>
      </w:r>
      <w:r w:rsidRPr="00D40D37">
        <w:rPr>
          <w:rFonts w:ascii="Times New Roman" w:hAnsi="Times New Roman" w:cs="Times New Roman"/>
          <w:sz w:val="24"/>
          <w:szCs w:val="24"/>
        </w:rPr>
        <w:t xml:space="preserve"> ‘Competition, neutrality and diversity in the cloud’ 85 [2012] Digiworld Economic Journal 1</w:t>
      </w:r>
      <w:r>
        <w:rPr>
          <w:rFonts w:ascii="Times New Roman" w:hAnsi="Times New Roman" w:cs="Times New Roman"/>
          <w:sz w:val="24"/>
          <w:szCs w:val="24"/>
        </w:rPr>
        <w:t xml:space="preserve">st </w:t>
      </w:r>
      <w:r w:rsidRPr="00D40D37">
        <w:rPr>
          <w:rFonts w:ascii="Times New Roman" w:hAnsi="Times New Roman" w:cs="Times New Roman"/>
          <w:sz w:val="24"/>
          <w:szCs w:val="24"/>
        </w:rPr>
        <w:t>Q 23</w:t>
      </w:r>
      <w:r>
        <w:rPr>
          <w:rFonts w:ascii="Times New Roman" w:hAnsi="Times New Roman" w:cs="Times New Roman"/>
          <w:sz w:val="24"/>
          <w:szCs w:val="24"/>
        </w:rPr>
        <w:t>,</w:t>
      </w:r>
      <w:r w:rsidRPr="00D40D37">
        <w:rPr>
          <w:rFonts w:ascii="Times New Roman" w:hAnsi="Times New Roman" w:cs="Times New Roman"/>
          <w:sz w:val="24"/>
          <w:szCs w:val="24"/>
        </w:rPr>
        <w:t xml:space="preserve"> 28-30</w:t>
      </w:r>
    </w:p>
    <w:p w14:paraId="4358DC3E" w14:textId="77777777" w:rsidR="00E27833" w:rsidRPr="00DC1845"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Renda, </w:t>
      </w:r>
      <w:r>
        <w:rPr>
          <w:rFonts w:ascii="Times New Roman" w:hAnsi="Times New Roman" w:cs="Times New Roman"/>
          <w:sz w:val="24"/>
          <w:szCs w:val="24"/>
          <w:lang w:val="en-US"/>
        </w:rPr>
        <w:t xml:space="preserve">A., </w:t>
      </w:r>
      <w:r w:rsidRPr="00D40D37">
        <w:rPr>
          <w:rFonts w:ascii="Times New Roman" w:hAnsi="Times New Roman" w:cs="Times New Roman"/>
          <w:sz w:val="24"/>
          <w:szCs w:val="24"/>
          <w:lang w:val="en-US"/>
        </w:rPr>
        <w:t>Simonelli,</w:t>
      </w:r>
      <w:r>
        <w:rPr>
          <w:rFonts w:ascii="Times New Roman" w:hAnsi="Times New Roman" w:cs="Times New Roman"/>
          <w:sz w:val="24"/>
          <w:szCs w:val="24"/>
          <w:lang w:val="en-US"/>
        </w:rPr>
        <w:t xml:space="preserve"> F.,</w:t>
      </w:r>
      <w:r w:rsidRPr="00D40D37">
        <w:rPr>
          <w:rFonts w:ascii="Times New Roman" w:hAnsi="Times New Roman" w:cs="Times New Roman"/>
          <w:sz w:val="24"/>
          <w:szCs w:val="24"/>
          <w:lang w:val="en-US"/>
        </w:rPr>
        <w:t xml:space="preserve"> Mazziotti, </w:t>
      </w:r>
      <w:r>
        <w:rPr>
          <w:rFonts w:ascii="Times New Roman" w:hAnsi="Times New Roman" w:cs="Times New Roman"/>
          <w:sz w:val="24"/>
          <w:szCs w:val="24"/>
          <w:lang w:val="en-US"/>
        </w:rPr>
        <w:t xml:space="preserve">G., </w:t>
      </w:r>
      <w:r w:rsidRPr="00D40D37">
        <w:rPr>
          <w:rFonts w:ascii="Times New Roman" w:hAnsi="Times New Roman" w:cs="Times New Roman"/>
          <w:sz w:val="24"/>
          <w:szCs w:val="24"/>
          <w:lang w:val="en-US"/>
        </w:rPr>
        <w:t>Bolognini</w:t>
      </w:r>
      <w:r>
        <w:rPr>
          <w:rFonts w:ascii="Times New Roman" w:hAnsi="Times New Roman" w:cs="Times New Roman"/>
          <w:sz w:val="24"/>
          <w:szCs w:val="24"/>
          <w:lang w:val="en-US"/>
        </w:rPr>
        <w:t>, A.</w:t>
      </w:r>
      <w:r w:rsidRPr="00D40D37">
        <w:rPr>
          <w:rFonts w:ascii="Times New Roman" w:hAnsi="Times New Roman" w:cs="Times New Roman"/>
          <w:sz w:val="24"/>
          <w:szCs w:val="24"/>
          <w:lang w:val="en-US"/>
        </w:rPr>
        <w:t xml:space="preserve"> and Luchetta,</w:t>
      </w:r>
      <w:r>
        <w:rPr>
          <w:rFonts w:ascii="Times New Roman" w:hAnsi="Times New Roman" w:cs="Times New Roman"/>
          <w:sz w:val="24"/>
          <w:szCs w:val="24"/>
          <w:lang w:val="en-US"/>
        </w:rPr>
        <w:t xml:space="preserve"> G.</w:t>
      </w:r>
      <w:r w:rsidRPr="00D40D37">
        <w:rPr>
          <w:rFonts w:ascii="Times New Roman" w:hAnsi="Times New Roman" w:cs="Times New Roman"/>
          <w:sz w:val="24"/>
          <w:szCs w:val="24"/>
          <w:lang w:val="en-US"/>
        </w:rPr>
        <w:t xml:space="preserve"> </w:t>
      </w:r>
      <w:r w:rsidRPr="00D40D37">
        <w:rPr>
          <w:rFonts w:ascii="Times New Roman" w:hAnsi="Times New Roman" w:cs="Times New Roman"/>
          <w:i/>
          <w:iCs/>
          <w:sz w:val="24"/>
          <w:szCs w:val="24"/>
          <w:lang w:val="en-US"/>
        </w:rPr>
        <w:t xml:space="preserve">The Implementation, Application and Effects of the EU Directive on Copyright </w:t>
      </w:r>
      <w:r w:rsidRPr="00D40D37">
        <w:rPr>
          <w:rFonts w:ascii="Times New Roman" w:hAnsi="Times New Roman" w:cs="Times New Roman"/>
          <w:i/>
          <w:iCs/>
          <w:sz w:val="24"/>
          <w:szCs w:val="24"/>
          <w:lang w:val="en-US"/>
        </w:rPr>
        <w:lastRenderedPageBreak/>
        <w:t>in the Information Society</w:t>
      </w:r>
      <w:r w:rsidRPr="00D40D37">
        <w:rPr>
          <w:rFonts w:ascii="Times New Roman" w:hAnsi="Times New Roman" w:cs="Times New Roman"/>
          <w:sz w:val="24"/>
          <w:szCs w:val="24"/>
          <w:lang w:val="en-US"/>
        </w:rPr>
        <w:t xml:space="preserve"> (CEPS Special Report, No. 120, November 2015)</w:t>
      </w:r>
    </w:p>
    <w:p w14:paraId="43061E39" w14:textId="77777777" w:rsidR="00E27833" w:rsidRPr="00D40D37" w:rsidRDefault="00E27833" w:rsidP="00E27833">
      <w:pPr>
        <w:pStyle w:val="ListParagraph"/>
        <w:numPr>
          <w:ilvl w:val="0"/>
          <w:numId w:val="22"/>
        </w:numPr>
        <w:rPr>
          <w:rFonts w:ascii="Times New Roman" w:hAnsi="Times New Roman" w:cs="Times New Roman"/>
          <w:sz w:val="24"/>
          <w:szCs w:val="24"/>
        </w:rPr>
      </w:pPr>
      <w:r w:rsidRPr="00D40D37">
        <w:rPr>
          <w:rFonts w:ascii="Times New Roman" w:hAnsi="Times New Roman" w:cs="Times New Roman"/>
          <w:sz w:val="24"/>
          <w:szCs w:val="24"/>
        </w:rPr>
        <w:t>Ridyard,</w:t>
      </w:r>
      <w:r>
        <w:rPr>
          <w:rFonts w:ascii="Times New Roman" w:hAnsi="Times New Roman" w:cs="Times New Roman"/>
          <w:sz w:val="24"/>
          <w:szCs w:val="24"/>
        </w:rPr>
        <w:t xml:space="preserve"> D.</w:t>
      </w:r>
      <w:r w:rsidRPr="00D40D37">
        <w:rPr>
          <w:rFonts w:ascii="Times New Roman" w:hAnsi="Times New Roman" w:cs="Times New Roman"/>
          <w:sz w:val="24"/>
          <w:szCs w:val="24"/>
        </w:rPr>
        <w:t xml:space="preserve"> ‘The Commission’s Article 82 Guidelines: some reflections on the economic issues’ [2009] 30(5) European Competition Law Review, 230-236</w:t>
      </w:r>
    </w:p>
    <w:p w14:paraId="5CC25988" w14:textId="1BC0FF32"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Rose,</w:t>
      </w:r>
      <w:r>
        <w:rPr>
          <w:rFonts w:ascii="Times New Roman" w:hAnsi="Times New Roman" w:cs="Times New Roman"/>
          <w:sz w:val="24"/>
          <w:szCs w:val="24"/>
        </w:rPr>
        <w:t xml:space="preserve"> K.,</w:t>
      </w:r>
      <w:r w:rsidRPr="00D40D37">
        <w:rPr>
          <w:rFonts w:ascii="Times New Roman" w:hAnsi="Times New Roman" w:cs="Times New Roman"/>
          <w:sz w:val="24"/>
          <w:szCs w:val="24"/>
        </w:rPr>
        <w:t xml:space="preserve"> Eldridge</w:t>
      </w:r>
      <w:r>
        <w:rPr>
          <w:rFonts w:ascii="Times New Roman" w:hAnsi="Times New Roman" w:cs="Times New Roman"/>
          <w:sz w:val="24"/>
          <w:szCs w:val="24"/>
        </w:rPr>
        <w:t>, S.</w:t>
      </w:r>
      <w:r w:rsidRPr="00D40D37">
        <w:rPr>
          <w:rFonts w:ascii="Times New Roman" w:hAnsi="Times New Roman" w:cs="Times New Roman"/>
          <w:sz w:val="24"/>
          <w:szCs w:val="24"/>
        </w:rPr>
        <w:t xml:space="preserve"> and Chapin,</w:t>
      </w:r>
      <w:r>
        <w:rPr>
          <w:rFonts w:ascii="Times New Roman" w:hAnsi="Times New Roman" w:cs="Times New Roman"/>
          <w:sz w:val="24"/>
          <w:szCs w:val="24"/>
        </w:rPr>
        <w:t xml:space="preserve"> L.</w:t>
      </w:r>
      <w:r w:rsidRPr="00D40D37">
        <w:rPr>
          <w:rFonts w:ascii="Times New Roman" w:hAnsi="Times New Roman" w:cs="Times New Roman"/>
          <w:sz w:val="24"/>
          <w:szCs w:val="24"/>
        </w:rPr>
        <w:t xml:space="preserve"> ‘The Internet of Things: An Overview’ (Internet Society, 2015) &lt;http://www.internetsociety.org/sites/default/files/ISOC-IoT-Overview-20151221-en.pdf&gt; accessed </w:t>
      </w:r>
      <w:r w:rsidR="00F817B5">
        <w:rPr>
          <w:rFonts w:ascii="Times New Roman" w:hAnsi="Times New Roman" w:cs="Times New Roman"/>
          <w:sz w:val="24"/>
          <w:szCs w:val="24"/>
        </w:rPr>
        <w:t>9 October 2020</w:t>
      </w:r>
    </w:p>
    <w:p w14:paraId="26F194AB" w14:textId="560AD9A9"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Rouse,</w:t>
      </w:r>
      <w:r>
        <w:rPr>
          <w:rFonts w:ascii="Times New Roman" w:hAnsi="Times New Roman" w:cs="Times New Roman"/>
          <w:sz w:val="24"/>
          <w:szCs w:val="24"/>
        </w:rPr>
        <w:t xml:space="preserve"> M.</w:t>
      </w:r>
      <w:r w:rsidRPr="00D40D37">
        <w:rPr>
          <w:rFonts w:ascii="Times New Roman" w:hAnsi="Times New Roman" w:cs="Times New Roman"/>
          <w:sz w:val="24"/>
          <w:szCs w:val="24"/>
        </w:rPr>
        <w:t xml:space="preserve"> ‘CDN (content delivery network)’ (</w:t>
      </w:r>
      <w:r w:rsidRPr="00D40D37">
        <w:rPr>
          <w:rFonts w:ascii="Times New Roman" w:hAnsi="Times New Roman" w:cs="Times New Roman"/>
          <w:i/>
          <w:iCs/>
          <w:sz w:val="24"/>
          <w:szCs w:val="24"/>
        </w:rPr>
        <w:t>TechTarget</w:t>
      </w:r>
      <w:r w:rsidRPr="00D40D37">
        <w:rPr>
          <w:rFonts w:ascii="Times New Roman" w:hAnsi="Times New Roman" w:cs="Times New Roman"/>
          <w:sz w:val="24"/>
          <w:szCs w:val="24"/>
        </w:rPr>
        <w:t xml:space="preserve">, 31 July 2014) ˂https://searchnetworking.techtarget.com/definition/CDN-content-delivery-network˃ accessed </w:t>
      </w:r>
      <w:r w:rsidR="00F817B5">
        <w:rPr>
          <w:rFonts w:ascii="Times New Roman" w:hAnsi="Times New Roman" w:cs="Times New Roman"/>
          <w:sz w:val="24"/>
          <w:szCs w:val="24"/>
        </w:rPr>
        <w:t>9 October 2020</w:t>
      </w:r>
    </w:p>
    <w:p w14:paraId="1CE12AEE"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Samuelson, </w:t>
      </w:r>
      <w:r>
        <w:rPr>
          <w:rFonts w:ascii="Times New Roman" w:hAnsi="Times New Roman" w:cs="Times New Roman"/>
          <w:sz w:val="24"/>
          <w:szCs w:val="24"/>
        </w:rPr>
        <w:t xml:space="preserve">P. </w:t>
      </w:r>
      <w:r w:rsidRPr="00D40D37">
        <w:rPr>
          <w:rFonts w:ascii="Times New Roman" w:hAnsi="Times New Roman" w:cs="Times New Roman"/>
          <w:sz w:val="24"/>
          <w:szCs w:val="24"/>
        </w:rPr>
        <w:t>‘The Past, Present and Future of Software Copyright Interoperability Rules in the European Union and United States’ [2010] 34(3)</w:t>
      </w:r>
      <w:r>
        <w:rPr>
          <w:rFonts w:ascii="Times New Roman" w:hAnsi="Times New Roman" w:cs="Times New Roman"/>
          <w:sz w:val="24"/>
          <w:szCs w:val="24"/>
        </w:rPr>
        <w:t xml:space="preserve"> </w:t>
      </w:r>
      <w:r w:rsidRPr="00D40D37">
        <w:rPr>
          <w:rFonts w:ascii="Times New Roman" w:hAnsi="Times New Roman" w:cs="Times New Roman"/>
          <w:sz w:val="24"/>
          <w:szCs w:val="24"/>
        </w:rPr>
        <w:t>European Intellectual Property Review</w:t>
      </w:r>
      <w:r>
        <w:rPr>
          <w:rFonts w:ascii="Times New Roman" w:hAnsi="Times New Roman" w:cs="Times New Roman"/>
          <w:sz w:val="24"/>
          <w:szCs w:val="24"/>
        </w:rPr>
        <w:t>,</w:t>
      </w:r>
      <w:r w:rsidRPr="00D40D37">
        <w:rPr>
          <w:rFonts w:ascii="Times New Roman" w:hAnsi="Times New Roman" w:cs="Times New Roman"/>
          <w:sz w:val="24"/>
          <w:szCs w:val="24"/>
        </w:rPr>
        <w:t xml:space="preserve"> 229- 236</w:t>
      </w:r>
    </w:p>
    <w:p w14:paraId="0538B8E4"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Samuelson, P</w:t>
      </w:r>
      <w:r>
        <w:rPr>
          <w:rFonts w:ascii="Times New Roman" w:hAnsi="Times New Roman" w:cs="Times New Roman"/>
          <w:sz w:val="24"/>
          <w:szCs w:val="24"/>
        </w:rPr>
        <w:t>.</w:t>
      </w:r>
      <w:r w:rsidRPr="00D40D37">
        <w:rPr>
          <w:rFonts w:ascii="Times New Roman" w:hAnsi="Times New Roman" w:cs="Times New Roman"/>
          <w:sz w:val="24"/>
          <w:szCs w:val="24"/>
        </w:rPr>
        <w:t xml:space="preserve"> ‘Are Patents on Interfaces Impeding Interoperability’ [2009]</w:t>
      </w:r>
      <w:r>
        <w:rPr>
          <w:rFonts w:ascii="Times New Roman" w:hAnsi="Times New Roman" w:cs="Times New Roman"/>
          <w:sz w:val="24"/>
          <w:szCs w:val="24"/>
        </w:rPr>
        <w:t xml:space="preserve"> </w:t>
      </w:r>
      <w:r w:rsidRPr="00D40D37">
        <w:rPr>
          <w:rFonts w:ascii="Times New Roman" w:hAnsi="Times New Roman" w:cs="Times New Roman"/>
          <w:sz w:val="24"/>
          <w:szCs w:val="24"/>
        </w:rPr>
        <w:t>93 Minnesota Law Review</w:t>
      </w:r>
      <w:r>
        <w:rPr>
          <w:rFonts w:ascii="Times New Roman" w:hAnsi="Times New Roman" w:cs="Times New Roman"/>
          <w:sz w:val="24"/>
          <w:szCs w:val="24"/>
        </w:rPr>
        <w:t>,</w:t>
      </w:r>
      <w:r w:rsidRPr="00D40D37">
        <w:rPr>
          <w:rFonts w:ascii="Times New Roman" w:hAnsi="Times New Roman" w:cs="Times New Roman"/>
          <w:sz w:val="24"/>
          <w:szCs w:val="24"/>
        </w:rPr>
        <w:t xml:space="preserve"> 1943-</w:t>
      </w:r>
      <w:r>
        <w:rPr>
          <w:rFonts w:ascii="Times New Roman" w:hAnsi="Times New Roman" w:cs="Times New Roman"/>
          <w:sz w:val="24"/>
          <w:szCs w:val="24"/>
        </w:rPr>
        <w:t>2019</w:t>
      </w:r>
    </w:p>
    <w:p w14:paraId="6C19C0CB" w14:textId="794D0095"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Samsung, ‘SmartThings – Featured Products’ &lt;https://www.smartthings.com/gb/products&gt; accessed </w:t>
      </w:r>
      <w:r w:rsidR="00F817B5">
        <w:rPr>
          <w:rFonts w:ascii="Times New Roman" w:hAnsi="Times New Roman" w:cs="Times New Roman"/>
          <w:sz w:val="24"/>
          <w:szCs w:val="24"/>
        </w:rPr>
        <w:t>9 October 2020</w:t>
      </w:r>
    </w:p>
    <w:p w14:paraId="2B96357C" w14:textId="3C8E9DE7" w:rsidR="00E2707D" w:rsidRDefault="00E2707D" w:rsidP="00E27833">
      <w:pPr>
        <w:pStyle w:val="ListParagraph"/>
        <w:numPr>
          <w:ilvl w:val="0"/>
          <w:numId w:val="22"/>
        </w:numPr>
        <w:jc w:val="both"/>
        <w:rPr>
          <w:rFonts w:ascii="Times New Roman" w:hAnsi="Times New Roman" w:cs="Times New Roman"/>
          <w:sz w:val="24"/>
          <w:szCs w:val="24"/>
        </w:rPr>
      </w:pPr>
      <w:r w:rsidRPr="00681B91">
        <w:rPr>
          <w:rFonts w:ascii="Times New Roman" w:hAnsi="Times New Roman"/>
          <w:sz w:val="24"/>
          <w:szCs w:val="24"/>
        </w:rPr>
        <w:t>Scantamburlo,</w:t>
      </w:r>
      <w:r>
        <w:rPr>
          <w:rFonts w:ascii="Times New Roman" w:hAnsi="Times New Roman"/>
          <w:sz w:val="24"/>
          <w:szCs w:val="24"/>
        </w:rPr>
        <w:t xml:space="preserve"> T.,</w:t>
      </w:r>
      <w:r w:rsidRPr="00681B91">
        <w:rPr>
          <w:rFonts w:ascii="Times New Roman" w:hAnsi="Times New Roman"/>
          <w:sz w:val="24"/>
          <w:szCs w:val="24"/>
        </w:rPr>
        <w:t xml:space="preserve"> Charlesworth,</w:t>
      </w:r>
      <w:r>
        <w:rPr>
          <w:rFonts w:ascii="Times New Roman" w:hAnsi="Times New Roman"/>
          <w:sz w:val="24"/>
          <w:szCs w:val="24"/>
        </w:rPr>
        <w:t xml:space="preserve"> A.</w:t>
      </w:r>
      <w:r w:rsidRPr="00681B91">
        <w:rPr>
          <w:rFonts w:ascii="Times New Roman" w:hAnsi="Times New Roman"/>
          <w:sz w:val="24"/>
          <w:szCs w:val="24"/>
        </w:rPr>
        <w:t xml:space="preserve"> and Cristianini,</w:t>
      </w:r>
      <w:r>
        <w:rPr>
          <w:rFonts w:ascii="Times New Roman" w:hAnsi="Times New Roman"/>
          <w:sz w:val="24"/>
          <w:szCs w:val="24"/>
        </w:rPr>
        <w:t xml:space="preserve"> N.</w:t>
      </w:r>
      <w:r w:rsidRPr="00681B91">
        <w:rPr>
          <w:rFonts w:ascii="Times New Roman" w:hAnsi="Times New Roman"/>
          <w:sz w:val="24"/>
          <w:szCs w:val="24"/>
        </w:rPr>
        <w:t xml:space="preserve"> ‘Machine decisions and human consequences’ in K. Yeung and M. Lodge Algorithmic Regulation (OUP, 2019) 49-81</w:t>
      </w:r>
    </w:p>
    <w:p w14:paraId="33060DE7" w14:textId="7420DB9E" w:rsidR="00E27833" w:rsidRPr="004979E6"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Sehgal,</w:t>
      </w:r>
      <w:r>
        <w:rPr>
          <w:rFonts w:ascii="Times New Roman" w:hAnsi="Times New Roman" w:cs="Times New Roman"/>
          <w:sz w:val="24"/>
          <w:szCs w:val="24"/>
        </w:rPr>
        <w:t xml:space="preserve"> V. K.,</w:t>
      </w:r>
      <w:r w:rsidRPr="00D40D37">
        <w:rPr>
          <w:rFonts w:ascii="Times New Roman" w:hAnsi="Times New Roman" w:cs="Times New Roman"/>
          <w:sz w:val="24"/>
          <w:szCs w:val="24"/>
        </w:rPr>
        <w:t xml:space="preserve"> Patrick</w:t>
      </w:r>
      <w:r>
        <w:rPr>
          <w:rFonts w:ascii="Times New Roman" w:hAnsi="Times New Roman" w:cs="Times New Roman"/>
          <w:sz w:val="24"/>
          <w:szCs w:val="24"/>
        </w:rPr>
        <w:t>, A.</w:t>
      </w:r>
      <w:r w:rsidRPr="00D40D37">
        <w:rPr>
          <w:rFonts w:ascii="Times New Roman" w:hAnsi="Times New Roman" w:cs="Times New Roman"/>
          <w:sz w:val="24"/>
          <w:szCs w:val="24"/>
        </w:rPr>
        <w:t xml:space="preserve"> and Rajpoot, </w:t>
      </w:r>
      <w:r>
        <w:rPr>
          <w:rFonts w:ascii="Times New Roman" w:hAnsi="Times New Roman" w:cs="Times New Roman"/>
          <w:sz w:val="24"/>
          <w:szCs w:val="24"/>
        </w:rPr>
        <w:t xml:space="preserve">L. </w:t>
      </w:r>
      <w:r w:rsidRPr="00D40D37">
        <w:rPr>
          <w:rFonts w:ascii="Times New Roman" w:hAnsi="Times New Roman" w:cs="Times New Roman"/>
          <w:sz w:val="24"/>
          <w:szCs w:val="24"/>
        </w:rPr>
        <w:t xml:space="preserve">‘A Comparative Study of Cyber Physical Cloud, Cloud of Sensors and Internet of Things: Their Ideology, </w:t>
      </w:r>
      <w:r w:rsidRPr="00D40D37">
        <w:rPr>
          <w:rFonts w:ascii="Times New Roman" w:hAnsi="Times New Roman" w:cs="Times New Roman"/>
          <w:sz w:val="24"/>
          <w:szCs w:val="24"/>
        </w:rPr>
        <w:lastRenderedPageBreak/>
        <w:t>Similarities and Differences’</w:t>
      </w:r>
      <w:r w:rsidRPr="004979E6">
        <w:rPr>
          <w:rFonts w:ascii="Times New Roman" w:hAnsi="Times New Roman" w:cs="Times New Roman"/>
          <w:sz w:val="24"/>
          <w:szCs w:val="24"/>
          <w:lang w:val="en-US"/>
        </w:rPr>
        <w:t xml:space="preserve"> (IEEE International Advance Computing Conference (IACC) 2014)</w:t>
      </w:r>
      <w:r>
        <w:rPr>
          <w:rFonts w:ascii="Times New Roman" w:hAnsi="Times New Roman" w:cs="Times New Roman"/>
          <w:sz w:val="24"/>
          <w:szCs w:val="24"/>
          <w:lang w:val="en-US"/>
        </w:rPr>
        <w:t xml:space="preserve"> </w:t>
      </w:r>
      <w:r w:rsidRPr="00D40D37">
        <w:rPr>
          <w:rFonts w:ascii="Times New Roman" w:hAnsi="Times New Roman" w:cs="Times New Roman"/>
          <w:sz w:val="24"/>
          <w:szCs w:val="24"/>
        </w:rPr>
        <w:t>708-716</w:t>
      </w:r>
    </w:p>
    <w:p w14:paraId="0A502EF6"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Sharron</w:t>
      </w:r>
      <w:r>
        <w:rPr>
          <w:rFonts w:ascii="Times New Roman" w:hAnsi="Times New Roman" w:cs="Times New Roman"/>
          <w:sz w:val="24"/>
          <w:szCs w:val="24"/>
          <w:lang w:val="en-US"/>
        </w:rPr>
        <w:t>, S.</w:t>
      </w:r>
      <w:r w:rsidRPr="00D40D37">
        <w:rPr>
          <w:rFonts w:ascii="Times New Roman" w:hAnsi="Times New Roman" w:cs="Times New Roman"/>
          <w:sz w:val="24"/>
          <w:szCs w:val="24"/>
          <w:lang w:val="en-US"/>
        </w:rPr>
        <w:t xml:space="preserve"> and Tuckett,</w:t>
      </w:r>
      <w:r>
        <w:rPr>
          <w:rFonts w:ascii="Times New Roman" w:hAnsi="Times New Roman" w:cs="Times New Roman"/>
          <w:sz w:val="24"/>
          <w:szCs w:val="24"/>
          <w:lang w:val="en-US"/>
        </w:rPr>
        <w:t xml:space="preserve"> N.</w:t>
      </w:r>
      <w:r w:rsidRPr="00D40D37">
        <w:rPr>
          <w:rFonts w:ascii="Times New Roman" w:hAnsi="Times New Roman" w:cs="Times New Roman"/>
          <w:sz w:val="24"/>
          <w:szCs w:val="24"/>
          <w:lang w:val="en-US"/>
        </w:rPr>
        <w:t xml:space="preserve"> ‘The Internet of Things: Evaluating the Interplay of Interoperability, Industry Standards and Related IP Licensing Approaches’ [2016] The Licensing Journal</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8</w:t>
      </w:r>
      <w:r>
        <w:rPr>
          <w:rFonts w:ascii="Times New Roman" w:hAnsi="Times New Roman" w:cs="Times New Roman"/>
          <w:sz w:val="24"/>
          <w:szCs w:val="24"/>
          <w:lang w:val="en-US"/>
        </w:rPr>
        <w:t>-19</w:t>
      </w:r>
    </w:p>
    <w:p w14:paraId="41265741" w14:textId="4AA88063"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Shilawat, </w:t>
      </w:r>
      <w:r>
        <w:rPr>
          <w:rFonts w:ascii="Times New Roman" w:hAnsi="Times New Roman" w:cs="Times New Roman"/>
          <w:sz w:val="24"/>
          <w:szCs w:val="24"/>
        </w:rPr>
        <w:t xml:space="preserve">S. </w:t>
      </w:r>
      <w:r w:rsidRPr="00D40D37">
        <w:rPr>
          <w:rFonts w:ascii="Times New Roman" w:hAnsi="Times New Roman" w:cs="Times New Roman"/>
          <w:sz w:val="24"/>
          <w:szCs w:val="24"/>
        </w:rPr>
        <w:t>‘Cloud Interoperability and Portability’ (</w:t>
      </w:r>
      <w:r w:rsidRPr="00D40D37">
        <w:rPr>
          <w:rFonts w:ascii="Times New Roman" w:hAnsi="Times New Roman" w:cs="Times New Roman"/>
          <w:i/>
          <w:iCs/>
          <w:sz w:val="24"/>
          <w:szCs w:val="24"/>
        </w:rPr>
        <w:t>Forbes</w:t>
      </w:r>
      <w:r w:rsidRPr="00D40D37">
        <w:rPr>
          <w:rFonts w:ascii="Times New Roman" w:hAnsi="Times New Roman" w:cs="Times New Roman"/>
          <w:sz w:val="24"/>
          <w:szCs w:val="24"/>
        </w:rPr>
        <w:t>, 22 June 2018) &lt;</w:t>
      </w:r>
      <w:hyperlink r:id="rId51" w:anchor="5512c41f4577" w:history="1">
        <w:r w:rsidRPr="00D40D37">
          <w:rPr>
            <w:rFonts w:ascii="Times New Roman" w:hAnsi="Times New Roman" w:cs="Times New Roman"/>
            <w:sz w:val="24"/>
            <w:szCs w:val="24"/>
          </w:rPr>
          <w:t>https://www.forbes.com/sites/forbestechcouncil/2018/06/22/cloud-interoperability-and-portability/#5512c41f4577</w:t>
        </w:r>
      </w:hyperlink>
      <w:r w:rsidRPr="00D40D37">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76EE21D1" w14:textId="77777777" w:rsidR="00E27833" w:rsidRPr="00660EA1"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Sicker</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D. and Mindel</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J. ‘Refinements of a layered model for telecommunications policy’ [2002] 1 Journal on Telecommunications and High Technology Law, 69-94</w:t>
      </w:r>
    </w:p>
    <w:p w14:paraId="28943A86" w14:textId="21E88912"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Sicker</w:t>
      </w:r>
      <w:r>
        <w:rPr>
          <w:rFonts w:ascii="Times New Roman" w:hAnsi="Times New Roman" w:cs="Times New Roman"/>
          <w:sz w:val="24"/>
          <w:szCs w:val="24"/>
        </w:rPr>
        <w:t xml:space="preserve">, </w:t>
      </w:r>
      <w:r w:rsidRPr="00D40D37">
        <w:rPr>
          <w:rFonts w:ascii="Times New Roman" w:hAnsi="Times New Roman" w:cs="Times New Roman"/>
          <w:sz w:val="24"/>
          <w:szCs w:val="24"/>
        </w:rPr>
        <w:t>D</w:t>
      </w:r>
      <w:r>
        <w:rPr>
          <w:rFonts w:ascii="Times New Roman" w:hAnsi="Times New Roman" w:cs="Times New Roman"/>
          <w:sz w:val="24"/>
          <w:szCs w:val="24"/>
        </w:rPr>
        <w:t>.</w:t>
      </w:r>
      <w:r w:rsidRPr="00D40D37">
        <w:rPr>
          <w:rFonts w:ascii="Times New Roman" w:hAnsi="Times New Roman" w:cs="Times New Roman"/>
          <w:sz w:val="24"/>
          <w:szCs w:val="24"/>
        </w:rPr>
        <w:t xml:space="preserve"> C. and Blumensaadt, </w:t>
      </w:r>
      <w:r>
        <w:rPr>
          <w:rFonts w:ascii="Times New Roman" w:hAnsi="Times New Roman" w:cs="Times New Roman"/>
          <w:sz w:val="24"/>
          <w:szCs w:val="24"/>
        </w:rPr>
        <w:t xml:space="preserve">L. </w:t>
      </w:r>
      <w:r w:rsidRPr="00D40D37">
        <w:rPr>
          <w:rFonts w:ascii="Times New Roman" w:hAnsi="Times New Roman" w:cs="Times New Roman"/>
          <w:sz w:val="24"/>
          <w:szCs w:val="24"/>
        </w:rPr>
        <w:t>‘Misunderstanding the Layered Model(s)’ [2006] 4 Journal of Telecommunications and High Technology Law</w:t>
      </w:r>
      <w:r>
        <w:rPr>
          <w:rFonts w:ascii="Times New Roman" w:hAnsi="Times New Roman" w:cs="Times New Roman"/>
          <w:sz w:val="24"/>
          <w:szCs w:val="24"/>
        </w:rPr>
        <w:t>,</w:t>
      </w:r>
      <w:r w:rsidRPr="00D40D37">
        <w:rPr>
          <w:rFonts w:ascii="Times New Roman" w:hAnsi="Times New Roman" w:cs="Times New Roman"/>
          <w:sz w:val="24"/>
          <w:szCs w:val="24"/>
        </w:rPr>
        <w:t xml:space="preserve"> 299</w:t>
      </w:r>
      <w:r>
        <w:rPr>
          <w:rFonts w:ascii="Times New Roman" w:hAnsi="Times New Roman" w:cs="Times New Roman"/>
          <w:sz w:val="24"/>
          <w:szCs w:val="24"/>
        </w:rPr>
        <w:t>-320</w:t>
      </w:r>
    </w:p>
    <w:p w14:paraId="70DF4E3A" w14:textId="0CBC9186" w:rsidR="00D4310A" w:rsidRDefault="00D4310A" w:rsidP="00E27833">
      <w:pPr>
        <w:pStyle w:val="ListParagraph"/>
        <w:numPr>
          <w:ilvl w:val="0"/>
          <w:numId w:val="22"/>
        </w:numPr>
        <w:jc w:val="both"/>
        <w:rPr>
          <w:rFonts w:ascii="Times New Roman" w:hAnsi="Times New Roman" w:cs="Times New Roman"/>
          <w:sz w:val="24"/>
          <w:szCs w:val="24"/>
        </w:rPr>
      </w:pPr>
      <w:r w:rsidRPr="00D4310A">
        <w:rPr>
          <w:rFonts w:ascii="Times New Roman" w:hAnsi="Times New Roman" w:cs="Times New Roman"/>
          <w:sz w:val="24"/>
          <w:szCs w:val="24"/>
        </w:rPr>
        <w:t>Singh</w:t>
      </w:r>
      <w:r>
        <w:rPr>
          <w:rFonts w:ascii="Times New Roman" w:hAnsi="Times New Roman" w:cs="Times New Roman"/>
          <w:sz w:val="24"/>
          <w:szCs w:val="24"/>
        </w:rPr>
        <w:t>, J.</w:t>
      </w:r>
      <w:r w:rsidRPr="00D4310A">
        <w:rPr>
          <w:rFonts w:ascii="Times New Roman" w:hAnsi="Times New Roman" w:cs="Times New Roman"/>
          <w:sz w:val="24"/>
          <w:szCs w:val="24"/>
        </w:rPr>
        <w:t xml:space="preserve"> and Powles</w:t>
      </w:r>
      <w:r>
        <w:rPr>
          <w:rFonts w:ascii="Times New Roman" w:hAnsi="Times New Roman" w:cs="Times New Roman"/>
          <w:sz w:val="24"/>
          <w:szCs w:val="24"/>
        </w:rPr>
        <w:t>, J.</w:t>
      </w:r>
      <w:r w:rsidRPr="00D4310A">
        <w:rPr>
          <w:rFonts w:ascii="Times New Roman" w:hAnsi="Times New Roman" w:cs="Times New Roman"/>
          <w:sz w:val="24"/>
          <w:szCs w:val="24"/>
        </w:rPr>
        <w:t xml:space="preserve"> ‘Why the internet of things favours dominance’ (Guardian, 24 July 2015) &lt;https://www.theguardian.com/technology/2015/jul/24/internet-of-things-centralisation-dominance&gt; accessed 9 October 2020</w:t>
      </w:r>
    </w:p>
    <w:p w14:paraId="5995FA39"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Sluijs, J</w:t>
      </w:r>
      <w:r>
        <w:rPr>
          <w:rFonts w:ascii="Times New Roman" w:hAnsi="Times New Roman" w:cs="Times New Roman"/>
          <w:sz w:val="24"/>
          <w:szCs w:val="24"/>
        </w:rPr>
        <w:t>.</w:t>
      </w:r>
      <w:r w:rsidRPr="00D40D37">
        <w:rPr>
          <w:rFonts w:ascii="Times New Roman" w:hAnsi="Times New Roman" w:cs="Times New Roman"/>
          <w:sz w:val="24"/>
          <w:szCs w:val="24"/>
        </w:rPr>
        <w:t xml:space="preserve"> P.</w:t>
      </w:r>
      <w:r>
        <w:rPr>
          <w:rFonts w:ascii="Times New Roman" w:hAnsi="Times New Roman" w:cs="Times New Roman"/>
          <w:sz w:val="24"/>
          <w:szCs w:val="24"/>
        </w:rPr>
        <w:t>,</w:t>
      </w:r>
      <w:r w:rsidRPr="00D40D37">
        <w:rPr>
          <w:rFonts w:ascii="Times New Roman" w:hAnsi="Times New Roman" w:cs="Times New Roman"/>
          <w:sz w:val="24"/>
          <w:szCs w:val="24"/>
        </w:rPr>
        <w:t xml:space="preserve"> Larouche</w:t>
      </w:r>
      <w:r>
        <w:rPr>
          <w:rFonts w:ascii="Times New Roman" w:hAnsi="Times New Roman" w:cs="Times New Roman"/>
          <w:sz w:val="24"/>
          <w:szCs w:val="24"/>
        </w:rPr>
        <w:t>, P.</w:t>
      </w:r>
      <w:r w:rsidRPr="00D40D37">
        <w:rPr>
          <w:rFonts w:ascii="Times New Roman" w:hAnsi="Times New Roman" w:cs="Times New Roman"/>
          <w:sz w:val="24"/>
          <w:szCs w:val="24"/>
        </w:rPr>
        <w:t xml:space="preserve"> and Sauter, W</w:t>
      </w:r>
      <w:r>
        <w:rPr>
          <w:rFonts w:ascii="Times New Roman" w:hAnsi="Times New Roman" w:cs="Times New Roman"/>
          <w:sz w:val="24"/>
          <w:szCs w:val="24"/>
        </w:rPr>
        <w:t>.</w:t>
      </w:r>
      <w:r w:rsidRPr="00D40D37">
        <w:rPr>
          <w:rFonts w:ascii="Times New Roman" w:hAnsi="Times New Roman" w:cs="Times New Roman"/>
          <w:sz w:val="24"/>
          <w:szCs w:val="24"/>
        </w:rPr>
        <w:t xml:space="preserve"> ‘Cloud Computing in the EU Policy Sphere: Interoperability, Vertical Integration and the Internal Market’ [2012] 3 JIPITEC</w:t>
      </w:r>
      <w:r>
        <w:rPr>
          <w:rFonts w:ascii="Times New Roman" w:hAnsi="Times New Roman" w:cs="Times New Roman"/>
          <w:sz w:val="24"/>
          <w:szCs w:val="24"/>
        </w:rPr>
        <w:t>,</w:t>
      </w:r>
      <w:r w:rsidRPr="00D40D37">
        <w:rPr>
          <w:rFonts w:ascii="Times New Roman" w:hAnsi="Times New Roman" w:cs="Times New Roman"/>
          <w:sz w:val="24"/>
          <w:szCs w:val="24"/>
        </w:rPr>
        <w:t xml:space="preserve"> 12</w:t>
      </w:r>
      <w:r>
        <w:rPr>
          <w:rFonts w:ascii="Times New Roman" w:hAnsi="Times New Roman" w:cs="Times New Roman"/>
          <w:sz w:val="24"/>
          <w:szCs w:val="24"/>
        </w:rPr>
        <w:t>-32</w:t>
      </w:r>
    </w:p>
    <w:p w14:paraId="69AD4AD9"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Staniszewski, P</w:t>
      </w:r>
      <w:r>
        <w:rPr>
          <w:rFonts w:ascii="Times New Roman" w:hAnsi="Times New Roman" w:cs="Times New Roman"/>
          <w:sz w:val="24"/>
          <w:szCs w:val="24"/>
        </w:rPr>
        <w:t>.</w:t>
      </w:r>
      <w:r w:rsidRPr="00D40D37">
        <w:rPr>
          <w:rFonts w:ascii="Times New Roman" w:hAnsi="Times New Roman" w:cs="Times New Roman"/>
          <w:sz w:val="24"/>
          <w:szCs w:val="24"/>
        </w:rPr>
        <w:t xml:space="preserve"> ‘The interplay between IP rights and competition law in the context of standardization’ [2007] 2(10) Journal of Intellectual Property Law and Practice, 666-681</w:t>
      </w:r>
    </w:p>
    <w:p w14:paraId="381D677C"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Stocker</w:t>
      </w:r>
      <w:r>
        <w:rPr>
          <w:rFonts w:ascii="Times New Roman" w:hAnsi="Times New Roman" w:cs="Times New Roman"/>
          <w:sz w:val="24"/>
          <w:szCs w:val="24"/>
        </w:rPr>
        <w:t>, V.</w:t>
      </w:r>
      <w:r w:rsidRPr="00D40D37">
        <w:rPr>
          <w:rFonts w:ascii="Times New Roman" w:hAnsi="Times New Roman" w:cs="Times New Roman"/>
          <w:sz w:val="24"/>
          <w:szCs w:val="24"/>
        </w:rPr>
        <w:t xml:space="preserve"> ‘Interconnection and Capacity Allocation for all-IP Networks: Walled Gardens or Full Integration?’ (43rd TPRC Conference, Arlington, September 2015)</w:t>
      </w:r>
    </w:p>
    <w:p w14:paraId="5B17D52A"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Stocker,</w:t>
      </w:r>
      <w:r>
        <w:rPr>
          <w:rFonts w:ascii="Times New Roman" w:hAnsi="Times New Roman" w:cs="Times New Roman"/>
          <w:sz w:val="24"/>
          <w:szCs w:val="24"/>
        </w:rPr>
        <w:t xml:space="preserve"> V.,</w:t>
      </w:r>
      <w:r w:rsidRPr="00D40D37">
        <w:rPr>
          <w:rFonts w:ascii="Times New Roman" w:hAnsi="Times New Roman" w:cs="Times New Roman"/>
          <w:sz w:val="24"/>
          <w:szCs w:val="24"/>
        </w:rPr>
        <w:t xml:space="preserve"> Smaragdakis,</w:t>
      </w:r>
      <w:r>
        <w:rPr>
          <w:rFonts w:ascii="Times New Roman" w:hAnsi="Times New Roman" w:cs="Times New Roman"/>
          <w:sz w:val="24"/>
          <w:szCs w:val="24"/>
        </w:rPr>
        <w:t xml:space="preserve"> G.,</w:t>
      </w:r>
      <w:r w:rsidRPr="00D40D37">
        <w:rPr>
          <w:rFonts w:ascii="Times New Roman" w:hAnsi="Times New Roman" w:cs="Times New Roman"/>
          <w:sz w:val="24"/>
          <w:szCs w:val="24"/>
        </w:rPr>
        <w:t xml:space="preserve"> Lehr</w:t>
      </w:r>
      <w:r>
        <w:rPr>
          <w:rFonts w:ascii="Times New Roman" w:hAnsi="Times New Roman" w:cs="Times New Roman"/>
          <w:sz w:val="24"/>
          <w:szCs w:val="24"/>
        </w:rPr>
        <w:t>, W.</w:t>
      </w:r>
      <w:r w:rsidRPr="00D40D37">
        <w:rPr>
          <w:rFonts w:ascii="Times New Roman" w:hAnsi="Times New Roman" w:cs="Times New Roman"/>
          <w:sz w:val="24"/>
          <w:szCs w:val="24"/>
        </w:rPr>
        <w:t xml:space="preserve"> and Bauer,</w:t>
      </w:r>
      <w:r>
        <w:rPr>
          <w:rFonts w:ascii="Times New Roman" w:hAnsi="Times New Roman" w:cs="Times New Roman"/>
          <w:sz w:val="24"/>
          <w:szCs w:val="24"/>
        </w:rPr>
        <w:t xml:space="preserve"> S.</w:t>
      </w:r>
      <w:r w:rsidRPr="00D40D37">
        <w:rPr>
          <w:rFonts w:ascii="Times New Roman" w:hAnsi="Times New Roman" w:cs="Times New Roman"/>
          <w:sz w:val="24"/>
          <w:szCs w:val="24"/>
        </w:rPr>
        <w:t xml:space="preserve"> ‘The growing complexity of content delivery networks: Challenges and implications for the Internet ecosystem’ [2017] 41(10) Telecommunications Policy</w:t>
      </w:r>
      <w:r>
        <w:rPr>
          <w:rFonts w:ascii="Times New Roman" w:hAnsi="Times New Roman" w:cs="Times New Roman"/>
          <w:sz w:val="24"/>
          <w:szCs w:val="24"/>
        </w:rPr>
        <w:t>,</w:t>
      </w:r>
      <w:r w:rsidRPr="00D40D37">
        <w:rPr>
          <w:rFonts w:ascii="Times New Roman" w:hAnsi="Times New Roman" w:cs="Times New Roman"/>
          <w:sz w:val="24"/>
          <w:szCs w:val="24"/>
        </w:rPr>
        <w:t xml:space="preserve"> 1003-1016</w:t>
      </w:r>
    </w:p>
    <w:p w14:paraId="3C599349" w14:textId="3D524250"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The Open Group, ‘Cloud Computing Portability and Interoperability’ ˂http://www.opengroup.org/cloud/cloud_iop/p3.htm˃ accessed </w:t>
      </w:r>
      <w:r w:rsidR="00F817B5">
        <w:rPr>
          <w:rFonts w:ascii="Times New Roman" w:hAnsi="Times New Roman" w:cs="Times New Roman"/>
          <w:sz w:val="24"/>
          <w:szCs w:val="24"/>
          <w:lang w:val="en-US"/>
        </w:rPr>
        <w:t>9 October 2020</w:t>
      </w:r>
    </w:p>
    <w:p w14:paraId="537427FE" w14:textId="17C6C391"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United Nations Conference on Trade and Development (UNCTAD) (Trade and Development Board Commission on Investment, Technology and Related Financial Issues), </w:t>
      </w:r>
      <w:r w:rsidRPr="00D40D37">
        <w:rPr>
          <w:rFonts w:ascii="Times New Roman" w:hAnsi="Times New Roman" w:cs="Times New Roman"/>
          <w:i/>
          <w:iCs/>
          <w:sz w:val="24"/>
          <w:szCs w:val="24"/>
        </w:rPr>
        <w:t>Competition Policy and the Exercise of Intellectual Property Rights</w:t>
      </w:r>
      <w:r w:rsidRPr="00D40D37">
        <w:rPr>
          <w:rFonts w:ascii="Times New Roman" w:hAnsi="Times New Roman" w:cs="Times New Roman"/>
          <w:sz w:val="24"/>
          <w:szCs w:val="24"/>
        </w:rPr>
        <w:t xml:space="preserve"> (Report by the UNCTAD Secretariat, 2008) ˂http://unctad.org/en/Docs/c2clpd68_en.pdf˃ accessed </w:t>
      </w:r>
      <w:r w:rsidR="00F817B5">
        <w:rPr>
          <w:rFonts w:ascii="Times New Roman" w:hAnsi="Times New Roman" w:cs="Times New Roman"/>
          <w:sz w:val="24"/>
          <w:szCs w:val="24"/>
        </w:rPr>
        <w:t>9 October 2020</w:t>
      </w:r>
    </w:p>
    <w:p w14:paraId="2A2F1843"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 xml:space="preserve">Unver, </w:t>
      </w:r>
      <w:r>
        <w:rPr>
          <w:rFonts w:ascii="Times New Roman" w:hAnsi="Times New Roman" w:cs="Times New Roman"/>
          <w:sz w:val="24"/>
          <w:szCs w:val="24"/>
          <w:lang w:val="en-US"/>
        </w:rPr>
        <w:t>M. B. ‘</w:t>
      </w:r>
      <w:r w:rsidRPr="00D40D37">
        <w:rPr>
          <w:rFonts w:ascii="Times New Roman" w:hAnsi="Times New Roman" w:cs="Times New Roman"/>
          <w:sz w:val="24"/>
          <w:szCs w:val="24"/>
          <w:lang w:val="en-US"/>
        </w:rPr>
        <w:t>What cloud interoperability connotates for EU policy making: Recurrence of old problems or new ones looming on the horizon?</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[2019] 43 </w:t>
      </w:r>
      <w:r w:rsidRPr="000049D2">
        <w:rPr>
          <w:rFonts w:ascii="Times New Roman" w:hAnsi="Times New Roman" w:cs="Times New Roman"/>
          <w:iCs/>
          <w:sz w:val="24"/>
          <w:szCs w:val="24"/>
          <w:lang w:val="en-US"/>
        </w:rPr>
        <w:t>Telecommunications Policy</w:t>
      </w:r>
      <w:r w:rsidRPr="00D40D37">
        <w:rPr>
          <w:rFonts w:ascii="Times New Roman" w:hAnsi="Times New Roman" w:cs="Times New Roman"/>
          <w:sz w:val="24"/>
          <w:szCs w:val="24"/>
          <w:lang w:val="en-US"/>
        </w:rPr>
        <w:t xml:space="preserve">, </w:t>
      </w:r>
      <w:r w:rsidRPr="008713ED">
        <w:rPr>
          <w:rFonts w:ascii="Times New Roman" w:hAnsi="Times New Roman" w:cs="Times New Roman"/>
          <w:sz w:val="24"/>
          <w:szCs w:val="24"/>
          <w:lang w:val="en-US"/>
        </w:rPr>
        <w:t xml:space="preserve">154-170 </w:t>
      </w:r>
    </w:p>
    <w:p w14:paraId="6BC285C6"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Unver, M</w:t>
      </w:r>
      <w:r>
        <w:rPr>
          <w:rFonts w:ascii="Times New Roman" w:hAnsi="Times New Roman" w:cs="Times New Roman"/>
          <w:sz w:val="24"/>
          <w:szCs w:val="24"/>
        </w:rPr>
        <w:t>.</w:t>
      </w:r>
      <w:r w:rsidRPr="00D40D37">
        <w:rPr>
          <w:rFonts w:ascii="Times New Roman" w:hAnsi="Times New Roman" w:cs="Times New Roman"/>
          <w:sz w:val="24"/>
          <w:szCs w:val="24"/>
        </w:rPr>
        <w:t xml:space="preserve"> B</w:t>
      </w:r>
      <w:r>
        <w:rPr>
          <w:rFonts w:ascii="Times New Roman" w:hAnsi="Times New Roman" w:cs="Times New Roman"/>
          <w:sz w:val="24"/>
          <w:szCs w:val="24"/>
        </w:rPr>
        <w:t>.</w:t>
      </w:r>
      <w:r w:rsidRPr="00D40D37">
        <w:rPr>
          <w:rFonts w:ascii="Times New Roman" w:hAnsi="Times New Roman" w:cs="Times New Roman"/>
          <w:sz w:val="24"/>
          <w:szCs w:val="24"/>
        </w:rPr>
        <w:t xml:space="preserve"> ‘Turning the crossroad for a connected world: reshaping the European prospect for the Internet of Things’ [2018] 26(2) International Journal of Law and Information Technology</w:t>
      </w:r>
      <w:r>
        <w:rPr>
          <w:rFonts w:ascii="Times New Roman" w:hAnsi="Times New Roman" w:cs="Times New Roman"/>
          <w:sz w:val="24"/>
          <w:szCs w:val="24"/>
        </w:rPr>
        <w:t>,</w:t>
      </w:r>
      <w:r w:rsidRPr="00D40D37">
        <w:rPr>
          <w:rFonts w:ascii="Times New Roman" w:hAnsi="Times New Roman" w:cs="Times New Roman"/>
          <w:sz w:val="24"/>
          <w:szCs w:val="24"/>
        </w:rPr>
        <w:t xml:space="preserve"> 93</w:t>
      </w:r>
      <w:r>
        <w:rPr>
          <w:rFonts w:ascii="Times New Roman" w:hAnsi="Times New Roman" w:cs="Times New Roman"/>
          <w:sz w:val="24"/>
          <w:szCs w:val="24"/>
        </w:rPr>
        <w:t>-118</w:t>
      </w:r>
    </w:p>
    <w:p w14:paraId="2092E90E"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 xml:space="preserve">Unver, </w:t>
      </w:r>
      <w:r>
        <w:rPr>
          <w:rFonts w:ascii="Times New Roman" w:hAnsi="Times New Roman" w:cs="Times New Roman"/>
          <w:sz w:val="24"/>
          <w:szCs w:val="24"/>
        </w:rPr>
        <w:t xml:space="preserve">M. B. </w:t>
      </w:r>
      <w:r w:rsidRPr="00D40D37">
        <w:rPr>
          <w:rFonts w:ascii="Times New Roman" w:hAnsi="Times New Roman" w:cs="Times New Roman"/>
          <w:sz w:val="24"/>
          <w:szCs w:val="24"/>
        </w:rPr>
        <w:t>‘Is a fine-tuning approach sufficient for EU NGA policy? A global review around the long-lasting debate’ [2015] 11(39)</w:t>
      </w:r>
      <w:r>
        <w:rPr>
          <w:rFonts w:ascii="Times New Roman" w:hAnsi="Times New Roman" w:cs="Times New Roman"/>
          <w:sz w:val="24"/>
          <w:szCs w:val="24"/>
        </w:rPr>
        <w:t xml:space="preserve"> </w:t>
      </w:r>
      <w:r w:rsidRPr="00D40D37">
        <w:rPr>
          <w:rFonts w:ascii="Times New Roman" w:hAnsi="Times New Roman" w:cs="Times New Roman"/>
          <w:sz w:val="24"/>
          <w:szCs w:val="24"/>
        </w:rPr>
        <w:t>Telecommunications Policy</w:t>
      </w:r>
      <w:r>
        <w:rPr>
          <w:rFonts w:ascii="Times New Roman" w:hAnsi="Times New Roman" w:cs="Times New Roman"/>
          <w:sz w:val="24"/>
          <w:szCs w:val="24"/>
        </w:rPr>
        <w:t>,</w:t>
      </w:r>
      <w:r w:rsidRPr="00D40D37">
        <w:rPr>
          <w:rFonts w:ascii="Times New Roman" w:hAnsi="Times New Roman" w:cs="Times New Roman"/>
          <w:sz w:val="24"/>
          <w:szCs w:val="24"/>
        </w:rPr>
        <w:t xml:space="preserve"> 957-979</w:t>
      </w:r>
    </w:p>
    <w:p w14:paraId="3F0375C2"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 xml:space="preserve">Unver, </w:t>
      </w:r>
      <w:r>
        <w:rPr>
          <w:rFonts w:ascii="Times New Roman" w:hAnsi="Times New Roman" w:cs="Times New Roman"/>
          <w:sz w:val="24"/>
          <w:szCs w:val="24"/>
        </w:rPr>
        <w:t xml:space="preserve">M. B. </w:t>
      </w:r>
      <w:r w:rsidRPr="00D40D37">
        <w:rPr>
          <w:rFonts w:ascii="Times New Roman" w:hAnsi="Times New Roman" w:cs="Times New Roman"/>
          <w:sz w:val="24"/>
          <w:szCs w:val="24"/>
        </w:rPr>
        <w:t>‘Essential Facilities Doctrine under EC Competition Law and Particular Implications of the Doctrine for Telecommunications Sectors in EU and Turkey’ (MS Thesis, Middle East Technical University 2004)</w:t>
      </w:r>
    </w:p>
    <w:p w14:paraId="18229162" w14:textId="77777777" w:rsidR="00E2707D" w:rsidRDefault="00E2707D" w:rsidP="00E2707D">
      <w:pPr>
        <w:pStyle w:val="ListParagraph"/>
        <w:numPr>
          <w:ilvl w:val="0"/>
          <w:numId w:val="22"/>
        </w:numPr>
        <w:jc w:val="both"/>
        <w:rPr>
          <w:rFonts w:ascii="Times New Roman" w:hAnsi="Times New Roman"/>
          <w:sz w:val="24"/>
          <w:szCs w:val="24"/>
        </w:rPr>
      </w:pPr>
      <w:r w:rsidRPr="00A4309D">
        <w:rPr>
          <w:rFonts w:ascii="Times New Roman" w:hAnsi="Times New Roman"/>
          <w:sz w:val="24"/>
          <w:szCs w:val="24"/>
        </w:rPr>
        <w:t>Usher-Layser, Nikki</w:t>
      </w:r>
      <w:r>
        <w:rPr>
          <w:rFonts w:ascii="Times New Roman" w:hAnsi="Times New Roman"/>
          <w:sz w:val="24"/>
          <w:szCs w:val="24"/>
        </w:rPr>
        <w:t>.,</w:t>
      </w:r>
      <w:r w:rsidRPr="00A4309D">
        <w:rPr>
          <w:rFonts w:ascii="Times New Roman" w:hAnsi="Times New Roman"/>
          <w:sz w:val="24"/>
          <w:szCs w:val="24"/>
        </w:rPr>
        <w:t xml:space="preserve"> ‘Newsfeed: Facebook, Filtering and News Consumption’ (2016) 96(3) Phi Kappa Phi Forum, 18-21</w:t>
      </w:r>
    </w:p>
    <w:p w14:paraId="10937289" w14:textId="553D343C"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Van den Bulck,</w:t>
      </w:r>
      <w:r>
        <w:rPr>
          <w:rFonts w:ascii="Times New Roman" w:hAnsi="Times New Roman" w:cs="Times New Roman"/>
          <w:sz w:val="24"/>
          <w:szCs w:val="24"/>
          <w:lang w:val="en-US"/>
        </w:rPr>
        <w:t xml:space="preserve"> P.</w:t>
      </w:r>
      <w:r w:rsidRPr="00D40D37">
        <w:rPr>
          <w:rFonts w:ascii="Times New Roman" w:hAnsi="Times New Roman" w:cs="Times New Roman"/>
          <w:sz w:val="24"/>
          <w:szCs w:val="24"/>
          <w:lang w:val="en-US"/>
        </w:rPr>
        <w:t xml:space="preserve"> ‘Patentability of Software’ (</w:t>
      </w:r>
      <w:r w:rsidRPr="00D40D37">
        <w:rPr>
          <w:rFonts w:ascii="Times New Roman" w:hAnsi="Times New Roman" w:cs="Times New Roman"/>
          <w:i/>
          <w:iCs/>
          <w:sz w:val="24"/>
          <w:szCs w:val="24"/>
          <w:lang w:val="en-US"/>
        </w:rPr>
        <w:t>ULYS Net</w:t>
      </w:r>
      <w:r w:rsidRPr="00D40D37">
        <w:rPr>
          <w:rFonts w:ascii="Times New Roman" w:hAnsi="Times New Roman" w:cs="Times New Roman"/>
          <w:sz w:val="24"/>
          <w:szCs w:val="24"/>
          <w:lang w:val="en-US"/>
        </w:rPr>
        <w:t>), ˂https://www.ulys.net/upload/conferences/doc/Patentability%20of%20Software.pps˃ accessed 21 August 2018</w:t>
      </w:r>
    </w:p>
    <w:p w14:paraId="2AE8ACF2" w14:textId="515A9900" w:rsidR="00E2707D" w:rsidRPr="00692824" w:rsidRDefault="00E2707D">
      <w:pPr>
        <w:pStyle w:val="ListParagraph"/>
        <w:numPr>
          <w:ilvl w:val="0"/>
          <w:numId w:val="22"/>
        </w:numPr>
        <w:jc w:val="both"/>
        <w:rPr>
          <w:rFonts w:ascii="Times New Roman" w:hAnsi="Times New Roman"/>
          <w:sz w:val="24"/>
          <w:szCs w:val="24"/>
        </w:rPr>
      </w:pPr>
      <w:r>
        <w:rPr>
          <w:rFonts w:ascii="Times New Roman" w:hAnsi="Times New Roman"/>
          <w:sz w:val="24"/>
          <w:szCs w:val="24"/>
        </w:rPr>
        <w:t>V</w:t>
      </w:r>
      <w:r w:rsidRPr="0094322F">
        <w:rPr>
          <w:rFonts w:ascii="Times New Roman" w:hAnsi="Times New Roman"/>
          <w:sz w:val="24"/>
          <w:szCs w:val="24"/>
        </w:rPr>
        <w:t>an Dijck,</w:t>
      </w:r>
      <w:r>
        <w:rPr>
          <w:rFonts w:ascii="Times New Roman" w:hAnsi="Times New Roman"/>
          <w:sz w:val="24"/>
          <w:szCs w:val="24"/>
        </w:rPr>
        <w:t xml:space="preserve"> J. and</w:t>
      </w:r>
      <w:r w:rsidRPr="0094322F">
        <w:rPr>
          <w:rFonts w:ascii="Times New Roman" w:hAnsi="Times New Roman"/>
          <w:sz w:val="24"/>
          <w:szCs w:val="24"/>
        </w:rPr>
        <w:t xml:space="preserve"> Nieborg</w:t>
      </w:r>
      <w:r>
        <w:rPr>
          <w:rFonts w:ascii="Times New Roman" w:hAnsi="Times New Roman"/>
          <w:sz w:val="24"/>
          <w:szCs w:val="24"/>
        </w:rPr>
        <w:t>, D.</w:t>
      </w:r>
      <w:r w:rsidRPr="0094322F">
        <w:rPr>
          <w:rFonts w:ascii="Times New Roman" w:hAnsi="Times New Roman"/>
          <w:sz w:val="24"/>
          <w:szCs w:val="24"/>
        </w:rPr>
        <w:t xml:space="preserve"> and Poell, </w:t>
      </w:r>
      <w:r>
        <w:rPr>
          <w:rFonts w:ascii="Times New Roman" w:hAnsi="Times New Roman"/>
          <w:sz w:val="24"/>
          <w:szCs w:val="24"/>
        </w:rPr>
        <w:t xml:space="preserve">T., </w:t>
      </w:r>
      <w:r w:rsidRPr="0094322F">
        <w:rPr>
          <w:rFonts w:ascii="Times New Roman" w:hAnsi="Times New Roman"/>
          <w:sz w:val="24"/>
          <w:szCs w:val="24"/>
        </w:rPr>
        <w:t xml:space="preserve">‘Reframing platform power’ (2019) 8(2) Internet Policy Review, 4 &lt;DOI: 10.14763/2019.2.1414&gt; accessed </w:t>
      </w:r>
      <w:r>
        <w:rPr>
          <w:rFonts w:ascii="Times New Roman" w:hAnsi="Times New Roman"/>
          <w:sz w:val="24"/>
          <w:szCs w:val="24"/>
        </w:rPr>
        <w:t>9</w:t>
      </w:r>
      <w:r w:rsidRPr="0094322F">
        <w:rPr>
          <w:rFonts w:ascii="Times New Roman" w:hAnsi="Times New Roman"/>
          <w:sz w:val="24"/>
          <w:szCs w:val="24"/>
        </w:rPr>
        <w:t xml:space="preserve"> </w:t>
      </w:r>
      <w:r>
        <w:rPr>
          <w:rFonts w:ascii="Times New Roman" w:hAnsi="Times New Roman"/>
          <w:sz w:val="24"/>
          <w:szCs w:val="24"/>
        </w:rPr>
        <w:t>Octo</w:t>
      </w:r>
      <w:r w:rsidRPr="0094322F">
        <w:rPr>
          <w:rFonts w:ascii="Times New Roman" w:hAnsi="Times New Roman"/>
          <w:sz w:val="24"/>
          <w:szCs w:val="24"/>
        </w:rPr>
        <w:t>ber 2020</w:t>
      </w:r>
    </w:p>
    <w:p w14:paraId="125792F5" w14:textId="077B93FB" w:rsidR="00E27833" w:rsidRPr="00A70042"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Van Rooijen, A. ‘Devising Ex ante Interoperability Rules: Lessons from the Court of First Instance’s Microsoft Judgment’, [2011] 14 International Journal of Communications Law &amp; Policy</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1</w:t>
      </w:r>
      <w:r>
        <w:rPr>
          <w:rFonts w:ascii="Times New Roman" w:hAnsi="Times New Roman" w:cs="Times New Roman"/>
          <w:sz w:val="24"/>
          <w:szCs w:val="24"/>
          <w:lang w:val="en-US"/>
        </w:rPr>
        <w:t>-37</w:t>
      </w:r>
    </w:p>
    <w:p w14:paraId="02C96BBF" w14:textId="53A23EFF" w:rsidR="00E27833" w:rsidRPr="00D40D37" w:rsidRDefault="00E27833" w:rsidP="00E27833">
      <w:pPr>
        <w:pStyle w:val="ListParagraph"/>
        <w:numPr>
          <w:ilvl w:val="0"/>
          <w:numId w:val="22"/>
        </w:numPr>
        <w:jc w:val="both"/>
        <w:rPr>
          <w:rFonts w:ascii="Times New Roman" w:hAnsi="Times New Roman" w:cs="Times New Roman"/>
          <w:sz w:val="24"/>
          <w:szCs w:val="24"/>
        </w:rPr>
      </w:pPr>
      <w:r>
        <w:rPr>
          <w:rFonts w:ascii="Times New Roman" w:hAnsi="Times New Roman" w:cs="Times New Roman"/>
          <w:sz w:val="24"/>
          <w:szCs w:val="24"/>
        </w:rPr>
        <w:t xml:space="preserve">Vanberg, </w:t>
      </w:r>
      <w:r w:rsidRPr="00D40D37">
        <w:rPr>
          <w:rFonts w:ascii="Times New Roman" w:hAnsi="Times New Roman" w:cs="Times New Roman"/>
          <w:sz w:val="24"/>
          <w:szCs w:val="24"/>
        </w:rPr>
        <w:t>A</w:t>
      </w:r>
      <w:r>
        <w:rPr>
          <w:rFonts w:ascii="Times New Roman" w:hAnsi="Times New Roman" w:cs="Times New Roman"/>
          <w:sz w:val="24"/>
          <w:szCs w:val="24"/>
        </w:rPr>
        <w:t>. D.</w:t>
      </w:r>
      <w:r w:rsidRPr="00D40D37">
        <w:rPr>
          <w:rFonts w:ascii="Times New Roman" w:hAnsi="Times New Roman" w:cs="Times New Roman"/>
          <w:sz w:val="24"/>
          <w:szCs w:val="24"/>
        </w:rPr>
        <w:t xml:space="preserve"> </w:t>
      </w:r>
      <w:r>
        <w:rPr>
          <w:rFonts w:ascii="Times New Roman" w:hAnsi="Times New Roman" w:cs="Times New Roman"/>
          <w:sz w:val="24"/>
          <w:szCs w:val="24"/>
        </w:rPr>
        <w:t>‘</w:t>
      </w:r>
      <w:r w:rsidRPr="00D40D37">
        <w:rPr>
          <w:rFonts w:ascii="Times New Roman" w:hAnsi="Times New Roman" w:cs="Times New Roman"/>
          <w:sz w:val="24"/>
          <w:szCs w:val="24"/>
        </w:rPr>
        <w:t>The Right to Data Portability in the GDPR: What Lessons Can Be Learned from the EU Experience?</w:t>
      </w:r>
      <w:r>
        <w:rPr>
          <w:rFonts w:ascii="Times New Roman" w:hAnsi="Times New Roman" w:cs="Times New Roman"/>
          <w:sz w:val="24"/>
          <w:szCs w:val="24"/>
        </w:rPr>
        <w:t>’</w:t>
      </w:r>
      <w:r w:rsidRPr="00D40D37">
        <w:rPr>
          <w:rFonts w:ascii="Times New Roman" w:hAnsi="Times New Roman" w:cs="Times New Roman"/>
          <w:sz w:val="24"/>
          <w:szCs w:val="24"/>
        </w:rPr>
        <w:t xml:space="preserve"> [2018] 21(7) Journal of Internet Law</w:t>
      </w:r>
      <w:r>
        <w:rPr>
          <w:rFonts w:ascii="Times New Roman" w:hAnsi="Times New Roman" w:cs="Times New Roman"/>
          <w:sz w:val="24"/>
          <w:szCs w:val="24"/>
        </w:rPr>
        <w:t>,</w:t>
      </w:r>
      <w:r w:rsidRPr="00D40D37">
        <w:rPr>
          <w:rFonts w:ascii="Times New Roman" w:hAnsi="Times New Roman" w:cs="Times New Roman"/>
          <w:sz w:val="24"/>
          <w:szCs w:val="24"/>
        </w:rPr>
        <w:t xml:space="preserve"> 11</w:t>
      </w:r>
      <w:r>
        <w:rPr>
          <w:rFonts w:ascii="Times New Roman" w:hAnsi="Times New Roman" w:cs="Times New Roman"/>
          <w:sz w:val="24"/>
          <w:szCs w:val="24"/>
        </w:rPr>
        <w:t>-20</w:t>
      </w:r>
    </w:p>
    <w:p w14:paraId="41785C07" w14:textId="3F49569C" w:rsidR="00E2707D" w:rsidRPr="00692824" w:rsidRDefault="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Vanberg, A</w:t>
      </w:r>
      <w:r>
        <w:rPr>
          <w:rFonts w:ascii="Times New Roman" w:hAnsi="Times New Roman" w:cs="Times New Roman"/>
          <w:sz w:val="24"/>
          <w:szCs w:val="24"/>
        </w:rPr>
        <w:t>.</w:t>
      </w:r>
      <w:r w:rsidRPr="00D40D37">
        <w:rPr>
          <w:rFonts w:ascii="Times New Roman" w:hAnsi="Times New Roman" w:cs="Times New Roman"/>
          <w:sz w:val="24"/>
          <w:szCs w:val="24"/>
        </w:rPr>
        <w:t xml:space="preserve"> D</w:t>
      </w:r>
      <w:r>
        <w:rPr>
          <w:rFonts w:ascii="Times New Roman" w:hAnsi="Times New Roman" w:cs="Times New Roman"/>
          <w:sz w:val="24"/>
          <w:szCs w:val="24"/>
        </w:rPr>
        <w:t>.</w:t>
      </w:r>
      <w:r w:rsidRPr="00D40D37">
        <w:rPr>
          <w:rFonts w:ascii="Times New Roman" w:hAnsi="Times New Roman" w:cs="Times New Roman"/>
          <w:sz w:val="24"/>
          <w:szCs w:val="24"/>
        </w:rPr>
        <w:t xml:space="preserve"> and Unver,</w:t>
      </w:r>
      <w:r>
        <w:rPr>
          <w:rFonts w:ascii="Times New Roman" w:hAnsi="Times New Roman" w:cs="Times New Roman"/>
          <w:sz w:val="24"/>
          <w:szCs w:val="24"/>
        </w:rPr>
        <w:t xml:space="preserve"> M. B.</w:t>
      </w:r>
      <w:r w:rsidRPr="00D40D37">
        <w:rPr>
          <w:rFonts w:ascii="Times New Roman" w:hAnsi="Times New Roman" w:cs="Times New Roman"/>
          <w:sz w:val="24"/>
          <w:szCs w:val="24"/>
        </w:rPr>
        <w:t xml:space="preserve"> ‘The Right to Data Portability in the GDPR and EU Competition Law: Odd Couple or Dynamic Duo?’ </w:t>
      </w:r>
      <w:r>
        <w:rPr>
          <w:rFonts w:ascii="Times New Roman" w:hAnsi="Times New Roman" w:cs="Times New Roman"/>
          <w:sz w:val="24"/>
          <w:szCs w:val="24"/>
        </w:rPr>
        <w:t>(</w:t>
      </w:r>
      <w:r w:rsidRPr="00D40D37">
        <w:rPr>
          <w:rFonts w:ascii="Times New Roman" w:hAnsi="Times New Roman" w:cs="Times New Roman"/>
          <w:sz w:val="24"/>
          <w:szCs w:val="24"/>
        </w:rPr>
        <w:t>2017</w:t>
      </w:r>
      <w:r>
        <w:rPr>
          <w:rFonts w:ascii="Times New Roman" w:hAnsi="Times New Roman" w:cs="Times New Roman"/>
          <w:sz w:val="24"/>
          <w:szCs w:val="24"/>
        </w:rPr>
        <w:t>)</w:t>
      </w:r>
      <w:r w:rsidRPr="00D40D37">
        <w:rPr>
          <w:rFonts w:ascii="Times New Roman" w:hAnsi="Times New Roman" w:cs="Times New Roman"/>
          <w:sz w:val="24"/>
          <w:szCs w:val="24"/>
        </w:rPr>
        <w:t xml:space="preserve"> 8</w:t>
      </w:r>
      <w:r>
        <w:rPr>
          <w:rFonts w:ascii="Times New Roman" w:hAnsi="Times New Roman" w:cs="Times New Roman"/>
          <w:sz w:val="24"/>
          <w:szCs w:val="24"/>
        </w:rPr>
        <w:t>(1)</w:t>
      </w:r>
      <w:r w:rsidRPr="00D40D37">
        <w:rPr>
          <w:rFonts w:ascii="Times New Roman" w:hAnsi="Times New Roman" w:cs="Times New Roman"/>
          <w:sz w:val="24"/>
          <w:szCs w:val="24"/>
        </w:rPr>
        <w:t xml:space="preserve"> European Journal of Law and Technology </w:t>
      </w:r>
      <w:r>
        <w:rPr>
          <w:rFonts w:ascii="Times New Roman" w:hAnsi="Times New Roman" w:cs="Times New Roman"/>
          <w:sz w:val="24"/>
          <w:szCs w:val="24"/>
        </w:rPr>
        <w:t>&lt;</w:t>
      </w:r>
      <w:r w:rsidRPr="008713ED">
        <w:rPr>
          <w:rFonts w:ascii="Times New Roman" w:hAnsi="Times New Roman" w:cs="Times New Roman"/>
          <w:sz w:val="24"/>
          <w:szCs w:val="24"/>
        </w:rPr>
        <w:t>http://ejlt.org/article/view/546</w:t>
      </w:r>
      <w:r>
        <w:rPr>
          <w:rFonts w:ascii="Times New Roman" w:hAnsi="Times New Roman" w:cs="Times New Roman"/>
          <w:sz w:val="24"/>
          <w:szCs w:val="24"/>
        </w:rPr>
        <w:t xml:space="preserve">&gt; accessed </w:t>
      </w:r>
      <w:r w:rsidR="00F817B5">
        <w:rPr>
          <w:rFonts w:ascii="Times New Roman" w:hAnsi="Times New Roman" w:cs="Times New Roman"/>
          <w:sz w:val="24"/>
          <w:szCs w:val="24"/>
        </w:rPr>
        <w:t>9 October 2020</w:t>
      </w:r>
    </w:p>
    <w:p w14:paraId="54A2965D"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Vezzoso,</w:t>
      </w:r>
      <w:r>
        <w:rPr>
          <w:rFonts w:ascii="Times New Roman" w:hAnsi="Times New Roman" w:cs="Times New Roman"/>
          <w:sz w:val="24"/>
          <w:szCs w:val="24"/>
        </w:rPr>
        <w:t xml:space="preserve"> S.</w:t>
      </w:r>
      <w:r w:rsidRPr="00D40D37">
        <w:rPr>
          <w:rFonts w:ascii="Times New Roman" w:hAnsi="Times New Roman" w:cs="Times New Roman"/>
          <w:sz w:val="24"/>
          <w:szCs w:val="24"/>
        </w:rPr>
        <w:t xml:space="preserve"> </w:t>
      </w:r>
      <w:r>
        <w:rPr>
          <w:rFonts w:ascii="Times New Roman" w:hAnsi="Times New Roman" w:cs="Times New Roman"/>
          <w:sz w:val="24"/>
          <w:szCs w:val="24"/>
        </w:rPr>
        <w:t>‘</w:t>
      </w:r>
      <w:r w:rsidRPr="00D40D37">
        <w:rPr>
          <w:rFonts w:ascii="Times New Roman" w:hAnsi="Times New Roman" w:cs="Times New Roman"/>
          <w:sz w:val="24"/>
          <w:szCs w:val="24"/>
        </w:rPr>
        <w:t>Copyright</w:t>
      </w:r>
      <w:r>
        <w:rPr>
          <w:rFonts w:ascii="Times New Roman" w:hAnsi="Times New Roman" w:cs="Times New Roman"/>
          <w:sz w:val="24"/>
          <w:szCs w:val="24"/>
        </w:rPr>
        <w:t xml:space="preserve">, </w:t>
      </w:r>
      <w:r w:rsidRPr="00D40D37">
        <w:rPr>
          <w:rFonts w:ascii="Times New Roman" w:hAnsi="Times New Roman" w:cs="Times New Roman"/>
          <w:sz w:val="24"/>
          <w:szCs w:val="24"/>
        </w:rPr>
        <w:t>Interfaces, and a Possible Atlantic Divide</w:t>
      </w:r>
      <w:r>
        <w:rPr>
          <w:rFonts w:ascii="Times New Roman" w:hAnsi="Times New Roman" w:cs="Times New Roman"/>
          <w:sz w:val="24"/>
          <w:szCs w:val="24"/>
        </w:rPr>
        <w:t xml:space="preserve">’ </w:t>
      </w:r>
      <w:r w:rsidRPr="00D40D37">
        <w:rPr>
          <w:rFonts w:ascii="Times New Roman" w:hAnsi="Times New Roman" w:cs="Times New Roman"/>
          <w:sz w:val="24"/>
          <w:szCs w:val="24"/>
        </w:rPr>
        <w:t xml:space="preserve">[2012] </w:t>
      </w:r>
      <w:r>
        <w:rPr>
          <w:rFonts w:ascii="Times New Roman" w:hAnsi="Times New Roman" w:cs="Times New Roman"/>
          <w:sz w:val="24"/>
          <w:szCs w:val="24"/>
        </w:rPr>
        <w:t xml:space="preserve">2 </w:t>
      </w:r>
      <w:r w:rsidRPr="00D40D37">
        <w:rPr>
          <w:rFonts w:ascii="Times New Roman" w:hAnsi="Times New Roman" w:cs="Times New Roman"/>
          <w:sz w:val="24"/>
          <w:szCs w:val="24"/>
        </w:rPr>
        <w:t>Jipitec</w:t>
      </w:r>
      <w:r>
        <w:rPr>
          <w:rFonts w:ascii="Times New Roman" w:hAnsi="Times New Roman" w:cs="Times New Roman"/>
          <w:sz w:val="24"/>
          <w:szCs w:val="24"/>
        </w:rPr>
        <w:t>,</w:t>
      </w:r>
      <w:r w:rsidRPr="00D40D37">
        <w:rPr>
          <w:rFonts w:ascii="Times New Roman" w:hAnsi="Times New Roman" w:cs="Times New Roman"/>
          <w:sz w:val="24"/>
          <w:szCs w:val="24"/>
        </w:rPr>
        <w:t xml:space="preserve"> 15</w:t>
      </w:r>
      <w:r>
        <w:rPr>
          <w:rFonts w:ascii="Times New Roman" w:hAnsi="Times New Roman" w:cs="Times New Roman"/>
          <w:sz w:val="24"/>
          <w:szCs w:val="24"/>
        </w:rPr>
        <w:t>3-161</w:t>
      </w:r>
    </w:p>
    <w:p w14:paraId="7C6F4333"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Walley,</w:t>
      </w:r>
      <w:r>
        <w:rPr>
          <w:rFonts w:ascii="Times New Roman" w:hAnsi="Times New Roman" w:cs="Times New Roman"/>
          <w:sz w:val="24"/>
          <w:szCs w:val="24"/>
        </w:rPr>
        <w:t xml:space="preserve"> K.</w:t>
      </w:r>
      <w:r w:rsidRPr="00D40D37">
        <w:rPr>
          <w:rFonts w:ascii="Times New Roman" w:hAnsi="Times New Roman" w:cs="Times New Roman"/>
          <w:sz w:val="24"/>
          <w:szCs w:val="24"/>
        </w:rPr>
        <w:t xml:space="preserve"> Coopetition: An Introduction to the Subject and an Agenda for Research [2007] 37(2) International Studies of Management &amp; Organisation, 11-31</w:t>
      </w:r>
    </w:p>
    <w:p w14:paraId="5371FE6D" w14:textId="7B8C7CB4" w:rsidR="00E27833" w:rsidRPr="00DC1845" w:rsidRDefault="00E27833" w:rsidP="00E27833">
      <w:pPr>
        <w:pStyle w:val="ListParagraph"/>
        <w:numPr>
          <w:ilvl w:val="0"/>
          <w:numId w:val="22"/>
        </w:numPr>
        <w:jc w:val="both"/>
        <w:rPr>
          <w:rFonts w:ascii="Times New Roman" w:hAnsi="Times New Roman" w:cs="Times New Roman"/>
          <w:sz w:val="24"/>
          <w:szCs w:val="24"/>
        </w:rPr>
      </w:pPr>
      <w:r w:rsidRPr="00DC1845">
        <w:rPr>
          <w:rFonts w:ascii="Times New Roman" w:hAnsi="Times New Roman" w:cs="Times New Roman"/>
          <w:sz w:val="24"/>
          <w:szCs w:val="24"/>
          <w:lang w:val="en-US"/>
        </w:rPr>
        <w:t xml:space="preserve">Watts, S. ‘SaaS vs PaaS vs IaaS: What’s the difference and how to choose?’ (BMC Blog, 22 September 2017) ˂https://www.bmc.com˃ accessed </w:t>
      </w:r>
      <w:r w:rsidR="00F817B5">
        <w:rPr>
          <w:rFonts w:ascii="Times New Roman" w:hAnsi="Times New Roman" w:cs="Times New Roman"/>
          <w:sz w:val="24"/>
          <w:szCs w:val="24"/>
          <w:lang w:val="en-US"/>
        </w:rPr>
        <w:t>9 October 2020</w:t>
      </w:r>
    </w:p>
    <w:p w14:paraId="573A8206"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tr-TR"/>
        </w:rPr>
        <w:t>Weiser,</w:t>
      </w:r>
      <w:r>
        <w:rPr>
          <w:rFonts w:ascii="Times New Roman" w:hAnsi="Times New Roman" w:cs="Times New Roman"/>
          <w:sz w:val="24"/>
          <w:szCs w:val="24"/>
          <w:lang w:val="tr-TR"/>
        </w:rPr>
        <w:t xml:space="preserve"> P.</w:t>
      </w:r>
      <w:r w:rsidRPr="00D40D37">
        <w:rPr>
          <w:rFonts w:ascii="Times New Roman" w:hAnsi="Times New Roman" w:cs="Times New Roman"/>
          <w:sz w:val="24"/>
          <w:szCs w:val="24"/>
          <w:lang w:val="tr-TR"/>
        </w:rPr>
        <w:t xml:space="preserve"> ‘Networks Unplugged: Towards A Model of Compatibility Regulation Between Information Platforms’ (29th TPRC Conference, Washington, September 2001)</w:t>
      </w:r>
    </w:p>
    <w:p w14:paraId="536BDC12" w14:textId="748E6D35" w:rsidR="00A56ECF" w:rsidRDefault="00A56ECF" w:rsidP="00E27833">
      <w:pPr>
        <w:pStyle w:val="ListParagraph"/>
        <w:numPr>
          <w:ilvl w:val="0"/>
          <w:numId w:val="22"/>
        </w:numPr>
        <w:jc w:val="both"/>
        <w:rPr>
          <w:rFonts w:ascii="Times New Roman" w:hAnsi="Times New Roman" w:cs="Times New Roman"/>
          <w:sz w:val="24"/>
          <w:szCs w:val="24"/>
        </w:rPr>
      </w:pPr>
      <w:r w:rsidRPr="00A56ECF">
        <w:rPr>
          <w:rFonts w:ascii="Times New Roman" w:hAnsi="Times New Roman" w:cs="Times New Roman"/>
          <w:sz w:val="24"/>
          <w:szCs w:val="24"/>
        </w:rPr>
        <w:t>Welbers, K</w:t>
      </w:r>
      <w:r>
        <w:rPr>
          <w:rFonts w:ascii="Times New Roman" w:hAnsi="Times New Roman" w:cs="Times New Roman"/>
          <w:sz w:val="24"/>
          <w:szCs w:val="24"/>
        </w:rPr>
        <w:t>.,</w:t>
      </w:r>
      <w:r w:rsidRPr="00A56ECF">
        <w:rPr>
          <w:rFonts w:ascii="Times New Roman" w:hAnsi="Times New Roman" w:cs="Times New Roman"/>
          <w:sz w:val="24"/>
          <w:szCs w:val="24"/>
        </w:rPr>
        <w:t xml:space="preserve"> </w:t>
      </w:r>
      <w:r>
        <w:rPr>
          <w:rFonts w:ascii="Times New Roman" w:hAnsi="Times New Roman" w:cs="Times New Roman"/>
          <w:sz w:val="24"/>
          <w:szCs w:val="24"/>
        </w:rPr>
        <w:t>‘</w:t>
      </w:r>
      <w:r w:rsidRPr="00A56ECF">
        <w:rPr>
          <w:rFonts w:ascii="Times New Roman" w:hAnsi="Times New Roman" w:cs="Times New Roman"/>
          <w:sz w:val="24"/>
          <w:szCs w:val="24"/>
        </w:rPr>
        <w:t>Gatekeeping in the Digital Age</w:t>
      </w:r>
      <w:r>
        <w:rPr>
          <w:rFonts w:ascii="Times New Roman" w:hAnsi="Times New Roman" w:cs="Times New Roman"/>
          <w:sz w:val="24"/>
          <w:szCs w:val="24"/>
        </w:rPr>
        <w:t>’</w:t>
      </w:r>
      <w:r w:rsidRPr="00A56ECF">
        <w:rPr>
          <w:rFonts w:ascii="Times New Roman" w:hAnsi="Times New Roman" w:cs="Times New Roman"/>
          <w:sz w:val="24"/>
          <w:szCs w:val="24"/>
        </w:rPr>
        <w:t xml:space="preserve"> (PhD Thesis, Vrije Universiteit Amsterdam 2016</w:t>
      </w:r>
      <w:r>
        <w:rPr>
          <w:rFonts w:ascii="Times New Roman" w:hAnsi="Times New Roman" w:cs="Times New Roman"/>
          <w:sz w:val="24"/>
          <w:szCs w:val="24"/>
        </w:rPr>
        <w:t>)</w:t>
      </w:r>
    </w:p>
    <w:p w14:paraId="7A9B05A1" w14:textId="4803C365"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Werbach</w:t>
      </w:r>
      <w:r>
        <w:rPr>
          <w:rFonts w:ascii="Times New Roman" w:hAnsi="Times New Roman" w:cs="Times New Roman"/>
          <w:sz w:val="24"/>
          <w:szCs w:val="24"/>
        </w:rPr>
        <w:t>, K.</w:t>
      </w:r>
      <w:r w:rsidRPr="00D40D37">
        <w:rPr>
          <w:rFonts w:ascii="Times New Roman" w:hAnsi="Times New Roman" w:cs="Times New Roman"/>
          <w:sz w:val="24"/>
          <w:szCs w:val="24"/>
        </w:rPr>
        <w:t xml:space="preserve"> ‘Breaking the Ice: Rethinking Telecommunications Law for the Digital Age’ [2005] 4 Journal on Telecommunications and High Technology Law</w:t>
      </w:r>
      <w:r>
        <w:rPr>
          <w:rFonts w:ascii="Times New Roman" w:hAnsi="Times New Roman" w:cs="Times New Roman"/>
          <w:sz w:val="24"/>
          <w:szCs w:val="24"/>
        </w:rPr>
        <w:t>,</w:t>
      </w:r>
      <w:r w:rsidRPr="00D40D37">
        <w:rPr>
          <w:rFonts w:ascii="Times New Roman" w:hAnsi="Times New Roman" w:cs="Times New Roman"/>
          <w:sz w:val="24"/>
          <w:szCs w:val="24"/>
        </w:rPr>
        <w:t xml:space="preserve"> </w:t>
      </w:r>
      <w:r w:rsidRPr="00D40D37">
        <w:rPr>
          <w:rFonts w:ascii="Times New Roman" w:hAnsi="Times New Roman" w:cs="Times New Roman"/>
          <w:sz w:val="24"/>
          <w:szCs w:val="24"/>
          <w:lang w:val="tr-TR"/>
        </w:rPr>
        <w:t>59</w:t>
      </w:r>
      <w:r>
        <w:rPr>
          <w:rFonts w:ascii="Times New Roman" w:hAnsi="Times New Roman" w:cs="Times New Roman"/>
          <w:sz w:val="24"/>
          <w:szCs w:val="24"/>
          <w:lang w:val="tr-TR"/>
        </w:rPr>
        <w:t>-96</w:t>
      </w:r>
    </w:p>
    <w:p w14:paraId="2833EF72"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tr-TR"/>
        </w:rPr>
        <w:t>Werbach,</w:t>
      </w:r>
      <w:r>
        <w:rPr>
          <w:rFonts w:ascii="Times New Roman" w:hAnsi="Times New Roman" w:cs="Times New Roman"/>
          <w:sz w:val="24"/>
          <w:szCs w:val="24"/>
          <w:lang w:val="tr-TR"/>
        </w:rPr>
        <w:t xml:space="preserve"> K.</w:t>
      </w:r>
      <w:r w:rsidRPr="00D40D37">
        <w:rPr>
          <w:rFonts w:ascii="Times New Roman" w:hAnsi="Times New Roman" w:cs="Times New Roman"/>
          <w:sz w:val="24"/>
          <w:szCs w:val="24"/>
          <w:lang w:val="tr-TR"/>
        </w:rPr>
        <w:t xml:space="preserve"> ‘A Layered Model for Internet Policy’ [2002] 1 Journal on Telecommunications &amp; High Technology Law, 3</w:t>
      </w:r>
      <w:r>
        <w:rPr>
          <w:rFonts w:ascii="Times New Roman" w:hAnsi="Times New Roman" w:cs="Times New Roman"/>
          <w:sz w:val="24"/>
          <w:szCs w:val="24"/>
          <w:lang w:val="tr-TR"/>
        </w:rPr>
        <w:t>7</w:t>
      </w:r>
      <w:r w:rsidRPr="00D40D37">
        <w:rPr>
          <w:rFonts w:ascii="Times New Roman" w:hAnsi="Times New Roman" w:cs="Times New Roman"/>
          <w:sz w:val="24"/>
          <w:szCs w:val="24"/>
          <w:lang w:val="tr-TR"/>
        </w:rPr>
        <w:t>-</w:t>
      </w:r>
      <w:r>
        <w:rPr>
          <w:rFonts w:ascii="Times New Roman" w:hAnsi="Times New Roman" w:cs="Times New Roman"/>
          <w:sz w:val="24"/>
          <w:szCs w:val="24"/>
          <w:lang w:val="tr-TR"/>
        </w:rPr>
        <w:t>68</w:t>
      </w:r>
    </w:p>
    <w:p w14:paraId="6B75A8ED"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Weston, S. ‘Improving interoperability by encouraging the sharing of interface specifications’ [2017] 9(1) Law, Innovation and Technology, 78-116</w:t>
      </w:r>
    </w:p>
    <w:p w14:paraId="1BDE7500" w14:textId="77777777"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Weston, S</w:t>
      </w:r>
      <w:r>
        <w:rPr>
          <w:rFonts w:ascii="Times New Roman" w:hAnsi="Times New Roman" w:cs="Times New Roman"/>
          <w:sz w:val="24"/>
          <w:szCs w:val="24"/>
        </w:rPr>
        <w:t>.</w:t>
      </w:r>
      <w:r w:rsidRPr="00D40D37">
        <w:rPr>
          <w:rFonts w:ascii="Times New Roman" w:hAnsi="Times New Roman" w:cs="Times New Roman"/>
          <w:sz w:val="24"/>
          <w:szCs w:val="24"/>
        </w:rPr>
        <w:t xml:space="preserve"> E. ‘The Legal Regulation of Interoperability in an Oligopolistic Market’ (PhD thesis, Bournemouth University 2015)</w:t>
      </w:r>
    </w:p>
    <w:p w14:paraId="403B3FDD" w14:textId="77777777" w:rsidR="00E27833" w:rsidRPr="0018224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lang w:val="en-US"/>
        </w:rPr>
        <w:t>Whitt,</w:t>
      </w:r>
      <w:r>
        <w:rPr>
          <w:rFonts w:ascii="Times New Roman" w:hAnsi="Times New Roman" w:cs="Times New Roman"/>
          <w:sz w:val="24"/>
          <w:szCs w:val="24"/>
          <w:lang w:val="en-US"/>
        </w:rPr>
        <w:t xml:space="preserve"> </w:t>
      </w:r>
      <w:r w:rsidRPr="00D40D37">
        <w:rPr>
          <w:rFonts w:ascii="Times New Roman" w:hAnsi="Times New Roman" w:cs="Times New Roman"/>
          <w:sz w:val="24"/>
          <w:szCs w:val="24"/>
          <w:lang w:val="en-US"/>
        </w:rPr>
        <w:t>R</w:t>
      </w:r>
      <w:r>
        <w:rPr>
          <w:rFonts w:ascii="Times New Roman" w:hAnsi="Times New Roman" w:cs="Times New Roman"/>
          <w:sz w:val="24"/>
          <w:szCs w:val="24"/>
          <w:lang w:val="en-US"/>
        </w:rPr>
        <w:t>.</w:t>
      </w:r>
      <w:r w:rsidRPr="00D40D37">
        <w:rPr>
          <w:rFonts w:ascii="Times New Roman" w:hAnsi="Times New Roman" w:cs="Times New Roman"/>
          <w:sz w:val="24"/>
          <w:szCs w:val="24"/>
          <w:lang w:val="en-US"/>
        </w:rPr>
        <w:t xml:space="preserve"> S. ‘A horizontal leap forward: formulating a new public policy framework based on the network layers model’ [2003] 56(3) Federal Communications Law Journal, 587-672</w:t>
      </w:r>
    </w:p>
    <w:p w14:paraId="3C0DEA56"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lastRenderedPageBreak/>
        <w:t>Wilding</w:t>
      </w:r>
      <w:r>
        <w:rPr>
          <w:rFonts w:ascii="Times New Roman" w:hAnsi="Times New Roman" w:cs="Times New Roman"/>
          <w:sz w:val="24"/>
          <w:szCs w:val="24"/>
        </w:rPr>
        <w:t>,</w:t>
      </w:r>
      <w:r w:rsidRPr="00D40D37">
        <w:rPr>
          <w:rFonts w:ascii="Times New Roman" w:hAnsi="Times New Roman" w:cs="Times New Roman"/>
          <w:sz w:val="24"/>
          <w:szCs w:val="24"/>
        </w:rPr>
        <w:t xml:space="preserve"> D</w:t>
      </w:r>
      <w:r>
        <w:rPr>
          <w:rFonts w:ascii="Times New Roman" w:hAnsi="Times New Roman" w:cs="Times New Roman"/>
          <w:sz w:val="24"/>
          <w:szCs w:val="24"/>
        </w:rPr>
        <w:t>.</w:t>
      </w:r>
      <w:r w:rsidRPr="00D40D37">
        <w:rPr>
          <w:rFonts w:ascii="Times New Roman" w:hAnsi="Times New Roman" w:cs="Times New Roman"/>
          <w:sz w:val="24"/>
          <w:szCs w:val="24"/>
        </w:rPr>
        <w:t xml:space="preserve"> and King, I</w:t>
      </w:r>
      <w:r>
        <w:rPr>
          <w:rFonts w:ascii="Times New Roman" w:hAnsi="Times New Roman" w:cs="Times New Roman"/>
          <w:sz w:val="24"/>
          <w:szCs w:val="24"/>
        </w:rPr>
        <w:t>.</w:t>
      </w:r>
      <w:r w:rsidRPr="00D40D37">
        <w:rPr>
          <w:rFonts w:ascii="Times New Roman" w:hAnsi="Times New Roman" w:cs="Times New Roman"/>
          <w:sz w:val="24"/>
          <w:szCs w:val="24"/>
        </w:rPr>
        <w:t xml:space="preserve"> ‘Reviewing the Layered Model’ [2018] 46(1) InterMEDIA</w:t>
      </w:r>
      <w:r w:rsidRPr="00D40D37">
        <w:rPr>
          <w:rFonts w:ascii="Times New Roman" w:hAnsi="Times New Roman" w:cs="Times New Roman"/>
          <w:i/>
          <w:iCs/>
          <w:sz w:val="24"/>
          <w:szCs w:val="24"/>
        </w:rPr>
        <w:t>,</w:t>
      </w:r>
      <w:r w:rsidRPr="00D40D37">
        <w:rPr>
          <w:rFonts w:ascii="Times New Roman" w:hAnsi="Times New Roman" w:cs="Times New Roman"/>
          <w:sz w:val="24"/>
          <w:szCs w:val="24"/>
        </w:rPr>
        <w:t xml:space="preserve"> 13-17</w:t>
      </w:r>
    </w:p>
    <w:p w14:paraId="7CE3B20A" w14:textId="57990405" w:rsidR="00E27833" w:rsidRPr="00D40D37"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World Intellectual Property Organisation (WIPO) ‘What is a Trade Secret?’ &lt;</w:t>
      </w:r>
      <w:hyperlink r:id="rId52" w:history="1">
        <w:r w:rsidRPr="00D40D37">
          <w:rPr>
            <w:rFonts w:ascii="Times New Roman" w:hAnsi="Times New Roman" w:cs="Times New Roman"/>
            <w:sz w:val="24"/>
            <w:szCs w:val="24"/>
          </w:rPr>
          <w:t>https://www.wipo.int/sme/en/ip_business/trade_secrets/trade_secrets.htm</w:t>
        </w:r>
      </w:hyperlink>
      <w:r w:rsidRPr="00D40D37">
        <w:rPr>
          <w:rFonts w:ascii="Times New Roman" w:hAnsi="Times New Roman" w:cs="Times New Roman"/>
          <w:sz w:val="24"/>
          <w:szCs w:val="24"/>
        </w:rPr>
        <w:t xml:space="preserve">˃ accessed </w:t>
      </w:r>
      <w:r w:rsidR="00F817B5">
        <w:rPr>
          <w:rFonts w:ascii="Times New Roman" w:hAnsi="Times New Roman" w:cs="Times New Roman"/>
          <w:sz w:val="24"/>
          <w:szCs w:val="24"/>
        </w:rPr>
        <w:t>9 October 2020</w:t>
      </w:r>
    </w:p>
    <w:p w14:paraId="463230CE" w14:textId="68DF8315"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Wrobel, G</w:t>
      </w:r>
      <w:r>
        <w:rPr>
          <w:rFonts w:ascii="Times New Roman" w:hAnsi="Times New Roman" w:cs="Times New Roman"/>
          <w:sz w:val="24"/>
          <w:szCs w:val="24"/>
        </w:rPr>
        <w:t>.</w:t>
      </w:r>
      <w:r w:rsidRPr="00D40D37">
        <w:rPr>
          <w:rFonts w:ascii="Times New Roman" w:hAnsi="Times New Roman" w:cs="Times New Roman"/>
          <w:sz w:val="24"/>
          <w:szCs w:val="24"/>
        </w:rPr>
        <w:t xml:space="preserve"> G. ‘Connecting Antitrust Standards to the Internet of Things’ [2014] 29(1) Antitrust ABA</w:t>
      </w:r>
      <w:r>
        <w:rPr>
          <w:rFonts w:ascii="Times New Roman" w:hAnsi="Times New Roman" w:cs="Times New Roman"/>
          <w:sz w:val="24"/>
          <w:szCs w:val="24"/>
        </w:rPr>
        <w:t>,</w:t>
      </w:r>
      <w:r w:rsidRPr="00D40D37">
        <w:rPr>
          <w:rFonts w:ascii="Times New Roman" w:hAnsi="Times New Roman" w:cs="Times New Roman"/>
          <w:sz w:val="24"/>
          <w:szCs w:val="24"/>
        </w:rPr>
        <w:t xml:space="preserve"> 62-70</w:t>
      </w:r>
    </w:p>
    <w:p w14:paraId="61B4A454" w14:textId="6E2992C4" w:rsidR="00E2707D" w:rsidRPr="00692824" w:rsidRDefault="00E2707D">
      <w:pPr>
        <w:pStyle w:val="ListParagraph"/>
        <w:numPr>
          <w:ilvl w:val="0"/>
          <w:numId w:val="22"/>
        </w:numPr>
        <w:jc w:val="both"/>
        <w:rPr>
          <w:rFonts w:ascii="Times New Roman" w:hAnsi="Times New Roman" w:cs="Times New Roman"/>
          <w:sz w:val="24"/>
          <w:szCs w:val="24"/>
        </w:rPr>
      </w:pPr>
      <w:r w:rsidRPr="00681B91">
        <w:rPr>
          <w:rFonts w:ascii="Times New Roman" w:hAnsi="Times New Roman"/>
          <w:sz w:val="24"/>
          <w:szCs w:val="24"/>
        </w:rPr>
        <w:t>Yeung,</w:t>
      </w:r>
      <w:r>
        <w:rPr>
          <w:rFonts w:ascii="Times New Roman" w:hAnsi="Times New Roman"/>
          <w:sz w:val="24"/>
          <w:szCs w:val="24"/>
        </w:rPr>
        <w:t xml:space="preserve"> K.,</w:t>
      </w:r>
      <w:r w:rsidRPr="00681B91">
        <w:rPr>
          <w:rFonts w:ascii="Times New Roman" w:hAnsi="Times New Roman"/>
          <w:sz w:val="24"/>
          <w:szCs w:val="24"/>
        </w:rPr>
        <w:t xml:space="preserve"> ‘Why worry about decision-making by machine?’ in K. Yeung and M. Lodge (eds) Algorithmic Regulation (OUP, 2019)</w:t>
      </w:r>
      <w:r>
        <w:rPr>
          <w:rFonts w:ascii="Times New Roman" w:hAnsi="Times New Roman"/>
          <w:sz w:val="24"/>
          <w:szCs w:val="24"/>
        </w:rPr>
        <w:t xml:space="preserve"> </w:t>
      </w:r>
      <w:r w:rsidRPr="00681B91">
        <w:rPr>
          <w:rFonts w:ascii="Times New Roman" w:hAnsi="Times New Roman"/>
          <w:sz w:val="24"/>
          <w:szCs w:val="24"/>
        </w:rPr>
        <w:t>21-48</w:t>
      </w:r>
    </w:p>
    <w:p w14:paraId="0E871C64"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Yoo,</w:t>
      </w:r>
      <w:r>
        <w:rPr>
          <w:rFonts w:ascii="Times New Roman" w:hAnsi="Times New Roman" w:cs="Times New Roman"/>
          <w:sz w:val="24"/>
          <w:szCs w:val="24"/>
        </w:rPr>
        <w:t xml:space="preserve"> C.</w:t>
      </w:r>
      <w:r w:rsidRPr="00D40D37">
        <w:rPr>
          <w:rFonts w:ascii="Times New Roman" w:hAnsi="Times New Roman" w:cs="Times New Roman"/>
          <w:sz w:val="24"/>
          <w:szCs w:val="24"/>
        </w:rPr>
        <w:t xml:space="preserve"> ‘Protocol Layering and Internet Policy’ [2013] 161 University of Pennsylvania Law Review</w:t>
      </w:r>
      <w:r>
        <w:rPr>
          <w:rFonts w:ascii="Times New Roman" w:hAnsi="Times New Roman" w:cs="Times New Roman"/>
          <w:sz w:val="24"/>
          <w:szCs w:val="24"/>
        </w:rPr>
        <w:t>,</w:t>
      </w:r>
      <w:r w:rsidRPr="00D40D37">
        <w:rPr>
          <w:rFonts w:ascii="Times New Roman" w:hAnsi="Times New Roman" w:cs="Times New Roman"/>
          <w:sz w:val="24"/>
          <w:szCs w:val="24"/>
        </w:rPr>
        <w:t xml:space="preserve"> 1707</w:t>
      </w:r>
      <w:r>
        <w:rPr>
          <w:rFonts w:ascii="Times New Roman" w:hAnsi="Times New Roman" w:cs="Times New Roman"/>
          <w:sz w:val="24"/>
          <w:szCs w:val="24"/>
        </w:rPr>
        <w:t>-</w:t>
      </w:r>
      <w:r w:rsidRPr="00D40D37">
        <w:rPr>
          <w:rFonts w:ascii="Times New Roman" w:hAnsi="Times New Roman" w:cs="Times New Roman"/>
          <w:sz w:val="24"/>
          <w:szCs w:val="24"/>
        </w:rPr>
        <w:t>17</w:t>
      </w:r>
      <w:r>
        <w:rPr>
          <w:rFonts w:ascii="Times New Roman" w:hAnsi="Times New Roman" w:cs="Times New Roman"/>
          <w:sz w:val="24"/>
          <w:szCs w:val="24"/>
        </w:rPr>
        <w:t>71</w:t>
      </w:r>
    </w:p>
    <w:p w14:paraId="7058DBBA" w14:textId="77777777" w:rsidR="00E27833" w:rsidRPr="00AD5842"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Yoo, C</w:t>
      </w:r>
      <w:r>
        <w:rPr>
          <w:rFonts w:ascii="Times New Roman" w:hAnsi="Times New Roman" w:cs="Times New Roman"/>
          <w:sz w:val="24"/>
          <w:szCs w:val="24"/>
        </w:rPr>
        <w:t>.</w:t>
      </w:r>
      <w:r w:rsidRPr="00D40D37">
        <w:rPr>
          <w:rFonts w:ascii="Times New Roman" w:hAnsi="Times New Roman" w:cs="Times New Roman"/>
          <w:sz w:val="24"/>
          <w:szCs w:val="24"/>
        </w:rPr>
        <w:t xml:space="preserve"> S. ‘Cloud Computing: Architectural and Policy Implications’ [2011] 38 Review of Industrial Organization</w:t>
      </w:r>
      <w:r>
        <w:rPr>
          <w:rFonts w:ascii="Times New Roman" w:hAnsi="Times New Roman" w:cs="Times New Roman"/>
          <w:sz w:val="24"/>
          <w:szCs w:val="24"/>
        </w:rPr>
        <w:t>,</w:t>
      </w:r>
      <w:r w:rsidRPr="00D40D37">
        <w:rPr>
          <w:rFonts w:ascii="Times New Roman" w:hAnsi="Times New Roman" w:cs="Times New Roman"/>
          <w:sz w:val="24"/>
          <w:szCs w:val="24"/>
        </w:rPr>
        <w:t xml:space="preserve"> 405-421</w:t>
      </w:r>
    </w:p>
    <w:p w14:paraId="1BF25FA4" w14:textId="77777777" w:rsidR="00E27833" w:rsidRDefault="00E27833" w:rsidP="00E27833">
      <w:pPr>
        <w:pStyle w:val="ListParagraph"/>
        <w:numPr>
          <w:ilvl w:val="0"/>
          <w:numId w:val="22"/>
        </w:numPr>
        <w:jc w:val="both"/>
        <w:rPr>
          <w:rFonts w:ascii="Times New Roman" w:hAnsi="Times New Roman" w:cs="Times New Roman"/>
          <w:sz w:val="24"/>
          <w:szCs w:val="24"/>
        </w:rPr>
      </w:pPr>
      <w:r w:rsidRPr="00D40D37">
        <w:rPr>
          <w:rFonts w:ascii="Times New Roman" w:hAnsi="Times New Roman" w:cs="Times New Roman"/>
          <w:sz w:val="24"/>
          <w:szCs w:val="24"/>
        </w:rPr>
        <w:t>Zhang,</w:t>
      </w:r>
      <w:r>
        <w:rPr>
          <w:rFonts w:ascii="Times New Roman" w:hAnsi="Times New Roman" w:cs="Times New Roman"/>
          <w:sz w:val="24"/>
          <w:szCs w:val="24"/>
        </w:rPr>
        <w:t xml:space="preserve"> S.</w:t>
      </w:r>
      <w:r w:rsidRPr="00D40D37">
        <w:rPr>
          <w:rFonts w:ascii="Times New Roman" w:hAnsi="Times New Roman" w:cs="Times New Roman"/>
          <w:sz w:val="24"/>
          <w:szCs w:val="24"/>
        </w:rPr>
        <w:t xml:space="preserve"> ‘How have network effects affected the European Commission’s enforcement of competition law in technology enabled markets?’ [2015] 36 European Competition Law Review</w:t>
      </w:r>
      <w:r>
        <w:rPr>
          <w:rFonts w:ascii="Times New Roman" w:hAnsi="Times New Roman" w:cs="Times New Roman"/>
          <w:sz w:val="24"/>
          <w:szCs w:val="24"/>
        </w:rPr>
        <w:t>,</w:t>
      </w:r>
      <w:r w:rsidRPr="00D40D37">
        <w:rPr>
          <w:rFonts w:ascii="Times New Roman" w:hAnsi="Times New Roman" w:cs="Times New Roman"/>
          <w:sz w:val="24"/>
          <w:szCs w:val="24"/>
        </w:rPr>
        <w:t xml:space="preserve"> 82</w:t>
      </w:r>
      <w:r>
        <w:rPr>
          <w:rFonts w:ascii="Times New Roman" w:hAnsi="Times New Roman" w:cs="Times New Roman"/>
          <w:sz w:val="24"/>
          <w:szCs w:val="24"/>
        </w:rPr>
        <w:t>-92</w:t>
      </w:r>
    </w:p>
    <w:p w14:paraId="3C4BCDCD" w14:textId="77777777" w:rsidR="00E27833" w:rsidRPr="0008566E" w:rsidRDefault="00E27833" w:rsidP="00E27833">
      <w:pPr>
        <w:pStyle w:val="ListParagraph"/>
        <w:numPr>
          <w:ilvl w:val="0"/>
          <w:numId w:val="22"/>
        </w:numPr>
        <w:jc w:val="both"/>
        <w:rPr>
          <w:rFonts w:ascii="Times New Roman" w:hAnsi="Times New Roman" w:cs="Times New Roman"/>
          <w:sz w:val="24"/>
          <w:szCs w:val="24"/>
        </w:rPr>
      </w:pPr>
      <w:r w:rsidRPr="0008566E">
        <w:rPr>
          <w:rFonts w:ascii="Times New Roman" w:hAnsi="Times New Roman" w:cs="Times New Roman"/>
          <w:sz w:val="24"/>
          <w:szCs w:val="24"/>
          <w:lang w:val="en-US"/>
        </w:rPr>
        <w:t>Zhou, J., Leppänen, T., Harjula, E., Ylianttila, M., Ojala, T., Yu, C., Jin, H., Tianruo, L. and Huazhong, Y. ‘CloudThings: A Common Architecture for Integrating the Internet of Things with Cloud Computing’ (</w:t>
      </w:r>
      <w:r w:rsidRPr="0008566E">
        <w:rPr>
          <w:rFonts w:ascii="Times New Roman" w:hAnsi="Times New Roman" w:cs="Times New Roman"/>
          <w:sz w:val="24"/>
          <w:szCs w:val="24"/>
        </w:rPr>
        <w:t>2013 IEEE 17th International Conference on Computer Supported Cooperative Work in Design, 27-29 June 2013) 651-657</w:t>
      </w:r>
    </w:p>
    <w:p w14:paraId="4323064B" w14:textId="77777777" w:rsidR="00E27833" w:rsidRPr="006803D4" w:rsidRDefault="00E27833" w:rsidP="00E27833">
      <w:pPr>
        <w:pStyle w:val="ListParagraph"/>
        <w:numPr>
          <w:ilvl w:val="0"/>
          <w:numId w:val="22"/>
        </w:numPr>
        <w:jc w:val="both"/>
        <w:rPr>
          <w:rFonts w:ascii="Times New Roman" w:hAnsi="Times New Roman" w:cs="Times New Roman"/>
          <w:sz w:val="24"/>
          <w:szCs w:val="24"/>
        </w:rPr>
      </w:pPr>
      <w:r w:rsidRPr="006803D4">
        <w:rPr>
          <w:rFonts w:ascii="Times New Roman" w:hAnsi="Times New Roman" w:cs="Times New Roman"/>
          <w:sz w:val="24"/>
          <w:szCs w:val="24"/>
        </w:rPr>
        <w:t>Zingales, N. ‘Of Coffee Pods, Videogames, and Missed Interoperability: Reflections for EU Governance of the Internet of Things’ (2016) TILEC Discussion Paper (DP 2015-026)</w:t>
      </w:r>
    </w:p>
    <w:p w14:paraId="3D15F90B" w14:textId="5230A482" w:rsidR="00712C8A" w:rsidRPr="00774EDB" w:rsidRDefault="00712C8A" w:rsidP="00A70042"/>
    <w:sectPr w:rsidR="00712C8A" w:rsidRPr="00774EDB" w:rsidSect="00DE398F">
      <w:headerReference w:type="even" r:id="rId53"/>
      <w:headerReference w:type="default" r:id="rId54"/>
      <w:footerReference w:type="even" r:id="rId55"/>
      <w:footerReference w:type="default" r:id="rId56"/>
      <w:pgSz w:w="11906" w:h="16838" w:code="9"/>
      <w:pgMar w:top="1418" w:right="1134" w:bottom="1418" w:left="1134" w:header="709" w:footer="851" w:gutter="1418"/>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237F4C" w14:textId="77777777" w:rsidR="005D478B" w:rsidRDefault="005D478B" w:rsidP="00B40CC9">
      <w:pPr>
        <w:spacing w:line="240" w:lineRule="auto"/>
      </w:pPr>
      <w:r>
        <w:separator/>
      </w:r>
    </w:p>
  </w:endnote>
  <w:endnote w:type="continuationSeparator" w:id="0">
    <w:p w14:paraId="5F2C2983" w14:textId="77777777" w:rsidR="005D478B" w:rsidRDefault="005D478B" w:rsidP="00B40CC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TimesNewRomanPSMT">
    <w:altName w:val="Times New Roman"/>
    <w:panose1 w:val="00000000000000000000"/>
    <w:charset w:val="00"/>
    <w:family w:val="roman"/>
    <w:notTrueType/>
    <w:pitch w:val="default"/>
  </w:font>
  <w:font w:name="TimesNewRomanPS-ItalicMT">
    <w:altName w:val="Times New Roman"/>
    <w:panose1 w:val="00000000000000000000"/>
    <w:charset w:val="00"/>
    <w:family w:val="roman"/>
    <w:notTrueType/>
    <w:pitch w:val="default"/>
  </w:font>
  <w:font w:name="TimesNewRomanPS-BoldM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Yu Mincho">
    <w:altName w:val="游明朝"/>
    <w:charset w:val="80"/>
    <w:family w:val="roman"/>
    <w:pitch w:val="variable"/>
    <w:sig w:usb0="800002E7" w:usb1="2AC7FCFF"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imes New Roman" w:hAnsi="Times New Roman" w:cs="Times New Roman"/>
      </w:rPr>
      <w:id w:val="1715086053"/>
      <w:docPartObj>
        <w:docPartGallery w:val="Page Numbers (Bottom of Page)"/>
        <w:docPartUnique/>
      </w:docPartObj>
    </w:sdtPr>
    <w:sdtEndPr/>
    <w:sdtContent>
      <w:p w14:paraId="70CE9487" w14:textId="6B776EB6" w:rsidR="005C0DC6" w:rsidRPr="00A70042" w:rsidRDefault="005C0DC6" w:rsidP="00A70042">
        <w:pPr>
          <w:pStyle w:val="Footer"/>
          <w:jc w:val="right"/>
          <w:rPr>
            <w:rFonts w:ascii="Times New Roman" w:hAnsi="Times New Roman" w:cs="Times New Roman"/>
          </w:rPr>
        </w:pPr>
        <w:r w:rsidRPr="00A70042">
          <w:rPr>
            <w:rFonts w:ascii="Times New Roman" w:hAnsi="Times New Roman" w:cs="Times New Roman"/>
          </w:rPr>
          <w:fldChar w:fldCharType="begin"/>
        </w:r>
        <w:r w:rsidRPr="00A70042">
          <w:rPr>
            <w:rFonts w:ascii="Times New Roman" w:hAnsi="Times New Roman" w:cs="Times New Roman"/>
          </w:rPr>
          <w:instrText>PAGE   \* MERGEFORMAT</w:instrText>
        </w:r>
        <w:r w:rsidRPr="00A70042">
          <w:rPr>
            <w:rFonts w:ascii="Times New Roman" w:hAnsi="Times New Roman" w:cs="Times New Roman"/>
          </w:rPr>
          <w:fldChar w:fldCharType="separate"/>
        </w:r>
        <w:r w:rsidRPr="00A70042">
          <w:rPr>
            <w:rFonts w:ascii="Times New Roman" w:hAnsi="Times New Roman" w:cs="Times New Roman"/>
            <w:lang w:val="tr-TR"/>
          </w:rPr>
          <w:t>2</w:t>
        </w:r>
        <w:r w:rsidRPr="00A70042">
          <w:rPr>
            <w:rFonts w:ascii="Times New Roman" w:hAnsi="Times New Roman" w:cs="Times New Roman"/>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6B8FD8" w14:textId="201EA1C4" w:rsidR="005C0DC6" w:rsidRPr="002D537F" w:rsidRDefault="005C0DC6">
    <w:pPr>
      <w:pStyle w:val="Footer"/>
      <w:jc w:val="right"/>
      <w:rPr>
        <w:rFonts w:ascii="Times New Roman" w:hAnsi="Times New Roman" w:cs="Times New Roman"/>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imes New Roman" w:hAnsi="Times New Roman" w:cs="Times New Roman"/>
      </w:rPr>
      <w:id w:val="-1678116375"/>
      <w:docPartObj>
        <w:docPartGallery w:val="Page Numbers (Bottom of Page)"/>
        <w:docPartUnique/>
      </w:docPartObj>
    </w:sdtPr>
    <w:sdtEndPr/>
    <w:sdtContent>
      <w:p w14:paraId="5DEB5326" w14:textId="77777777" w:rsidR="005C0DC6" w:rsidRPr="00A70042" w:rsidRDefault="005C0DC6" w:rsidP="00A70042">
        <w:pPr>
          <w:pStyle w:val="Footer"/>
          <w:ind w:right="-1136"/>
          <w:jc w:val="right"/>
          <w:rPr>
            <w:rFonts w:ascii="Times New Roman" w:hAnsi="Times New Roman" w:cs="Times New Roman"/>
          </w:rPr>
        </w:pPr>
        <w:r w:rsidRPr="00A70042">
          <w:rPr>
            <w:rFonts w:ascii="Times New Roman" w:hAnsi="Times New Roman" w:cs="Times New Roman"/>
          </w:rPr>
          <w:fldChar w:fldCharType="begin"/>
        </w:r>
        <w:r w:rsidRPr="00A70042">
          <w:rPr>
            <w:rFonts w:ascii="Times New Roman" w:hAnsi="Times New Roman" w:cs="Times New Roman"/>
          </w:rPr>
          <w:instrText>PAGE   \* MERGEFORMAT</w:instrText>
        </w:r>
        <w:r w:rsidRPr="00A70042">
          <w:rPr>
            <w:rFonts w:ascii="Times New Roman" w:hAnsi="Times New Roman" w:cs="Times New Roman"/>
          </w:rPr>
          <w:fldChar w:fldCharType="separate"/>
        </w:r>
        <w:r w:rsidRPr="00A70042">
          <w:rPr>
            <w:rFonts w:ascii="Times New Roman" w:hAnsi="Times New Roman" w:cs="Times New Roman"/>
            <w:lang w:val="tr-TR"/>
          </w:rPr>
          <w:t>2</w:t>
        </w:r>
        <w:r w:rsidRPr="00A70042">
          <w:rPr>
            <w:rFonts w:ascii="Times New Roman" w:hAnsi="Times New Roman" w:cs="Times New Roman"/>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44303896"/>
      <w:docPartObj>
        <w:docPartGallery w:val="Page Numbers (Bottom of Page)"/>
        <w:docPartUnique/>
      </w:docPartObj>
    </w:sdtPr>
    <w:sdtEndPr>
      <w:rPr>
        <w:rFonts w:ascii="Times New Roman" w:hAnsi="Times New Roman" w:cs="Times New Roman"/>
      </w:rPr>
    </w:sdtEndPr>
    <w:sdtContent>
      <w:p w14:paraId="28485F58" w14:textId="77777777" w:rsidR="005C0DC6" w:rsidRPr="002D537F" w:rsidRDefault="005C0DC6">
        <w:pPr>
          <w:pStyle w:val="Footer"/>
          <w:jc w:val="right"/>
          <w:rPr>
            <w:rFonts w:ascii="Times New Roman" w:hAnsi="Times New Roman" w:cs="Times New Roman"/>
          </w:rPr>
        </w:pPr>
        <w:r w:rsidRPr="002D537F">
          <w:rPr>
            <w:rFonts w:ascii="Times New Roman" w:hAnsi="Times New Roman" w:cs="Times New Roman"/>
          </w:rPr>
          <w:fldChar w:fldCharType="begin"/>
        </w:r>
        <w:r w:rsidRPr="002D537F">
          <w:rPr>
            <w:rFonts w:ascii="Times New Roman" w:hAnsi="Times New Roman" w:cs="Times New Roman"/>
          </w:rPr>
          <w:instrText xml:space="preserve"> PAGE   \* MERGEFORMAT </w:instrText>
        </w:r>
        <w:r w:rsidRPr="002D537F">
          <w:rPr>
            <w:rFonts w:ascii="Times New Roman" w:hAnsi="Times New Roman" w:cs="Times New Roman"/>
          </w:rPr>
          <w:fldChar w:fldCharType="separate"/>
        </w:r>
        <w:r>
          <w:rPr>
            <w:rFonts w:ascii="Times New Roman" w:hAnsi="Times New Roman" w:cs="Times New Roman"/>
            <w:noProof/>
          </w:rPr>
          <w:t>255</w:t>
        </w:r>
        <w:r w:rsidRPr="002D537F">
          <w:rPr>
            <w:rFonts w:ascii="Times New Roman" w:hAnsi="Times New Roman" w:cs="Times New Roman"/>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imes New Roman" w:hAnsi="Times New Roman" w:cs="Times New Roman"/>
      </w:rPr>
      <w:id w:val="791944394"/>
      <w:docPartObj>
        <w:docPartGallery w:val="Page Numbers (Bottom of Page)"/>
        <w:docPartUnique/>
      </w:docPartObj>
    </w:sdtPr>
    <w:sdtEndPr/>
    <w:sdtContent>
      <w:p w14:paraId="5ED224CC" w14:textId="77777777" w:rsidR="005C0DC6" w:rsidRPr="00A70042" w:rsidRDefault="005C0DC6">
        <w:pPr>
          <w:pStyle w:val="Footer"/>
          <w:rPr>
            <w:rFonts w:ascii="Times New Roman" w:hAnsi="Times New Roman" w:cs="Times New Roman"/>
          </w:rPr>
        </w:pPr>
        <w:r w:rsidRPr="00A70042">
          <w:rPr>
            <w:rFonts w:ascii="Times New Roman" w:hAnsi="Times New Roman" w:cs="Times New Roman"/>
          </w:rPr>
          <w:fldChar w:fldCharType="begin"/>
        </w:r>
        <w:r w:rsidRPr="00A70042">
          <w:rPr>
            <w:rFonts w:ascii="Times New Roman" w:hAnsi="Times New Roman" w:cs="Times New Roman"/>
          </w:rPr>
          <w:instrText>PAGE   \* MERGEFORMAT</w:instrText>
        </w:r>
        <w:r w:rsidRPr="00A70042">
          <w:rPr>
            <w:rFonts w:ascii="Times New Roman" w:hAnsi="Times New Roman" w:cs="Times New Roman"/>
          </w:rPr>
          <w:fldChar w:fldCharType="separate"/>
        </w:r>
        <w:r w:rsidRPr="00A70042">
          <w:rPr>
            <w:rFonts w:ascii="Times New Roman" w:hAnsi="Times New Roman" w:cs="Times New Roman"/>
            <w:lang w:val="tr-TR"/>
          </w:rPr>
          <w:t>2</w:t>
        </w:r>
        <w:r w:rsidRPr="00A70042">
          <w:rPr>
            <w:rFonts w:ascii="Times New Roman" w:hAnsi="Times New Roman" w:cs="Times New Roman"/>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026743"/>
      <w:docPartObj>
        <w:docPartGallery w:val="Page Numbers (Bottom of Page)"/>
        <w:docPartUnique/>
      </w:docPartObj>
    </w:sdtPr>
    <w:sdtEndPr>
      <w:rPr>
        <w:rFonts w:ascii="Times New Roman" w:hAnsi="Times New Roman" w:cs="Times New Roman"/>
      </w:rPr>
    </w:sdtEndPr>
    <w:sdtContent>
      <w:p w14:paraId="3F614AFB" w14:textId="77777777" w:rsidR="005C0DC6" w:rsidRPr="002D537F" w:rsidRDefault="005C0DC6">
        <w:pPr>
          <w:pStyle w:val="Footer"/>
          <w:jc w:val="right"/>
          <w:rPr>
            <w:rFonts w:ascii="Times New Roman" w:hAnsi="Times New Roman" w:cs="Times New Roman"/>
          </w:rPr>
        </w:pPr>
        <w:r w:rsidRPr="002D537F">
          <w:rPr>
            <w:rFonts w:ascii="Times New Roman" w:hAnsi="Times New Roman" w:cs="Times New Roman"/>
          </w:rPr>
          <w:fldChar w:fldCharType="begin"/>
        </w:r>
        <w:r w:rsidRPr="002D537F">
          <w:rPr>
            <w:rFonts w:ascii="Times New Roman" w:hAnsi="Times New Roman" w:cs="Times New Roman"/>
          </w:rPr>
          <w:instrText xml:space="preserve"> PAGE   \* MERGEFORMAT </w:instrText>
        </w:r>
        <w:r w:rsidRPr="002D537F">
          <w:rPr>
            <w:rFonts w:ascii="Times New Roman" w:hAnsi="Times New Roman" w:cs="Times New Roman"/>
          </w:rPr>
          <w:fldChar w:fldCharType="separate"/>
        </w:r>
        <w:r>
          <w:rPr>
            <w:rFonts w:ascii="Times New Roman" w:hAnsi="Times New Roman" w:cs="Times New Roman"/>
            <w:noProof/>
          </w:rPr>
          <w:t>255</w:t>
        </w:r>
        <w:r w:rsidRPr="002D537F">
          <w:rPr>
            <w:rFonts w:ascii="Times New Roman" w:hAnsi="Times New Roman" w:cs="Times New Roman"/>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38135" w14:textId="77777777" w:rsidR="005D478B" w:rsidRDefault="005D478B" w:rsidP="00B40CC9">
      <w:pPr>
        <w:spacing w:line="240" w:lineRule="auto"/>
      </w:pPr>
      <w:r>
        <w:separator/>
      </w:r>
    </w:p>
  </w:footnote>
  <w:footnote w:type="continuationSeparator" w:id="0">
    <w:p w14:paraId="75A7E268" w14:textId="77777777" w:rsidR="005D478B" w:rsidRDefault="005D478B" w:rsidP="00B40CC9">
      <w:pPr>
        <w:spacing w:line="240" w:lineRule="auto"/>
      </w:pPr>
      <w:r>
        <w:continuationSeparator/>
      </w:r>
    </w:p>
  </w:footnote>
  <w:footnote w:id="1">
    <w:p w14:paraId="1E2B3FA6" w14:textId="7FEBCEE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rPr>
          <w:lang w:val="tr-TR"/>
        </w:rPr>
        <w:t>Directive</w:t>
      </w:r>
      <w:r>
        <w:rPr>
          <w:lang w:val="tr-TR"/>
        </w:rPr>
        <w:t xml:space="preserve"> (EC)</w:t>
      </w:r>
      <w:r w:rsidRPr="006B6D7C">
        <w:rPr>
          <w:lang w:val="tr-TR"/>
        </w:rPr>
        <w:t xml:space="preserve"> 2009/24 of the European Parliament and of the Council of 23 April 2009 on the legal protection of computer programs </w:t>
      </w:r>
      <w:r>
        <w:rPr>
          <w:lang w:val="tr-TR"/>
        </w:rPr>
        <w:t>[2009]</w:t>
      </w:r>
      <w:r w:rsidRPr="006B6D7C">
        <w:rPr>
          <w:lang w:val="tr-TR"/>
        </w:rPr>
        <w:t xml:space="preserve"> </w:t>
      </w:r>
      <w:r w:rsidRPr="005C1B73">
        <w:rPr>
          <w:lang w:val="tr-TR"/>
        </w:rPr>
        <w:t>OJ L 111</w:t>
      </w:r>
      <w:r>
        <w:rPr>
          <w:lang w:val="tr-TR"/>
        </w:rPr>
        <w:t xml:space="preserve"> </w:t>
      </w:r>
      <w:r w:rsidRPr="006B6D7C">
        <w:rPr>
          <w:lang w:val="tr-TR"/>
        </w:rPr>
        <w:t>(</w:t>
      </w:r>
      <w:r>
        <w:rPr>
          <w:lang w:val="tr-TR"/>
        </w:rPr>
        <w:t>‘</w:t>
      </w:r>
      <w:r w:rsidRPr="006B6D7C">
        <w:rPr>
          <w:lang w:val="tr-TR"/>
        </w:rPr>
        <w:t>Software Directive</w:t>
      </w:r>
      <w:r>
        <w:rPr>
          <w:lang w:val="tr-TR"/>
        </w:rPr>
        <w:t>’</w:t>
      </w:r>
      <w:r w:rsidRPr="006B6D7C">
        <w:rPr>
          <w:lang w:val="tr-TR"/>
        </w:rPr>
        <w:t>)</w:t>
      </w:r>
      <w:r>
        <w:rPr>
          <w:lang w:val="tr-TR"/>
        </w:rPr>
        <w:t>,</w:t>
      </w:r>
      <w:r w:rsidRPr="005C1B73">
        <w:rPr>
          <w:lang w:val="tr-TR"/>
        </w:rPr>
        <w:t xml:space="preserve"> </w:t>
      </w:r>
      <w:r w:rsidRPr="006B6D7C">
        <w:t xml:space="preserve">recital 10. </w:t>
      </w:r>
    </w:p>
  </w:footnote>
  <w:footnote w:id="2">
    <w:p w14:paraId="7C358C82" w14:textId="36702283" w:rsidR="005C0DC6" w:rsidRPr="006B6D7C" w:rsidRDefault="005C0DC6" w:rsidP="00A70042">
      <w:pPr>
        <w:pStyle w:val="FootnoteText"/>
        <w:ind w:left="426" w:hanging="426"/>
        <w:jc w:val="both"/>
      </w:pPr>
      <w:r w:rsidRPr="006B6D7C">
        <w:rPr>
          <w:rStyle w:val="FootnoteReference"/>
        </w:rPr>
        <w:footnoteRef/>
      </w:r>
      <w:r w:rsidRPr="006B6D7C">
        <w:rPr>
          <w:rStyle w:val="FootnoteReference"/>
        </w:rPr>
        <w:t xml:space="preserve"> </w:t>
      </w:r>
      <w:r>
        <w:rPr>
          <w:rStyle w:val="FootnoteReference"/>
        </w:rPr>
        <w:tab/>
      </w:r>
      <w:r w:rsidRPr="006B6D7C">
        <w:rPr>
          <w:lang w:val="tr-TR"/>
        </w:rPr>
        <w:t>Although ICT might have various meanings peculiar to the context, this study uses this term to cover all kinds of (analog/digital) technologies used to create and share information depicting the underlying networks and services. For detailed information about the ICTs including nature and evolution of the underlying (ICT) networks/services, see</w:t>
      </w:r>
      <w:r>
        <w:rPr>
          <w:lang w:val="tr-TR"/>
        </w:rPr>
        <w:t xml:space="preserve"> the section </w:t>
      </w:r>
      <w:r w:rsidRPr="006B6D7C">
        <w:rPr>
          <w:lang w:val="tr-TR"/>
        </w:rPr>
        <w:t xml:space="preserve">‘2. Interoperability in </w:t>
      </w:r>
      <w:r>
        <w:rPr>
          <w:lang w:val="tr-TR"/>
        </w:rPr>
        <w:t xml:space="preserve">the </w:t>
      </w:r>
      <w:r w:rsidRPr="006B6D7C">
        <w:rPr>
          <w:lang w:val="tr-TR"/>
        </w:rPr>
        <w:t>field of ICTs’ below.</w:t>
      </w:r>
    </w:p>
  </w:footnote>
  <w:footnote w:id="3">
    <w:p w14:paraId="2D5C42D3" w14:textId="06E8CCD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To achieve interoperability, interfaces must be accessed and/or be already opened to third parties in three forms: application programming interfaces (APIs), protocols, and data file formats (</w:t>
      </w:r>
      <w:r w:rsidRPr="006B6D7C">
        <w:rPr>
          <w:lang w:val="tr-TR"/>
        </w:rPr>
        <w:t xml:space="preserve">Malcolm Bain, ‘Patents and FOSS’ in Noam Shemtov and Ian Walden (eds), </w:t>
      </w:r>
      <w:r w:rsidRPr="009B63EB">
        <w:rPr>
          <w:i/>
          <w:iCs/>
          <w:lang w:val="tr-TR"/>
        </w:rPr>
        <w:t>Free and Open Source Software</w:t>
      </w:r>
      <w:r w:rsidRPr="006B6D7C">
        <w:rPr>
          <w:lang w:val="tr-TR"/>
        </w:rPr>
        <w:t xml:space="preserve"> (</w:t>
      </w:r>
      <w:r>
        <w:rPr>
          <w:lang w:val="tr-TR"/>
        </w:rPr>
        <w:t>OUP</w:t>
      </w:r>
      <w:r w:rsidRPr="006B6D7C">
        <w:rPr>
          <w:lang w:val="tr-TR"/>
        </w:rPr>
        <w:t xml:space="preserve"> 2013) 161;</w:t>
      </w:r>
      <w:r w:rsidRPr="006B6D7C">
        <w:t xml:space="preserve"> Robert S. Sutor, ‘Software Standards, Openness, and Interoperability’ in Laura DeNardis (ed</w:t>
      </w:r>
      <w:r>
        <w:t>s</w:t>
      </w:r>
      <w:r w:rsidRPr="006B6D7C">
        <w:t xml:space="preserve">), </w:t>
      </w:r>
      <w:r w:rsidRPr="009B63EB">
        <w:rPr>
          <w:i/>
          <w:iCs/>
        </w:rPr>
        <w:t>Opening Standards: The Global Politics of Interoperability</w:t>
      </w:r>
      <w:r w:rsidRPr="006B6D7C">
        <w:t xml:space="preserve"> (The MIT Press 2011) 215.</w:t>
      </w:r>
    </w:p>
  </w:footnote>
  <w:footnote w:id="4">
    <w:p w14:paraId="477C6C32" w14:textId="2C061D82"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Pamela Samuelson, ‘Are </w:t>
      </w:r>
      <w:r>
        <w:t xml:space="preserve">Patents </w:t>
      </w:r>
      <w:r w:rsidRPr="006B6D7C">
        <w:t>on Interfaces Impeding Interoperability’, [2009] 93 Min</w:t>
      </w:r>
      <w:r>
        <w:t>n</w:t>
      </w:r>
      <w:r w:rsidRPr="006B6D7C">
        <w:t>esota Law Review 1943</w:t>
      </w:r>
      <w:r>
        <w:t>,</w:t>
      </w:r>
      <w:r w:rsidRPr="006B6D7C">
        <w:t xml:space="preserve"> 1943-1944.</w:t>
      </w:r>
    </w:p>
  </w:footnote>
  <w:footnote w:id="5">
    <w:p w14:paraId="0B4FA850" w14:textId="18F194BC"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t xml:space="preserve">Among the </w:t>
      </w:r>
      <w:r w:rsidRPr="006B6D7C">
        <w:rPr>
          <w:lang w:val="en-US"/>
        </w:rPr>
        <w:t xml:space="preserve">sector-specific regulations, </w:t>
      </w:r>
      <w:r>
        <w:rPr>
          <w:lang w:val="en-US"/>
        </w:rPr>
        <w:t xml:space="preserve">the </w:t>
      </w:r>
      <w:r w:rsidRPr="006B6D7C">
        <w:rPr>
          <w:lang w:val="en-US"/>
        </w:rPr>
        <w:t xml:space="preserve">ECRF is the most relevant example regarding ICT interoperability as embodying </w:t>
      </w:r>
      <w:r>
        <w:rPr>
          <w:lang w:val="en-US"/>
        </w:rPr>
        <w:t>ex ante</w:t>
      </w:r>
      <w:r w:rsidRPr="006B6D7C">
        <w:rPr>
          <w:lang w:val="en-US"/>
        </w:rPr>
        <w:t xml:space="preserve"> tools and mechanisms to deal with the interoperability. Going beyond interoperability and entailing a great many issues (e.g. authorization, universal service, consumer rights, access and competition), </w:t>
      </w:r>
      <w:r>
        <w:rPr>
          <w:lang w:val="en-US"/>
        </w:rPr>
        <w:t xml:space="preserve">the </w:t>
      </w:r>
      <w:r w:rsidRPr="006B6D7C">
        <w:rPr>
          <w:lang w:val="en-US"/>
        </w:rPr>
        <w:t>ECRF represents the mainstream regulatory framework with regard</w:t>
      </w:r>
      <w:r>
        <w:rPr>
          <w:lang w:val="en-US"/>
        </w:rPr>
        <w:t>s</w:t>
      </w:r>
      <w:r w:rsidRPr="006B6D7C">
        <w:rPr>
          <w:lang w:val="en-US"/>
        </w:rPr>
        <w:t xml:space="preserve"> to regulation of the ICT networks/services. While it originates from the 2002 regulatory framework consisting of 5 main directives (as well as regulations, recommendations, etc.), 4 of these directives were consolidated recently (December 2018) under a single directive titled </w:t>
      </w:r>
      <w:r>
        <w:rPr>
          <w:lang w:val="en-US"/>
        </w:rPr>
        <w:t xml:space="preserve">the </w:t>
      </w:r>
      <w:r w:rsidRPr="006B6D7C">
        <w:rPr>
          <w:lang w:val="en-US"/>
        </w:rPr>
        <w:t xml:space="preserve">‘European Electronic Communications Code’ (EECC). For more details and distinctive aspects of </w:t>
      </w:r>
      <w:r>
        <w:rPr>
          <w:lang w:val="en-US"/>
        </w:rPr>
        <w:t xml:space="preserve">the </w:t>
      </w:r>
      <w:r w:rsidRPr="006B6D7C">
        <w:rPr>
          <w:lang w:val="en-US"/>
        </w:rPr>
        <w:t>ECRF, see the section ‘6.1. Main elements of ECRF’</w:t>
      </w:r>
      <w:r w:rsidRPr="006B6D7C">
        <w:t>.</w:t>
      </w:r>
    </w:p>
  </w:footnote>
  <w:footnote w:id="6">
    <w:p w14:paraId="09F8B8FE" w14:textId="06E3C0D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Lock-in occurs in </w:t>
      </w:r>
      <w:r>
        <w:t xml:space="preserve">the </w:t>
      </w:r>
      <w:r w:rsidRPr="006B6D7C">
        <w:t xml:space="preserve">case when users are confronted with a walled garden (i.e. proprietary platform) under which they are forced to use one company’s products which might be incompatible with those of competitors. Lack of interoperability is one of the driving strategies for (vendor/technological) lock-in, particularly on </w:t>
      </w:r>
      <w:r>
        <w:t xml:space="preserve">the </w:t>
      </w:r>
      <w:r w:rsidRPr="006B6D7C">
        <w:t xml:space="preserve">part of dominant players. For more information regarding vendor/technological lock-in, see the section ‘3.1.2. Main concerns surrounding lack of interoperability’.   </w:t>
      </w:r>
    </w:p>
  </w:footnote>
  <w:footnote w:id="7">
    <w:p w14:paraId="25DD9708" w14:textId="1C180160" w:rsidR="005C0DC6" w:rsidRPr="00297B61"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Network effects mean </w:t>
      </w:r>
      <w:r>
        <w:t xml:space="preserve">an </w:t>
      </w:r>
      <w:r w:rsidRPr="006B6D7C">
        <w:t>increase</w:t>
      </w:r>
      <w:r>
        <w:t xml:space="preserve"> in</w:t>
      </w:r>
      <w:r w:rsidRPr="006B6D7C">
        <w:t xml:space="preserve"> a product’s value when the number of the users of that product is multiplied, representing more connected consumers to the same network. High-technology markets well represent strong network effects. For detailed information about network effects and the accompanying path dependencies see </w:t>
      </w:r>
      <w:r>
        <w:t xml:space="preserve">the section </w:t>
      </w:r>
      <w:r w:rsidRPr="006B6D7C">
        <w:t>‘2.1.5. Network effects’. There is also an apparent link between the network effects and the vendor lock-in. For products with network effects (the purchase of a product increases its value to existing purchasers), greater sales volumes can increase the likelihood of consumers being locked into existing suppliers - especially if the supplier uses non-standard interfaces and sells complementary services (Ian Brown, ‘Regulations and the Internet of Thing (IoT)’</w:t>
      </w:r>
      <w:r>
        <w:t>,</w:t>
      </w:r>
      <w:r w:rsidRPr="006B6D7C">
        <w:t xml:space="preserve"> (2015)</w:t>
      </w:r>
      <w:r>
        <w:t xml:space="preserve"> </w:t>
      </w:r>
      <w:r w:rsidRPr="006B6D7C">
        <w:t>GSR15 discussion paper</w:t>
      </w:r>
      <w:r>
        <w:t>,</w:t>
      </w:r>
      <w:r w:rsidRPr="006B6D7C">
        <w:t xml:space="preserve"> 23 &lt;http://www.itu.int/en/ITU-D/Conferences/GSR/Pages/</w:t>
      </w:r>
      <w:r>
        <w:t xml:space="preserve"> </w:t>
      </w:r>
      <w:r w:rsidRPr="006B6D7C">
        <w:t xml:space="preserve">GSR2015/GSR15-discussion-paper.aspx&gt; accessed </w:t>
      </w:r>
      <w:r>
        <w:t>9 October 2020</w:t>
      </w:r>
      <w:r w:rsidRPr="006B6D7C">
        <w:t>).</w:t>
      </w:r>
    </w:p>
  </w:footnote>
  <w:footnote w:id="8">
    <w:p w14:paraId="47F21ABA" w14:textId="057FDB75" w:rsidR="005C0DC6" w:rsidRDefault="005C0DC6" w:rsidP="00692824">
      <w:pPr>
        <w:pStyle w:val="FootnoteText"/>
        <w:ind w:left="426" w:hanging="426"/>
        <w:jc w:val="both"/>
      </w:pPr>
      <w:r>
        <w:rPr>
          <w:rStyle w:val="FootnoteReference"/>
        </w:rPr>
        <w:footnoteRef/>
      </w:r>
      <w:r>
        <w:t xml:space="preserve"> </w:t>
      </w:r>
      <w:r>
        <w:tab/>
        <w:t>See the sections ‘</w:t>
      </w:r>
      <w:r w:rsidRPr="00E737AD">
        <w:t>3.1.3.</w:t>
      </w:r>
      <w:r>
        <w:t xml:space="preserve"> </w:t>
      </w:r>
      <w:r w:rsidRPr="00E737AD">
        <w:t>Brief analysis of major concerns on the cumulative ground of</w:t>
      </w:r>
      <w:r>
        <w:t xml:space="preserve"> </w:t>
      </w:r>
      <w:r w:rsidRPr="00E737AD">
        <w:t>‘gatekeeping’</w:t>
      </w:r>
      <w:r>
        <w:t>’and ‘</w:t>
      </w:r>
      <w:r w:rsidRPr="00F817B5">
        <w:t>8.4.2.</w:t>
      </w:r>
      <w:r>
        <w:t xml:space="preserve"> </w:t>
      </w:r>
      <w:r w:rsidRPr="00F817B5">
        <w:t>Revitalising gatekeeping and gatekeeping activities</w:t>
      </w:r>
      <w:r>
        <w:t>’.</w:t>
      </w:r>
    </w:p>
  </w:footnote>
  <w:footnote w:id="9">
    <w:p w14:paraId="40F7CE92" w14:textId="0EFD25E6"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Regarding </w:t>
      </w:r>
      <w:r>
        <w:t xml:space="preserve">the </w:t>
      </w:r>
      <w:r w:rsidRPr="006B6D7C">
        <w:t xml:space="preserve">definition, scope and purpose of ‘reverse engineering’ and </w:t>
      </w:r>
      <w:r>
        <w:t xml:space="preserve">of </w:t>
      </w:r>
      <w:r w:rsidRPr="006B6D7C">
        <w:t>‘decompilation’, see the section ‘4.1.2. Reverse engineering and ensuring interoperability under EU copyright law’.</w:t>
      </w:r>
    </w:p>
  </w:footnote>
  <w:footnote w:id="10">
    <w:p w14:paraId="7DBC8782" w14:textId="20A3A0D4" w:rsidR="005C0DC6" w:rsidRPr="006B6D7C" w:rsidRDefault="005C0DC6" w:rsidP="00A70042">
      <w:pPr>
        <w:pStyle w:val="FootnoteText"/>
        <w:ind w:left="426" w:hanging="426"/>
        <w:jc w:val="both"/>
      </w:pPr>
      <w:r w:rsidRPr="006B6D7C">
        <w:rPr>
          <w:rStyle w:val="FootnoteReference"/>
          <w:rFonts w:eastAsiaTheme="majorEastAsia"/>
        </w:rPr>
        <w:footnoteRef/>
      </w:r>
      <w:r w:rsidRPr="006B6D7C">
        <w:t xml:space="preserve"> </w:t>
      </w:r>
      <w:r>
        <w:tab/>
      </w:r>
      <w:r w:rsidRPr="006B6D7C">
        <w:t xml:space="preserve">See </w:t>
      </w:r>
      <w:r>
        <w:t xml:space="preserve">the </w:t>
      </w:r>
      <w:r w:rsidRPr="006B6D7C">
        <w:t>Software Directive, recital 15</w:t>
      </w:r>
      <w:r>
        <w:t xml:space="preserve"> and a</w:t>
      </w:r>
      <w:r w:rsidRPr="006B6D7C">
        <w:t xml:space="preserve">rt 6. </w:t>
      </w:r>
    </w:p>
  </w:footnote>
  <w:footnote w:id="11">
    <w:p w14:paraId="44A78993" w14:textId="405DA84D"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rPr>
          <w:lang w:val="en-US"/>
        </w:rPr>
        <w:t>EU copyright rules for computer programs just allow interoperable solutions under</w:t>
      </w:r>
      <w:r>
        <w:rPr>
          <w:lang w:val="en-US"/>
        </w:rPr>
        <w:t xml:space="preserve"> the</w:t>
      </w:r>
      <w:r w:rsidRPr="006B6D7C">
        <w:rPr>
          <w:lang w:val="en-US"/>
        </w:rPr>
        <w:t xml:space="preserve"> strict conditions of ‘reverse engineering’ which is translated as ‘the right to decompilation’ under </w:t>
      </w:r>
      <w:r>
        <w:rPr>
          <w:lang w:val="en-US"/>
        </w:rPr>
        <w:t xml:space="preserve">the </w:t>
      </w:r>
      <w:r w:rsidRPr="006B6D7C">
        <w:rPr>
          <w:lang w:val="en-US"/>
        </w:rPr>
        <w:t xml:space="preserve">Software Directive. On the other hand, neither </w:t>
      </w:r>
      <w:r>
        <w:rPr>
          <w:lang w:val="en-US"/>
        </w:rPr>
        <w:t xml:space="preserve">the </w:t>
      </w:r>
      <w:r w:rsidRPr="006B6D7C">
        <w:rPr>
          <w:lang w:val="en-US"/>
        </w:rPr>
        <w:t>EU patent regime</w:t>
      </w:r>
      <w:r>
        <w:rPr>
          <w:lang w:val="en-US"/>
        </w:rPr>
        <w:t>,</w:t>
      </w:r>
      <w:r w:rsidRPr="006B6D7C">
        <w:rPr>
          <w:lang w:val="en-US"/>
        </w:rPr>
        <w:t xml:space="preserve"> nor other IPRs</w:t>
      </w:r>
      <w:r>
        <w:rPr>
          <w:lang w:val="en-US"/>
        </w:rPr>
        <w:t>,</w:t>
      </w:r>
      <w:r w:rsidRPr="006B6D7C">
        <w:rPr>
          <w:lang w:val="en-US"/>
        </w:rPr>
        <w:t xml:space="preserve"> have such an unequivocal right enabling interoperability. </w:t>
      </w:r>
    </w:p>
  </w:footnote>
  <w:footnote w:id="12">
    <w:p w14:paraId="54F0003B" w14:textId="640E7028" w:rsidR="005C0DC6" w:rsidRPr="006B6D7C" w:rsidRDefault="005C0DC6" w:rsidP="00A70042">
      <w:pPr>
        <w:pStyle w:val="FootnoteText"/>
        <w:ind w:left="426" w:hanging="426"/>
        <w:jc w:val="both"/>
      </w:pPr>
      <w:r w:rsidRPr="006B6D7C">
        <w:rPr>
          <w:rStyle w:val="FootnoteReference"/>
          <w:rFonts w:eastAsiaTheme="majorEastAsia"/>
        </w:rPr>
        <w:footnoteRef/>
      </w:r>
      <w:r w:rsidRPr="006B6D7C">
        <w:t xml:space="preserve"> </w:t>
      </w:r>
      <w:r>
        <w:tab/>
      </w:r>
      <w:r w:rsidRPr="006B6D7C">
        <w:t xml:space="preserve">Under </w:t>
      </w:r>
      <w:r>
        <w:t xml:space="preserve">the </w:t>
      </w:r>
      <w:r w:rsidRPr="006B6D7C">
        <w:t xml:space="preserve">EU legal system, whereas </w:t>
      </w:r>
      <w:r w:rsidRPr="006B6D7C">
        <w:rPr>
          <w:i/>
        </w:rPr>
        <w:t>ideas and principles</w:t>
      </w:r>
      <w:r w:rsidRPr="006B6D7C">
        <w:t xml:space="preserve"> that underlie a software are excluded from copyright protection (enshrined by</w:t>
      </w:r>
      <w:r>
        <w:t xml:space="preserve"> the</w:t>
      </w:r>
      <w:r w:rsidRPr="006B6D7C">
        <w:t xml:space="preserve"> Software Directive)</w:t>
      </w:r>
      <w:r>
        <w:t>,</w:t>
      </w:r>
      <w:r w:rsidRPr="006B6D7C">
        <w:t xml:space="preserve"> APIs are not covered under this exemption. The ruling in </w:t>
      </w:r>
      <w:r w:rsidRPr="006B6D7C">
        <w:rPr>
          <w:i/>
        </w:rPr>
        <w:t>SAS Institute</w:t>
      </w:r>
      <w:r w:rsidRPr="006B6D7C">
        <w:t xml:space="preserve"> </w:t>
      </w:r>
      <w:r w:rsidRPr="006B6D7C">
        <w:rPr>
          <w:i/>
        </w:rPr>
        <w:t>Inc v World Programming Ltd</w:t>
      </w:r>
      <w:r w:rsidRPr="006B6D7C">
        <w:t xml:space="preserve"> affirmed neither the functionality of a computer program</w:t>
      </w:r>
      <w:r>
        <w:t>,</w:t>
      </w:r>
      <w:r w:rsidRPr="006B6D7C">
        <w:t xml:space="preserve"> nor the programming language and the format of data files used in a computer program constitute a form of expression and accordingly do not enjoy copyright protection under </w:t>
      </w:r>
      <w:r>
        <w:t xml:space="preserve">the </w:t>
      </w:r>
      <w:r w:rsidRPr="006B6D7C">
        <w:t xml:space="preserve">EU Software Directive, while APIs are not contained within the same category of </w:t>
      </w:r>
      <w:r>
        <w:t xml:space="preserve">an </w:t>
      </w:r>
      <w:r w:rsidRPr="006B6D7C">
        <w:t>un-copyrightable form of ideas (</w:t>
      </w:r>
      <w:bookmarkStart w:id="25" w:name="_Hlk16951819"/>
      <w:r>
        <w:t xml:space="preserve">Case </w:t>
      </w:r>
      <w:r w:rsidRPr="006B6D7C">
        <w:t>C-406/10</w:t>
      </w:r>
      <w:r>
        <w:t xml:space="preserve"> </w:t>
      </w:r>
      <w:r w:rsidRPr="000D7DAD">
        <w:rPr>
          <w:i/>
          <w:iCs/>
        </w:rPr>
        <w:t>SAS Institute Inc v World Programming Ltd</w:t>
      </w:r>
      <w:r w:rsidRPr="006B6D7C">
        <w:t xml:space="preserve"> [2012] 3 CMLR 4</w:t>
      </w:r>
      <w:bookmarkEnd w:id="25"/>
      <w:r w:rsidRPr="006B6D7C">
        <w:t>).</w:t>
      </w:r>
    </w:p>
  </w:footnote>
  <w:footnote w:id="13">
    <w:p w14:paraId="02E938FF" w14:textId="3900D5C8" w:rsidR="005C0DC6" w:rsidRPr="006B6D7C" w:rsidRDefault="005C0DC6" w:rsidP="00A70042">
      <w:pPr>
        <w:pStyle w:val="FootnoteText"/>
        <w:ind w:left="426" w:hanging="426"/>
        <w:jc w:val="both"/>
      </w:pPr>
      <w:r w:rsidRPr="006B6D7C">
        <w:rPr>
          <w:rStyle w:val="FootnoteReference"/>
          <w:rFonts w:eastAsiaTheme="majorEastAsia"/>
        </w:rPr>
        <w:footnoteRef/>
      </w:r>
      <w:r w:rsidRPr="006B6D7C">
        <w:t xml:space="preserve"> </w:t>
      </w:r>
      <w:r>
        <w:tab/>
      </w:r>
      <w:r w:rsidRPr="006B6D7C">
        <w:t xml:space="preserve">See </w:t>
      </w:r>
      <w:bookmarkStart w:id="26" w:name="_Hlk16951910"/>
      <w:r w:rsidRPr="006B6D7C">
        <w:t xml:space="preserve">Sally Elizabeth Weston, ‘The Legal Regulation of Interoperability in an Oligopolistic Market’ </w:t>
      </w:r>
      <w:r>
        <w:t>(</w:t>
      </w:r>
      <w:r w:rsidRPr="006B6D7C">
        <w:t xml:space="preserve">PhD </w:t>
      </w:r>
      <w:r>
        <w:t>thesis</w:t>
      </w:r>
      <w:r w:rsidRPr="006B6D7C">
        <w:t>, Bournemouth University</w:t>
      </w:r>
      <w:r>
        <w:t xml:space="preserve"> 2015)</w:t>
      </w:r>
      <w:bookmarkEnd w:id="26"/>
      <w:r w:rsidRPr="006B6D7C">
        <w:t>, 35.</w:t>
      </w:r>
    </w:p>
  </w:footnote>
  <w:footnote w:id="14">
    <w:p w14:paraId="7BEE5E27" w14:textId="70162B40"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Samuelson (n </w:t>
      </w:r>
      <w:r>
        <w:t>4</w:t>
      </w:r>
      <w:r w:rsidRPr="002125BD">
        <w:t>) 1979.</w:t>
      </w:r>
    </w:p>
  </w:footnote>
  <w:footnote w:id="15">
    <w:p w14:paraId="029EF648" w14:textId="3C343371" w:rsidR="005C0DC6" w:rsidRPr="006B6D7C" w:rsidRDefault="005C0DC6" w:rsidP="00A70042">
      <w:pPr>
        <w:pStyle w:val="FootnoteText"/>
        <w:ind w:left="426" w:hanging="426"/>
        <w:jc w:val="both"/>
        <w:rPr>
          <w:lang w:val="tr-TR"/>
        </w:rPr>
      </w:pPr>
      <w:r w:rsidRPr="006B6D7C">
        <w:rPr>
          <w:rStyle w:val="FootnoteReference"/>
          <w:rFonts w:eastAsiaTheme="majorEastAsia"/>
        </w:rPr>
        <w:footnoteRef/>
      </w:r>
      <w:r w:rsidRPr="006B6D7C">
        <w:rPr>
          <w:lang w:val="tr-TR"/>
        </w:rPr>
        <w:t xml:space="preserve"> </w:t>
      </w:r>
      <w:r>
        <w:rPr>
          <w:lang w:val="tr-TR"/>
        </w:rPr>
        <w:tab/>
      </w:r>
      <w:r w:rsidRPr="006B6D7C">
        <w:t xml:space="preserve">Case COMP/C-3/37.792 - </w:t>
      </w:r>
      <w:r w:rsidRPr="006B6D7C">
        <w:rPr>
          <w:i/>
        </w:rPr>
        <w:t>Microsoft</w:t>
      </w:r>
      <w:r w:rsidRPr="006B6D7C">
        <w:t xml:space="preserve"> [2004] OJ L 32/23 (</w:t>
      </w:r>
      <w:r>
        <w:t>‘</w:t>
      </w:r>
      <w:r w:rsidRPr="006B6D7C">
        <w:t xml:space="preserve">Commission’s </w:t>
      </w:r>
      <w:r w:rsidRPr="006B6D7C">
        <w:rPr>
          <w:i/>
        </w:rPr>
        <w:t>Microsoft</w:t>
      </w:r>
      <w:r w:rsidRPr="006B6D7C">
        <w:t xml:space="preserve"> decision</w:t>
      </w:r>
      <w:r>
        <w:t>’</w:t>
      </w:r>
      <w:r w:rsidRPr="006B6D7C">
        <w:t xml:space="preserve">), upheld in Case T-201/04 </w:t>
      </w:r>
      <w:r w:rsidRPr="006B6D7C">
        <w:rPr>
          <w:i/>
        </w:rPr>
        <w:t>Microsoft v Commission</w:t>
      </w:r>
      <w:r w:rsidRPr="006B6D7C">
        <w:t xml:space="preserve"> [2007] ECR II-3601 (</w:t>
      </w:r>
      <w:r>
        <w:t>‘</w:t>
      </w:r>
      <w:r w:rsidRPr="006B6D7C">
        <w:t xml:space="preserve">GC’s </w:t>
      </w:r>
      <w:r w:rsidRPr="006B6D7C">
        <w:rPr>
          <w:i/>
        </w:rPr>
        <w:t>Microsoft</w:t>
      </w:r>
      <w:r w:rsidRPr="006B6D7C">
        <w:t xml:space="preserve"> </w:t>
      </w:r>
      <w:r>
        <w:t>judgement’</w:t>
      </w:r>
      <w:r w:rsidRPr="006B6D7C">
        <w:t>).</w:t>
      </w:r>
    </w:p>
  </w:footnote>
  <w:footnote w:id="16">
    <w:p w14:paraId="275AE23A" w14:textId="39A639B6" w:rsidR="005C0DC6" w:rsidRPr="006B6D7C" w:rsidRDefault="005C0DC6" w:rsidP="00A70042">
      <w:pPr>
        <w:pStyle w:val="FootnoteText"/>
        <w:ind w:left="426" w:hanging="426"/>
        <w:jc w:val="both"/>
      </w:pPr>
      <w:r w:rsidRPr="006B6D7C">
        <w:rPr>
          <w:rStyle w:val="FootnoteReference"/>
          <w:rFonts w:eastAsiaTheme="majorEastAsia"/>
        </w:rPr>
        <w:footnoteRef/>
      </w:r>
      <w:r w:rsidRPr="006B6D7C">
        <w:t xml:space="preserve"> </w:t>
      </w:r>
      <w:bookmarkStart w:id="27" w:name="_Hlk16952031"/>
      <w:r>
        <w:tab/>
      </w:r>
      <w:r w:rsidRPr="006B6D7C">
        <w:t xml:space="preserve">Inge Graef, ‘Tailoring the Essential Facilities Doctrine to the IT Sector: Compulsory Licensing of Intellectual Property Rights after Microsoft’ [2011] 7 Cambridge Student Law Review </w:t>
      </w:r>
      <w:r>
        <w:t xml:space="preserve">1, </w:t>
      </w:r>
      <w:r w:rsidRPr="006B6D7C">
        <w:t>18; Alan Devlin, Michael Jacobs and Bruno Peixoto, ‘Success, Dominance and Interoperability’ [2009] 84 Indiana Law Journal</w:t>
      </w:r>
      <w:r>
        <w:t xml:space="preserve"> 1157</w:t>
      </w:r>
      <w:r w:rsidRPr="006B6D7C">
        <w:t xml:space="preserve">, 1177. See also Kathryn McMahon, ‘Interoperability: “Indispensability” and “Special Responsibility” in High Technology Markets’ [2007] 9 Tulane Journal of Technology and Intellectual Property </w:t>
      </w:r>
      <w:r>
        <w:t xml:space="preserve">123, </w:t>
      </w:r>
      <w:r w:rsidRPr="006B6D7C">
        <w:t>161</w:t>
      </w:r>
      <w:bookmarkEnd w:id="27"/>
      <w:r w:rsidRPr="006B6D7C">
        <w:t xml:space="preserve">-6, where the author underlines that the approach followed in </w:t>
      </w:r>
      <w:r w:rsidRPr="006B6D7C">
        <w:rPr>
          <w:i/>
        </w:rPr>
        <w:t>Microsoft</w:t>
      </w:r>
      <w:r w:rsidRPr="006B6D7C">
        <w:t xml:space="preserve"> focused on the “distortion of market structure” rather than foreclosure and anti-competitive effects with an implication of “imposition of special responsibility” (emphasis added).</w:t>
      </w:r>
    </w:p>
  </w:footnote>
  <w:footnote w:id="17">
    <w:p w14:paraId="20EEDE17" w14:textId="65D9ABFD"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These two components are important in the sense that case study researchers are supposed not just to make an in-depth analysis of real-life situations</w:t>
      </w:r>
      <w:r>
        <w:t>,</w:t>
      </w:r>
      <w:r w:rsidRPr="006B6D7C">
        <w:t xml:space="preserve"> but also </w:t>
      </w:r>
      <w:r>
        <w:t xml:space="preserve">to </w:t>
      </w:r>
      <w:r w:rsidRPr="006B6D7C">
        <w:t>reach out to tested and generalisable theoretical propositions based on rigorously selected cases and well-structured design. While the theoretical propositions need to be incorporated into the case study research, construction of a new generalisable theory or normative framework is also expected to come up following the case studies. This approach results in placing more emphasis on inductive exploration, discovery, and</w:t>
      </w:r>
      <w:r>
        <w:t xml:space="preserve"> in</w:t>
      </w:r>
      <w:r w:rsidRPr="006B6D7C">
        <w:t xml:space="preserve"> holistic analysis presented in thick descriptions of the cases (Helena Harrison</w:t>
      </w:r>
      <w:r>
        <w:t xml:space="preserve">, </w:t>
      </w:r>
      <w:r w:rsidRPr="008160CB">
        <w:t>Melanie Birks, Richard Franklin</w:t>
      </w:r>
      <w:r>
        <w:t xml:space="preserve"> and</w:t>
      </w:r>
      <w:r w:rsidRPr="008160CB">
        <w:t xml:space="preserve"> Jane Mills</w:t>
      </w:r>
      <w:r>
        <w:t xml:space="preserve">, </w:t>
      </w:r>
      <w:r w:rsidRPr="006B6D7C">
        <w:t xml:space="preserve">‘Case Study Research: Foundations and Methodological Orientations’, </w:t>
      </w:r>
      <w:r>
        <w:t>(</w:t>
      </w:r>
      <w:r w:rsidRPr="006B6D7C">
        <w:t>2017</w:t>
      </w:r>
      <w:r>
        <w:t>)</w:t>
      </w:r>
      <w:r w:rsidRPr="006B6D7C">
        <w:t xml:space="preserve"> </w:t>
      </w:r>
      <w:r>
        <w:t xml:space="preserve">18 </w:t>
      </w:r>
      <w:r w:rsidRPr="006B6D7C">
        <w:t xml:space="preserve">Forum: Qualitative Social Research ˂http://dx.doi.org/10.17169/fqs-18.1.2655˃ accessed </w:t>
      </w:r>
      <w:r>
        <w:t>9 October 2020</w:t>
      </w:r>
      <w:r w:rsidRPr="006B6D7C">
        <w:t>).</w:t>
      </w:r>
    </w:p>
  </w:footnote>
  <w:footnote w:id="18">
    <w:p w14:paraId="40641673" w14:textId="3CF45A08"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rPr>
          <w:lang w:val="en-US"/>
        </w:rPr>
        <w:t xml:space="preserve">Regarding the details of doctrinal analysis and its interplay with </w:t>
      </w:r>
      <w:r w:rsidRPr="006B6D7C">
        <w:t xml:space="preserve">non-doctrinal research methodologies, </w:t>
      </w:r>
      <w:r w:rsidRPr="006B6D7C">
        <w:rPr>
          <w:lang w:val="en-US"/>
        </w:rPr>
        <w:t xml:space="preserve">see </w:t>
      </w:r>
      <w:r w:rsidRPr="006B6D7C">
        <w:t xml:space="preserve">Terry Hutchinson ‘The Doctrinal Method: Incorporating Interdisciplinary Methods in Reforming the Law’ 3 [2015] Erasmus Law Review, 130-138. </w:t>
      </w:r>
    </w:p>
  </w:footnote>
  <w:footnote w:id="19">
    <w:p w14:paraId="4FCBB382" w14:textId="6304D918" w:rsidR="005C0DC6" w:rsidRDefault="005C0DC6" w:rsidP="0051078E">
      <w:pPr>
        <w:pStyle w:val="FootnoteText"/>
        <w:ind w:left="426" w:hanging="426"/>
        <w:jc w:val="both"/>
      </w:pPr>
      <w:r>
        <w:rPr>
          <w:rStyle w:val="FootnoteReference"/>
        </w:rPr>
        <w:footnoteRef/>
      </w:r>
      <w:r>
        <w:t xml:space="preserve"> </w:t>
      </w:r>
      <w:r>
        <w:tab/>
        <w:t xml:space="preserve">Lisa L. Miller, ‘The Use of Case Studies in law and Social Science Research’, [2018] 14 Annual Review of Law and Social Science 381, 385. </w:t>
      </w:r>
    </w:p>
  </w:footnote>
  <w:footnote w:id="20">
    <w:p w14:paraId="5ABE1FE7" w14:textId="124F0AC3"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It is acknowledged that when information is plentiful and concepts abstract, it is important to utilize processes that help interpret, sort, and manage information and that adapt findings to convey clarity and applicability to the results (Harrison</w:t>
      </w:r>
      <w:r>
        <w:t xml:space="preserve"> et al </w:t>
      </w:r>
      <w:r w:rsidRPr="006B6D7C">
        <w:t>(n 1</w:t>
      </w:r>
      <w:r>
        <w:t>7</w:t>
      </w:r>
      <w:r w:rsidRPr="006B6D7C">
        <w:t>)). Likewise, Yin asserts that, “a case study is an empirical method that</w:t>
      </w:r>
    </w:p>
    <w:p w14:paraId="4ADAD0DC" w14:textId="77777777" w:rsidR="005C0DC6" w:rsidRPr="006B6D7C" w:rsidRDefault="005C0DC6" w:rsidP="00A70042">
      <w:pPr>
        <w:pStyle w:val="FootnoteText"/>
        <w:numPr>
          <w:ilvl w:val="0"/>
          <w:numId w:val="26"/>
        </w:numPr>
        <w:ind w:left="426" w:hanging="426"/>
        <w:jc w:val="both"/>
      </w:pPr>
      <w:r w:rsidRPr="006B6D7C">
        <w:t>investigates a contemporary phenomenon (the “case”) in depth and within its real-world context, especially when</w:t>
      </w:r>
    </w:p>
    <w:p w14:paraId="478B6FFF" w14:textId="7C2001B8" w:rsidR="005C0DC6" w:rsidRPr="006B6D7C" w:rsidRDefault="005C0DC6" w:rsidP="00A70042">
      <w:pPr>
        <w:pStyle w:val="FootnoteText"/>
        <w:numPr>
          <w:ilvl w:val="0"/>
          <w:numId w:val="26"/>
        </w:numPr>
        <w:ind w:left="426" w:hanging="426"/>
        <w:jc w:val="both"/>
      </w:pPr>
      <w:r w:rsidRPr="006B6D7C">
        <w:t xml:space="preserve">the boundaries between phenomenon and context may not be clearly evident” (Robert K. Yin, </w:t>
      </w:r>
      <w:r w:rsidRPr="00955B2D">
        <w:rPr>
          <w:i/>
          <w:iCs/>
        </w:rPr>
        <w:t>Case Study Research and Applications: Design and Methods</w:t>
      </w:r>
      <w:r w:rsidRPr="006B6D7C">
        <w:t xml:space="preserve"> (6</w:t>
      </w:r>
      <w:r>
        <w:t xml:space="preserve">th </w:t>
      </w:r>
      <w:r w:rsidRPr="006B6D7C">
        <w:t>ed</w:t>
      </w:r>
      <w:r>
        <w:t>n,</w:t>
      </w:r>
      <w:r w:rsidRPr="006B6D7C">
        <w:t xml:space="preserve"> Sage 2018), 15. </w:t>
      </w:r>
    </w:p>
  </w:footnote>
  <w:footnote w:id="21">
    <w:p w14:paraId="4B546EF0" w14:textId="493668F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Helena Harrison et al (n 1</w:t>
      </w:r>
      <w:r>
        <w:t>7</w:t>
      </w:r>
      <w:r w:rsidRPr="006B6D7C">
        <w:t xml:space="preserve">). See also Yin (n </w:t>
      </w:r>
      <w:r>
        <w:t>20</w:t>
      </w:r>
      <w:r w:rsidRPr="006B6D7C">
        <w:t xml:space="preserve">) 13; Gary Thomas, </w:t>
      </w:r>
      <w:r w:rsidRPr="008160CB">
        <w:rPr>
          <w:i/>
          <w:iCs/>
        </w:rPr>
        <w:t>How to do your case study</w:t>
      </w:r>
      <w:r w:rsidRPr="006B6D7C">
        <w:t xml:space="preserve"> (2</w:t>
      </w:r>
      <w:r>
        <w:t xml:space="preserve">nd </w:t>
      </w:r>
      <w:r w:rsidRPr="006B6D7C">
        <w:t>ed</w:t>
      </w:r>
      <w:r>
        <w:t>n,</w:t>
      </w:r>
      <w:r w:rsidRPr="006B6D7C">
        <w:t xml:space="preserve"> Sage 2016), 36-37; Malcolm Tight, </w:t>
      </w:r>
      <w:r w:rsidRPr="008160CB">
        <w:rPr>
          <w:i/>
          <w:iCs/>
        </w:rPr>
        <w:t>Understanding Case Study Research: Small-scale Research with Meaning</w:t>
      </w:r>
      <w:r w:rsidRPr="006B6D7C">
        <w:t xml:space="preserve"> (Sage 2017) 45-49.</w:t>
      </w:r>
    </w:p>
  </w:footnote>
  <w:footnote w:id="22">
    <w:p w14:paraId="0130DD36" w14:textId="2C11988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Harrison</w:t>
      </w:r>
      <w:r>
        <w:t xml:space="preserve"> et al </w:t>
      </w:r>
      <w:r w:rsidRPr="006B6D7C">
        <w:t>(n 1</w:t>
      </w:r>
      <w:r>
        <w:t>7</w:t>
      </w:r>
      <w:r w:rsidRPr="006B6D7C">
        <w:t xml:space="preserve">), </w:t>
      </w:r>
      <w:r>
        <w:t>referring to</w:t>
      </w:r>
      <w:r w:rsidRPr="006B6D7C">
        <w:t xml:space="preserve"> Sharan B. Merriam, Qualitative research: A guide to design and implementation (2</w:t>
      </w:r>
      <w:r>
        <w:t xml:space="preserve">nd </w:t>
      </w:r>
      <w:r w:rsidRPr="006B6D7C">
        <w:t>ed</w:t>
      </w:r>
      <w:r>
        <w:t>n,</w:t>
      </w:r>
      <w:r w:rsidRPr="006B6D7C">
        <w:t xml:space="preserve"> Jossey-Bass 2009). </w:t>
      </w:r>
      <w:r>
        <w:t>Remarkably</w:t>
      </w:r>
      <w:r w:rsidRPr="006B6D7C">
        <w:t>, Yin, a pioneering figure in this field</w:t>
      </w:r>
      <w:r>
        <w:t>,</w:t>
      </w:r>
      <w:r w:rsidRPr="006B6D7C">
        <w:t xml:space="preserve"> advocates a structured process concerning case study research </w:t>
      </w:r>
      <w:r>
        <w:t xml:space="preserve">and </w:t>
      </w:r>
      <w:r w:rsidRPr="006B6D7C">
        <w:t>focused on the formal propositions and theoretical foundations, his realist and sometimes deterministic approach is contrasted with other scholars’ constructivist, pragmatic and/or interpretivist methodolo</w:t>
      </w:r>
      <w:r w:rsidRPr="001B109E">
        <w:t>gical approaches. For more details regarding the philosophical variations of case study approach incorporating realist - postpositivist / pragmatic - constructivist / relativist - constructivist/interpretivist approaches</w:t>
      </w:r>
      <w:r w:rsidRPr="006B6D7C">
        <w:t>, see Harrison</w:t>
      </w:r>
      <w:r>
        <w:t xml:space="preserve"> et al </w:t>
      </w:r>
      <w:r w:rsidRPr="006B6D7C">
        <w:t>(n 1</w:t>
      </w:r>
      <w:r>
        <w:t>7</w:t>
      </w:r>
      <w:r w:rsidRPr="006B6D7C">
        <w:t>).</w:t>
      </w:r>
    </w:p>
  </w:footnote>
  <w:footnote w:id="23">
    <w:p w14:paraId="4AA302EF" w14:textId="3C2726F6" w:rsidR="005C0DC6" w:rsidRPr="006B6D7C" w:rsidRDefault="005C0DC6" w:rsidP="00A70042">
      <w:pPr>
        <w:pStyle w:val="FootnoteText"/>
        <w:ind w:left="426" w:hanging="426"/>
        <w:jc w:val="both"/>
      </w:pPr>
      <w:r w:rsidRPr="006B6D7C">
        <w:rPr>
          <w:rStyle w:val="FootnoteReference"/>
        </w:rPr>
        <w:footnoteRef/>
      </w:r>
      <w:r w:rsidRPr="006B6D7C">
        <w:t xml:space="preserve"> </w:t>
      </w:r>
      <w:bookmarkStart w:id="54" w:name="_Hlk16952350"/>
      <w:r>
        <w:tab/>
      </w:r>
      <w:r w:rsidRPr="006B6D7C">
        <w:t xml:space="preserve">Angela Daly, </w:t>
      </w:r>
      <w:r w:rsidRPr="0043322D">
        <w:rPr>
          <w:i/>
          <w:iCs/>
        </w:rPr>
        <w:t>Private Power, Online Information Flows and EU Law: Mind the Gap</w:t>
      </w:r>
      <w:r w:rsidRPr="006B6D7C">
        <w:t xml:space="preserve"> (Hart Publishing 2016)</w:t>
      </w:r>
      <w:bookmarkEnd w:id="54"/>
      <w:r w:rsidRPr="006B6D7C">
        <w:t xml:space="preserve"> 120.</w:t>
      </w:r>
    </w:p>
  </w:footnote>
  <w:footnote w:id="24">
    <w:p w14:paraId="6AB46C01" w14:textId="450E7253"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Ibid.</w:t>
      </w:r>
    </w:p>
  </w:footnote>
  <w:footnote w:id="25">
    <w:p w14:paraId="26A05E39" w14:textId="5644B484"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t>Jasper P. Sluijs, Pierre Larouche</w:t>
      </w:r>
      <w:r>
        <w:t xml:space="preserve"> and</w:t>
      </w:r>
      <w:r w:rsidRPr="006B6D7C">
        <w:t xml:space="preserve"> Wolf Sauter, </w:t>
      </w:r>
      <w:r>
        <w:t>‘</w:t>
      </w:r>
      <w:r w:rsidRPr="006B6D7C">
        <w:t>Cloud Computing in the EU Policy Sphere: Interoperability, Vertical Integration and the Internal Market</w:t>
      </w:r>
      <w:r>
        <w:t>’</w:t>
      </w:r>
      <w:r w:rsidRPr="006B6D7C">
        <w:t xml:space="preserve"> [2012] </w:t>
      </w:r>
      <w:r>
        <w:t xml:space="preserve">3 </w:t>
      </w:r>
      <w:r w:rsidRPr="006B6D7C">
        <w:t>JIPITEC 12</w:t>
      </w:r>
      <w:r>
        <w:t>,</w:t>
      </w:r>
      <w:r w:rsidRPr="006B6D7C">
        <w:t xml:space="preserve"> 13. </w:t>
      </w:r>
    </w:p>
  </w:footnote>
  <w:footnote w:id="26">
    <w:p w14:paraId="714B6DD9" w14:textId="24CE080B"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rPr>
          <w:lang w:val="en-US"/>
        </w:rPr>
        <w:t>Ibid.</w:t>
      </w:r>
    </w:p>
  </w:footnote>
  <w:footnote w:id="27">
    <w:p w14:paraId="75C2000F" w14:textId="0F174A8B"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bookmarkStart w:id="55" w:name="_Hlk16952414"/>
      <w:r>
        <w:tab/>
      </w:r>
      <w:r w:rsidRPr="006B6D7C">
        <w:rPr>
          <w:lang w:val="en-US"/>
        </w:rPr>
        <w:t xml:space="preserve">Mehmet Bilal Unver, </w:t>
      </w:r>
      <w:r>
        <w:rPr>
          <w:lang w:val="en-US"/>
        </w:rPr>
        <w:t>‘</w:t>
      </w:r>
      <w:r w:rsidRPr="006B6D7C">
        <w:rPr>
          <w:lang w:val="en-US"/>
        </w:rPr>
        <w:t>What cloud interoperability connotates for EU policy making: Recurrence of old problems or new ones looming on the horizon?</w:t>
      </w:r>
      <w:r>
        <w:rPr>
          <w:lang w:val="en-US"/>
        </w:rPr>
        <w:t>’</w:t>
      </w:r>
      <w:r w:rsidRPr="006B6D7C">
        <w:rPr>
          <w:lang w:val="en-US"/>
        </w:rPr>
        <w:t xml:space="preserve"> [2019] 43</w:t>
      </w:r>
      <w:r>
        <w:rPr>
          <w:lang w:val="en-US"/>
        </w:rPr>
        <w:t xml:space="preserve"> </w:t>
      </w:r>
      <w:r w:rsidRPr="006B6D7C">
        <w:rPr>
          <w:i/>
          <w:lang w:val="en-US"/>
        </w:rPr>
        <w:t>Telecommunications Policy</w:t>
      </w:r>
      <w:r w:rsidRPr="006B6D7C">
        <w:rPr>
          <w:lang w:val="en-US"/>
        </w:rPr>
        <w:t xml:space="preserve"> 154</w:t>
      </w:r>
      <w:r>
        <w:rPr>
          <w:lang w:val="en-US"/>
        </w:rPr>
        <w:t>,</w:t>
      </w:r>
      <w:r w:rsidRPr="006B6D7C">
        <w:rPr>
          <w:lang w:val="en-US"/>
        </w:rPr>
        <w:t xml:space="preserve"> 155</w:t>
      </w:r>
      <w:bookmarkEnd w:id="55"/>
      <w:r w:rsidRPr="006B6D7C">
        <w:rPr>
          <w:lang w:val="en-US"/>
        </w:rPr>
        <w:t>.</w:t>
      </w:r>
    </w:p>
  </w:footnote>
  <w:footnote w:id="28">
    <w:p w14:paraId="2E8944BF" w14:textId="26F68FC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For detailed information regarding internal/external elements</w:t>
      </w:r>
      <w:r>
        <w:t>,</w:t>
      </w:r>
      <w:r w:rsidRPr="006B6D7C">
        <w:t xml:space="preserve"> or layers of the cloud architectures, see the section ‘7.1.2. Technical and economic underpinnings’.</w:t>
      </w:r>
    </w:p>
  </w:footnote>
  <w:footnote w:id="29">
    <w:p w14:paraId="631F329E" w14:textId="48D5AE79" w:rsidR="005C0DC6" w:rsidRPr="006B6D7C" w:rsidRDefault="005C0DC6" w:rsidP="00A70042">
      <w:pPr>
        <w:pStyle w:val="FootnoteText"/>
        <w:ind w:left="426" w:hanging="426"/>
        <w:jc w:val="both"/>
        <w:rPr>
          <w:lang w:eastAsia="tr-TR"/>
        </w:rPr>
      </w:pPr>
      <w:r w:rsidRPr="006B6D7C">
        <w:rPr>
          <w:rStyle w:val="FootnoteReference"/>
        </w:rPr>
        <w:footnoteRef/>
      </w:r>
      <w:r w:rsidRPr="006B6D7C">
        <w:t xml:space="preserve"> </w:t>
      </w:r>
      <w:r>
        <w:tab/>
      </w:r>
      <w:r w:rsidRPr="006B6D7C">
        <w:t xml:space="preserve">KPMG, </w:t>
      </w:r>
      <w:r w:rsidRPr="006B6D7C">
        <w:rPr>
          <w:i/>
        </w:rPr>
        <w:t>Securing the benefits of industry digitisation</w:t>
      </w:r>
      <w:r w:rsidRPr="006B6D7C">
        <w:t xml:space="preserve"> (A Report for Vodafone, 2015) 5 ˂https://assets.kpmg.com/content/dam/kpmg/uk/pdf/2017/02/vodafonewebaccess.pdf˃ accessed </w:t>
      </w:r>
      <w:r>
        <w:t>9 October 2020</w:t>
      </w:r>
      <w:r w:rsidRPr="006B6D7C">
        <w:t>.</w:t>
      </w:r>
    </w:p>
  </w:footnote>
  <w:footnote w:id="30">
    <w:p w14:paraId="3EE5D26E" w14:textId="5BF59F07"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t>Mehmet Bilal Unver, ‘Turning the crossroad for a connected world: reshaping the European prospect for the Internet of Things’ [2018] 26(2) International Journal of Law and Information Technology 93</w:t>
      </w:r>
      <w:r>
        <w:t>,</w:t>
      </w:r>
      <w:r w:rsidRPr="006B6D7C">
        <w:t xml:space="preserve"> 97.</w:t>
      </w:r>
    </w:p>
  </w:footnote>
  <w:footnote w:id="31">
    <w:p w14:paraId="11C6A98B" w14:textId="7F4E598B" w:rsidR="005C0DC6" w:rsidRPr="006B6D7C" w:rsidRDefault="005C0DC6" w:rsidP="00A70042">
      <w:pPr>
        <w:pStyle w:val="FootnoteText"/>
        <w:ind w:left="426" w:hanging="426"/>
        <w:jc w:val="both"/>
      </w:pPr>
      <w:r w:rsidRPr="006B6D7C">
        <w:rPr>
          <w:rStyle w:val="FootnoteReference"/>
        </w:rPr>
        <w:footnoteRef/>
      </w:r>
      <w:r w:rsidRPr="006B6D7C">
        <w:t xml:space="preserve"> </w:t>
      </w:r>
      <w:bookmarkStart w:id="69" w:name="_Hlk16952501"/>
      <w:r>
        <w:tab/>
      </w:r>
      <w:r w:rsidRPr="006B6D7C">
        <w:t xml:space="preserve">BEREC, </w:t>
      </w:r>
      <w:r w:rsidRPr="006B6D7C">
        <w:rPr>
          <w:i/>
        </w:rPr>
        <w:t>Report Enabling the Internet of Things</w:t>
      </w:r>
      <w:r w:rsidRPr="006B6D7C">
        <w:t xml:space="preserve"> (BoR (16) 2016) 41 (</w:t>
      </w:r>
      <w:r>
        <w:t>‘</w:t>
      </w:r>
      <w:r w:rsidRPr="006B6D7C">
        <w:t>BEREC Report</w:t>
      </w:r>
      <w:r>
        <w:t>’</w:t>
      </w:r>
      <w:r w:rsidRPr="006B6D7C">
        <w:t xml:space="preserve">) &lt;http://berec.europa.eu/eng/document_register/subject_matter/berec/reports/5755-berec-report-on-enabling-the-internet-of-things&gt; accessed </w:t>
      </w:r>
      <w:bookmarkEnd w:id="69"/>
      <w:r>
        <w:t>9 October 2020</w:t>
      </w:r>
      <w:r w:rsidRPr="006B6D7C">
        <w:t>.</w:t>
      </w:r>
    </w:p>
  </w:footnote>
  <w:footnote w:id="32">
    <w:p w14:paraId="0D62FC56" w14:textId="02407F3C"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rPr>
          <w:lang w:val="en-US"/>
        </w:rPr>
        <w:t>Unver (n 2</w:t>
      </w:r>
      <w:r>
        <w:rPr>
          <w:lang w:val="en-US"/>
        </w:rPr>
        <w:t>9</w:t>
      </w:r>
      <w:r w:rsidRPr="006B6D7C">
        <w:rPr>
          <w:lang w:val="en-US"/>
        </w:rPr>
        <w:t>) 100.</w:t>
      </w:r>
    </w:p>
  </w:footnote>
  <w:footnote w:id="33">
    <w:p w14:paraId="419E8936" w14:textId="623FA370" w:rsidR="005C0DC6" w:rsidRDefault="005C0DC6" w:rsidP="00707E31">
      <w:pPr>
        <w:pStyle w:val="FootnoteText"/>
        <w:ind w:left="426" w:hanging="426"/>
        <w:jc w:val="both"/>
      </w:pPr>
      <w:r>
        <w:rPr>
          <w:rStyle w:val="FootnoteReference"/>
        </w:rPr>
        <w:footnoteRef/>
      </w:r>
      <w:r>
        <w:t xml:space="preserve"> </w:t>
      </w:r>
      <w:r>
        <w:tab/>
        <w:t xml:space="preserve">See </w:t>
      </w:r>
      <w:r w:rsidRPr="00EB12EB">
        <w:t>Jat Singh and Julia Powles</w:t>
      </w:r>
      <w:r>
        <w:t xml:space="preserve"> ‘</w:t>
      </w:r>
      <w:r w:rsidRPr="00EB12EB">
        <w:t>Why the internet of things favours dominance</w:t>
      </w:r>
      <w:r>
        <w:t>’ (Guardian, 24 July 2015) &lt;</w:t>
      </w:r>
      <w:r w:rsidRPr="00EB12EB">
        <w:t>https://www.theguardian.com/technology/2015/jul/24/internet-of-things-centralisation-dominance</w:t>
      </w:r>
      <w:r>
        <w:t>&gt; accessed 9 October 2020.</w:t>
      </w:r>
    </w:p>
  </w:footnote>
  <w:footnote w:id="34">
    <w:p w14:paraId="2977239E" w14:textId="5150C977"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BEREC Report (n </w:t>
      </w:r>
      <w:r>
        <w:t>31</w:t>
      </w:r>
      <w:r w:rsidRPr="006B6D7C">
        <w:t>) 39.</w:t>
      </w:r>
    </w:p>
  </w:footnote>
  <w:footnote w:id="35">
    <w:p w14:paraId="4AE92DF2" w14:textId="77A40C02" w:rsidR="005C0DC6" w:rsidRDefault="005C0DC6" w:rsidP="00707E31">
      <w:pPr>
        <w:pStyle w:val="FootnoteText"/>
        <w:ind w:left="426" w:hanging="426"/>
        <w:jc w:val="both"/>
      </w:pPr>
      <w:r>
        <w:rPr>
          <w:rStyle w:val="FootnoteReference"/>
        </w:rPr>
        <w:footnoteRef/>
      </w:r>
      <w:r>
        <w:t xml:space="preserve"> </w:t>
      </w:r>
      <w:r>
        <w:tab/>
      </w:r>
      <w:r w:rsidRPr="00692824">
        <w:t>United States v. Microsoft Corp., 87 F. Supp. 2d 30, 36 (D.D.C. 2000)</w:t>
      </w:r>
      <w:r w:rsidRPr="00D11A83">
        <w:t xml:space="preserve"> at 45.</w:t>
      </w:r>
      <w:r>
        <w:t xml:space="preserve"> See also Mark Geier, ‘United States v. Microsoft Corp.’ [2001] 16(1) Berkeley Technology Law Journal 297, 310.</w:t>
      </w:r>
    </w:p>
  </w:footnote>
  <w:footnote w:id="36">
    <w:p w14:paraId="5A1ADE37" w14:textId="39694D07" w:rsidR="005C0DC6" w:rsidRDefault="005C0DC6" w:rsidP="00707E31">
      <w:pPr>
        <w:pStyle w:val="FootnoteText"/>
        <w:ind w:left="426" w:hanging="426"/>
        <w:jc w:val="both"/>
      </w:pPr>
      <w:r>
        <w:rPr>
          <w:rStyle w:val="FootnoteReference"/>
        </w:rPr>
        <w:footnoteRef/>
      </w:r>
      <w:r>
        <w:t xml:space="preserve"> </w:t>
      </w:r>
      <w:r>
        <w:tab/>
      </w:r>
      <w:r w:rsidRPr="002125BD">
        <w:rPr>
          <w:i/>
          <w:lang w:val="tr-TR"/>
        </w:rPr>
        <w:t xml:space="preserve">Verizon Telecommunications Inc. </w:t>
      </w:r>
      <w:r w:rsidRPr="002125BD">
        <w:rPr>
          <w:lang w:val="tr-TR"/>
        </w:rPr>
        <w:t>v.</w:t>
      </w:r>
      <w:r w:rsidRPr="002125BD">
        <w:rPr>
          <w:i/>
          <w:lang w:val="tr-TR"/>
        </w:rPr>
        <w:t xml:space="preserve"> Law Offices of Curtis V. Trinko</w:t>
      </w:r>
      <w:r w:rsidRPr="002125BD">
        <w:rPr>
          <w:lang w:val="tr-TR"/>
        </w:rPr>
        <w:t>, LLP 540 U.S. 398, 2004 (</w:t>
      </w:r>
      <w:r>
        <w:rPr>
          <w:lang w:val="tr-TR"/>
        </w:rPr>
        <w:t>‘</w:t>
      </w:r>
      <w:r w:rsidRPr="002125BD">
        <w:rPr>
          <w:i/>
          <w:lang w:val="tr-TR"/>
        </w:rPr>
        <w:t>Trinko</w:t>
      </w:r>
      <w:r w:rsidRPr="002125BD">
        <w:rPr>
          <w:lang w:val="tr-TR"/>
        </w:rPr>
        <w:t xml:space="preserve"> judgement</w:t>
      </w:r>
      <w:r>
        <w:rPr>
          <w:lang w:val="tr-TR"/>
        </w:rPr>
        <w:t>’</w:t>
      </w:r>
      <w:r w:rsidRPr="002125BD">
        <w:rPr>
          <w:lang w:val="tr-TR"/>
        </w:rPr>
        <w:t>)</w:t>
      </w:r>
      <w:r>
        <w:rPr>
          <w:lang w:val="tr-TR"/>
        </w:rPr>
        <w:t xml:space="preserve">. </w:t>
      </w:r>
      <w:r w:rsidRPr="00707E31">
        <w:t>See</w:t>
      </w:r>
      <w:r>
        <w:rPr>
          <w:lang w:val="tr-TR"/>
        </w:rPr>
        <w:t xml:space="preserve"> infra note </w:t>
      </w:r>
      <w:r w:rsidRPr="00550C22">
        <w:rPr>
          <w:lang w:val="tr-TR"/>
        </w:rPr>
        <w:t>459</w:t>
      </w:r>
      <w:r>
        <w:rPr>
          <w:lang w:val="tr-TR"/>
        </w:rPr>
        <w:t>.</w:t>
      </w:r>
    </w:p>
  </w:footnote>
  <w:footnote w:id="37">
    <w:p w14:paraId="23FC0F25" w14:textId="27DF684A" w:rsidR="005C0DC6" w:rsidRDefault="005C0DC6" w:rsidP="00707E31">
      <w:pPr>
        <w:pStyle w:val="FootnoteText"/>
        <w:ind w:left="426" w:hanging="426"/>
        <w:jc w:val="both"/>
      </w:pPr>
      <w:r>
        <w:rPr>
          <w:rStyle w:val="FootnoteReference"/>
        </w:rPr>
        <w:footnoteRef/>
      </w:r>
      <w:r>
        <w:t xml:space="preserve"> </w:t>
      </w:r>
      <w:r>
        <w:tab/>
        <w:t>See the section ‘</w:t>
      </w:r>
      <w:r w:rsidRPr="0022379B">
        <w:t>5.3.1.3.</w:t>
      </w:r>
      <w:r>
        <w:t xml:space="preserve"> </w:t>
      </w:r>
      <w:r w:rsidRPr="0022379B">
        <w:t>Refusal to license/supply interoperability information</w:t>
      </w:r>
      <w:r>
        <w:t>’.</w:t>
      </w:r>
    </w:p>
  </w:footnote>
  <w:footnote w:id="38">
    <w:p w14:paraId="2E1F3EA6" w14:textId="2EAE4A4B" w:rsidR="005C0DC6" w:rsidRDefault="005C0DC6" w:rsidP="00707E31">
      <w:pPr>
        <w:pStyle w:val="FootnoteText"/>
        <w:ind w:left="426" w:hanging="426"/>
        <w:jc w:val="both"/>
      </w:pPr>
      <w:r>
        <w:rPr>
          <w:rStyle w:val="FootnoteReference"/>
        </w:rPr>
        <w:footnoteRef/>
      </w:r>
      <w:r>
        <w:t xml:space="preserve"> </w:t>
      </w:r>
      <w:r>
        <w:tab/>
        <w:t>See the section ‘</w:t>
      </w:r>
      <w:r w:rsidRPr="003D562E">
        <w:t>4.2.3.</w:t>
      </w:r>
      <w:r>
        <w:t xml:space="preserve"> </w:t>
      </w:r>
      <w:r w:rsidRPr="003D562E">
        <w:t xml:space="preserve">Comparative analysis through the </w:t>
      </w:r>
      <w:r w:rsidRPr="00692824">
        <w:rPr>
          <w:i/>
          <w:iCs/>
        </w:rPr>
        <w:t>Nintendo</w:t>
      </w:r>
      <w:r w:rsidRPr="003D562E">
        <w:t xml:space="preserve"> case</w:t>
      </w:r>
      <w:r>
        <w:t>’.</w:t>
      </w:r>
    </w:p>
  </w:footnote>
  <w:footnote w:id="39">
    <w:p w14:paraId="645A9634" w14:textId="77777777" w:rsidR="005C0DC6" w:rsidRPr="006B6D7C" w:rsidRDefault="005C0DC6" w:rsidP="008E7169">
      <w:pPr>
        <w:pStyle w:val="FootnoteText"/>
        <w:ind w:left="426" w:hanging="426"/>
        <w:jc w:val="both"/>
      </w:pPr>
      <w:r w:rsidRPr="006B6D7C">
        <w:rPr>
          <w:rStyle w:val="FootnoteReference"/>
        </w:rPr>
        <w:footnoteRef/>
      </w:r>
      <w:r w:rsidRPr="006B6D7C">
        <w:t xml:space="preserve"> </w:t>
      </w:r>
      <w:r>
        <w:tab/>
      </w:r>
      <w:r w:rsidRPr="006B6D7C">
        <w:t xml:space="preserve">For the details of the layered IP stack, see the section ‘2.2.3. Architectural underpinnings of the internet: Layered IP Stack’. While this IP stack implies technological layers as reflected in the proposed layered model, </w:t>
      </w:r>
      <w:r>
        <w:t xml:space="preserve">the </w:t>
      </w:r>
      <w:r w:rsidRPr="006B6D7C">
        <w:t>distinctive nature of the proposed model should also be noted</w:t>
      </w:r>
      <w:r>
        <w:t>,</w:t>
      </w:r>
      <w:r w:rsidRPr="006B6D7C">
        <w:t xml:space="preserve"> in the sense that economic aspects of the ICT networks/services are also incorporated into this model. Interdependency of ICT layers is taken as the baseline to have a coherent idea of regulatory modelling, whereby each layer is acknowledged as a separate </w:t>
      </w:r>
      <w:r>
        <w:t xml:space="preserve">(and where necessary, inter-connected) </w:t>
      </w:r>
      <w:r w:rsidRPr="006B6D7C">
        <w:t>unit for regulatory obligations</w:t>
      </w:r>
      <w:r>
        <w:t>,</w:t>
      </w:r>
      <w:r w:rsidRPr="006B6D7C">
        <w:t xml:space="preserve"> in conjunction with the gatekeeping activities. In this regard, ‘layering’ denotes the technological layout on which </w:t>
      </w:r>
      <w:r>
        <w:t xml:space="preserve">the </w:t>
      </w:r>
      <w:r w:rsidRPr="006B6D7C">
        <w:t xml:space="preserve">more economic concept of ‘gatekeeping’ is taken as the key concept for </w:t>
      </w:r>
      <w:r>
        <w:t>ex ante</w:t>
      </w:r>
      <w:r w:rsidRPr="006B6D7C">
        <w:t xml:space="preserve"> regulation.</w:t>
      </w:r>
    </w:p>
  </w:footnote>
  <w:footnote w:id="40">
    <w:p w14:paraId="544243FB" w14:textId="0E8B152B" w:rsidR="005C0DC6" w:rsidRDefault="005C0DC6" w:rsidP="00B62395">
      <w:pPr>
        <w:pStyle w:val="FootnoteText"/>
        <w:ind w:left="426" w:hanging="426"/>
        <w:jc w:val="both"/>
      </w:pPr>
      <w:r>
        <w:rPr>
          <w:rStyle w:val="FootnoteReference"/>
        </w:rPr>
        <w:footnoteRef/>
      </w:r>
      <w:r>
        <w:t xml:space="preserve"> </w:t>
      </w:r>
      <w:r>
        <w:tab/>
      </w:r>
      <w:r w:rsidRPr="006B6D7C">
        <w:t xml:space="preserve">Ashwin van Rooijen, </w:t>
      </w:r>
      <w:r w:rsidRPr="00A82FA2">
        <w:rPr>
          <w:i/>
          <w:iCs/>
        </w:rPr>
        <w:t>The Software Interface Between Copyright and Competition Law: A Legal Analysis of Interoperability in Computer Programs</w:t>
      </w:r>
      <w:r w:rsidRPr="006B6D7C">
        <w:t xml:space="preserve"> </w:t>
      </w:r>
      <w:r w:rsidRPr="006B6D7C">
        <w:rPr>
          <w:lang w:val="tr-TR"/>
        </w:rPr>
        <w:t>(</w:t>
      </w:r>
      <w:r w:rsidRPr="006B6D7C">
        <w:t>Kluwer Law International, Information Law Series, Vol. 20, 2011)</w:t>
      </w:r>
      <w:r>
        <w:t>; Weston (n 13); Aaron K. Perzanowski, ‘Rethinking Anticircumvention’s Interoperability Policy’ [2009] 42 University of California Davis Law Review, 101-172.</w:t>
      </w:r>
    </w:p>
  </w:footnote>
  <w:footnote w:id="41">
    <w:p w14:paraId="259D1D05" w14:textId="52A6CB4D" w:rsidR="005C0DC6" w:rsidRDefault="005C0DC6" w:rsidP="00B62395">
      <w:pPr>
        <w:pStyle w:val="FootnoteText"/>
        <w:ind w:left="426" w:hanging="426"/>
        <w:jc w:val="both"/>
      </w:pPr>
      <w:r>
        <w:rPr>
          <w:rStyle w:val="FootnoteReference"/>
        </w:rPr>
        <w:footnoteRef/>
      </w:r>
      <w:r>
        <w:t xml:space="preserve"> </w:t>
      </w:r>
      <w:r>
        <w:tab/>
        <w:t xml:space="preserve">See ibid. While there are some references to ECRF under the researches of Van Rooijen and Weston, these references mainly aim to open a parenthesis for the ex ante approach pursued by the given sector-specific regulation, not delving into the ECRF. Both end up with their respective proposals mainly focused on the copyright legislation, which means a stark distinction comparing to this thesis, for being confined to the understanding of the IPR laws and doctrines.  </w:t>
      </w:r>
    </w:p>
  </w:footnote>
  <w:footnote w:id="42">
    <w:p w14:paraId="33C95659" w14:textId="3ACE38ED" w:rsidR="005C0DC6" w:rsidRDefault="005C0DC6" w:rsidP="00B62395">
      <w:pPr>
        <w:pStyle w:val="FootnoteText"/>
        <w:ind w:left="426" w:hanging="426"/>
        <w:jc w:val="both"/>
      </w:pPr>
      <w:r>
        <w:rPr>
          <w:rStyle w:val="FootnoteReference"/>
        </w:rPr>
        <w:footnoteRef/>
      </w:r>
      <w:r>
        <w:t xml:space="preserve"> </w:t>
      </w:r>
      <w:r>
        <w:tab/>
        <w:t xml:space="preserve">See the sections </w:t>
      </w:r>
      <w:r w:rsidRPr="004978E8">
        <w:t>‘</w:t>
      </w:r>
      <w:r w:rsidRPr="00692824">
        <w:t>7.1.3. Interoperability debate in the cloud context’ and ‘</w:t>
      </w:r>
      <w:r w:rsidRPr="004978E8">
        <w:t>7.2.4. Interoperability debate in the IoT context’.</w:t>
      </w:r>
    </w:p>
  </w:footnote>
  <w:footnote w:id="43">
    <w:p w14:paraId="03959E09" w14:textId="6D5CCB50"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Urs Gasser, ‘Interoperability in the digital ecosystem’ </w:t>
      </w:r>
      <w:r>
        <w:t xml:space="preserve">(2015) </w:t>
      </w:r>
      <w:r w:rsidRPr="006B6D7C">
        <w:t xml:space="preserve">GSR15 discussion paper, 2 &lt;http://www.itu.int/en/ITU-D/Conferences/GSR/Pages/GSR2015/GSR15-discussion-paper.aspx&gt; accessed </w:t>
      </w:r>
      <w:r>
        <w:t xml:space="preserve">9 October 2020; </w:t>
      </w:r>
      <w:r w:rsidRPr="006B6D7C">
        <w:t xml:space="preserve">John Palfrey and Urs Gasser, </w:t>
      </w:r>
      <w:r w:rsidRPr="003F37AE">
        <w:rPr>
          <w:i/>
          <w:iCs/>
        </w:rPr>
        <w:t>Interop: The promise and perils of highly interconnected systems</w:t>
      </w:r>
      <w:r w:rsidRPr="006B6D7C">
        <w:t xml:space="preserve"> (Basic Books 2012) 5; John Palfrey and Urs Gasser, ‘Fostering innovation and trade in the global information society: The different facets and roles of interoperability’ (</w:t>
      </w:r>
      <w:r>
        <w:t xml:space="preserve">2011) </w:t>
      </w:r>
      <w:r w:rsidRPr="006B6D7C">
        <w:t>NCCR Trade Regulation Working Paper No. 2011/39</w:t>
      </w:r>
      <w:r>
        <w:t>, 3, &lt;</w:t>
      </w:r>
      <w:r w:rsidRPr="00E66E74">
        <w:t>https://www.wti.org/media/filer_public/f7/a7/f7a7ae35-d43a-4e82-8cef-4ca26b7bb778/gasser_and_palfrey_final.pdf</w:t>
      </w:r>
      <w:r w:rsidRPr="006B6D7C">
        <w:t xml:space="preserve">&gt; accessed </w:t>
      </w:r>
      <w:r>
        <w:t>9 October 2020</w:t>
      </w:r>
      <w:r w:rsidRPr="006B6D7C">
        <w:t xml:space="preserve">. </w:t>
      </w:r>
    </w:p>
  </w:footnote>
  <w:footnote w:id="44">
    <w:p w14:paraId="1DDC6BA1" w14:textId="4705D790"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Sutor (n 3) 215. </w:t>
      </w:r>
    </w:p>
  </w:footnote>
  <w:footnote w:id="45">
    <w:p w14:paraId="2C19C759" w14:textId="7854DA5E"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There are alternative definitions made so far, among which one refers to “[t]he capability to communicate, execute programs, or transfer data among various functional units in a manner that requires the user to have little or no knowledge of the unique characteristics of those units” (Samuelson (n 4) 1946-1947). For the definition introduced by the Institute of Electrical and Electronics Engineers (IEEE) see IEEE, Standards Glossary, 2016, &lt;</w:t>
      </w:r>
      <w:hyperlink w:history="1">
        <w:r w:rsidRPr="005208B8">
          <w:t>https://www.standardsuniv ersity.org/article/standards-glossary/</w:t>
        </w:r>
      </w:hyperlink>
      <w:r w:rsidRPr="006B6D7C">
        <w:t xml:space="preserve">&gt; accessed </w:t>
      </w:r>
      <w:r>
        <w:t>9 October 2020</w:t>
      </w:r>
      <w:r w:rsidRPr="006B6D7C">
        <w:t>.</w:t>
      </w:r>
    </w:p>
  </w:footnote>
  <w:footnote w:id="46">
    <w:p w14:paraId="74015C39" w14:textId="0CEC295B"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Pr>
          <w:lang w:val="tr-TR"/>
        </w:rPr>
        <w:t>S</w:t>
      </w:r>
      <w:r w:rsidRPr="006B6D7C">
        <w:rPr>
          <w:lang w:val="tr-TR"/>
        </w:rPr>
        <w:t xml:space="preserve">oftware Directive, </w:t>
      </w:r>
      <w:r w:rsidRPr="006B6D7C">
        <w:t>recital 10</w:t>
      </w:r>
      <w:r w:rsidRPr="006B6D7C">
        <w:rPr>
          <w:lang w:val="tr-TR"/>
        </w:rPr>
        <w:t>.</w:t>
      </w:r>
    </w:p>
  </w:footnote>
  <w:footnote w:id="47">
    <w:p w14:paraId="733BEE11" w14:textId="357014E6"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Samuelson (n 4) 1947.</w:t>
      </w:r>
    </w:p>
  </w:footnote>
  <w:footnote w:id="48">
    <w:p w14:paraId="5D28E9A6" w14:textId="6A4A437A"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rPr>
          <w:lang w:val="tr-TR"/>
        </w:rPr>
        <w:t>“Interoperability” ha</w:t>
      </w:r>
      <w:r>
        <w:rPr>
          <w:lang w:val="tr-TR"/>
        </w:rPr>
        <w:t>s</w:t>
      </w:r>
      <w:r w:rsidRPr="006B6D7C">
        <w:rPr>
          <w:lang w:val="tr-TR"/>
        </w:rPr>
        <w:t xml:space="preserve"> a meaning distinct from “compatibility” and “co-operation”. </w:t>
      </w:r>
      <w:r w:rsidRPr="006B6D7C">
        <w:t>Devices, systems and networks are considered as “interoperable” when they execute together a common task going beyond being compatible and cooperative. Technically</w:t>
      </w:r>
      <w:r>
        <w:t>,</w:t>
      </w:r>
      <w:r w:rsidRPr="006B6D7C">
        <w:t xml:space="preserve"> “compatibility” is a specific form of interoperability that represents certain choices in the development of a system. For example, in 2014, the EU </w:t>
      </w:r>
      <w:r>
        <w:t xml:space="preserve">authorities </w:t>
      </w:r>
      <w:r w:rsidRPr="006B6D7C">
        <w:t xml:space="preserve">put into force a Directive (Directive 2014/53/EU of the European Parliament and of the Council, 2014 O. J. L. 153/62) that called for the use of a common standard for mobile phone chargers, which set out a narrow solution (design choice) as to the “compatibility of the cables that provide power to mobile devices” (Gasser (n </w:t>
      </w:r>
      <w:r>
        <w:t>43</w:t>
      </w:r>
      <w:r w:rsidRPr="006B6D7C">
        <w:t>) 3).</w:t>
      </w:r>
    </w:p>
  </w:footnote>
  <w:footnote w:id="49">
    <w:p w14:paraId="05987FAB" w14:textId="4A178798"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From a broader viewpoint, this preference could be argued to be crucial</w:t>
      </w:r>
      <w:r>
        <w:t>,</w:t>
      </w:r>
      <w:r w:rsidRPr="006B6D7C">
        <w:t xml:space="preserve"> as </w:t>
      </w:r>
      <w:r>
        <w:t xml:space="preserve">a </w:t>
      </w:r>
      <w:r w:rsidRPr="006B6D7C">
        <w:t>definition of ‘interoperability’ is not standard in dictionaries. For instance, ‘interoperability’ is defined as “the ability of computer systems or software to exchange and make use of information” by the Oxford Dictionaries (See Oxford Dictionaries &lt;</w:t>
      </w:r>
      <w:hyperlink r:id="rId1" w:history="1">
        <w:r w:rsidRPr="0028684E">
          <w:t>https://en.oxforddictionaries.com/definition/interop</w:t>
        </w:r>
        <w:r>
          <w:t xml:space="preserve"> </w:t>
        </w:r>
        <w:r w:rsidRPr="0028684E">
          <w:t>erability</w:t>
        </w:r>
      </w:hyperlink>
      <w:r w:rsidRPr="006B6D7C">
        <w:t xml:space="preserve">&gt; accessed </w:t>
      </w:r>
      <w:r>
        <w:t>9 October 2020</w:t>
      </w:r>
      <w:r w:rsidRPr="006B6D7C">
        <w:t>, whereas Cambridge Dictionary defines it as “the degree to which two products, programs, etc. can be used together, or the quality of being able to be used together” (Cambridge Dictionary &lt;</w:t>
      </w:r>
      <w:hyperlink r:id="rId2" w:history="1">
        <w:r w:rsidRPr="0028684E">
          <w:t>https://dictionary.cambridge.org/dictionary/english/inte</w:t>
        </w:r>
        <w:r>
          <w:t xml:space="preserve"> </w:t>
        </w:r>
        <w:r w:rsidRPr="0028684E">
          <w:t>roperability</w:t>
        </w:r>
      </w:hyperlink>
      <w:r w:rsidRPr="006B6D7C">
        <w:t xml:space="preserve">&gt; accessed </w:t>
      </w:r>
      <w:r>
        <w:t>9 October 2020</w:t>
      </w:r>
      <w:r w:rsidRPr="006B6D7C">
        <w:t>).</w:t>
      </w:r>
    </w:p>
  </w:footnote>
  <w:footnote w:id="50">
    <w:p w14:paraId="466667FC" w14:textId="42037700"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See </w:t>
      </w:r>
      <w:bookmarkStart w:id="116" w:name="_Hlk16967236"/>
      <w:r w:rsidRPr="006B6D7C">
        <w:t xml:space="preserve">Sara Gabriella Hoffman, </w:t>
      </w:r>
      <w:r w:rsidRPr="0028684E">
        <w:rPr>
          <w:i/>
          <w:iCs/>
        </w:rPr>
        <w:t>Regulation of Cloud Services under US and EU Antitrust, Competition and Privacy Laws</w:t>
      </w:r>
      <w:r w:rsidRPr="006B6D7C">
        <w:t xml:space="preserve"> (PL Academic Research 2017)</w:t>
      </w:r>
      <w:bookmarkEnd w:id="116"/>
      <w:r w:rsidRPr="006B6D7C">
        <w:t xml:space="preserve"> 129.</w:t>
      </w:r>
    </w:p>
  </w:footnote>
  <w:footnote w:id="51">
    <w:p w14:paraId="61B01678" w14:textId="03B9BA26"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Palfrey </w:t>
      </w:r>
      <w:r>
        <w:t xml:space="preserve">and </w:t>
      </w:r>
      <w:r w:rsidRPr="006B6D7C">
        <w:t xml:space="preserve">Gasser (n </w:t>
      </w:r>
      <w:r>
        <w:t>43</w:t>
      </w:r>
      <w:r w:rsidRPr="006B6D7C">
        <w:t xml:space="preserve">) </w:t>
      </w:r>
      <w:r>
        <w:t xml:space="preserve">2011 </w:t>
      </w:r>
      <w:r w:rsidRPr="006B6D7C">
        <w:t>4.</w:t>
      </w:r>
    </w:p>
  </w:footnote>
  <w:footnote w:id="52">
    <w:p w14:paraId="3B5AF753" w14:textId="0726F4D0"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Palfrey</w:t>
      </w:r>
      <w:r>
        <w:t xml:space="preserve"> and</w:t>
      </w:r>
      <w:r w:rsidRPr="006B6D7C">
        <w:t xml:space="preserve"> Gasser (n </w:t>
      </w:r>
      <w:r>
        <w:t>43</w:t>
      </w:r>
      <w:r w:rsidRPr="006B6D7C">
        <w:t xml:space="preserve">) </w:t>
      </w:r>
      <w:r>
        <w:t xml:space="preserve">2011 </w:t>
      </w:r>
      <w:r w:rsidRPr="006B6D7C">
        <w:t>4.</w:t>
      </w:r>
    </w:p>
  </w:footnote>
  <w:footnote w:id="53">
    <w:p w14:paraId="2BCEFD0D" w14:textId="79CA4E64" w:rsidR="005C0DC6" w:rsidRPr="006B6D7C" w:rsidRDefault="005C0DC6" w:rsidP="00A70042">
      <w:pPr>
        <w:pStyle w:val="FootnoteText"/>
        <w:ind w:left="426" w:hanging="426"/>
        <w:jc w:val="both"/>
      </w:pPr>
      <w:r w:rsidRPr="006B6D7C">
        <w:rPr>
          <w:rStyle w:val="FootnoteReference"/>
        </w:rPr>
        <w:footnoteRef/>
      </w:r>
      <w:r w:rsidRPr="006B6D7C">
        <w:rPr>
          <w:rStyle w:val="FootnoteReference"/>
        </w:rPr>
        <w:t xml:space="preserve"> </w:t>
      </w:r>
      <w:r>
        <w:rPr>
          <w:rStyle w:val="FootnoteReference"/>
        </w:rPr>
        <w:tab/>
      </w:r>
      <w:r w:rsidRPr="006B6D7C">
        <w:t>DRM means “[a] bundle of software, services and technologies that confine use of digital content to authorised consumers, and manages consequences of that use throughout the entire life cycle of the digital content” (Carlisle George and Navin Chandak</w:t>
      </w:r>
      <w:r>
        <w:t>,</w:t>
      </w:r>
      <w:r w:rsidRPr="006B6D7C">
        <w:t xml:space="preserve"> ‘Issues and Challenges in Securing Interoperability of DRM Systems in the Digital Music Market’ [2006]</w:t>
      </w:r>
      <w:r>
        <w:t xml:space="preserve"> 20(</w:t>
      </w:r>
      <w:r w:rsidRPr="006B6D7C">
        <w:t>3</w:t>
      </w:r>
      <w:r>
        <w:t>)</w:t>
      </w:r>
      <w:r w:rsidRPr="006B6D7C">
        <w:t xml:space="preserve"> International Review of Law Computers &amp; Technology</w:t>
      </w:r>
      <w:r>
        <w:t xml:space="preserve"> 271,</w:t>
      </w:r>
      <w:r w:rsidRPr="006B6D7C">
        <w:t xml:space="preserve"> 272).</w:t>
      </w:r>
    </w:p>
  </w:footnote>
  <w:footnote w:id="54">
    <w:p w14:paraId="3ECEA3A7" w14:textId="612E5394"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Simone Aliprandi ‘Interoperability and Open Standards: The Key to True Opennes</w:t>
      </w:r>
      <w:r>
        <w:t>s</w:t>
      </w:r>
      <w:r w:rsidRPr="006B6D7C">
        <w:t xml:space="preserve"> and Innovation’ [2015]</w:t>
      </w:r>
      <w:r>
        <w:t xml:space="preserve"> 3(1)</w:t>
      </w:r>
      <w:r w:rsidRPr="006B6D7C">
        <w:t xml:space="preserve"> International Free and Open Source Software Law Review </w:t>
      </w:r>
      <w:r>
        <w:t>5,</w:t>
      </w:r>
      <w:r w:rsidRPr="006B6D7C">
        <w:t xml:space="preserve"> </w:t>
      </w:r>
      <w:r>
        <w:t>5-6</w:t>
      </w:r>
      <w:r w:rsidRPr="006B6D7C">
        <w:t>.</w:t>
      </w:r>
    </w:p>
  </w:footnote>
  <w:footnote w:id="55">
    <w:p w14:paraId="186925E5" w14:textId="7682BD1E"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rPr>
          <w:lang w:val="tr-TR"/>
        </w:rPr>
        <w:t xml:space="preserve">Jonathan Band and Masanobu Katoh, </w:t>
      </w:r>
      <w:r w:rsidRPr="00320696">
        <w:rPr>
          <w:i/>
          <w:iCs/>
          <w:lang w:val="tr-TR"/>
        </w:rPr>
        <w:t>Interfaces on Trial 2.0</w:t>
      </w:r>
      <w:r w:rsidRPr="006B6D7C">
        <w:rPr>
          <w:lang w:val="tr-TR"/>
        </w:rPr>
        <w:t xml:space="preserve"> (The MIT Press 2011) 1</w:t>
      </w:r>
      <w:r w:rsidRPr="006B6D7C">
        <w:t>.</w:t>
      </w:r>
    </w:p>
  </w:footnote>
  <w:footnote w:id="56">
    <w:p w14:paraId="14DF8F12" w14:textId="109E1C57"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Ibid.</w:t>
      </w:r>
    </w:p>
  </w:footnote>
  <w:footnote w:id="57">
    <w:p w14:paraId="5F8066F3" w14:textId="246AE5DE"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Ian Walden, ‘Open Source as Philosophy, Metho</w:t>
      </w:r>
      <w:r>
        <w:t>dolo</w:t>
      </w:r>
      <w:r w:rsidRPr="006B6D7C">
        <w:t>gy, and Commerce: Using Law with Attitude’ in Noam Shemtov and Ian Walden (ed</w:t>
      </w:r>
      <w:r>
        <w:t>b</w:t>
      </w:r>
      <w:r w:rsidRPr="006B6D7C">
        <w:t xml:space="preserve">s), </w:t>
      </w:r>
      <w:r w:rsidRPr="00320696">
        <w:rPr>
          <w:i/>
          <w:iCs/>
        </w:rPr>
        <w:t>Free and Open Source Software</w:t>
      </w:r>
      <w:r w:rsidRPr="006B6D7C">
        <w:t xml:space="preserve"> (OUP 2013) 32.</w:t>
      </w:r>
    </w:p>
  </w:footnote>
  <w:footnote w:id="58">
    <w:p w14:paraId="5BFA6812" w14:textId="15075E9E"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Samuelson (n 4) 1943-1944.</w:t>
      </w:r>
    </w:p>
  </w:footnote>
  <w:footnote w:id="59">
    <w:p w14:paraId="2560134B" w14:textId="56C58B38" w:rsidR="005C0DC6" w:rsidRDefault="005C0DC6">
      <w:pPr>
        <w:pStyle w:val="FootnoteText"/>
      </w:pPr>
      <w:r>
        <w:rPr>
          <w:rStyle w:val="FootnoteReference"/>
        </w:rPr>
        <w:footnoteRef/>
      </w:r>
      <w:r>
        <w:t xml:space="preserve">      See the section ‘</w:t>
      </w:r>
      <w:r w:rsidRPr="006F550A">
        <w:t>3.1.2.</w:t>
      </w:r>
      <w:r>
        <w:t xml:space="preserve"> </w:t>
      </w:r>
      <w:r w:rsidRPr="006F550A">
        <w:t>Main concerns surrounding lack of interoperability</w:t>
      </w:r>
      <w:r>
        <w:t>’.</w:t>
      </w:r>
    </w:p>
  </w:footnote>
  <w:footnote w:id="60">
    <w:p w14:paraId="307754AE" w14:textId="6B512EA4"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Samuelson (n 4) 1947.</w:t>
      </w:r>
    </w:p>
  </w:footnote>
  <w:footnote w:id="61">
    <w:p w14:paraId="6CF85E64" w14:textId="24772D3C"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ICT interfaces (or APIs) could be considered as the informational equivalents of the standard plug and socket designs that designers of electric appliances must use in order for their appliances to successfully interoperate with the electric grid (Samuelson (n 4) 1947).</w:t>
      </w:r>
    </w:p>
  </w:footnote>
  <w:footnote w:id="62">
    <w:p w14:paraId="0F4A119A" w14:textId="0246E92F"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Nicolo Zingales, ‘Of Coffee Pods, Videogames, and Missed Interoperability: Reflections for EU Governance of the Internet of Things’, (</w:t>
      </w:r>
      <w:r>
        <w:t xml:space="preserve">2016) </w:t>
      </w:r>
      <w:r w:rsidRPr="006B6D7C">
        <w:t xml:space="preserve">TILEC Discussion Paper (DP 2015-026), 7; </w:t>
      </w:r>
      <w:r>
        <w:t>V</w:t>
      </w:r>
      <w:r w:rsidRPr="006B6D7C">
        <w:t xml:space="preserve">an Rooijen </w:t>
      </w:r>
      <w:r>
        <w:t>(n 40</w:t>
      </w:r>
      <w:r w:rsidRPr="006B6D7C">
        <w:t>) 14.</w:t>
      </w:r>
    </w:p>
  </w:footnote>
  <w:footnote w:id="63">
    <w:p w14:paraId="2791EA62" w14:textId="5A3F696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Van Rooijen (n </w:t>
      </w:r>
      <w:r>
        <w:t>40</w:t>
      </w:r>
      <w:r w:rsidRPr="006B6D7C">
        <w:t>) 14.</w:t>
      </w:r>
    </w:p>
  </w:footnote>
  <w:footnote w:id="64">
    <w:p w14:paraId="455D4DB7" w14:textId="7081F9E7" w:rsidR="005C0DC6" w:rsidRPr="006B6D7C" w:rsidRDefault="005C0DC6" w:rsidP="00A70042">
      <w:pPr>
        <w:pStyle w:val="FootnoteText"/>
        <w:ind w:left="426" w:hanging="426"/>
        <w:jc w:val="both"/>
      </w:pPr>
      <w:r w:rsidRPr="006B6D7C">
        <w:rPr>
          <w:rStyle w:val="FootnoteReference"/>
        </w:rPr>
        <w:footnoteRef/>
      </w:r>
      <w:r w:rsidRPr="006B6D7C">
        <w:t xml:space="preserve"> </w:t>
      </w:r>
      <w:r>
        <w:tab/>
        <w:t xml:space="preserve">See </w:t>
      </w:r>
      <w:r w:rsidRPr="006B6D7C">
        <w:t>Bain (n 3) 161; Sutor (n 3) 215.</w:t>
      </w:r>
    </w:p>
  </w:footnote>
  <w:footnote w:id="65">
    <w:p w14:paraId="6E0D6689" w14:textId="455CF932"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Hilde Marita Oen, ‘Interoperability at the Application Layer in the Internet of Things’ </w:t>
      </w:r>
      <w:r>
        <w:t>(</w:t>
      </w:r>
      <w:r w:rsidRPr="006B6D7C">
        <w:t xml:space="preserve">MSc Thesis, Norwegian University of Science and Technology </w:t>
      </w:r>
      <w:r>
        <w:t xml:space="preserve">2015), </w:t>
      </w:r>
      <w:r w:rsidRPr="006B6D7C">
        <w:t>11.</w:t>
      </w:r>
    </w:p>
  </w:footnote>
  <w:footnote w:id="66">
    <w:p w14:paraId="1323936D" w14:textId="1AD0CAC2"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Ibid, 42.</w:t>
      </w:r>
    </w:p>
  </w:footnote>
  <w:footnote w:id="67">
    <w:p w14:paraId="56DB879A" w14:textId="56FF34EA"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Samuelson (n 4) 1948.</w:t>
      </w:r>
    </w:p>
  </w:footnote>
  <w:footnote w:id="68">
    <w:p w14:paraId="3EEDF1F7" w14:textId="09E35008"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Samuelson (n 4) 1952.</w:t>
      </w:r>
    </w:p>
  </w:footnote>
  <w:footnote w:id="69">
    <w:p w14:paraId="49687476" w14:textId="224E34FC" w:rsidR="005C0DC6" w:rsidRDefault="005C0DC6" w:rsidP="00A70042">
      <w:pPr>
        <w:pStyle w:val="FootnoteText"/>
        <w:ind w:left="426" w:hanging="426"/>
        <w:jc w:val="both"/>
      </w:pPr>
      <w:r>
        <w:rPr>
          <w:rStyle w:val="FootnoteReference"/>
        </w:rPr>
        <w:footnoteRef/>
      </w:r>
      <w:r>
        <w:t xml:space="preserve"> </w:t>
      </w:r>
      <w:r>
        <w:tab/>
      </w:r>
      <w:r w:rsidRPr="00C6697B">
        <w:t xml:space="preserve">It should also be noted that copyrights, and sometimes patents, come up with the codes written by the developers which usually have a licensing policy. Open source licences are common on various ways, e.g. freely (FOSS), permissive, reciprocal, which manifest a wide range of licensing policies run by the software community. For detailed information regarding the interplay between software OSS and licencing approaches see Ross Gardler, </w:t>
      </w:r>
      <w:r>
        <w:t>‘</w:t>
      </w:r>
      <w:r w:rsidRPr="00C6697B">
        <w:t>Open Source and Governance</w:t>
      </w:r>
      <w:r w:rsidRPr="006B6D7C">
        <w:t xml:space="preserve">’ in Noam Shemtov and Ian Walden (eds), </w:t>
      </w:r>
      <w:r w:rsidRPr="00A82FA2">
        <w:rPr>
          <w:i/>
          <w:iCs/>
        </w:rPr>
        <w:t>Free and Open Source Software</w:t>
      </w:r>
      <w:r w:rsidRPr="006B6D7C">
        <w:t xml:space="preserve"> (OUP 2013) </w:t>
      </w:r>
      <w:r w:rsidRPr="00C6697B">
        <w:t>37-68.</w:t>
      </w:r>
    </w:p>
  </w:footnote>
  <w:footnote w:id="70">
    <w:p w14:paraId="4748A3A4" w14:textId="2D5371A7"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The legal definition of a TPM is given under Article 6(3) </w:t>
      </w:r>
      <w:r>
        <w:t xml:space="preserve">of </w:t>
      </w:r>
      <w:r w:rsidRPr="006B6D7C">
        <w:t>Directive 2001/29/EC [</w:t>
      </w:r>
      <w:r w:rsidRPr="006B6D7C">
        <w:rPr>
          <w:lang w:val="en-US"/>
        </w:rPr>
        <w:t>Directive</w:t>
      </w:r>
      <w:r>
        <w:rPr>
          <w:lang w:val="en-US"/>
        </w:rPr>
        <w:t xml:space="preserve"> (EC)</w:t>
      </w:r>
      <w:r w:rsidRPr="006B6D7C">
        <w:rPr>
          <w:lang w:val="en-US"/>
        </w:rPr>
        <w:t xml:space="preserve"> 2001/29 on the harmonisation of certain aspects of copyright and related rights in the information society </w:t>
      </w:r>
      <w:r>
        <w:rPr>
          <w:lang w:val="en-US"/>
        </w:rPr>
        <w:t>[</w:t>
      </w:r>
      <w:r w:rsidRPr="006B6D7C">
        <w:rPr>
          <w:lang w:val="en-US"/>
        </w:rPr>
        <w:t>2001</w:t>
      </w:r>
      <w:r>
        <w:rPr>
          <w:lang w:val="en-US"/>
        </w:rPr>
        <w:t>]</w:t>
      </w:r>
      <w:r w:rsidRPr="006B6D7C">
        <w:rPr>
          <w:lang w:val="en-US"/>
        </w:rPr>
        <w:t xml:space="preserve"> L167/10 (‘InfoSoc Directive’) </w:t>
      </w:r>
      <w:r>
        <w:rPr>
          <w:lang w:val="en-US"/>
        </w:rPr>
        <w:t>art</w:t>
      </w:r>
      <w:r w:rsidRPr="006B6D7C">
        <w:rPr>
          <w:lang w:val="en-US"/>
        </w:rPr>
        <w:t xml:space="preserve"> 6(3)]</w:t>
      </w:r>
      <w:r w:rsidRPr="006B6D7C">
        <w:t>. This Directive basically states that a TPM is any technology (software or hardware) which restricts access to a copyrighted material without the consent of the copyright holder.</w:t>
      </w:r>
    </w:p>
  </w:footnote>
  <w:footnote w:id="71">
    <w:p w14:paraId="48BA9D13" w14:textId="4DBA8E3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Daly (n 2</w:t>
      </w:r>
      <w:r>
        <w:t>3</w:t>
      </w:r>
      <w:r w:rsidRPr="006B6D7C">
        <w:t>) 95.</w:t>
      </w:r>
    </w:p>
  </w:footnote>
  <w:footnote w:id="72">
    <w:p w14:paraId="3A28BB38" w14:textId="08EEEE56"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Daly (n 2</w:t>
      </w:r>
      <w:r>
        <w:t>3</w:t>
      </w:r>
      <w:r w:rsidRPr="006B6D7C">
        <w:t>) 94.</w:t>
      </w:r>
    </w:p>
  </w:footnote>
  <w:footnote w:id="73">
    <w:p w14:paraId="47A31A9A" w14:textId="56008382"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Notably, Article 6(2) of the Directive 2001/29/EC (Infosoc Directive) bans </w:t>
      </w:r>
      <w:r>
        <w:t xml:space="preserve">the </w:t>
      </w:r>
      <w:r w:rsidRPr="006B6D7C">
        <w:t>manufacture, import, distribution, sale, rental</w:t>
      </w:r>
      <w:r>
        <w:t xml:space="preserve"> and</w:t>
      </w:r>
      <w:r w:rsidRPr="006B6D7C">
        <w:t xml:space="preserve"> advertisement of TPM-protected technologies, devices or components</w:t>
      </w:r>
      <w:r>
        <w:t>,</w:t>
      </w:r>
      <w:r w:rsidRPr="006B6D7C">
        <w:t xml:space="preserve"> which “(a) are promoted, advertised or marketed for the purpose of circumvention of, or (b) have only a limited commercially significant purpose or use other than to circumvent, or (c) are primarily designed, produced, adapted or performed for the purpose of enabling or facilitating the circumvention”</w:t>
      </w:r>
      <w:r>
        <w:t>.</w:t>
      </w:r>
      <w:r w:rsidRPr="006B6D7C">
        <w:t xml:space="preserve"> </w:t>
      </w:r>
    </w:p>
  </w:footnote>
  <w:footnote w:id="74">
    <w:p w14:paraId="574055D1" w14:textId="3C0F349E"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Nicos L. Tsilas, ‘Open Innovation and Interoperability’ in L. DeNardis (ed</w:t>
      </w:r>
      <w:r>
        <w:t>s</w:t>
      </w:r>
      <w:r w:rsidRPr="006B6D7C">
        <w:t xml:space="preserve">), </w:t>
      </w:r>
      <w:r w:rsidRPr="00F24ACE">
        <w:rPr>
          <w:i/>
          <w:iCs/>
        </w:rPr>
        <w:t>Opening Standards: The Global Politics of Interoperability</w:t>
      </w:r>
      <w:r w:rsidRPr="006B6D7C">
        <w:t xml:space="preserve"> (The MIT Press 2011) 109. See also Band and Katoh (n </w:t>
      </w:r>
      <w:r>
        <w:t>55</w:t>
      </w:r>
      <w:r w:rsidRPr="006B6D7C">
        <w:t>), 183-184.</w:t>
      </w:r>
    </w:p>
  </w:footnote>
  <w:footnote w:id="75">
    <w:p w14:paraId="5A2924E4" w14:textId="65EEE0D4"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For more information regarding standardisation, open standards and their implications for interoperability </w:t>
      </w:r>
      <w:r w:rsidRPr="006B6D7C">
        <w:rPr>
          <w:lang w:val="tr-TR"/>
        </w:rPr>
        <w:t>see</w:t>
      </w:r>
      <w:r>
        <w:rPr>
          <w:lang w:val="tr-TR"/>
        </w:rPr>
        <w:t xml:space="preserve"> the section</w:t>
      </w:r>
      <w:r w:rsidRPr="006B6D7C">
        <w:rPr>
          <w:lang w:val="tr-TR"/>
        </w:rPr>
        <w:t xml:space="preserve"> </w:t>
      </w:r>
      <w:r>
        <w:rPr>
          <w:lang w:val="tr-TR"/>
        </w:rPr>
        <w:t>‘</w:t>
      </w:r>
      <w:r w:rsidRPr="006B6D7C">
        <w:rPr>
          <w:lang w:val="tr-TR"/>
        </w:rPr>
        <w:t>2.1.4. Standardisation</w:t>
      </w:r>
      <w:r>
        <w:rPr>
          <w:lang w:val="tr-TR"/>
        </w:rPr>
        <w:t>’</w:t>
      </w:r>
      <w:r w:rsidRPr="006B6D7C">
        <w:rPr>
          <w:lang w:val="tr-TR"/>
        </w:rPr>
        <w:t xml:space="preserve">. </w:t>
      </w:r>
    </w:p>
  </w:footnote>
  <w:footnote w:id="76">
    <w:p w14:paraId="03623924" w14:textId="60A41EDD" w:rsidR="005C0DC6" w:rsidRPr="006B6D7C" w:rsidRDefault="005C0DC6" w:rsidP="00A70042">
      <w:pPr>
        <w:pStyle w:val="FootnoteText"/>
        <w:ind w:left="426" w:hanging="426"/>
        <w:jc w:val="both"/>
      </w:pPr>
      <w:r w:rsidRPr="006B6D7C">
        <w:rPr>
          <w:rStyle w:val="FootnoteReference"/>
        </w:rPr>
        <w:footnoteRef/>
      </w:r>
      <w:r>
        <w:t xml:space="preserve"> </w:t>
      </w:r>
      <w:r>
        <w:tab/>
        <w:t xml:space="preserve">See </w:t>
      </w:r>
      <w:r w:rsidRPr="00261DAF">
        <w:rPr>
          <w:lang w:val="tr-TR"/>
        </w:rPr>
        <w:t xml:space="preserve">Jay P. Kesan, </w:t>
      </w:r>
      <w:r>
        <w:rPr>
          <w:lang w:val="tr-TR"/>
        </w:rPr>
        <w:t>‘</w:t>
      </w:r>
      <w:r w:rsidRPr="00261DAF">
        <w:rPr>
          <w:lang w:val="tr-TR"/>
        </w:rPr>
        <w:t>Open Standards</w:t>
      </w:r>
      <w:r>
        <w:rPr>
          <w:lang w:val="tr-TR"/>
        </w:rPr>
        <w:t>’</w:t>
      </w:r>
      <w:r w:rsidRPr="00261DAF">
        <w:rPr>
          <w:lang w:val="tr-TR"/>
        </w:rPr>
        <w:t xml:space="preserve"> </w:t>
      </w:r>
      <w:r>
        <w:rPr>
          <w:lang w:val="tr-TR"/>
        </w:rPr>
        <w:t xml:space="preserve">(2018) </w:t>
      </w:r>
      <w:r w:rsidRPr="00261DAF">
        <w:rPr>
          <w:lang w:val="tr-TR"/>
        </w:rPr>
        <w:t>University of Illinois College of Law Legal Studies Research Paper No. 18-38</w:t>
      </w:r>
      <w:r>
        <w:rPr>
          <w:lang w:val="tr-TR"/>
        </w:rPr>
        <w:t>, 5-7</w:t>
      </w:r>
      <w:r w:rsidRPr="00261DAF">
        <w:rPr>
          <w:lang w:val="tr-TR"/>
        </w:rPr>
        <w:t xml:space="preserve">. </w:t>
      </w:r>
      <w:r>
        <w:rPr>
          <w:lang w:val="tr-TR"/>
        </w:rPr>
        <w:t>&lt;</w:t>
      </w:r>
      <w:hyperlink r:id="rId3" w:history="1">
        <w:r w:rsidRPr="007157E5">
          <w:t>https://ssrn.com/abstract=3260138</w:t>
        </w:r>
      </w:hyperlink>
      <w:r>
        <w:rPr>
          <w:lang w:val="tr-TR"/>
        </w:rPr>
        <w:t xml:space="preserve">&gt; accessed 9 October 2020. </w:t>
      </w:r>
      <w:r>
        <w:t xml:space="preserve">See also Comptia, </w:t>
      </w:r>
      <w:r w:rsidRPr="00F24ACE">
        <w:rPr>
          <w:i/>
          <w:iCs/>
        </w:rPr>
        <w:t>European Interoperability Framework: ICT Industry Recommendations</w:t>
      </w:r>
      <w:r w:rsidRPr="00C963B2">
        <w:t xml:space="preserve">, </w:t>
      </w:r>
      <w:r>
        <w:t>(</w:t>
      </w:r>
      <w:r w:rsidRPr="00C963B2">
        <w:t>White Paper,</w:t>
      </w:r>
      <w:r>
        <w:t xml:space="preserve"> 2004)</w:t>
      </w:r>
      <w:r w:rsidRPr="00C963B2">
        <w:t xml:space="preserve"> 14, </w:t>
      </w:r>
      <w:r>
        <w:t>&lt;</w:t>
      </w:r>
      <w:hyperlink r:id="rId4" w:history="1">
        <w:r w:rsidRPr="00F24ACE">
          <w:t>http://www.urenio.org/e-innovation/stratinc/files/library/ict/15.ICT_standards.</w:t>
        </w:r>
        <w:r>
          <w:t xml:space="preserve"> </w:t>
        </w:r>
        <w:r w:rsidRPr="00F24ACE">
          <w:t>pdf</w:t>
        </w:r>
      </w:hyperlink>
      <w:r>
        <w:t>&gt; accessed 9 October 2020.</w:t>
      </w:r>
    </w:p>
  </w:footnote>
  <w:footnote w:id="77">
    <w:p w14:paraId="7B294FBB" w14:textId="3BE0D46D" w:rsidR="005C0DC6" w:rsidRPr="006B6D7C" w:rsidRDefault="005C0DC6" w:rsidP="00A70042">
      <w:pPr>
        <w:pStyle w:val="FootnoteText"/>
        <w:ind w:left="426" w:hanging="426"/>
        <w:jc w:val="both"/>
      </w:pPr>
      <w:r w:rsidRPr="006B6D7C">
        <w:rPr>
          <w:rStyle w:val="FootnoteReference"/>
        </w:rPr>
        <w:footnoteRef/>
      </w:r>
      <w:r w:rsidRPr="006B6D7C">
        <w:t xml:space="preserve"> </w:t>
      </w:r>
      <w:r>
        <w:tab/>
        <w:t xml:space="preserve">See </w:t>
      </w:r>
      <w:r w:rsidRPr="006B6D7C">
        <w:t xml:space="preserve">Van Rooijen (n </w:t>
      </w:r>
      <w:r>
        <w:t>40</w:t>
      </w:r>
      <w:r w:rsidRPr="006B6D7C">
        <w:t xml:space="preserve">) </w:t>
      </w:r>
      <w:r>
        <w:t>31-37</w:t>
      </w:r>
      <w:r w:rsidRPr="006B6D7C">
        <w:t>.</w:t>
      </w:r>
    </w:p>
  </w:footnote>
  <w:footnote w:id="78">
    <w:p w14:paraId="7D49778E" w14:textId="3B42256D"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Tsilas (n </w:t>
      </w:r>
      <w:r>
        <w:t>74</w:t>
      </w:r>
      <w:r w:rsidRPr="006B6D7C">
        <w:t>) 108.</w:t>
      </w:r>
    </w:p>
  </w:footnote>
  <w:footnote w:id="79">
    <w:p w14:paraId="067C7CCC" w14:textId="3FE94642"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Unver (n </w:t>
      </w:r>
      <w:r>
        <w:t>30</w:t>
      </w:r>
      <w:r w:rsidRPr="006B6D7C">
        <w:t>) 98.</w:t>
      </w:r>
    </w:p>
  </w:footnote>
  <w:footnote w:id="80">
    <w:p w14:paraId="70CC5B79" w14:textId="4892D068"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Tsilas (n </w:t>
      </w:r>
      <w:r>
        <w:t>74</w:t>
      </w:r>
      <w:r w:rsidRPr="006B6D7C">
        <w:t>) 108.</w:t>
      </w:r>
    </w:p>
  </w:footnote>
  <w:footnote w:id="81">
    <w:p w14:paraId="6ADE2817" w14:textId="2027E723"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Rishab Ghosh, ‘An Economic Basis for Open Standards’ in Laura DeNardis (ed</w:t>
      </w:r>
      <w:r>
        <w:t>.</w:t>
      </w:r>
      <w:r w:rsidRPr="006B6D7C">
        <w:t xml:space="preserve">), </w:t>
      </w:r>
      <w:r w:rsidRPr="006F0653">
        <w:rPr>
          <w:i/>
          <w:iCs/>
        </w:rPr>
        <w:t>Opening Standards: The Global Politics of Interoperability</w:t>
      </w:r>
      <w:r w:rsidRPr="006B6D7C">
        <w:t xml:space="preserve"> (The MIT Press 2011) 78.</w:t>
      </w:r>
    </w:p>
  </w:footnote>
  <w:footnote w:id="82">
    <w:p w14:paraId="67B4F35D" w14:textId="35DAF3E5" w:rsidR="005C0DC6" w:rsidRPr="006B6D7C" w:rsidRDefault="005C0DC6" w:rsidP="00A70042">
      <w:pPr>
        <w:pStyle w:val="FootnoteText"/>
        <w:ind w:left="426" w:hanging="426"/>
        <w:jc w:val="both"/>
      </w:pPr>
      <w:r w:rsidRPr="006B6D7C">
        <w:rPr>
          <w:rStyle w:val="FootnoteReference"/>
        </w:rPr>
        <w:footnoteRef/>
      </w:r>
      <w:r w:rsidRPr="006B6D7C">
        <w:rPr>
          <w:rStyle w:val="FootnoteReference"/>
        </w:rPr>
        <w:t xml:space="preserve"> </w:t>
      </w:r>
      <w:r>
        <w:tab/>
      </w:r>
      <w:r w:rsidRPr="006B6D7C">
        <w:t>Ibid. Bodies with some level of formal process for defining such standards include, but are not limited to, the International Telecommunications Union (ITU), the European Telecommunications Standards Institute (ETSI), the Institute of Electrical and Electronics Engineers (IEEE), the World Wide Web Consortium (W3C), and the Internet Engineering Task Force (IETF).</w:t>
      </w:r>
    </w:p>
  </w:footnote>
  <w:footnote w:id="83">
    <w:p w14:paraId="23E91E1D" w14:textId="02CEA59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Jim Markwith, ‘Key intellectual property issues in acquisitions involving open source software’ [2008] Computer and Telecommunications Law Review </w:t>
      </w:r>
      <w:r>
        <w:t xml:space="preserve">45, </w:t>
      </w:r>
      <w:r w:rsidRPr="006B6D7C">
        <w:t>47.</w:t>
      </w:r>
    </w:p>
  </w:footnote>
  <w:footnote w:id="84">
    <w:p w14:paraId="41350485" w14:textId="4CB3870B"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rPr>
          <w:lang w:val="tr-TR"/>
        </w:rPr>
        <w:t>See ibid, reading</w:t>
      </w:r>
      <w:r>
        <w:rPr>
          <w:lang w:val="tr-TR"/>
        </w:rPr>
        <w:t>;</w:t>
      </w:r>
      <w:r w:rsidRPr="006B6D7C">
        <w:t xml:space="preserve"> “[</w:t>
      </w:r>
      <w:r w:rsidRPr="006B6D7C">
        <w:rPr>
          <w:lang w:val="tr-TR"/>
        </w:rPr>
        <w:t xml:space="preserve">I]n fact, proprietary standards can be instrumental in achieving interoperability in various situations. They can also evolve into open standards. For example, pursuit of a proprietary standard by a group of companies may make the most sense under certain circumstances because the standard can be developed and adopted more quickly than in the open standards process and because only a few organizations will rely on the standard to achieve interoperability. Later, if that proprietary standard becomes more well known and implemented by other organisations under reasonable licensing terms, it may rise to the status of a de facto industry standard. At such point, it may also be contributed to </w:t>
      </w:r>
      <w:r>
        <w:rPr>
          <w:lang w:val="tr-TR"/>
        </w:rPr>
        <w:t xml:space="preserve">by </w:t>
      </w:r>
      <w:r w:rsidRPr="006B6D7C">
        <w:rPr>
          <w:lang w:val="tr-TR"/>
        </w:rPr>
        <w:t xml:space="preserve">an open standard organisation, such as </w:t>
      </w:r>
      <w:r>
        <w:rPr>
          <w:lang w:val="tr-TR"/>
        </w:rPr>
        <w:t xml:space="preserve">the </w:t>
      </w:r>
      <w:r w:rsidRPr="006B6D7C">
        <w:rPr>
          <w:lang w:val="tr-TR"/>
        </w:rPr>
        <w:t xml:space="preserve">ITU, ISO, IEEE, ECMA, or ETSI, for formal adoption as an open standard in order to achieve even wider acceptance and implementation. Two examples of this are: (1) the Open XML File Formats, which were developed by Microsoft, later adopted as an open standard by ECMA (ECMA-376), and (2) PDF, which was developed by Adobe, became a very popular proprietary standard, and has been adopted as an open standard by ISO”. </w:t>
      </w:r>
    </w:p>
  </w:footnote>
  <w:footnote w:id="85">
    <w:p w14:paraId="29FB2ED2" w14:textId="73392704"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Ghosh (n </w:t>
      </w:r>
      <w:r>
        <w:t>81</w:t>
      </w:r>
      <w:r w:rsidRPr="006B6D7C">
        <w:t>) 79-80.</w:t>
      </w:r>
    </w:p>
  </w:footnote>
  <w:footnote w:id="86">
    <w:p w14:paraId="243FF33A" w14:textId="729ACADF"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Ghosh (n </w:t>
      </w:r>
      <w:r>
        <w:t>81</w:t>
      </w:r>
      <w:r w:rsidRPr="006B6D7C">
        <w:t>) 79-80.</w:t>
      </w:r>
    </w:p>
  </w:footnote>
  <w:footnote w:id="87">
    <w:p w14:paraId="5CA4C7AA" w14:textId="56BB1185" w:rsidR="005C0DC6" w:rsidRPr="00AD04EE" w:rsidRDefault="005C0DC6" w:rsidP="00A70042">
      <w:pPr>
        <w:pStyle w:val="FootnoteText"/>
        <w:ind w:left="426" w:hanging="426"/>
        <w:jc w:val="both"/>
        <w:rPr>
          <w:lang w:val="tr-TR"/>
        </w:rPr>
      </w:pPr>
      <w:r w:rsidRPr="006B6D7C">
        <w:rPr>
          <w:rStyle w:val="FootnoteReference"/>
        </w:rPr>
        <w:footnoteRef/>
      </w:r>
      <w:r w:rsidRPr="006B6D7C">
        <w:rPr>
          <w:rStyle w:val="FootnoteReference"/>
        </w:rPr>
        <w:t xml:space="preserve"> </w:t>
      </w:r>
      <w:r>
        <w:tab/>
      </w:r>
      <w:r w:rsidRPr="006B6D7C">
        <w:t>European Commission, European interoperability framework for pan-European eGovernment services</w:t>
      </w:r>
      <w:r>
        <w:t xml:space="preserve"> (</w:t>
      </w:r>
      <w:r w:rsidRPr="006B6D7C">
        <w:t>Version 1.0</w:t>
      </w:r>
      <w:r>
        <w:t>)</w:t>
      </w:r>
      <w:r w:rsidRPr="006B6D7C">
        <w:t xml:space="preserve"> 2004, 9. </w:t>
      </w:r>
      <w:r>
        <w:rPr>
          <w:lang w:val="tr-TR"/>
        </w:rPr>
        <w:t>Rearding</w:t>
      </w:r>
      <w:r w:rsidRPr="006B6D7C">
        <w:rPr>
          <w:lang w:val="tr-TR"/>
        </w:rPr>
        <w:t xml:space="preserve"> other definitions of “open standards”</w:t>
      </w:r>
      <w:r>
        <w:rPr>
          <w:lang w:val="tr-TR"/>
        </w:rPr>
        <w:t>,</w:t>
      </w:r>
      <w:r w:rsidRPr="006B6D7C">
        <w:rPr>
          <w:lang w:val="tr-TR"/>
        </w:rPr>
        <w:t xml:space="preserve"> see </w:t>
      </w:r>
      <w:r w:rsidRPr="00261DAF">
        <w:rPr>
          <w:lang w:val="tr-TR"/>
        </w:rPr>
        <w:t>Kesan</w:t>
      </w:r>
      <w:r>
        <w:rPr>
          <w:lang w:val="tr-TR"/>
        </w:rPr>
        <w:t xml:space="preserve"> (n 76)</w:t>
      </w:r>
      <w:r w:rsidRPr="00261DAF">
        <w:rPr>
          <w:lang w:val="tr-TR"/>
        </w:rPr>
        <w:t xml:space="preserve"> </w:t>
      </w:r>
      <w:r>
        <w:rPr>
          <w:lang w:val="tr-TR"/>
        </w:rPr>
        <w:t xml:space="preserve">2-15; </w:t>
      </w:r>
      <w:r w:rsidRPr="006B6D7C">
        <w:rPr>
          <w:lang w:val="tr-TR"/>
        </w:rPr>
        <w:t xml:space="preserve">Tsilas (n </w:t>
      </w:r>
      <w:r>
        <w:rPr>
          <w:lang w:val="tr-TR"/>
        </w:rPr>
        <w:t>74</w:t>
      </w:r>
      <w:r w:rsidRPr="006B6D7C">
        <w:rPr>
          <w:lang w:val="tr-TR"/>
        </w:rPr>
        <w:t>).</w:t>
      </w:r>
    </w:p>
  </w:footnote>
  <w:footnote w:id="88">
    <w:p w14:paraId="26A99ABF" w14:textId="7AF514B5"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261DAF">
        <w:rPr>
          <w:lang w:val="tr-TR"/>
        </w:rPr>
        <w:t>Kesan</w:t>
      </w:r>
      <w:r>
        <w:rPr>
          <w:lang w:val="tr-TR"/>
        </w:rPr>
        <w:t xml:space="preserve"> (n 76) 4;</w:t>
      </w:r>
      <w:r>
        <w:t xml:space="preserve"> </w:t>
      </w:r>
      <w:r w:rsidRPr="006B6D7C">
        <w:t xml:space="preserve">Tsilas (n </w:t>
      </w:r>
      <w:r>
        <w:t>74</w:t>
      </w:r>
      <w:r w:rsidRPr="006B6D7C">
        <w:t xml:space="preserve">) 112. See also Aliprandi (n </w:t>
      </w:r>
      <w:r>
        <w:t>54</w:t>
      </w:r>
      <w:r w:rsidRPr="006B6D7C">
        <w:t>) 17-20.</w:t>
      </w:r>
    </w:p>
  </w:footnote>
  <w:footnote w:id="89">
    <w:p w14:paraId="38CEC3AC" w14:textId="53F6FB18"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Tsilas (n </w:t>
      </w:r>
      <w:r>
        <w:t>74</w:t>
      </w:r>
      <w:r w:rsidRPr="006B6D7C">
        <w:t xml:space="preserve">) 112. </w:t>
      </w:r>
      <w:r w:rsidRPr="006B6D7C">
        <w:rPr>
          <w:lang w:val="tr-TR"/>
        </w:rPr>
        <w:t>According to Tsilas, t</w:t>
      </w:r>
      <w:r w:rsidRPr="006B6D7C">
        <w:t>his would, first, deprive such standards of the best technological solutions</w:t>
      </w:r>
      <w:r>
        <w:t xml:space="preserve"> and</w:t>
      </w:r>
      <w:r w:rsidRPr="006B6D7C">
        <w:t xml:space="preserve"> secondly, would allow the key IPR holders (who would not be subject to the organisation’s IPR policies) either to refuse to license their essential technology</w:t>
      </w:r>
      <w:r>
        <w:t>,</w:t>
      </w:r>
      <w:r w:rsidRPr="006B6D7C">
        <w:t xml:space="preserve"> or to impose unreasonable terms and conditions on implementers of the standard (Tsilas (n </w:t>
      </w:r>
      <w:r>
        <w:t>74</w:t>
      </w:r>
      <w:r w:rsidRPr="006B6D7C">
        <w:t>) 112).</w:t>
      </w:r>
    </w:p>
  </w:footnote>
  <w:footnote w:id="90">
    <w:p w14:paraId="03B523F7" w14:textId="3B4566B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AD04EE">
        <w:t>Erica S.</w:t>
      </w:r>
      <w:r w:rsidRPr="006B6D7C">
        <w:t xml:space="preserve"> Mintzer and </w:t>
      </w:r>
      <w:r w:rsidRPr="00AD04EE">
        <w:t>Logan M.</w:t>
      </w:r>
      <w:r w:rsidRPr="006B6D7C">
        <w:t xml:space="preserve"> Breed</w:t>
      </w:r>
      <w:r>
        <w:t>,</w:t>
      </w:r>
      <w:r w:rsidRPr="006B6D7C">
        <w:t xml:space="preserve"> ‘How to Keep the Fox Out of the Henhouse: Monopolization in the Context of Standards-Setting Organizations’ [2007] 19</w:t>
      </w:r>
      <w:r>
        <w:t xml:space="preserve">(9) </w:t>
      </w:r>
      <w:r w:rsidRPr="006B6D7C">
        <w:t xml:space="preserve">Intellectual Property &amp; Technology Law Journal </w:t>
      </w:r>
      <w:r>
        <w:t xml:space="preserve">5, </w:t>
      </w:r>
      <w:r w:rsidRPr="006B6D7C">
        <w:t>5.</w:t>
      </w:r>
    </w:p>
  </w:footnote>
  <w:footnote w:id="91">
    <w:p w14:paraId="7296CCA8" w14:textId="708164EC"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rPr>
          <w:lang w:val="tr-TR"/>
        </w:rPr>
        <w:t xml:space="preserve">Damien </w:t>
      </w:r>
      <w:r w:rsidRPr="006B6D7C">
        <w:t>Geradin and Anne Layne-Farrar</w:t>
      </w:r>
      <w:r>
        <w:t>,</w:t>
      </w:r>
      <w:r w:rsidRPr="006B6D7C">
        <w:t xml:space="preserve"> ‘The Logic and Limits of </w:t>
      </w:r>
      <w:r>
        <w:t>Ex ante</w:t>
      </w:r>
      <w:r w:rsidRPr="006B6D7C">
        <w:t xml:space="preserve"> Competition in a Standard</w:t>
      </w:r>
      <w:r>
        <w:t>s</w:t>
      </w:r>
      <w:r w:rsidRPr="006B6D7C">
        <w:t xml:space="preserve"> Setting Environment’ [2007] 3(1) Competition Policy International 78</w:t>
      </w:r>
      <w:r>
        <w:t>,</w:t>
      </w:r>
      <w:r w:rsidRPr="006B6D7C">
        <w:t xml:space="preserve"> 85; </w:t>
      </w:r>
      <w:bookmarkStart w:id="142" w:name="_Hlk16968142"/>
      <w:r w:rsidRPr="006B6D7C">
        <w:t>Damien Geradin and Miguel Rato ‘Can Standard</w:t>
      </w:r>
      <w:r>
        <w:t>s</w:t>
      </w:r>
      <w:r w:rsidRPr="006B6D7C">
        <w:t>-Setting Lead to Exploitative Abuse? A Dissonant View on Patent Hold-up, Royalty-Stacking and the Meaning of FRAND’ [2007] 3</w:t>
      </w:r>
      <w:r>
        <w:t xml:space="preserve">(1) </w:t>
      </w:r>
      <w:r w:rsidRPr="006B6D7C">
        <w:t xml:space="preserve">European Competition Journal </w:t>
      </w:r>
      <w:r>
        <w:t xml:space="preserve">101, </w:t>
      </w:r>
      <w:r w:rsidRPr="006B6D7C">
        <w:t>110-111</w:t>
      </w:r>
      <w:bookmarkEnd w:id="142"/>
      <w:r w:rsidRPr="006B6D7C">
        <w:t>.</w:t>
      </w:r>
    </w:p>
  </w:footnote>
  <w:footnote w:id="92">
    <w:p w14:paraId="1E363874" w14:textId="3B901634" w:rsidR="005C0DC6" w:rsidRPr="006B6D7C" w:rsidRDefault="005C0DC6" w:rsidP="00A70042">
      <w:pPr>
        <w:pStyle w:val="FootnoteText"/>
        <w:ind w:left="426" w:hanging="426"/>
        <w:jc w:val="both"/>
      </w:pPr>
      <w:r w:rsidRPr="006B6D7C">
        <w:rPr>
          <w:rStyle w:val="FootnoteReference"/>
        </w:rPr>
        <w:footnoteRef/>
      </w:r>
      <w:r w:rsidRPr="006B6D7C">
        <w:rPr>
          <w:rStyle w:val="FootnoteReference"/>
        </w:rPr>
        <w:t xml:space="preserve"> </w:t>
      </w:r>
      <w:r>
        <w:tab/>
      </w:r>
      <w:r w:rsidRPr="006B6D7C">
        <w:t xml:space="preserve">See Unver (n </w:t>
      </w:r>
      <w:r>
        <w:t>30</w:t>
      </w:r>
      <w:r w:rsidRPr="006B6D7C">
        <w:t xml:space="preserve">) 98-99. For discussion of the </w:t>
      </w:r>
      <w:r w:rsidRPr="006B6D7C">
        <w:rPr>
          <w:lang w:val="tr-TR"/>
        </w:rPr>
        <w:t>abusive conducts arising out of the formal standard</w:t>
      </w:r>
      <w:r>
        <w:rPr>
          <w:lang w:val="tr-TR"/>
        </w:rPr>
        <w:t>s</w:t>
      </w:r>
      <w:r w:rsidRPr="006B6D7C">
        <w:rPr>
          <w:lang w:val="tr-TR"/>
        </w:rPr>
        <w:t xml:space="preserve"> setting processes and their implications, see </w:t>
      </w:r>
      <w:r w:rsidRPr="006B6D7C">
        <w:t xml:space="preserve">Geradin and Layne-Farrar (n </w:t>
      </w:r>
      <w:r>
        <w:t>91</w:t>
      </w:r>
      <w:r w:rsidRPr="006B6D7C">
        <w:t xml:space="preserve">) 79-106; Piotr </w:t>
      </w:r>
      <w:r w:rsidRPr="006B6D7C">
        <w:rPr>
          <w:lang w:val="tr-TR"/>
        </w:rPr>
        <w:t>Staniszewski</w:t>
      </w:r>
      <w:r>
        <w:rPr>
          <w:lang w:val="tr-TR"/>
        </w:rPr>
        <w:t>,</w:t>
      </w:r>
      <w:r w:rsidRPr="006B6D7C">
        <w:rPr>
          <w:lang w:val="tr-TR"/>
        </w:rPr>
        <w:t xml:space="preserve"> ‘The interplay between IP rights and competition law in the context of standardization’, [2007] 2</w:t>
      </w:r>
      <w:r>
        <w:rPr>
          <w:lang w:val="tr-TR"/>
        </w:rPr>
        <w:t>(</w:t>
      </w:r>
      <w:r w:rsidRPr="006B6D7C">
        <w:rPr>
          <w:lang w:val="tr-TR"/>
        </w:rPr>
        <w:t>10</w:t>
      </w:r>
      <w:r>
        <w:rPr>
          <w:lang w:val="tr-TR"/>
        </w:rPr>
        <w:t xml:space="preserve">) </w:t>
      </w:r>
      <w:r w:rsidRPr="006B6D7C">
        <w:rPr>
          <w:lang w:val="tr-TR"/>
        </w:rPr>
        <w:t>Journal of Intellectual Property Law and Practice, 666-681; Adam Biegel, Rod Ganske and Jon Jurgovan</w:t>
      </w:r>
      <w:r>
        <w:rPr>
          <w:lang w:val="tr-TR"/>
        </w:rPr>
        <w:t>,</w:t>
      </w:r>
      <w:r w:rsidRPr="006B6D7C">
        <w:rPr>
          <w:lang w:val="tr-TR"/>
        </w:rPr>
        <w:t xml:space="preserve"> ‘Broadened Antitrust Liability for Abusing Standards-Setting Process’  [2006] 18</w:t>
      </w:r>
      <w:r>
        <w:rPr>
          <w:lang w:val="tr-TR"/>
        </w:rPr>
        <w:t xml:space="preserve">(12) </w:t>
      </w:r>
      <w:r w:rsidRPr="006B6D7C">
        <w:rPr>
          <w:lang w:val="tr-TR"/>
        </w:rPr>
        <w:t>Intellectual Property &amp; Technology Law Journal</w:t>
      </w:r>
      <w:r>
        <w:rPr>
          <w:lang w:val="tr-TR"/>
        </w:rPr>
        <w:t>,</w:t>
      </w:r>
      <w:r w:rsidRPr="006B6D7C">
        <w:rPr>
          <w:lang w:val="tr-TR"/>
        </w:rPr>
        <w:t xml:space="preserve"> 4-6.</w:t>
      </w:r>
      <w:r w:rsidRPr="006B6D7C">
        <w:rPr>
          <w:lang w:val="en-US"/>
        </w:rPr>
        <w:t xml:space="preserve"> See also the section ‘5.2. Article 101 TFEU’</w:t>
      </w:r>
      <w:r>
        <w:rPr>
          <w:lang w:val="en-US"/>
        </w:rPr>
        <w:t>.</w:t>
      </w:r>
    </w:p>
  </w:footnote>
  <w:footnote w:id="93">
    <w:p w14:paraId="21207184" w14:textId="166F301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See N. Pires de Carvalho</w:t>
      </w:r>
      <w:r>
        <w:t>,</w:t>
      </w:r>
      <w:r w:rsidRPr="006B6D7C">
        <w:t xml:space="preserve"> ‘Technical Standards, Intellectual Property and Competition</w:t>
      </w:r>
      <w:r>
        <w:t xml:space="preserve"> </w:t>
      </w:r>
      <w:r w:rsidRPr="006B6D7C">
        <w:t>-</w:t>
      </w:r>
      <w:r>
        <w:t xml:space="preserve"> </w:t>
      </w:r>
      <w:r w:rsidRPr="006B6D7C">
        <w:t>A</w:t>
      </w:r>
      <w:r>
        <w:t>n</w:t>
      </w:r>
      <w:r w:rsidRPr="006B6D7C">
        <w:t xml:space="preserve"> Holistic View’ [2015] 47</w:t>
      </w:r>
      <w:r>
        <w:t xml:space="preserve"> </w:t>
      </w:r>
      <w:r w:rsidRPr="006B6D7C">
        <w:t xml:space="preserve">Washington University Journal Law &amp; Policy </w:t>
      </w:r>
      <w:r>
        <w:t>61,</w:t>
      </w:r>
      <w:r w:rsidRPr="006B6D7C">
        <w:t xml:space="preserve"> 65, reading</w:t>
      </w:r>
      <w:r>
        <w:t>;</w:t>
      </w:r>
      <w:r w:rsidRPr="006B6D7C">
        <w:t xml:space="preserve"> “[</w:t>
      </w:r>
      <w:r>
        <w:rPr>
          <w:lang w:val="tr-TR"/>
        </w:rPr>
        <w:t>p</w:t>
      </w:r>
      <w:r w:rsidRPr="006B6D7C">
        <w:rPr>
          <w:lang w:val="tr-TR"/>
        </w:rPr>
        <w:t>]aradoxically, intellectual property is the product of market regulation</w:t>
      </w:r>
      <w:r>
        <w:rPr>
          <w:lang w:val="tr-TR"/>
        </w:rPr>
        <w:t xml:space="preserve"> </w:t>
      </w:r>
      <w:r w:rsidRPr="006B6D7C">
        <w:rPr>
          <w:lang w:val="tr-TR"/>
        </w:rPr>
        <w:t>-</w:t>
      </w:r>
      <w:r>
        <w:rPr>
          <w:lang w:val="tr-TR"/>
        </w:rPr>
        <w:t xml:space="preserve"> </w:t>
      </w:r>
      <w:r w:rsidRPr="006B6D7C">
        <w:rPr>
          <w:lang w:val="tr-TR"/>
        </w:rPr>
        <w:t>in the sense that the acquisition, use and loss of rights are established by law</w:t>
      </w:r>
      <w:r>
        <w:rPr>
          <w:lang w:val="tr-TR"/>
        </w:rPr>
        <w:t xml:space="preserve"> </w:t>
      </w:r>
      <w:r w:rsidRPr="006B6D7C">
        <w:rPr>
          <w:lang w:val="tr-TR"/>
        </w:rPr>
        <w:t>-</w:t>
      </w:r>
      <w:r>
        <w:rPr>
          <w:lang w:val="tr-TR"/>
        </w:rPr>
        <w:t xml:space="preserve"> </w:t>
      </w:r>
      <w:r w:rsidRPr="006B6D7C">
        <w:rPr>
          <w:lang w:val="tr-TR"/>
        </w:rPr>
        <w:t>for the sake of market freedom, whereas, by a vivid contrast, standardization is the product of market regulation that to a large extent curtails rivalry in invention and in offering competing products and services to consumers”.</w:t>
      </w:r>
    </w:p>
  </w:footnote>
  <w:footnote w:id="94">
    <w:p w14:paraId="74AF9158" w14:textId="4293A76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M</w:t>
      </w:r>
      <w:r>
        <w:t>artin</w:t>
      </w:r>
      <w:r w:rsidRPr="006B6D7C">
        <w:t xml:space="preserve"> Peitz and T</w:t>
      </w:r>
      <w:r>
        <w:t>ommaso</w:t>
      </w:r>
      <w:r w:rsidRPr="006B6D7C">
        <w:t xml:space="preserve"> Valletti</w:t>
      </w:r>
      <w:r>
        <w:t>,</w:t>
      </w:r>
      <w:r w:rsidRPr="006B6D7C">
        <w:t xml:space="preserve"> ‘Reassessing competition concerns in electronic communications markets’ [2015]</w:t>
      </w:r>
      <w:r>
        <w:t xml:space="preserve"> 39</w:t>
      </w:r>
      <w:r w:rsidRPr="006B6D7C">
        <w:t xml:space="preserve"> Telecommunications Policy 8</w:t>
      </w:r>
      <w:r>
        <w:t>96, 898</w:t>
      </w:r>
      <w:r w:rsidRPr="006B6D7C">
        <w:t>.</w:t>
      </w:r>
    </w:p>
  </w:footnote>
  <w:footnote w:id="95">
    <w:p w14:paraId="0E67C63F" w14:textId="46155727"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Jong-Hee Hahn</w:t>
      </w:r>
      <w:r>
        <w:t>,</w:t>
      </w:r>
      <w:r w:rsidRPr="006B6D7C">
        <w:t xml:space="preserve"> ‘Nonlinear Pricing of Telecommunications with Call and Network Externalities’ </w:t>
      </w:r>
      <w:r>
        <w:t>(</w:t>
      </w:r>
      <w:r w:rsidRPr="006B6D7C">
        <w:t>2002</w:t>
      </w:r>
      <w:r>
        <w:t>)</w:t>
      </w:r>
      <w:r w:rsidRPr="006B6D7C">
        <w:t xml:space="preserve"> 2 &lt;http://www.krannert.purdue.edu/centers/ijio/Accepted/1720.pdf&gt; accessed </w:t>
      </w:r>
      <w:r>
        <w:t>9 October 2020</w:t>
      </w:r>
      <w:r w:rsidRPr="006B6D7C">
        <w:t>.</w:t>
      </w:r>
    </w:p>
  </w:footnote>
  <w:footnote w:id="96">
    <w:p w14:paraId="3E2D1A4E" w14:textId="12CF4206"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Jonathan E. Nuechterlein and Philip J. Weiser, </w:t>
      </w:r>
      <w:r w:rsidRPr="00E2634B">
        <w:rPr>
          <w:i/>
          <w:iCs/>
        </w:rPr>
        <w:t>Digital Crossroads: Telecommunications Law and Policy in the Internet Age</w:t>
      </w:r>
      <w:r w:rsidRPr="006B6D7C">
        <w:t xml:space="preserve"> (</w:t>
      </w:r>
      <w:r>
        <w:t xml:space="preserve">2nd edn, </w:t>
      </w:r>
      <w:r w:rsidRPr="006B6D7C">
        <w:t>The MIT Press 2013) 7.</w:t>
      </w:r>
    </w:p>
  </w:footnote>
  <w:footnote w:id="97">
    <w:p w14:paraId="364BBBDB" w14:textId="4814F610"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E9340A">
        <w:t>Jeffrey L. Funk</w:t>
      </w:r>
      <w:r w:rsidRPr="006B6D7C">
        <w:t xml:space="preserve"> ‘Standards, critical mass, and the formation of complex industries: A case study of the mobile Internet’ [2011] 28</w:t>
      </w:r>
      <w:r>
        <w:t xml:space="preserve">(4) </w:t>
      </w:r>
      <w:r w:rsidRPr="006B6D7C">
        <w:t>Journal of Engineering and Technology Management</w:t>
      </w:r>
      <w:r>
        <w:t xml:space="preserve"> 232,</w:t>
      </w:r>
      <w:r w:rsidRPr="006B6D7C">
        <w:t xml:space="preserve"> 232</w:t>
      </w:r>
      <w:r>
        <w:t>.</w:t>
      </w:r>
    </w:p>
  </w:footnote>
  <w:footnote w:id="98">
    <w:p w14:paraId="1B51794E" w14:textId="67308C3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Ibid.</w:t>
      </w:r>
    </w:p>
  </w:footnote>
  <w:footnote w:id="99">
    <w:p w14:paraId="1FA774E9" w14:textId="7632ED30" w:rsidR="005C0DC6" w:rsidRPr="006B6D7C" w:rsidRDefault="005C0DC6" w:rsidP="00A70042">
      <w:pPr>
        <w:pStyle w:val="FootnoteText"/>
        <w:ind w:left="426" w:hanging="426"/>
        <w:jc w:val="both"/>
      </w:pPr>
      <w:r w:rsidRPr="006B6D7C">
        <w:rPr>
          <w:rStyle w:val="FootnoteReference"/>
        </w:rPr>
        <w:footnoteRef/>
      </w:r>
      <w:r w:rsidRPr="006B6D7C">
        <w:rPr>
          <w:rStyle w:val="FootnoteReference"/>
        </w:rPr>
        <w:t xml:space="preserve"> </w:t>
      </w:r>
      <w:r>
        <w:rPr>
          <w:rStyle w:val="FootnoteReference"/>
        </w:rPr>
        <w:tab/>
      </w:r>
      <w:r w:rsidRPr="006B6D7C">
        <w:t>“Interconnection” can be defined as the commercial and technical arrangements under which service providers can connect their equipment, network and services</w:t>
      </w:r>
      <w:r>
        <w:t>,</w:t>
      </w:r>
      <w:r w:rsidRPr="006B6D7C">
        <w:t xml:space="preserve"> to enable </w:t>
      </w:r>
      <w:r>
        <w:t xml:space="preserve">their </w:t>
      </w:r>
      <w:r w:rsidRPr="006B6D7C">
        <w:t xml:space="preserve">customers to have access to the customers, services and networks of other service providers. </w:t>
      </w:r>
      <w:r w:rsidRPr="006B6D7C">
        <w:rPr>
          <w:iCs/>
        </w:rPr>
        <w:t xml:space="preserve">When operators agree in order to provide interconnection between their networks, this agreement is called </w:t>
      </w:r>
      <w:r>
        <w:rPr>
          <w:iCs/>
        </w:rPr>
        <w:t xml:space="preserve">an </w:t>
      </w:r>
      <w:r w:rsidRPr="006B6D7C">
        <w:rPr>
          <w:iCs/>
        </w:rPr>
        <w:t>‘interconnection agreement’, an agreement that stipulates the rights and obligations of each contracting party with regard</w:t>
      </w:r>
      <w:r>
        <w:rPr>
          <w:iCs/>
        </w:rPr>
        <w:t>s</w:t>
      </w:r>
      <w:r w:rsidRPr="006B6D7C">
        <w:rPr>
          <w:iCs/>
        </w:rPr>
        <w:t xml:space="preserve"> to interconnection </w:t>
      </w:r>
      <w:r w:rsidRPr="006B6D7C">
        <w:t>(See</w:t>
      </w:r>
      <w:r w:rsidRPr="006B6D7C">
        <w:rPr>
          <w:lang w:val="tr-TR"/>
        </w:rPr>
        <w:t xml:space="preserve"> Colin Blackman and Lara Srivastava</w:t>
      </w:r>
      <w:r>
        <w:rPr>
          <w:lang w:val="tr-TR"/>
        </w:rPr>
        <w:t>,</w:t>
      </w:r>
      <w:r w:rsidRPr="006B6D7C">
        <w:rPr>
          <w:lang w:val="tr-TR"/>
        </w:rPr>
        <w:t xml:space="preserve"> </w:t>
      </w:r>
      <w:r w:rsidRPr="00C363DA">
        <w:rPr>
          <w:i/>
          <w:iCs/>
          <w:lang w:val="tr-TR"/>
        </w:rPr>
        <w:t>Telecommunications Regulation Handbook</w:t>
      </w:r>
      <w:r w:rsidRPr="006B6D7C">
        <w:rPr>
          <w:lang w:val="tr-TR"/>
        </w:rPr>
        <w:t xml:space="preserve"> (</w:t>
      </w:r>
      <w:r w:rsidRPr="00AE5444">
        <w:rPr>
          <w:lang w:val="tr-TR"/>
        </w:rPr>
        <w:t xml:space="preserve">10th Anniversary </w:t>
      </w:r>
      <w:r>
        <w:rPr>
          <w:lang w:val="tr-TR"/>
        </w:rPr>
        <w:t>e</w:t>
      </w:r>
      <w:r w:rsidRPr="00AE5444">
        <w:rPr>
          <w:lang w:val="tr-TR"/>
        </w:rPr>
        <w:t>dn, International Bank for Reconstruction and Development / World Bank, Infodev and ITU</w:t>
      </w:r>
      <w:r>
        <w:rPr>
          <w:lang w:val="tr-TR"/>
        </w:rPr>
        <w:t>,</w:t>
      </w:r>
      <w:r w:rsidRPr="00AE5444">
        <w:rPr>
          <w:lang w:val="tr-TR"/>
        </w:rPr>
        <w:t xml:space="preserve"> 2011</w:t>
      </w:r>
      <w:r w:rsidRPr="006B6D7C">
        <w:rPr>
          <w:lang w:val="tr-TR"/>
        </w:rPr>
        <w:t xml:space="preserve">) 123-125 &lt;https://www.itu.int/pub/D-PREF-TRH.1-2011&gt; accessed </w:t>
      </w:r>
      <w:r>
        <w:t>9 October 2020</w:t>
      </w:r>
      <w:r w:rsidRPr="006B6D7C">
        <w:rPr>
          <w:lang w:val="tr-TR"/>
        </w:rPr>
        <w:t xml:space="preserve">. See also </w:t>
      </w:r>
      <w:r>
        <w:rPr>
          <w:lang w:val="tr-TR"/>
        </w:rPr>
        <w:t xml:space="preserve">the section </w:t>
      </w:r>
      <w:r w:rsidRPr="006B6D7C">
        <w:rPr>
          <w:lang w:val="tr-TR"/>
        </w:rPr>
        <w:t>‘6.2.1.1. Interconnection’.</w:t>
      </w:r>
    </w:p>
  </w:footnote>
  <w:footnote w:id="100">
    <w:p w14:paraId="763CE4BC" w14:textId="43E73F78"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Mehmet Bilal Unver, </w:t>
      </w:r>
      <w:r>
        <w:t>‘</w:t>
      </w:r>
      <w:r w:rsidRPr="006B6D7C">
        <w:t xml:space="preserve">Essential Facilities Doctrine </w:t>
      </w:r>
      <w:r>
        <w:t>u</w:t>
      </w:r>
      <w:r w:rsidRPr="006B6D7C">
        <w:t>nder EC Competition Law and Particular Implications of the Doctrine for Telecommunications Sectors in EU and Turkey</w:t>
      </w:r>
      <w:r>
        <w:t>’</w:t>
      </w:r>
      <w:r w:rsidRPr="006B6D7C">
        <w:t xml:space="preserve"> </w:t>
      </w:r>
      <w:r>
        <w:t>(</w:t>
      </w:r>
      <w:r w:rsidRPr="006B6D7C">
        <w:t>MS Thesis, Middle East Technical University 2004), 68.</w:t>
      </w:r>
    </w:p>
  </w:footnote>
  <w:footnote w:id="101">
    <w:p w14:paraId="191FF530" w14:textId="197AC89F"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Ibid.</w:t>
      </w:r>
    </w:p>
  </w:footnote>
  <w:footnote w:id="102">
    <w:p w14:paraId="7A0DF3B2" w14:textId="1AC22F72"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IPRs in interface information </w:t>
      </w:r>
      <w:r>
        <w:t xml:space="preserve">that </w:t>
      </w:r>
      <w:r w:rsidRPr="006B6D7C">
        <w:t>belong to dominant companies can be used to prevent the emergence of superior technology which is not compliant with the de facto industry standard (Weston (n 1</w:t>
      </w:r>
      <w:r>
        <w:t>3</w:t>
      </w:r>
      <w:r w:rsidRPr="006B6D7C">
        <w:t>) 46).</w:t>
      </w:r>
    </w:p>
  </w:footnote>
  <w:footnote w:id="103">
    <w:p w14:paraId="044AFBE3" w14:textId="50001554" w:rsidR="005C0DC6" w:rsidRPr="00A70042" w:rsidRDefault="005C0DC6" w:rsidP="00A70042">
      <w:pPr>
        <w:pStyle w:val="FootnoteText"/>
        <w:ind w:left="426" w:hanging="426"/>
        <w:jc w:val="both"/>
        <w:rPr>
          <w:spacing w:val="-2"/>
          <w:lang w:val="tr-TR"/>
        </w:rPr>
      </w:pPr>
      <w:r w:rsidRPr="00A70042">
        <w:rPr>
          <w:rStyle w:val="FootnoteReference"/>
          <w:spacing w:val="-2"/>
        </w:rPr>
        <w:footnoteRef/>
      </w:r>
      <w:r w:rsidRPr="00A70042">
        <w:rPr>
          <w:rStyle w:val="FootnoteReference"/>
          <w:spacing w:val="-2"/>
        </w:rPr>
        <w:t xml:space="preserve"> </w:t>
      </w:r>
      <w:r w:rsidRPr="00A70042">
        <w:rPr>
          <w:spacing w:val="-2"/>
        </w:rPr>
        <w:tab/>
        <w:t xml:space="preserve">Van Rooijen (n </w:t>
      </w:r>
      <w:r>
        <w:rPr>
          <w:spacing w:val="-2"/>
        </w:rPr>
        <w:t>40</w:t>
      </w:r>
      <w:r w:rsidRPr="00A70042">
        <w:rPr>
          <w:spacing w:val="-2"/>
        </w:rPr>
        <w:t>) 28. In network industries, existing direct and indirect externalities, when equipped with other predatory actions i.e. degradation of interoperability, often cause market tipping towards the dominant product and make other products excluded from the market. Commission’s findings concerning Microsoft’s refusal to supply interface information related to Windows OS illustrates this. In that case, by denying compatibility to Solaris (Sun’s operating system), Microsoft was not only maintaining the market position of its work group server software but also protecting itself from any threat that would emerge out of (horizontal) competition in that market (Maria J. Gil-Moltó</w:t>
      </w:r>
      <w:r w:rsidRPr="00A70042">
        <w:rPr>
          <w:spacing w:val="-2"/>
          <w:lang w:val="tr-TR"/>
        </w:rPr>
        <w:t xml:space="preserve">, ‘Economic Aspects of the Microsoft Case: Networks, Interoperability and Competition’ (2008) University of Leicester, Working Paper No. 08/39, 13 &lt;http://www.le.ac.uk/economics/research/RePEc/lec/leecon/dp08-39.pdf&gt; accessed </w:t>
      </w:r>
      <w:r>
        <w:rPr>
          <w:spacing w:val="-2"/>
          <w:lang w:val="tr-TR"/>
        </w:rPr>
        <w:t>9 October 2020</w:t>
      </w:r>
      <w:r w:rsidRPr="00A70042">
        <w:rPr>
          <w:spacing w:val="-2"/>
          <w:lang w:val="tr-TR"/>
        </w:rPr>
        <w:t>.</w:t>
      </w:r>
    </w:p>
  </w:footnote>
  <w:footnote w:id="104">
    <w:p w14:paraId="6ACEEE38" w14:textId="24FCA85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rPr>
          <w:lang w:val="tr-TR"/>
        </w:rPr>
        <w:t xml:space="preserve">This strategy was perfectly pursued by Microsoft following the launch of </w:t>
      </w:r>
      <w:r>
        <w:rPr>
          <w:lang w:val="tr-TR"/>
        </w:rPr>
        <w:t xml:space="preserve">its </w:t>
      </w:r>
      <w:r w:rsidRPr="006B6D7C">
        <w:rPr>
          <w:lang w:val="tr-TR"/>
        </w:rPr>
        <w:t>Windows-based OS, which ultimately gained a prominent reach by means of compatible software and applications. The network externality benefits of using Windows and Windows-compatible software, which gained an early advantage in installed base and availability of complementary goods, enabled the platform to lock several would-be contenders</w:t>
      </w:r>
      <w:r>
        <w:rPr>
          <w:lang w:val="tr-TR"/>
        </w:rPr>
        <w:t>,</w:t>
      </w:r>
      <w:r w:rsidRPr="006B6D7C">
        <w:rPr>
          <w:lang w:val="tr-TR"/>
        </w:rPr>
        <w:t xml:space="preserve"> such as Geoworks and Next</w:t>
      </w:r>
      <w:r>
        <w:rPr>
          <w:lang w:val="tr-TR"/>
        </w:rPr>
        <w:t>,</w:t>
      </w:r>
      <w:r w:rsidRPr="006B6D7C">
        <w:rPr>
          <w:lang w:val="tr-TR"/>
        </w:rPr>
        <w:t xml:space="preserve"> completely out of the market (Melissa A. Schilling, ‘Protecting or diffusing a technology platform: tradeoffs in appropriability, network externalities, and architectural control’ in Annabelle Gawer, (ed</w:t>
      </w:r>
      <w:r>
        <w:rPr>
          <w:lang w:val="tr-TR"/>
        </w:rPr>
        <w:t>.</w:t>
      </w:r>
      <w:r w:rsidRPr="006B6D7C">
        <w:rPr>
          <w:lang w:val="tr-TR"/>
        </w:rPr>
        <w:t xml:space="preserve">), </w:t>
      </w:r>
      <w:r w:rsidRPr="00F137CA">
        <w:rPr>
          <w:i/>
          <w:iCs/>
          <w:lang w:val="tr-TR"/>
        </w:rPr>
        <w:t>Platforms, Markets and Innovation</w:t>
      </w:r>
      <w:r w:rsidRPr="006B6D7C">
        <w:rPr>
          <w:lang w:val="tr-TR"/>
        </w:rPr>
        <w:t xml:space="preserve"> (Edward Elgar 2009) 196.    </w:t>
      </w:r>
    </w:p>
  </w:footnote>
  <w:footnote w:id="105">
    <w:p w14:paraId="445D339F" w14:textId="3C09FB75" w:rsidR="005C0DC6" w:rsidRPr="00692824" w:rsidRDefault="005C0DC6" w:rsidP="00B62395">
      <w:pPr>
        <w:pStyle w:val="FootnoteText"/>
        <w:ind w:left="426" w:hanging="426"/>
        <w:jc w:val="both"/>
        <w:rPr>
          <w:lang w:val="en-US"/>
        </w:rPr>
      </w:pPr>
      <w:r>
        <w:rPr>
          <w:rStyle w:val="FootnoteReference"/>
        </w:rPr>
        <w:footnoteRef/>
      </w:r>
      <w:r>
        <w:t xml:space="preserve"> </w:t>
      </w:r>
      <w:r>
        <w:tab/>
      </w:r>
      <w:r w:rsidRPr="00B62395">
        <w:t>See</w:t>
      </w:r>
      <w:r>
        <w:rPr>
          <w:lang w:val="en-US"/>
        </w:rPr>
        <w:t xml:space="preserve"> supra note 84.</w:t>
      </w:r>
    </w:p>
  </w:footnote>
  <w:footnote w:id="106">
    <w:p w14:paraId="50BD4720" w14:textId="3A145C37"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Thomas R. Eisemann, ‘Geoffrey Parker and Marshall Van Alstyne, Opening platforms: how, when and why?’ </w:t>
      </w:r>
      <w:r w:rsidRPr="006B6D7C">
        <w:rPr>
          <w:lang w:val="tr-TR"/>
        </w:rPr>
        <w:t>in Annabelle Gawer (ed</w:t>
      </w:r>
      <w:r>
        <w:rPr>
          <w:lang w:val="tr-TR"/>
        </w:rPr>
        <w:t>s</w:t>
      </w:r>
      <w:r w:rsidRPr="006B6D7C">
        <w:rPr>
          <w:lang w:val="tr-TR"/>
        </w:rPr>
        <w:t xml:space="preserve">), </w:t>
      </w:r>
      <w:r w:rsidRPr="00374B8F">
        <w:rPr>
          <w:i/>
          <w:iCs/>
          <w:lang w:val="tr-TR"/>
        </w:rPr>
        <w:t>Platforms, Markets and Innovation</w:t>
      </w:r>
      <w:r w:rsidRPr="006B6D7C">
        <w:rPr>
          <w:lang w:val="tr-TR"/>
        </w:rPr>
        <w:t xml:space="preserve"> (Edward Elgar 2009)</w:t>
      </w:r>
      <w:r w:rsidRPr="006B6D7C">
        <w:t xml:space="preserve"> 132.</w:t>
      </w:r>
    </w:p>
  </w:footnote>
  <w:footnote w:id="107">
    <w:p w14:paraId="085E7929" w14:textId="0BECD38E"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See ibid, 143.</w:t>
      </w:r>
    </w:p>
  </w:footnote>
  <w:footnote w:id="108">
    <w:p w14:paraId="2B5AC7E7" w14:textId="177CA2F7"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Barbara van Schewick</w:t>
      </w:r>
      <w:r>
        <w:t>,</w:t>
      </w:r>
      <w:r w:rsidRPr="006B6D7C">
        <w:t xml:space="preserve"> ‘Internet Architecture and Innovation</w:t>
      </w:r>
      <w:r>
        <w:t>’</w:t>
      </w:r>
      <w:r w:rsidRPr="006B6D7C">
        <w:t xml:space="preserve"> (</w:t>
      </w:r>
      <w:r>
        <w:t xml:space="preserve">The </w:t>
      </w:r>
      <w:r w:rsidRPr="006B6D7C">
        <w:t xml:space="preserve">MIT Press 2012) 83.  </w:t>
      </w:r>
    </w:p>
  </w:footnote>
  <w:footnote w:id="109">
    <w:p w14:paraId="54B3B0A0" w14:textId="23848FEF"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rPr>
          <w:lang w:val="tr-TR"/>
        </w:rPr>
        <w:t>Ian Walden ‘Access and Interconnection’ in Ian Walden (ed</w:t>
      </w:r>
      <w:r>
        <w:rPr>
          <w:lang w:val="tr-TR"/>
        </w:rPr>
        <w:t>s</w:t>
      </w:r>
      <w:r w:rsidRPr="006B6D7C">
        <w:rPr>
          <w:lang w:val="tr-TR"/>
        </w:rPr>
        <w:t xml:space="preserve">) </w:t>
      </w:r>
      <w:r w:rsidRPr="00374B8F">
        <w:rPr>
          <w:i/>
          <w:iCs/>
          <w:lang w:val="tr-TR"/>
        </w:rPr>
        <w:t>Telecommunications Law and Regulation</w:t>
      </w:r>
      <w:r w:rsidRPr="006B6D7C">
        <w:rPr>
          <w:lang w:val="tr-TR"/>
        </w:rPr>
        <w:t xml:space="preserve"> (4th ed</w:t>
      </w:r>
      <w:r>
        <w:rPr>
          <w:lang w:val="tr-TR"/>
        </w:rPr>
        <w:t>n,</w:t>
      </w:r>
      <w:r w:rsidRPr="006B6D7C">
        <w:rPr>
          <w:lang w:val="tr-TR"/>
        </w:rPr>
        <w:t xml:space="preserve"> OUP 2012), 400</w:t>
      </w:r>
      <w:r w:rsidRPr="006B6D7C">
        <w:t xml:space="preserve">. How </w:t>
      </w:r>
      <w:r>
        <w:t>the i</w:t>
      </w:r>
      <w:r w:rsidRPr="006B6D7C">
        <w:t>nternet works through packet-switching between two hosts is explained by Yoo as follows:</w:t>
      </w:r>
    </w:p>
    <w:p w14:paraId="0C8BBD73" w14:textId="4A220C38" w:rsidR="005C0DC6" w:rsidRDefault="005C0DC6" w:rsidP="001D01F4">
      <w:pPr>
        <w:pStyle w:val="FootnoteText"/>
        <w:ind w:left="992" w:right="567"/>
        <w:jc w:val="both"/>
        <w:rPr>
          <w:lang w:val="tr-TR"/>
        </w:rPr>
      </w:pPr>
      <w:r w:rsidRPr="006B6D7C">
        <w:rPr>
          <w:lang w:val="tr-TR"/>
        </w:rPr>
        <w:t>In the typical Internet transaction, a process generates a message and transfers it to the OS running on the host. The OS divides the message into packets configured for the Internet and hands them off to the first-hop router of a communications network. The sending communications network will convey these packets to the receiving communications network, which in turn passes them to the receiving host’s operating system. The OS then passes them to the process running on the receiving host</w:t>
      </w:r>
      <w:r>
        <w:rPr>
          <w:lang w:val="tr-TR"/>
        </w:rPr>
        <w:t>.</w:t>
      </w:r>
      <w:r w:rsidRPr="006B6D7C">
        <w:rPr>
          <w:lang w:val="tr-TR"/>
        </w:rPr>
        <w:t xml:space="preserve"> (Christopher Yoo, ‘Protocol Layering and Internet Policy’ [2013] 161</w:t>
      </w:r>
      <w:r>
        <w:rPr>
          <w:lang w:val="tr-TR"/>
        </w:rPr>
        <w:t xml:space="preserve"> </w:t>
      </w:r>
      <w:r w:rsidRPr="006B6D7C">
        <w:rPr>
          <w:lang w:val="tr-TR"/>
        </w:rPr>
        <w:t>University of Pennsylvania Law Review 1707</w:t>
      </w:r>
      <w:r>
        <w:rPr>
          <w:lang w:val="tr-TR"/>
        </w:rPr>
        <w:t>,</w:t>
      </w:r>
      <w:r w:rsidRPr="006B6D7C">
        <w:rPr>
          <w:lang w:val="tr-TR"/>
        </w:rPr>
        <w:t xml:space="preserve"> 1719).</w:t>
      </w:r>
    </w:p>
    <w:p w14:paraId="67EF97A7" w14:textId="77777777" w:rsidR="005C0DC6" w:rsidRPr="001F7414" w:rsidRDefault="005C0DC6" w:rsidP="0019413C">
      <w:pPr>
        <w:pStyle w:val="FootnoteText"/>
        <w:ind w:left="454"/>
        <w:jc w:val="both"/>
        <w:rPr>
          <w:lang w:val="tr-TR"/>
        </w:rPr>
      </w:pPr>
      <w:r>
        <w:rPr>
          <w:lang w:val="tr-TR"/>
        </w:rPr>
        <w:t>The technological process commencing with the circuit-switched networks ending up with (packet-swictched) NGNs is explained in the section ‘</w:t>
      </w:r>
      <w:r w:rsidRPr="001F7414">
        <w:t>2.2.3.</w:t>
      </w:r>
      <w:r>
        <w:t xml:space="preserve"> </w:t>
      </w:r>
      <w:r w:rsidRPr="001F7414">
        <w:t>Transition from legacy networks to NGNs</w:t>
      </w:r>
      <w:r>
        <w:t>’.</w:t>
      </w:r>
    </w:p>
  </w:footnote>
  <w:footnote w:id="110">
    <w:p w14:paraId="6D99C851" w14:textId="70F185D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Toni Janevski, </w:t>
      </w:r>
      <w:r w:rsidRPr="006B6D7C">
        <w:rPr>
          <w:i/>
        </w:rPr>
        <w:t>NGN Architectures, Protocols and Services</w:t>
      </w:r>
      <w:r w:rsidRPr="006B6D7C">
        <w:t xml:space="preserve"> (John Wiley &amp; Sons, Ltd. 2014) 29.</w:t>
      </w:r>
      <w:r w:rsidRPr="006B6D7C">
        <w:rPr>
          <w:lang w:val="tr-TR"/>
        </w:rPr>
        <w:t xml:space="preserve">  </w:t>
      </w:r>
    </w:p>
  </w:footnote>
  <w:footnote w:id="111">
    <w:p w14:paraId="3FA6C5C9" w14:textId="2E3F1733"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7C04A0">
        <w:t>Nuechterlein</w:t>
      </w:r>
      <w:r>
        <w:t xml:space="preserve"> and </w:t>
      </w:r>
      <w:r w:rsidRPr="007C04A0">
        <w:t>Weiser</w:t>
      </w:r>
      <w:r>
        <w:t xml:space="preserve"> (n 96) </w:t>
      </w:r>
      <w:r w:rsidRPr="006B6D7C">
        <w:t>167.</w:t>
      </w:r>
    </w:p>
  </w:footnote>
  <w:footnote w:id="112">
    <w:p w14:paraId="7BFE7B52" w14:textId="04242BE7" w:rsidR="005C0DC6" w:rsidRPr="006B6D7C" w:rsidRDefault="005C0DC6" w:rsidP="00A70042">
      <w:pPr>
        <w:pStyle w:val="FootnoteText"/>
        <w:ind w:left="426" w:hanging="426"/>
        <w:jc w:val="both"/>
      </w:pPr>
      <w:r w:rsidRPr="006B6D7C">
        <w:rPr>
          <w:rStyle w:val="FootnoteReference"/>
        </w:rPr>
        <w:footnoteRef/>
      </w:r>
      <w:r w:rsidRPr="006B6D7C">
        <w:rPr>
          <w:rStyle w:val="FootnoteReference"/>
        </w:rPr>
        <w:t xml:space="preserve"> </w:t>
      </w:r>
      <w:r>
        <w:rPr>
          <w:rStyle w:val="FootnoteReference"/>
        </w:rPr>
        <w:tab/>
      </w:r>
      <w:r>
        <w:t>Ibid,</w:t>
      </w:r>
      <w:r w:rsidRPr="006B6D7C">
        <w:t xml:space="preserve"> 165. One end host (computer) might be a powerful server running on the UNIX OS, and the other might be a Windows-based PC,</w:t>
      </w:r>
      <w:r>
        <w:t xml:space="preserve"> or an</w:t>
      </w:r>
      <w:r w:rsidRPr="006B6D7C">
        <w:t xml:space="preserve"> iPad running iOS, or an Android smartphone. The critical point is that all “computers” connected to the internet speak the same IP-based logical-layer language (</w:t>
      </w:r>
      <w:r>
        <w:t>Ibid,</w:t>
      </w:r>
      <w:r w:rsidRPr="006B6D7C">
        <w:t xml:space="preserve"> 165-166</w:t>
      </w:r>
      <w:r>
        <w:t>)</w:t>
      </w:r>
      <w:r w:rsidRPr="006B6D7C">
        <w:t>.</w:t>
      </w:r>
    </w:p>
  </w:footnote>
  <w:footnote w:id="113">
    <w:p w14:paraId="6CCDE7AE" w14:textId="4569D7A5"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Van Schewick (n 1</w:t>
      </w:r>
      <w:r>
        <w:t>08</w:t>
      </w:r>
      <w:r w:rsidRPr="006B6D7C">
        <w:t>) 84.</w:t>
      </w:r>
    </w:p>
  </w:footnote>
  <w:footnote w:id="114">
    <w:p w14:paraId="6FE7C29B" w14:textId="40FDEAAA" w:rsidR="005C0DC6" w:rsidRDefault="005C0DC6" w:rsidP="00B62395">
      <w:pPr>
        <w:pStyle w:val="FootnoteText"/>
        <w:ind w:left="426" w:hanging="426"/>
        <w:jc w:val="both"/>
      </w:pPr>
      <w:r>
        <w:rPr>
          <w:rStyle w:val="FootnoteReference"/>
        </w:rPr>
        <w:footnoteRef/>
      </w:r>
      <w:r>
        <w:t xml:space="preserve"> </w:t>
      </w:r>
      <w:r>
        <w:tab/>
        <w:t>The ‘layered regulatory model’ proposed at the end of the study builds upon a layering structure, if not a protocol layering one can figure out purely in a technical sense. Notwithstanding, the proposed model by and large reflects on this TCI/IP protocol suite, along with some modifications. With regard to further details, see the section ‘</w:t>
      </w:r>
      <w:r w:rsidRPr="002B62F0">
        <w:t>8.4.1.</w:t>
      </w:r>
      <w:r>
        <w:t xml:space="preserve"> </w:t>
      </w:r>
      <w:r w:rsidRPr="002B62F0">
        <w:t>Main features of the model</w:t>
      </w:r>
      <w:r>
        <w:t>’.</w:t>
      </w:r>
    </w:p>
  </w:footnote>
  <w:footnote w:id="115">
    <w:p w14:paraId="30863E05" w14:textId="434989E9" w:rsidR="005C0DC6" w:rsidRDefault="005C0DC6" w:rsidP="00B62395">
      <w:pPr>
        <w:pStyle w:val="FootnoteText"/>
        <w:ind w:left="426" w:hanging="426"/>
        <w:jc w:val="both"/>
      </w:pPr>
      <w:r>
        <w:rPr>
          <w:rStyle w:val="FootnoteReference"/>
        </w:rPr>
        <w:footnoteRef/>
      </w:r>
      <w:r>
        <w:t xml:space="preserve">   [T]he dominance of TCP/IP over proprietary suites such as DECNET and SNA/APPN can be largely explained by: (1) the increasing rejection of manufacturer-dominated, that is, proprietary, standards; (2) the increasingly widespread demonstration of the benefits and ease of use of open standards; and (3) the failure of some major industry players to adapt to the new more decentralised environment (Stanley M. Besen and George Sadowsky, ‘The economics of Internet standards’, in Johannes M. Bauer and Michael Latzer (eds.), </w:t>
      </w:r>
      <w:r w:rsidRPr="00692824">
        <w:rPr>
          <w:i/>
          <w:iCs/>
        </w:rPr>
        <w:t>Handbook on the Economics of the Internet</w:t>
      </w:r>
      <w:r>
        <w:t xml:space="preserve"> (Edward Elgar 2016) 211, 216). </w:t>
      </w:r>
    </w:p>
  </w:footnote>
  <w:footnote w:id="116">
    <w:p w14:paraId="2223302F" w14:textId="4730096E" w:rsidR="005C0DC6" w:rsidRPr="00A527DD" w:rsidRDefault="005C0DC6">
      <w:pPr>
        <w:pStyle w:val="FootnoteText"/>
        <w:ind w:left="426" w:hanging="426"/>
        <w:jc w:val="both"/>
      </w:pPr>
      <w:r w:rsidRPr="006B6D7C">
        <w:rPr>
          <w:rStyle w:val="FootnoteReference"/>
        </w:rPr>
        <w:footnoteRef/>
      </w:r>
      <w:r w:rsidRPr="006B6D7C">
        <w:rPr>
          <w:rStyle w:val="FootnoteReference"/>
        </w:rPr>
        <w:t xml:space="preserve"> </w:t>
      </w:r>
      <w:r>
        <w:t xml:space="preserve"> </w:t>
      </w:r>
      <w:r>
        <w:tab/>
      </w:r>
      <w:r w:rsidRPr="006B6D7C">
        <w:t xml:space="preserve">For detailed information </w:t>
      </w:r>
      <w:r>
        <w:t xml:space="preserve">about the standards that raced to govern the internet, incorporating their developmental processes and the factors for their success or failures, </w:t>
      </w:r>
      <w:r w:rsidRPr="006B6D7C">
        <w:t xml:space="preserve">see </w:t>
      </w:r>
      <w:r>
        <w:t xml:space="preserve">Ibid 213-217; </w:t>
      </w:r>
      <w:r w:rsidRPr="006B6D7C">
        <w:t xml:space="preserve">Rachelle Miller, </w:t>
      </w:r>
      <w:r>
        <w:t>‘</w:t>
      </w:r>
      <w:r w:rsidRPr="00F83A44">
        <w:t>The OSI Model: An Overview</w:t>
      </w:r>
      <w:r>
        <w:t>’</w:t>
      </w:r>
      <w:r w:rsidRPr="006B6D7C">
        <w:t xml:space="preserve"> (SANS Institute Information Security Reading Room</w:t>
      </w:r>
      <w:r>
        <w:t>,</w:t>
      </w:r>
      <w:r w:rsidRPr="006B6D7C">
        <w:t xml:space="preserve"> 2019) </w:t>
      </w:r>
      <w:r w:rsidRPr="006B6D7C">
        <w:rPr>
          <w:lang w:val="tr-TR"/>
        </w:rPr>
        <w:t>˂</w:t>
      </w:r>
      <w:hyperlink r:id="rId5" w:history="1">
        <w:r w:rsidRPr="00895C7A">
          <w:t>https://www.sans.org/reading-room/whitepapers/standards/osi-model-overview-543</w:t>
        </w:r>
      </w:hyperlink>
      <w:r w:rsidRPr="006B6D7C">
        <w:rPr>
          <w:lang w:val="tr-TR"/>
        </w:rPr>
        <w:t xml:space="preserve">˃ accessed </w:t>
      </w:r>
      <w:r>
        <w:rPr>
          <w:lang w:val="tr-TR"/>
        </w:rPr>
        <w:t>9 October 2020.</w:t>
      </w:r>
    </w:p>
  </w:footnote>
  <w:footnote w:id="117">
    <w:p w14:paraId="0DF359A5" w14:textId="5A2E3604" w:rsidR="005C0DC6" w:rsidRDefault="005C0DC6" w:rsidP="00B62395">
      <w:pPr>
        <w:pStyle w:val="FootnoteText"/>
        <w:ind w:left="426" w:hanging="426"/>
        <w:jc w:val="both"/>
      </w:pPr>
      <w:r>
        <w:rPr>
          <w:rStyle w:val="FootnoteReference"/>
        </w:rPr>
        <w:footnoteRef/>
      </w:r>
      <w:r>
        <w:t xml:space="preserve"> </w:t>
      </w:r>
      <w:r>
        <w:tab/>
        <w:t xml:space="preserve">Some believe that the outcome of TCP/IP-OSI war was largely the result of the fact that TCP/IP was deployed first and developed an early lead, which, through network effects, created a ‘bandwagon’ that OSI could not overcome; whereas others have argued that TCP/IP was, in many ways, superior to the OSI model (Besen and Sadowsky (n 121) 214).   </w:t>
      </w:r>
    </w:p>
  </w:footnote>
  <w:footnote w:id="118">
    <w:p w14:paraId="0E5905A3" w14:textId="08829FCC"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Yoo (n 10</w:t>
      </w:r>
      <w:r>
        <w:t>9</w:t>
      </w:r>
      <w:r w:rsidRPr="006B6D7C">
        <w:t xml:space="preserve">) 1747; Martin Fransman, </w:t>
      </w:r>
      <w:r w:rsidRPr="007C04A0">
        <w:rPr>
          <w:i/>
          <w:iCs/>
        </w:rPr>
        <w:t>The New ICT Ecosystem: Implications for Policy and Regulation</w:t>
      </w:r>
      <w:r w:rsidRPr="006B6D7C">
        <w:t xml:space="preserve"> (Cambridge University Press 2010) 8-11; Rohan Kariyawasam ‘Defining Dominance for Bits and Bytes: A new Layering Theory for Significant Market Power?’ [2005] </w:t>
      </w:r>
      <w:r>
        <w:t xml:space="preserve">26(10) </w:t>
      </w:r>
      <w:r w:rsidRPr="006B6D7C">
        <w:t xml:space="preserve">European Competition Law Review </w:t>
      </w:r>
      <w:r w:rsidRPr="00650415">
        <w:t>581</w:t>
      </w:r>
      <w:r>
        <w:t xml:space="preserve">, </w:t>
      </w:r>
      <w:r w:rsidRPr="006B6D7C">
        <w:t>587;</w:t>
      </w:r>
      <w:r>
        <w:t xml:space="preserve"> </w:t>
      </w:r>
      <w:r w:rsidRPr="006B6D7C">
        <w:t>Kevin Werbach ‘Breaking the Ice: Rethinking Telecommunications Law for the Digital Age’, [2005]</w:t>
      </w:r>
      <w:r>
        <w:t xml:space="preserve"> 4</w:t>
      </w:r>
      <w:r w:rsidRPr="006B6D7C">
        <w:t xml:space="preserve"> Journal on Telecommunications and High Technology Law </w:t>
      </w:r>
      <w:r w:rsidRPr="006B6D7C">
        <w:rPr>
          <w:lang w:val="tr-TR"/>
        </w:rPr>
        <w:t>59</w:t>
      </w:r>
      <w:r>
        <w:rPr>
          <w:lang w:val="tr-TR"/>
        </w:rPr>
        <w:t>,</w:t>
      </w:r>
      <w:r w:rsidRPr="006B6D7C">
        <w:t xml:space="preserve"> 66-67; </w:t>
      </w:r>
      <w:bookmarkStart w:id="168" w:name="_Hlk16187351"/>
      <w:r w:rsidRPr="006B6D7C">
        <w:t xml:space="preserve">Craig Mc Taggart, A Layered Approach to Internet Legal Analysis, [2003] </w:t>
      </w:r>
      <w:r>
        <w:t xml:space="preserve">48 </w:t>
      </w:r>
      <w:r w:rsidRPr="006B6D7C">
        <w:t xml:space="preserve">McGill Law Journal </w:t>
      </w:r>
      <w:r>
        <w:t xml:space="preserve">571, </w:t>
      </w:r>
      <w:r w:rsidRPr="006B6D7C">
        <w:t>582.</w:t>
      </w:r>
    </w:p>
    <w:bookmarkEnd w:id="168"/>
  </w:footnote>
  <w:footnote w:id="119">
    <w:p w14:paraId="3F127A73" w14:textId="5BBDFE2C" w:rsidR="005C0DC6" w:rsidRPr="006B6D7C" w:rsidRDefault="005C0DC6" w:rsidP="00C50D98">
      <w:pPr>
        <w:pStyle w:val="FootnoteText"/>
        <w:ind w:left="426" w:hanging="426"/>
        <w:jc w:val="both"/>
      </w:pPr>
      <w:r w:rsidRPr="006B6D7C">
        <w:rPr>
          <w:rStyle w:val="FootnoteReference"/>
        </w:rPr>
        <w:footnoteRef/>
      </w:r>
      <w:r w:rsidRPr="006B6D7C">
        <w:t xml:space="preserve"> </w:t>
      </w:r>
      <w:r>
        <w:tab/>
      </w:r>
      <w:r w:rsidRPr="006B6D7C">
        <w:t>Four layers (link, application, network, application) identified by the IETF denote the software layers that serve on top of the physical layer</w:t>
      </w:r>
      <w:r>
        <w:t xml:space="preserve">, </w:t>
      </w:r>
      <w:r w:rsidRPr="006B6D7C">
        <w:t>representing the Internet architecture</w:t>
      </w:r>
      <w:r>
        <w:t>.</w:t>
      </w:r>
      <w:r w:rsidRPr="006B6D7C">
        <w:t xml:space="preserve"> </w:t>
      </w:r>
      <w:r>
        <w:t xml:space="preserve">This physical layer, included </w:t>
      </w:r>
      <w:r w:rsidRPr="006B6D7C">
        <w:t xml:space="preserve">into the so-called IP stack (suite) </w:t>
      </w:r>
      <w:r>
        <w:t xml:space="preserve">in the shown figure below (Figure 2), should not be understood as a standardised element, but as a scholarly addition by which the infrastructural elements are highlighted as the baseline for all the upper-software layers. </w:t>
      </w:r>
    </w:p>
  </w:footnote>
  <w:footnote w:id="120">
    <w:p w14:paraId="358EDBB8" w14:textId="16391A32"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Yoo (n 10</w:t>
      </w:r>
      <w:r>
        <w:t>9</w:t>
      </w:r>
      <w:r w:rsidRPr="006B6D7C">
        <w:t>) 1751.</w:t>
      </w:r>
    </w:p>
  </w:footnote>
  <w:footnote w:id="121">
    <w:p w14:paraId="448FF0F8" w14:textId="74803CF3"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Werbach (n </w:t>
      </w:r>
      <w:r>
        <w:t>118</w:t>
      </w:r>
      <w:r w:rsidRPr="006B6D7C">
        <w:t>) 67.</w:t>
      </w:r>
    </w:p>
  </w:footnote>
  <w:footnote w:id="122">
    <w:p w14:paraId="611C2CBD" w14:textId="3ABE5EF3"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Werbach (n </w:t>
      </w:r>
      <w:r>
        <w:t>118</w:t>
      </w:r>
      <w:r w:rsidRPr="006B6D7C">
        <w:t>) 67.</w:t>
      </w:r>
    </w:p>
  </w:footnote>
  <w:footnote w:id="123">
    <w:p w14:paraId="10ED35EA" w14:textId="16A26CF5"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Werbach (n </w:t>
      </w:r>
      <w:r>
        <w:t>118</w:t>
      </w:r>
      <w:r w:rsidRPr="006B6D7C">
        <w:t>) 67.</w:t>
      </w:r>
    </w:p>
  </w:footnote>
  <w:footnote w:id="124">
    <w:p w14:paraId="773A1105" w14:textId="703AA2BB" w:rsidR="005C0DC6" w:rsidRPr="006B6D7C" w:rsidRDefault="005C0DC6" w:rsidP="00A70042">
      <w:pPr>
        <w:pStyle w:val="FootnoteText"/>
        <w:ind w:left="426" w:hanging="426"/>
        <w:jc w:val="both"/>
      </w:pPr>
      <w:r w:rsidRPr="006B6D7C">
        <w:rPr>
          <w:rStyle w:val="FootnoteReference"/>
        </w:rPr>
        <w:footnoteRef/>
      </w:r>
      <w:r w:rsidRPr="006B6D7C">
        <w:rPr>
          <w:rStyle w:val="FootnoteReference"/>
        </w:rPr>
        <w:t xml:space="preserve"> </w:t>
      </w:r>
      <w:r>
        <w:tab/>
      </w:r>
      <w:r w:rsidRPr="006B6D7C">
        <w:rPr>
          <w:lang w:val="tr-TR"/>
        </w:rPr>
        <w:t>A circuit switch set</w:t>
      </w:r>
      <w:r>
        <w:rPr>
          <w:lang w:val="tr-TR"/>
        </w:rPr>
        <w:t>s</w:t>
      </w:r>
      <w:r w:rsidRPr="006B6D7C">
        <w:rPr>
          <w:lang w:val="tr-TR"/>
        </w:rPr>
        <w:t xml:space="preserve"> up a dedicated transmission path from the calling party to the recipient for the duration of a call. Circuit-switched networks are networks which establish an end-to-end transmission path in order for a communication to be transmitted from one end to the other, as </w:t>
      </w:r>
      <w:r>
        <w:rPr>
          <w:lang w:val="tr-TR"/>
        </w:rPr>
        <w:t xml:space="preserve">is </w:t>
      </w:r>
      <w:r w:rsidRPr="006B6D7C">
        <w:rPr>
          <w:lang w:val="tr-TR"/>
        </w:rPr>
        <w:t xml:space="preserve">illustrated by conventional (PSTN) telephone networks (Walden </w:t>
      </w:r>
      <w:r>
        <w:rPr>
          <w:lang w:val="tr-TR"/>
        </w:rPr>
        <w:t xml:space="preserve">(n 109) </w:t>
      </w:r>
      <w:r w:rsidRPr="006B6D7C">
        <w:rPr>
          <w:lang w:val="tr-TR"/>
        </w:rPr>
        <w:t>400</w:t>
      </w:r>
      <w:r>
        <w:rPr>
          <w:lang w:val="tr-TR"/>
        </w:rPr>
        <w:t>)</w:t>
      </w:r>
      <w:r w:rsidRPr="006B6D7C">
        <w:rPr>
          <w:lang w:val="tr-TR"/>
        </w:rPr>
        <w:t xml:space="preserve">. </w:t>
      </w:r>
    </w:p>
  </w:footnote>
  <w:footnote w:id="125">
    <w:p w14:paraId="09ABE3CE" w14:textId="53CE63EA"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Werbach (n </w:t>
      </w:r>
      <w:r>
        <w:t>118</w:t>
      </w:r>
      <w:r w:rsidRPr="006B6D7C">
        <w:t>)</w:t>
      </w:r>
      <w:r w:rsidRPr="006B6D7C">
        <w:rPr>
          <w:lang w:val="tr-TR"/>
        </w:rPr>
        <w:t xml:space="preserve"> </w:t>
      </w:r>
      <w:r w:rsidRPr="006B6D7C">
        <w:t xml:space="preserve">62. </w:t>
      </w:r>
    </w:p>
  </w:footnote>
  <w:footnote w:id="126">
    <w:p w14:paraId="224F1A66" w14:textId="22A7A5AB"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Werbach (n </w:t>
      </w:r>
      <w:r>
        <w:t>118</w:t>
      </w:r>
      <w:r w:rsidRPr="006B6D7C">
        <w:t>)</w:t>
      </w:r>
      <w:r w:rsidRPr="006B6D7C">
        <w:rPr>
          <w:lang w:val="tr-TR"/>
        </w:rPr>
        <w:t xml:space="preserve"> </w:t>
      </w:r>
      <w:r w:rsidRPr="006B6D7C">
        <w:t>62.</w:t>
      </w:r>
    </w:p>
  </w:footnote>
  <w:footnote w:id="127">
    <w:p w14:paraId="4FB4763F" w14:textId="148B578F"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Nuechterlein and Weiser (n </w:t>
      </w:r>
      <w:r>
        <w:t>96</w:t>
      </w:r>
      <w:r w:rsidRPr="006B6D7C">
        <w:t>) 160.</w:t>
      </w:r>
    </w:p>
  </w:footnote>
  <w:footnote w:id="128">
    <w:p w14:paraId="59293BC2" w14:textId="625D612F"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For the details of the layered IP stack, see the section ‘2.2.3. Architectural underpinnings of the internet: Layered IP Stack’.</w:t>
      </w:r>
    </w:p>
  </w:footnote>
  <w:footnote w:id="129">
    <w:p w14:paraId="1DE65865" w14:textId="33662B21" w:rsidR="005C0DC6" w:rsidRPr="006B6D7C" w:rsidRDefault="005C0DC6" w:rsidP="00A70042">
      <w:pPr>
        <w:pStyle w:val="FootnoteText"/>
        <w:ind w:left="426" w:hanging="426"/>
        <w:jc w:val="both"/>
        <w:rPr>
          <w:lang w:val="tr-TR"/>
        </w:rPr>
      </w:pPr>
      <w:r w:rsidRPr="006B6D7C">
        <w:rPr>
          <w:rStyle w:val="FootnoteReference"/>
        </w:rPr>
        <w:footnoteRef/>
      </w:r>
      <w:r w:rsidRPr="006B6D7C">
        <w:rPr>
          <w:rStyle w:val="FootnoteReference"/>
        </w:rPr>
        <w:t xml:space="preserve"> </w:t>
      </w:r>
      <w:r>
        <w:tab/>
      </w:r>
      <w:r w:rsidRPr="006B6D7C">
        <w:rPr>
          <w:lang w:val="tr-TR"/>
        </w:rPr>
        <w:t>Regarding the multi-dimensional analysis of convergence</w:t>
      </w:r>
      <w:r>
        <w:rPr>
          <w:lang w:val="tr-TR"/>
        </w:rPr>
        <w:t>, see</w:t>
      </w:r>
      <w:r w:rsidRPr="006B6D7C">
        <w:rPr>
          <w:lang w:val="tr-TR"/>
        </w:rPr>
        <w:t xml:space="preserve"> J. M. Bauer, M. P. C. Weijnen, A. L. Turk, and P. M. Herder, ‘Delineating the Scope of Convergence in Infrastructures’ in W. A. H. Thissen and P. M. Herder (eds)</w:t>
      </w:r>
      <w:r>
        <w:rPr>
          <w:lang w:val="tr-TR"/>
        </w:rPr>
        <w:t>,</w:t>
      </w:r>
      <w:r w:rsidRPr="006B6D7C">
        <w:rPr>
          <w:lang w:val="tr-TR"/>
        </w:rPr>
        <w:t xml:space="preserve"> </w:t>
      </w:r>
      <w:r w:rsidRPr="00211855">
        <w:rPr>
          <w:i/>
          <w:iCs/>
          <w:lang w:val="tr-TR"/>
        </w:rPr>
        <w:t>Critical Infrastructures State of the Art in Research and Application</w:t>
      </w:r>
      <w:r w:rsidRPr="006B6D7C">
        <w:rPr>
          <w:lang w:val="tr-TR"/>
        </w:rPr>
        <w:t xml:space="preserve"> (Kluwer Academic Publishers, 2003) 209-232. For </w:t>
      </w:r>
      <w:r w:rsidRPr="006B6D7C">
        <w:t>discussion of the convergence dynamics with a policy elaboration on Internet regulation</w:t>
      </w:r>
      <w:r w:rsidRPr="006B6D7C">
        <w:rPr>
          <w:lang w:val="tr-TR"/>
        </w:rPr>
        <w:t xml:space="preserve"> see Philip Weiser, ‘Networks Unplugged: Towards A Model of Compatibility Regulation Between Information Platforms’ </w:t>
      </w:r>
      <w:r>
        <w:rPr>
          <w:lang w:val="tr-TR"/>
        </w:rPr>
        <w:t>(</w:t>
      </w:r>
      <w:r w:rsidRPr="006B6D7C">
        <w:rPr>
          <w:lang w:val="tr-TR"/>
        </w:rPr>
        <w:t xml:space="preserve">29th TPRC Conference, Washington, </w:t>
      </w:r>
      <w:r>
        <w:rPr>
          <w:lang w:val="tr-TR"/>
        </w:rPr>
        <w:t xml:space="preserve">September </w:t>
      </w:r>
      <w:r w:rsidRPr="006B6D7C">
        <w:rPr>
          <w:lang w:val="tr-TR"/>
        </w:rPr>
        <w:t>2001</w:t>
      </w:r>
      <w:r>
        <w:rPr>
          <w:lang w:val="tr-TR"/>
        </w:rPr>
        <w:t>)</w:t>
      </w:r>
      <w:r w:rsidRPr="006B6D7C">
        <w:rPr>
          <w:lang w:val="tr-TR"/>
        </w:rPr>
        <w:t xml:space="preserve">. </w:t>
      </w:r>
    </w:p>
  </w:footnote>
  <w:footnote w:id="130">
    <w:p w14:paraId="28D9E925" w14:textId="71916FC5"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Douglas C. Sicker and Lisa Blumensaadt, ‘Misunderstanding the Layered Model(s)’ [2006] </w:t>
      </w:r>
      <w:r>
        <w:t xml:space="preserve">4 </w:t>
      </w:r>
      <w:r w:rsidRPr="006B6D7C">
        <w:t>Journal of Telecommunications and High Technology Law 299</w:t>
      </w:r>
      <w:r>
        <w:t>,</w:t>
      </w:r>
      <w:r w:rsidRPr="006B6D7C">
        <w:t xml:space="preserve"> 304.</w:t>
      </w:r>
    </w:p>
  </w:footnote>
  <w:footnote w:id="131">
    <w:p w14:paraId="4AD1EABC" w14:textId="40AAB28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Nuechterlein and Weiser (n </w:t>
      </w:r>
      <w:r>
        <w:t>96</w:t>
      </w:r>
      <w:r w:rsidRPr="006B6D7C">
        <w:t>) 19. For an alternative definition of the ‘internet’ see</w:t>
      </w:r>
      <w:r w:rsidRPr="006B6D7C">
        <w:rPr>
          <w:lang w:val="en-US"/>
        </w:rPr>
        <w:t xml:space="preserve"> Rohan Kariyawasam, ‘Interconnection, Access and Peering: Law and Precedent’ in I. Walden and J. Angel (eds), </w:t>
      </w:r>
      <w:r w:rsidRPr="006B6D7C">
        <w:rPr>
          <w:i/>
          <w:lang w:val="en-US"/>
        </w:rPr>
        <w:t>Telecommunications Law</w:t>
      </w:r>
      <w:r w:rsidRPr="006B6D7C">
        <w:rPr>
          <w:lang w:val="en-US"/>
        </w:rPr>
        <w:t xml:space="preserve"> (Blackstone Press Limited 2001) 185, reading</w:t>
      </w:r>
      <w:r>
        <w:rPr>
          <w:lang w:val="en-US"/>
        </w:rPr>
        <w:t>;</w:t>
      </w:r>
      <w:r w:rsidRPr="006B6D7C">
        <w:rPr>
          <w:lang w:val="en-US"/>
        </w:rPr>
        <w:t xml:space="preserve"> </w:t>
      </w:r>
      <w:r w:rsidRPr="006B6D7C">
        <w:t>“The internet is the interconnection of a whole range of packet-switched networks, some of which are virtual, most of which are in the public domain, and some of which are private”.</w:t>
      </w:r>
    </w:p>
  </w:footnote>
  <w:footnote w:id="132">
    <w:p w14:paraId="72271446" w14:textId="6F900457"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Nuechterlein and Weiser (n </w:t>
      </w:r>
      <w:r>
        <w:t>96</w:t>
      </w:r>
      <w:r w:rsidRPr="006B6D7C">
        <w:t xml:space="preserve">) 25.  </w:t>
      </w:r>
      <w:r w:rsidRPr="006B6D7C">
        <w:rPr>
          <w:lang w:val="tr-TR"/>
        </w:rPr>
        <w:t xml:space="preserve"> </w:t>
      </w:r>
    </w:p>
  </w:footnote>
  <w:footnote w:id="133">
    <w:p w14:paraId="6041A36F" w14:textId="03035DE4"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Nuechterlein and Weiser (n </w:t>
      </w:r>
      <w:r>
        <w:t>96</w:t>
      </w:r>
      <w:r w:rsidRPr="006B6D7C">
        <w:t>) 29.</w:t>
      </w:r>
    </w:p>
  </w:footnote>
  <w:footnote w:id="134">
    <w:p w14:paraId="5127C9A4" w14:textId="3335B70A"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Nuechterlein and Weiser (n </w:t>
      </w:r>
      <w:r>
        <w:t>96</w:t>
      </w:r>
      <w:r w:rsidRPr="006B6D7C">
        <w:t>) 30.</w:t>
      </w:r>
    </w:p>
  </w:footnote>
  <w:footnote w:id="135">
    <w:p w14:paraId="7E6F7D21" w14:textId="2EBBD1DA"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Walden (n 10</w:t>
      </w:r>
      <w:r>
        <w:t>9</w:t>
      </w:r>
      <w:r w:rsidRPr="006B6D7C">
        <w:t>) 400.</w:t>
      </w:r>
    </w:p>
  </w:footnote>
  <w:footnote w:id="136">
    <w:p w14:paraId="1620520D" w14:textId="0644B30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Janevski</w:t>
      </w:r>
      <w:r>
        <w:t xml:space="preserve"> </w:t>
      </w:r>
      <w:r w:rsidRPr="006B6D7C">
        <w:t>(n 1</w:t>
      </w:r>
      <w:r>
        <w:t>10</w:t>
      </w:r>
      <w:r w:rsidRPr="006B6D7C">
        <w:t>) 69.</w:t>
      </w:r>
    </w:p>
  </w:footnote>
  <w:footnote w:id="137">
    <w:p w14:paraId="70F88853" w14:textId="1493EF6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Janevski</w:t>
      </w:r>
      <w:r>
        <w:t xml:space="preserve"> </w:t>
      </w:r>
      <w:r w:rsidRPr="006B6D7C">
        <w:t>(n 1</w:t>
      </w:r>
      <w:r>
        <w:t>10</w:t>
      </w:r>
      <w:r w:rsidRPr="006B6D7C">
        <w:t>) 69.</w:t>
      </w:r>
    </w:p>
  </w:footnote>
  <w:footnote w:id="138">
    <w:p w14:paraId="0992BC8F" w14:textId="4A01B3E6" w:rsidR="005C0DC6" w:rsidRPr="006B6D7C" w:rsidRDefault="005C0DC6" w:rsidP="00A70042">
      <w:pPr>
        <w:pStyle w:val="FootnoteText"/>
        <w:ind w:left="426" w:hanging="426"/>
        <w:jc w:val="both"/>
      </w:pPr>
      <w:r w:rsidRPr="006B6D7C">
        <w:rPr>
          <w:rStyle w:val="FootnoteReference"/>
        </w:rPr>
        <w:footnoteRef/>
      </w:r>
      <w:r>
        <w:t xml:space="preserve"> </w:t>
      </w:r>
      <w:r>
        <w:tab/>
      </w:r>
      <w:r w:rsidRPr="006B6D7C">
        <w:t>ITU-T Rec. Y.2001. See also ˂http://www.itu.int/ITU-T/studygroups/com13/ngn2</w:t>
      </w:r>
      <w:r>
        <w:t xml:space="preserve"> </w:t>
      </w:r>
      <w:r w:rsidRPr="006B6D7C">
        <w:t>004/working</w:t>
      </w:r>
      <w:r>
        <w:t xml:space="preserve"> </w:t>
      </w:r>
      <w:r w:rsidRPr="006B6D7C">
        <w:t xml:space="preserve">_definition.html&gt; accessed </w:t>
      </w:r>
      <w:r>
        <w:t>9 October 2020</w:t>
      </w:r>
      <w:r w:rsidRPr="006B6D7C">
        <w:t>.</w:t>
      </w:r>
    </w:p>
  </w:footnote>
  <w:footnote w:id="139">
    <w:p w14:paraId="5D587CB5" w14:textId="560CF9D2" w:rsidR="005C0DC6" w:rsidRPr="006B6D7C" w:rsidRDefault="005C0DC6" w:rsidP="00A70042">
      <w:pPr>
        <w:pStyle w:val="FootnoteText"/>
        <w:ind w:left="426" w:hanging="426"/>
        <w:jc w:val="both"/>
      </w:pPr>
      <w:r w:rsidRPr="006B6D7C">
        <w:rPr>
          <w:rStyle w:val="FootnoteReference"/>
        </w:rPr>
        <w:footnoteRef/>
      </w:r>
      <w:r w:rsidRPr="006B6D7C">
        <w:t xml:space="preserve"> </w:t>
      </w:r>
      <w:r>
        <w:t xml:space="preserve"> </w:t>
      </w:r>
      <w:r>
        <w:tab/>
      </w:r>
      <w:r w:rsidRPr="006B6D7C">
        <w:t xml:space="preserve">See Volker Stocker ‘Interconnection and Capacity Allocation for all-IP Networks: Walled Gardens or Full Integration?’ </w:t>
      </w:r>
      <w:r>
        <w:t>(</w:t>
      </w:r>
      <w:r w:rsidRPr="006B6D7C">
        <w:t xml:space="preserve">43rd </w:t>
      </w:r>
      <w:r>
        <w:t>TPRC</w:t>
      </w:r>
      <w:r w:rsidRPr="006B6D7C">
        <w:t xml:space="preserve"> Conference, Arlington, September 2015</w:t>
      </w:r>
      <w:r>
        <w:t>)</w:t>
      </w:r>
      <w:r w:rsidRPr="006B6D7C">
        <w:t xml:space="preserve"> 3.</w:t>
      </w:r>
    </w:p>
  </w:footnote>
  <w:footnote w:id="140">
    <w:p w14:paraId="26B525E4" w14:textId="782E3C3C" w:rsidR="005C0DC6" w:rsidRPr="006B6D7C" w:rsidRDefault="005C0DC6" w:rsidP="00A70042">
      <w:pPr>
        <w:pStyle w:val="FootnoteText"/>
        <w:ind w:left="426" w:hanging="426"/>
        <w:jc w:val="both"/>
      </w:pPr>
      <w:r w:rsidRPr="006B6D7C">
        <w:rPr>
          <w:rStyle w:val="FootnoteReference"/>
        </w:rPr>
        <w:footnoteRef/>
      </w:r>
      <w:r w:rsidRPr="006B6D7C">
        <w:t xml:space="preserve"> </w:t>
      </w:r>
      <w:r>
        <w:t xml:space="preserve"> </w:t>
      </w:r>
      <w:r>
        <w:tab/>
      </w:r>
      <w:r w:rsidRPr="006B6D7C">
        <w:t xml:space="preserve">According to legacy models enforced by the “best effort” principle, TCP/IP based passive traffic management is performed by communicating edges (Ibid). On the other hand, differentiated traffic services based on active traffic management, </w:t>
      </w:r>
      <w:r>
        <w:t>in</w:t>
      </w:r>
      <w:r w:rsidRPr="00610FA4">
        <w:t xml:space="preserve">corporating virtualisation of network functions and capacity allocation between different service types manifest </w:t>
      </w:r>
      <w:r w:rsidRPr="006B6D7C">
        <w:t>the multi-purpose NGNs, also representing the so-called all-IP process.</w:t>
      </w:r>
    </w:p>
  </w:footnote>
  <w:footnote w:id="141">
    <w:p w14:paraId="0E7B5228" w14:textId="3E5F4B35" w:rsidR="005C0DC6" w:rsidRPr="006B6D7C" w:rsidRDefault="005C0DC6" w:rsidP="00A70042">
      <w:pPr>
        <w:pStyle w:val="FootnoteText"/>
        <w:ind w:left="426" w:hanging="426"/>
        <w:jc w:val="both"/>
      </w:pPr>
      <w:r w:rsidRPr="006B6D7C">
        <w:rPr>
          <w:rStyle w:val="FootnoteReference"/>
        </w:rPr>
        <w:footnoteRef/>
      </w:r>
      <w:r w:rsidRPr="006B6D7C">
        <w:rPr>
          <w:rStyle w:val="FootnoteReference"/>
        </w:rPr>
        <w:t xml:space="preserve"> </w:t>
      </w:r>
      <w:r>
        <w:t xml:space="preserve"> </w:t>
      </w:r>
      <w:r>
        <w:tab/>
      </w:r>
      <w:r w:rsidRPr="006B6D7C">
        <w:t xml:space="preserve">See </w:t>
      </w:r>
      <w:r w:rsidRPr="006B6D7C">
        <w:rPr>
          <w:lang w:val="tr-TR"/>
        </w:rPr>
        <w:t>Janevski (n 1</w:t>
      </w:r>
      <w:r>
        <w:rPr>
          <w:lang w:val="tr-TR"/>
        </w:rPr>
        <w:t>10</w:t>
      </w:r>
      <w:r w:rsidRPr="006B6D7C">
        <w:rPr>
          <w:lang w:val="tr-TR"/>
        </w:rPr>
        <w:t>) 69-70.</w:t>
      </w:r>
    </w:p>
  </w:footnote>
  <w:footnote w:id="142">
    <w:p w14:paraId="2C0B7018" w14:textId="61C51987" w:rsidR="005C0DC6" w:rsidRPr="006B6D7C" w:rsidRDefault="005C0DC6" w:rsidP="00A70042">
      <w:pPr>
        <w:pStyle w:val="FootnoteText"/>
        <w:ind w:left="426" w:hanging="426"/>
        <w:jc w:val="both"/>
      </w:pPr>
      <w:r w:rsidRPr="006B6D7C">
        <w:rPr>
          <w:rStyle w:val="FootnoteReference"/>
        </w:rPr>
        <w:footnoteRef/>
      </w:r>
      <w:r w:rsidRPr="006B6D7C">
        <w:t xml:space="preserve"> </w:t>
      </w:r>
      <w:r>
        <w:t xml:space="preserve"> </w:t>
      </w:r>
      <w:r>
        <w:tab/>
      </w:r>
      <w:r w:rsidRPr="006B6D7C">
        <w:t>Decoupling thus marks a core difference from the legacy (internet overlay) networks</w:t>
      </w:r>
      <w:r>
        <w:t>,</w:t>
      </w:r>
      <w:r w:rsidRPr="006B6D7C">
        <w:t xml:space="preserve"> which are modernised to provide internet services</w:t>
      </w:r>
      <w:r>
        <w:t>,</w:t>
      </w:r>
      <w:r w:rsidRPr="006B6D7C">
        <w:t xml:space="preserve"> although </w:t>
      </w:r>
      <w:r>
        <w:t xml:space="preserve">being </w:t>
      </w:r>
      <w:r w:rsidRPr="006B6D7C">
        <w:t xml:space="preserve">originally designed </w:t>
      </w:r>
      <w:r>
        <w:t xml:space="preserve">to </w:t>
      </w:r>
      <w:r w:rsidRPr="006B6D7C">
        <w:t xml:space="preserve">support specific services, such as voice telephony over PSTN </w:t>
      </w:r>
      <w:r>
        <w:t xml:space="preserve">and </w:t>
      </w:r>
      <w:r w:rsidRPr="006B6D7C">
        <w:t xml:space="preserve">TV broadcasting over terrestrial, satellite </w:t>
      </w:r>
      <w:r>
        <w:t xml:space="preserve">and </w:t>
      </w:r>
      <w:r w:rsidRPr="006B6D7C">
        <w:t xml:space="preserve">cable networks. In a NGN environment, networks </w:t>
      </w:r>
      <w:r>
        <w:t xml:space="preserve">will </w:t>
      </w:r>
      <w:r w:rsidRPr="006B6D7C">
        <w:t>simply be conveying data while services are going to be controlled by software programs embedded in ubiquitous computers.</w:t>
      </w:r>
    </w:p>
  </w:footnote>
  <w:footnote w:id="143">
    <w:p w14:paraId="4DD81EF6" w14:textId="617139FD"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rPr>
          <w:lang w:val="tr-TR"/>
        </w:rPr>
        <w:t xml:space="preserve">See Wolfgang Reichl and Ernst-Olav Ruhle, NGA, IP-Interconnection and their Impact on Business Models and Competition [2008] </w:t>
      </w:r>
      <w:r>
        <w:rPr>
          <w:lang w:val="tr-TR"/>
        </w:rPr>
        <w:t xml:space="preserve">69, </w:t>
      </w:r>
      <w:r w:rsidRPr="006B6D7C">
        <w:rPr>
          <w:lang w:val="tr-TR"/>
        </w:rPr>
        <w:t>1st Q</w:t>
      </w:r>
      <w:r>
        <w:rPr>
          <w:lang w:val="tr-TR"/>
        </w:rPr>
        <w:t xml:space="preserve"> </w:t>
      </w:r>
      <w:r w:rsidRPr="006B6D7C">
        <w:rPr>
          <w:iCs/>
          <w:lang w:val="tr-TR"/>
        </w:rPr>
        <w:t>Communications &amp; Strategies</w:t>
      </w:r>
      <w:r w:rsidRPr="006B6D7C">
        <w:rPr>
          <w:lang w:val="tr-TR"/>
        </w:rPr>
        <w:t xml:space="preserve"> 41</w:t>
      </w:r>
      <w:r>
        <w:rPr>
          <w:lang w:val="tr-TR"/>
        </w:rPr>
        <w:t>,</w:t>
      </w:r>
      <w:r w:rsidRPr="006B6D7C">
        <w:rPr>
          <w:lang w:val="tr-TR"/>
        </w:rPr>
        <w:t xml:space="preserve"> 49-50.</w:t>
      </w:r>
    </w:p>
  </w:footnote>
  <w:footnote w:id="144">
    <w:p w14:paraId="77289FD3" w14:textId="4FCA98F8" w:rsidR="005C0DC6" w:rsidRPr="006B6D7C" w:rsidRDefault="005C0DC6" w:rsidP="00A70042">
      <w:pPr>
        <w:pStyle w:val="FootnoteText"/>
        <w:ind w:left="426" w:hanging="426"/>
        <w:jc w:val="both"/>
        <w:rPr>
          <w:lang w:val="tr-TR"/>
        </w:rPr>
      </w:pPr>
      <w:r w:rsidRPr="006B6D7C">
        <w:rPr>
          <w:rStyle w:val="FootnoteReference"/>
        </w:rPr>
        <w:footnoteRef/>
      </w:r>
      <w:r w:rsidRPr="006B6D7C">
        <w:t xml:space="preserve"> </w:t>
      </w:r>
      <w:r>
        <w:tab/>
      </w:r>
      <w:r w:rsidRPr="006B6D7C">
        <w:t xml:space="preserve">J. Scott </w:t>
      </w:r>
      <w:r w:rsidRPr="006B6D7C">
        <w:rPr>
          <w:lang w:val="tr-TR"/>
        </w:rPr>
        <w:t xml:space="preserve">Marcus and Dieter Elixmann, </w:t>
      </w:r>
      <w:r>
        <w:rPr>
          <w:lang w:val="tr-TR"/>
        </w:rPr>
        <w:t>‘</w:t>
      </w:r>
      <w:r w:rsidRPr="006B6D7C">
        <w:rPr>
          <w:lang w:val="tr-TR"/>
        </w:rPr>
        <w:t>Regulatory Approaches to NGNs: An International Comparison</w:t>
      </w:r>
      <w:r>
        <w:rPr>
          <w:lang w:val="tr-TR"/>
        </w:rPr>
        <w:t>’</w:t>
      </w:r>
      <w:r w:rsidRPr="006B6D7C">
        <w:rPr>
          <w:lang w:val="tr-TR"/>
        </w:rPr>
        <w:t xml:space="preserve"> </w:t>
      </w:r>
      <w:r w:rsidRPr="006B6D7C">
        <w:t>[2008] 69, 1st Q Communications &amp; Strategies 19</w:t>
      </w:r>
      <w:r>
        <w:t>,</w:t>
      </w:r>
      <w:r w:rsidRPr="006B6D7C">
        <w:t xml:space="preserve"> 21. </w:t>
      </w:r>
    </w:p>
  </w:footnote>
  <w:footnote w:id="145">
    <w:p w14:paraId="6C886766" w14:textId="23E64E8B" w:rsidR="005C0DC6" w:rsidRPr="006B6D7C" w:rsidRDefault="005C0DC6" w:rsidP="00A70042">
      <w:pPr>
        <w:pStyle w:val="FootnoteText"/>
        <w:ind w:left="426" w:hanging="426"/>
        <w:jc w:val="both"/>
      </w:pPr>
      <w:r w:rsidRPr="006B6D7C">
        <w:rPr>
          <w:rStyle w:val="FootnoteReference"/>
          <w:rFonts w:eastAsiaTheme="majorEastAsia"/>
        </w:rPr>
        <w:footnoteRef/>
      </w:r>
      <w:r w:rsidRPr="006B6D7C">
        <w:t xml:space="preserve"> </w:t>
      </w:r>
      <w:r>
        <w:tab/>
      </w:r>
      <w:r w:rsidRPr="006B6D7C">
        <w:t xml:space="preserve">See Kevin Coates, </w:t>
      </w:r>
      <w:r w:rsidRPr="00351D37">
        <w:rPr>
          <w:i/>
          <w:iCs/>
        </w:rPr>
        <w:t>Competition Law and Regulation of Technology Markets</w:t>
      </w:r>
      <w:r w:rsidRPr="006B6D7C">
        <w:t xml:space="preserve"> (OUP 2011) 237.</w:t>
      </w:r>
    </w:p>
  </w:footnote>
  <w:footnote w:id="146">
    <w:p w14:paraId="47F396BC" w14:textId="68D5031F"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See supra note </w:t>
      </w:r>
      <w:r>
        <w:t>73</w:t>
      </w:r>
      <w:r w:rsidRPr="006B6D7C">
        <w:t>.</w:t>
      </w:r>
    </w:p>
  </w:footnote>
  <w:footnote w:id="147">
    <w:p w14:paraId="66EA8CAD" w14:textId="5DE0B9E2"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Band and Katoh (n </w:t>
      </w:r>
      <w:r>
        <w:t>55</w:t>
      </w:r>
      <w:r w:rsidRPr="006B6D7C">
        <w:t>) 184.</w:t>
      </w:r>
    </w:p>
  </w:footnote>
  <w:footnote w:id="148">
    <w:p w14:paraId="4F23B5A5" w14:textId="6E196602"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Suiyi Zhang, ‘How have network effects affected the European Commission’s enforcement of competition law in technology enabled markets?’ [2015] 36 European Competition Law Review </w:t>
      </w:r>
      <w:r>
        <w:t xml:space="preserve">82, </w:t>
      </w:r>
      <w:r w:rsidRPr="006B6D7C">
        <w:t>85.</w:t>
      </w:r>
    </w:p>
  </w:footnote>
  <w:footnote w:id="149">
    <w:p w14:paraId="27FC4AE4" w14:textId="5F6B3DEE"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Tom Björkroth, ‘Loyal or Locked-in – And Why Should </w:t>
      </w:r>
      <w:r>
        <w:t>W</w:t>
      </w:r>
      <w:r w:rsidRPr="006B6D7C">
        <w:t xml:space="preserve">e </w:t>
      </w:r>
      <w:r>
        <w:t>C</w:t>
      </w:r>
      <w:r w:rsidRPr="006B6D7C">
        <w:t>are?’ [2013] 10(1) Journal of Competition Law &amp; Economics 47</w:t>
      </w:r>
      <w:r>
        <w:t>,</w:t>
      </w:r>
      <w:r w:rsidRPr="006B6D7C">
        <w:t xml:space="preserve"> 54.</w:t>
      </w:r>
    </w:p>
  </w:footnote>
  <w:footnote w:id="150">
    <w:p w14:paraId="14D1DF67" w14:textId="3033C02F"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Ibid, 47.</w:t>
      </w:r>
    </w:p>
  </w:footnote>
  <w:footnote w:id="151">
    <w:p w14:paraId="52742C56" w14:textId="28C2B63A"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Jonathan Cave, </w:t>
      </w:r>
      <w:r>
        <w:t>‘</w:t>
      </w:r>
      <w:r w:rsidRPr="006B6D7C">
        <w:t>Prisoners of Our Own Device - An Evolutionary Perspective on Lock-in, Technology Clusters and Telecom Regulation</w:t>
      </w:r>
      <w:r>
        <w:t>’</w:t>
      </w:r>
      <w:r w:rsidRPr="006B6D7C">
        <w:t xml:space="preserve"> (</w:t>
      </w:r>
      <w:r w:rsidRPr="00FF3B7B">
        <w:rPr>
          <w:i/>
          <w:iCs/>
        </w:rPr>
        <w:t>SSRN</w:t>
      </w:r>
      <w:r w:rsidRPr="006B6D7C">
        <w:t xml:space="preserve">, </w:t>
      </w:r>
      <w:r>
        <w:t>15 August</w:t>
      </w:r>
      <w:r w:rsidRPr="006B6D7C">
        <w:t xml:space="preserve"> 20</w:t>
      </w:r>
      <w:r>
        <w:t>09</w:t>
      </w:r>
      <w:r w:rsidRPr="006B6D7C">
        <w:t>)</w:t>
      </w:r>
      <w:r>
        <w:t xml:space="preserve"> TPRC 2009 </w:t>
      </w:r>
      <w:r w:rsidRPr="006B6D7C">
        <w:t xml:space="preserve">&lt;http://ssrn.com/abstract=1995551&gt; accessed </w:t>
      </w:r>
      <w:r>
        <w:t>9 October 2020</w:t>
      </w:r>
      <w:r w:rsidRPr="006B6D7C">
        <w:t>.</w:t>
      </w:r>
    </w:p>
  </w:footnote>
  <w:footnote w:id="152">
    <w:p w14:paraId="4DD5C8BE" w14:textId="182B8333"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The essence of the problem is that each vendor’s cloud environment supports one or more OSs and databases, incorporating a cloud API and a specific licensing model (Bill Claybrook, ‘Cloud interoperability: Problems and best practices’, (</w:t>
      </w:r>
      <w:r w:rsidRPr="007157E5">
        <w:rPr>
          <w:i/>
          <w:iCs/>
        </w:rPr>
        <w:t>Computerworld</w:t>
      </w:r>
      <w:r w:rsidRPr="006B6D7C">
        <w:t xml:space="preserve">, 1 June 2011) &lt;http://www.computerworld.com/article/2508726/cloud-computing/cloud-interoperability--problems-and-best-practices.html&gt; accessed </w:t>
      </w:r>
      <w:r>
        <w:t>9 October 2020</w:t>
      </w:r>
      <w:r w:rsidRPr="006B6D7C">
        <w:t>). Therefore, undertakings may exploit the fact that their customers have been locked into their cloud computing service and impose the use of their own software (Laise Da Correggio Luciano and Ian Walden, ‘Ensuring competition in the Clouds: The role of competition law?’ (</w:t>
      </w:r>
      <w:r w:rsidRPr="00FF3B7B">
        <w:rPr>
          <w:i/>
          <w:iCs/>
        </w:rPr>
        <w:t>SSRN</w:t>
      </w:r>
      <w:r w:rsidRPr="006B6D7C">
        <w:t xml:space="preserve">, 7 April 2014) &lt;http://ssrn.com/abstract=1840547&gt; accessed </w:t>
      </w:r>
      <w:r>
        <w:t>9 October 2020</w:t>
      </w:r>
      <w:r w:rsidRPr="006B6D7C">
        <w:t xml:space="preserve">). </w:t>
      </w:r>
    </w:p>
  </w:footnote>
  <w:footnote w:id="153">
    <w:p w14:paraId="1D82F146" w14:textId="5397B4C5"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Luciano and Walden (n 1</w:t>
      </w:r>
      <w:r>
        <w:t>52</w:t>
      </w:r>
      <w:r w:rsidRPr="006B6D7C">
        <w:t>) 274. In fact, in case a cloud customer adapts their systems to work with one particular cloud service, they may not be able to choose an equivalent service from a different provider without having to adapt their systems again for the new provider. In order to make the cloud systems interoperable with each other, issues such as transport protocols, encoding syntaxes for communication messages or data, semantics, and organisational and legal policy issues need to be addressed. (ECIS, ‘Special paper on cloud computing: Portability and interoperability of software and data across cloud services’ (</w:t>
      </w:r>
      <w:r>
        <w:t xml:space="preserve">27 </w:t>
      </w:r>
      <w:r w:rsidRPr="006B6D7C">
        <w:t xml:space="preserve">June 2016), &lt;http://www.ecis.eu/2016/06/special-paper-on-cloud-computing-portability-and-interoperability/&gt; accessed </w:t>
      </w:r>
      <w:r>
        <w:t>9 October 2020</w:t>
      </w:r>
      <w:r w:rsidRPr="006B6D7C">
        <w:t>. See also Andrea Renda, ‘Competition, neutrality and diversity in the cloud’ 85 [2012] Digiworld Economic Journal 1</w:t>
      </w:r>
      <w:r w:rsidRPr="006B6D7C">
        <w:rPr>
          <w:vertAlign w:val="superscript"/>
        </w:rPr>
        <w:t>st</w:t>
      </w:r>
      <w:r w:rsidRPr="006B6D7C">
        <w:t xml:space="preserve"> Q 23 28-30; Sluijs, Larouche and Sauter (n 2</w:t>
      </w:r>
      <w:r>
        <w:t>5</w:t>
      </w:r>
      <w:r w:rsidRPr="006B6D7C">
        <w:t xml:space="preserve">) 18.    </w:t>
      </w:r>
    </w:p>
  </w:footnote>
  <w:footnote w:id="154">
    <w:p w14:paraId="436ED283" w14:textId="6E15A332"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Karen Rose, Scott Eldridge and Lyman Chapin, ‘The Internet of Things: An Overview’ (Internet Society, 2015) 47 &lt;http://www.internetsociety.org/sites/default/files/ISOC-IoT-Overview-20151221-en.pdf&gt; accessed </w:t>
      </w:r>
      <w:r>
        <w:t>9 October 2020</w:t>
      </w:r>
      <w:r w:rsidRPr="006B6D7C">
        <w:t xml:space="preserve">. For example, in the home automation market, light bulbs from one vendor may not be interoperable with a light switch or control system manufactured by another (Ibid). </w:t>
      </w:r>
    </w:p>
  </w:footnote>
  <w:footnote w:id="155">
    <w:p w14:paraId="0D8EBB64" w14:textId="1F90DE5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José Alberro and Rainer Shcwabe, ‘The Theory of Contestable Markets and its Legacy in Antitrust Practice’, [2016] 16(1) Economics Committee Newsletter 20</w:t>
      </w:r>
      <w:r>
        <w:t>,</w:t>
      </w:r>
      <w:r w:rsidRPr="006B6D7C">
        <w:t xml:space="preserve"> 21.</w:t>
      </w:r>
    </w:p>
  </w:footnote>
  <w:footnote w:id="156">
    <w:p w14:paraId="37B7AFF7" w14:textId="33B9C7D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5911CB">
        <w:t>In order to deter such potential outcomes, statutory rights and obligations, particularly ‘data portability’, should be underlined as lessening the risk of vendor lock-in, or of switching costs.</w:t>
      </w:r>
      <w:r>
        <w:t xml:space="preserve"> </w:t>
      </w:r>
      <w:r w:rsidRPr="006B6D7C">
        <w:t>For detailed information regarding ‘data portability’, see the section ‘3.2.4. Data protection rules: Right to data portability’.</w:t>
      </w:r>
    </w:p>
  </w:footnote>
  <w:footnote w:id="157">
    <w:p w14:paraId="54718A76" w14:textId="3033E90B" w:rsidR="005C0DC6" w:rsidRDefault="005C0DC6" w:rsidP="00B62395">
      <w:pPr>
        <w:pStyle w:val="FootnoteText"/>
        <w:ind w:left="426" w:hanging="426"/>
        <w:jc w:val="both"/>
      </w:pPr>
      <w:r>
        <w:rPr>
          <w:rStyle w:val="FootnoteReference"/>
        </w:rPr>
        <w:footnoteRef/>
      </w:r>
      <w:r>
        <w:t xml:space="preserve"> </w:t>
      </w:r>
      <w:r>
        <w:tab/>
        <w:t>See the section ‘</w:t>
      </w:r>
      <w:r w:rsidRPr="003A281F">
        <w:t>6.2.1.2.</w:t>
      </w:r>
      <w:r>
        <w:t xml:space="preserve"> </w:t>
      </w:r>
      <w:r w:rsidRPr="003A281F">
        <w:t>Conditional access obligations</w:t>
      </w:r>
      <w:r>
        <w:t>’.</w:t>
      </w:r>
    </w:p>
  </w:footnote>
  <w:footnote w:id="158">
    <w:p w14:paraId="158EAAC2" w14:textId="54FB93A6" w:rsidR="005C0DC6" w:rsidRDefault="005C0DC6" w:rsidP="00B62395">
      <w:pPr>
        <w:pStyle w:val="FootnoteText"/>
        <w:ind w:left="426" w:hanging="426"/>
        <w:jc w:val="both"/>
      </w:pPr>
      <w:r>
        <w:rPr>
          <w:rStyle w:val="FootnoteReference"/>
        </w:rPr>
        <w:footnoteRef/>
      </w:r>
      <w:r>
        <w:t xml:space="preserve"> </w:t>
      </w:r>
      <w:r>
        <w:tab/>
        <w:t>See N. Elkin-Koren, ‘</w:t>
      </w:r>
      <w:r w:rsidRPr="002F0AEC">
        <w:t>Cyberlaw and Social Change: A democratic approach to copyright law in cyberspace</w:t>
      </w:r>
      <w:r>
        <w:t>’</w:t>
      </w:r>
      <w:r w:rsidRPr="002F0AEC">
        <w:t xml:space="preserve"> </w:t>
      </w:r>
      <w:r>
        <w:t xml:space="preserve">[1996] </w:t>
      </w:r>
      <w:r w:rsidRPr="002F0AEC">
        <w:t xml:space="preserve">14 </w:t>
      </w:r>
      <w:r w:rsidRPr="00692824">
        <w:rPr>
          <w:iCs/>
        </w:rPr>
        <w:t>Cardozo Arts and Entertainment Law Journal</w:t>
      </w:r>
      <w:r w:rsidRPr="002F0AEC">
        <w:t xml:space="preserve"> 215</w:t>
      </w:r>
      <w:r>
        <w:t>, 231, referring to Seyla Benhabib, ‘Models of Public Space: Hannah Arendt, the Liberal Tradition, and J</w:t>
      </w:r>
      <w:r w:rsidRPr="00AA669B">
        <w:t>ür</w:t>
      </w:r>
      <w:r>
        <w:t xml:space="preserve">gen Habermas’ in Craig Calhoun (eds) </w:t>
      </w:r>
      <w:r w:rsidRPr="00786ED2">
        <w:t>Habermas and the Public Sphere</w:t>
      </w:r>
      <w:r>
        <w:t xml:space="preserve"> (MIT Press 1991) </w:t>
      </w:r>
      <w:r w:rsidRPr="00692824">
        <w:t>87, reading</w:t>
      </w:r>
      <w:r>
        <w:t>;</w:t>
      </w:r>
      <w:r w:rsidRPr="00692824">
        <w:t xml:space="preserve"> “</w:t>
      </w:r>
      <w:r>
        <w:t>when democracy is defined not merely by formal political institutions, but as a process of “discursive will formation,” participation is no longer confined to a narrowly defined political realm, but is instead perceived as an activity that can be realized in the social and cultural spheres as well”</w:t>
      </w:r>
    </w:p>
  </w:footnote>
  <w:footnote w:id="159">
    <w:p w14:paraId="0D6A58D1" w14:textId="54031201" w:rsidR="005C0DC6" w:rsidRDefault="005C0DC6" w:rsidP="00B62395">
      <w:pPr>
        <w:pStyle w:val="FootnoteText"/>
        <w:ind w:left="426" w:hanging="426"/>
        <w:jc w:val="both"/>
      </w:pPr>
      <w:r>
        <w:rPr>
          <w:rStyle w:val="FootnoteReference"/>
        </w:rPr>
        <w:footnoteRef/>
      </w:r>
      <w:r>
        <w:t xml:space="preserve"> </w:t>
      </w:r>
      <w:r>
        <w:tab/>
        <w:t>Ibid, 257.</w:t>
      </w:r>
    </w:p>
  </w:footnote>
  <w:footnote w:id="160">
    <w:p w14:paraId="6D2E508F" w14:textId="2A895C86" w:rsidR="005C0DC6" w:rsidRDefault="005C0DC6" w:rsidP="00B62395">
      <w:pPr>
        <w:pStyle w:val="FootnoteText"/>
        <w:ind w:left="426" w:hanging="426"/>
        <w:jc w:val="both"/>
      </w:pPr>
      <w:r>
        <w:rPr>
          <w:rStyle w:val="FootnoteReference"/>
        </w:rPr>
        <w:footnoteRef/>
      </w:r>
      <w:r>
        <w:t xml:space="preserve"> </w:t>
      </w:r>
      <w:r>
        <w:tab/>
        <w:t xml:space="preserve">James G.H. Griffin, ‘A call for a doctrine of “information justice”’ [2016] 1 </w:t>
      </w:r>
      <w:r w:rsidRPr="005D58C5">
        <w:t>Intellectual Property Quarterly</w:t>
      </w:r>
      <w:r>
        <w:t xml:space="preserve"> 44, 45-46.</w:t>
      </w:r>
    </w:p>
  </w:footnote>
  <w:footnote w:id="161">
    <w:p w14:paraId="67324257" w14:textId="75391643" w:rsidR="005C0DC6" w:rsidRPr="00786ED2" w:rsidRDefault="005C0DC6" w:rsidP="00B62395">
      <w:pPr>
        <w:pStyle w:val="FootnoteText"/>
        <w:ind w:left="426" w:hanging="426"/>
        <w:jc w:val="both"/>
      </w:pPr>
      <w:r>
        <w:rPr>
          <w:rStyle w:val="FootnoteReference"/>
        </w:rPr>
        <w:footnoteRef/>
      </w:r>
      <w:r>
        <w:t xml:space="preserve"> </w:t>
      </w:r>
      <w:r>
        <w:tab/>
        <w:t>According to Benkler, “radical decentralization of intelligence in our communications network and the centrality of information, knowledge, culture, and ideas to advanced economic activity are leading to a new stage of the information economy - the networked information economy”</w:t>
      </w:r>
      <w:r w:rsidRPr="00786ED2">
        <w:t xml:space="preserve"> (Yokhai Benkler, </w:t>
      </w:r>
      <w:r w:rsidRPr="00692824">
        <w:rPr>
          <w:i/>
          <w:iCs/>
        </w:rPr>
        <w:t>The Wealth of Networks: How Social Production Transforms Markets and Freedom</w:t>
      </w:r>
      <w:r>
        <w:t xml:space="preserve"> (</w:t>
      </w:r>
      <w:r w:rsidRPr="00786ED2">
        <w:t>Yale University Press 2006</w:t>
      </w:r>
      <w:r>
        <w:t>)</w:t>
      </w:r>
      <w:r w:rsidRPr="00786ED2">
        <w:t xml:space="preserve"> </w:t>
      </w:r>
      <w:r>
        <w:t>32</w:t>
      </w:r>
      <w:r w:rsidRPr="00786ED2">
        <w:t>)</w:t>
      </w:r>
      <w:r>
        <w:t>.</w:t>
      </w:r>
      <w:r w:rsidRPr="00786ED2">
        <w:t xml:space="preserve"> </w:t>
      </w:r>
    </w:p>
  </w:footnote>
  <w:footnote w:id="162">
    <w:p w14:paraId="35DB0830" w14:textId="51391A8A" w:rsidR="005C0DC6" w:rsidRDefault="005C0DC6" w:rsidP="00B62395">
      <w:pPr>
        <w:pStyle w:val="FootnoteText"/>
        <w:ind w:left="426" w:hanging="426"/>
        <w:jc w:val="both"/>
      </w:pPr>
      <w:r>
        <w:rPr>
          <w:rStyle w:val="FootnoteReference"/>
        </w:rPr>
        <w:footnoteRef/>
      </w:r>
      <w:r>
        <w:t xml:space="preserve"> </w:t>
      </w:r>
      <w:r>
        <w:tab/>
        <w:t>Griffin describes this contradictory situation along with a unique exposition inspired of quantum theory:</w:t>
      </w:r>
    </w:p>
    <w:p w14:paraId="37584C2B" w14:textId="4439A29C" w:rsidR="005C0DC6" w:rsidRDefault="005C0DC6" w:rsidP="00692824">
      <w:pPr>
        <w:pStyle w:val="FootnoteText"/>
        <w:ind w:left="992" w:right="567"/>
        <w:jc w:val="both"/>
      </w:pPr>
      <w:r>
        <w:t>The increasing convergence of capital and information, and their quantum states in the information society, undermines the traditional notion of bounded property. In addition to that, the information itself is increasingly digital and thus potentially literacy in character, which paradoxically presupposes a greater degree of bounded proprietary protection. However, the reality is that the growth in copyright scope matches directly - an exponentially - with the desire to increase protection of information concerning content use. Thus, any increase in the copyright’s proprietary protections and consequent bounding is intimately tied with the quantum aspect of legal protection not just being bounded but also being a flow. (Griffin (n 160) 46-47).</w:t>
      </w:r>
    </w:p>
  </w:footnote>
  <w:footnote w:id="163">
    <w:p w14:paraId="7286E3D7" w14:textId="1518D79B" w:rsidR="005C0DC6" w:rsidRDefault="005C0DC6" w:rsidP="00B62395">
      <w:pPr>
        <w:pStyle w:val="FootnoteText"/>
        <w:ind w:left="426" w:hanging="426"/>
        <w:jc w:val="both"/>
      </w:pPr>
      <w:r>
        <w:rPr>
          <w:rStyle w:val="FootnoteReference"/>
        </w:rPr>
        <w:footnoteRef/>
      </w:r>
      <w:r>
        <w:t xml:space="preserve"> </w:t>
      </w:r>
      <w:r>
        <w:tab/>
        <w:t>Elkin-Koren (n 158) 238.</w:t>
      </w:r>
    </w:p>
  </w:footnote>
  <w:footnote w:id="164">
    <w:p w14:paraId="515A79CB" w14:textId="017F57FB" w:rsidR="005C0DC6" w:rsidRPr="00692824" w:rsidRDefault="005C0DC6" w:rsidP="00B62395">
      <w:pPr>
        <w:pStyle w:val="FootnoteText"/>
        <w:ind w:left="426" w:hanging="426"/>
        <w:jc w:val="both"/>
        <w:rPr>
          <w:color w:val="FF0000"/>
        </w:rPr>
      </w:pPr>
      <w:r>
        <w:rPr>
          <w:rStyle w:val="FootnoteReference"/>
        </w:rPr>
        <w:footnoteRef/>
      </w:r>
      <w:r>
        <w:t xml:space="preserve"> </w:t>
      </w:r>
      <w:r>
        <w:tab/>
        <w:t xml:space="preserve">Marcella Favale, ‘The Right of Access in Digital Copyright: Right of the Owner or Right of the User?’ [2012] 15(1) The Journal of World Intellectual Property, 1-25; Zohar Efroni, </w:t>
      </w:r>
      <w:r w:rsidRPr="00692824">
        <w:rPr>
          <w:i/>
          <w:iCs/>
        </w:rPr>
        <w:t>Access-Right: The Future of Digital Copyright Law</w:t>
      </w:r>
      <w:r>
        <w:t xml:space="preserve"> (OUP 2011) 146-149;</w:t>
      </w:r>
      <w:r w:rsidRPr="00A147B8">
        <w:rPr>
          <w:color w:val="FF0000"/>
        </w:rPr>
        <w:t xml:space="preserve"> </w:t>
      </w:r>
      <w:r w:rsidRPr="00692824">
        <w:t>Marlize Conroy, ‘Access to Works Protected by Copyright: Right or Privilege’ [2006] 18(4) South African Mercantile Law Journal, 413-422; Jane C. Ginsburg, ‘Essay: From Having Copies to Experiencing Works: The Development of an Access Right in U.S. Copyright Law’ [</w:t>
      </w:r>
      <w:r>
        <w:t>200</w:t>
      </w:r>
      <w:r w:rsidRPr="00692824">
        <w:t>3] 50 Journal of the Copyright Society of the U.S.A., 113-132; Stephen B. Popernik, ‘The Creation of an Access Right in the Ninth Circuit's Digital Copyright Jurisprudence’ [2013] 78(2) Brooklyn Law Review, 697-740.</w:t>
      </w:r>
    </w:p>
  </w:footnote>
  <w:footnote w:id="165">
    <w:p w14:paraId="5D4BA638" w14:textId="7EB6A55F" w:rsidR="005C0DC6" w:rsidRDefault="005C0DC6" w:rsidP="00B62395">
      <w:pPr>
        <w:pStyle w:val="FootnoteText"/>
        <w:ind w:left="426" w:hanging="426"/>
        <w:jc w:val="both"/>
      </w:pPr>
      <w:r>
        <w:rPr>
          <w:rStyle w:val="FootnoteReference"/>
        </w:rPr>
        <w:footnoteRef/>
      </w:r>
      <w:r>
        <w:t xml:space="preserve"> </w:t>
      </w:r>
      <w:r>
        <w:tab/>
      </w:r>
      <w:r w:rsidRPr="00D12F23">
        <w:t xml:space="preserve">17 U.S. Code § 1201 </w:t>
      </w:r>
      <w:r>
        <w:t>(d), (e), (f), (g), (h), (i), (j).</w:t>
      </w:r>
    </w:p>
  </w:footnote>
  <w:footnote w:id="166">
    <w:p w14:paraId="7CC6D780" w14:textId="31CBC8C0" w:rsidR="005C0DC6" w:rsidRDefault="005C0DC6" w:rsidP="00B62395">
      <w:pPr>
        <w:pStyle w:val="FootnoteText"/>
        <w:ind w:left="426" w:hanging="426"/>
        <w:jc w:val="both"/>
      </w:pPr>
      <w:r>
        <w:rPr>
          <w:rStyle w:val="FootnoteReference"/>
        </w:rPr>
        <w:footnoteRef/>
      </w:r>
      <w:r>
        <w:t xml:space="preserve"> </w:t>
      </w:r>
      <w:r>
        <w:tab/>
        <w:t xml:space="preserve">Jack M. Balkin, ‘Information Power: The Information Society from an Antihumanist Perspective’ in Ramesh Subramanian and Eddan Katz (eds), </w:t>
      </w:r>
      <w:r w:rsidRPr="00692824">
        <w:rPr>
          <w:i/>
          <w:iCs/>
        </w:rPr>
        <w:t xml:space="preserve">The Global </w:t>
      </w:r>
      <w:r>
        <w:rPr>
          <w:i/>
          <w:iCs/>
        </w:rPr>
        <w:t>F</w:t>
      </w:r>
      <w:r w:rsidRPr="00692824">
        <w:rPr>
          <w:i/>
          <w:iCs/>
        </w:rPr>
        <w:t>low of Information: Legal, Social, and Cultural Perspectives</w:t>
      </w:r>
      <w:r>
        <w:t xml:space="preserve"> (New York University Press 2011) 232, 240.</w:t>
      </w:r>
    </w:p>
  </w:footnote>
  <w:footnote w:id="167">
    <w:p w14:paraId="09AB696A" w14:textId="23BA400A" w:rsidR="005C0DC6" w:rsidRDefault="005C0DC6" w:rsidP="00B62395">
      <w:pPr>
        <w:pStyle w:val="FootnoteText"/>
        <w:ind w:left="426" w:hanging="426"/>
        <w:jc w:val="both"/>
      </w:pPr>
      <w:r>
        <w:rPr>
          <w:rStyle w:val="FootnoteReference"/>
        </w:rPr>
        <w:footnoteRef/>
      </w:r>
      <w:r>
        <w:t xml:space="preserve"> </w:t>
      </w:r>
      <w:r>
        <w:tab/>
        <w:t>Ibid, 239-240. Proliferation of power, as elaborated and put forward by Karl Marx, Max Weber and Michel Foucault, would have different forms and appearances, which seems to continue in the internet driven world. Although not directly covered within the subject-matter of this study, the idea of power proliferation is note-worthy. As emphasized by Balkin, a proliferation of power perspective argues that the information technologies which human beings implement to transfer, store, and analyse information do not necessarily bring a net increase in either human freedom or human empowerment (Ibid, 239).</w:t>
      </w:r>
    </w:p>
  </w:footnote>
  <w:footnote w:id="168">
    <w:p w14:paraId="1857EF45" w14:textId="1D2AC871" w:rsidR="005C0DC6" w:rsidRDefault="005C0DC6" w:rsidP="00B62395">
      <w:pPr>
        <w:pStyle w:val="FootnoteText"/>
        <w:ind w:left="426" w:hanging="426"/>
        <w:jc w:val="both"/>
      </w:pPr>
      <w:r>
        <w:rPr>
          <w:rStyle w:val="FootnoteReference"/>
        </w:rPr>
        <w:footnoteRef/>
      </w:r>
      <w:r>
        <w:t xml:space="preserve"> </w:t>
      </w:r>
      <w:r>
        <w:tab/>
        <w:t>Ibid, 240.</w:t>
      </w:r>
    </w:p>
  </w:footnote>
  <w:footnote w:id="169">
    <w:p w14:paraId="4EFF606C" w14:textId="4AD0B51D" w:rsidR="005C0DC6" w:rsidRDefault="005C0DC6" w:rsidP="00B62395">
      <w:pPr>
        <w:pStyle w:val="FootnoteText"/>
        <w:ind w:left="426" w:hanging="426"/>
        <w:jc w:val="both"/>
      </w:pPr>
      <w:r>
        <w:rPr>
          <w:rStyle w:val="FootnoteReference"/>
        </w:rPr>
        <w:footnoteRef/>
      </w:r>
      <w:r>
        <w:t xml:space="preserve"> </w:t>
      </w:r>
      <w:r>
        <w:tab/>
        <w:t xml:space="preserve">See Niva Elkin-Koren, ‘It’s all about control: Rethinking copyright in the new information landscape’ in N. Elkin-Koren and N. Weinstock Netanel (eds), </w:t>
      </w:r>
      <w:r w:rsidRPr="00CC7BE5">
        <w:rPr>
          <w:i/>
          <w:iCs/>
        </w:rPr>
        <w:t>The Commodification of Information</w:t>
      </w:r>
      <w:r>
        <w:t xml:space="preserve"> (Kluwer Law International 2002) 79, 102. Elkin-Koren explains the relationship between the power (or </w:t>
      </w:r>
      <w:r w:rsidRPr="00400353">
        <w:t>concentration of ownership</w:t>
      </w:r>
      <w:r>
        <w:t>)</w:t>
      </w:r>
      <w:r w:rsidRPr="00400353">
        <w:t xml:space="preserve"> and control over content</w:t>
      </w:r>
      <w:r>
        <w:t xml:space="preserve"> as follows: </w:t>
      </w:r>
    </w:p>
    <w:p w14:paraId="7BE0D67C" w14:textId="06CDF6B3" w:rsidR="005C0DC6" w:rsidRDefault="005C0DC6" w:rsidP="00692824">
      <w:pPr>
        <w:pStyle w:val="FootnoteText"/>
        <w:ind w:left="992" w:right="709"/>
        <w:jc w:val="both"/>
      </w:pPr>
      <w:r>
        <w:t xml:space="preserve">“… those who control the means of arranging and tagging information possess the power to impose specific meanings. The more control one has over information resources, the more one is able to impose her meanings and force users to conform to those meanings” (Elkin-Koren (n 158) </w:t>
      </w:r>
      <w:r w:rsidRPr="002F0AEC">
        <w:t>2</w:t>
      </w:r>
      <w:r>
        <w:t>38-239).</w:t>
      </w:r>
    </w:p>
  </w:footnote>
  <w:footnote w:id="170">
    <w:p w14:paraId="75900651" w14:textId="06F3F3F8" w:rsidR="005C0DC6" w:rsidRPr="00D84040" w:rsidRDefault="005C0DC6" w:rsidP="00B62395">
      <w:pPr>
        <w:pStyle w:val="FootnoteText"/>
        <w:ind w:left="426" w:hanging="426"/>
        <w:jc w:val="both"/>
        <w:rPr>
          <w:lang w:val="en-US"/>
        </w:rPr>
      </w:pPr>
      <w:r>
        <w:rPr>
          <w:rStyle w:val="FootnoteReference"/>
        </w:rPr>
        <w:footnoteRef/>
      </w:r>
      <w:r>
        <w:t xml:space="preserve"> </w:t>
      </w:r>
      <w:r>
        <w:tab/>
      </w:r>
      <w:r>
        <w:rPr>
          <w:lang w:val="en-US"/>
        </w:rPr>
        <w:t>Elkin-Koren (n 169) 103.</w:t>
      </w:r>
    </w:p>
  </w:footnote>
  <w:footnote w:id="171">
    <w:p w14:paraId="158A4F75" w14:textId="4278AD23" w:rsidR="005C0DC6" w:rsidRDefault="005C0DC6" w:rsidP="00692824">
      <w:pPr>
        <w:pStyle w:val="FootnoteText"/>
        <w:ind w:left="426" w:hanging="426"/>
        <w:jc w:val="both"/>
      </w:pPr>
      <w:r>
        <w:rPr>
          <w:rStyle w:val="FootnoteReference"/>
        </w:rPr>
        <w:footnoteRef/>
      </w:r>
      <w:r>
        <w:t xml:space="preserve"> </w:t>
      </w:r>
      <w:bookmarkStart w:id="222" w:name="_Hlk52278863"/>
      <w:r>
        <w:tab/>
        <w:t xml:space="preserve">‘Techno-social’ is one of the key attributes used in this study inspired by the work of </w:t>
      </w:r>
      <w:r w:rsidRPr="00887955">
        <w:t>Frischmann</w:t>
      </w:r>
      <w:r>
        <w:t>, and Selinger who authored a book called ‘</w:t>
      </w:r>
      <w:r w:rsidRPr="00887955">
        <w:t>Re-Engineering Humanity</w:t>
      </w:r>
      <w:r>
        <w:t>’. In their book, they define and frequently refer to the term of ‘techno-social engineering’. According to their definition, techno-social engineering refers to “processes where technologies and social forces align and impact how we think, perceive and act” (</w:t>
      </w:r>
      <w:bookmarkStart w:id="223" w:name="_Hlk39189964"/>
      <w:r w:rsidRPr="00887955">
        <w:t>Brett Frischmann</w:t>
      </w:r>
      <w:r w:rsidRPr="00114FED">
        <w:t xml:space="preserve"> </w:t>
      </w:r>
      <w:r>
        <w:t xml:space="preserve">and </w:t>
      </w:r>
      <w:r w:rsidRPr="00887955">
        <w:t>Evan Selinger</w:t>
      </w:r>
      <w:r>
        <w:t>,</w:t>
      </w:r>
      <w:r w:rsidRPr="00887955">
        <w:t xml:space="preserve"> </w:t>
      </w:r>
      <w:r w:rsidRPr="005B04A1">
        <w:rPr>
          <w:i/>
          <w:iCs/>
        </w:rPr>
        <w:t>Re-Engineering Humanity</w:t>
      </w:r>
      <w:r>
        <w:t xml:space="preserve"> (Cambridge University Press 2018) </w:t>
      </w:r>
      <w:bookmarkEnd w:id="223"/>
      <w:r>
        <w:t>4-5). Based on this definition, the techno-social concerns is conceptualised to mean the concerns mostly manifested in algorithmic/AI-driven software that manipulates online users affecting their behaviours and choices</w:t>
      </w:r>
      <w:r w:rsidRPr="002B65A4">
        <w:t xml:space="preserve"> leading up to unfair outcomes and/or transformative effects</w:t>
      </w:r>
      <w:r>
        <w:t>.</w:t>
      </w:r>
      <w:bookmarkEnd w:id="222"/>
      <w:r>
        <w:t xml:space="preserve"> </w:t>
      </w:r>
    </w:p>
  </w:footnote>
  <w:footnote w:id="172">
    <w:p w14:paraId="4987020A" w14:textId="1A9E4827" w:rsidR="005C0DC6" w:rsidRPr="00D84040" w:rsidRDefault="005C0DC6" w:rsidP="00B62395">
      <w:pPr>
        <w:pStyle w:val="FootnoteText"/>
        <w:ind w:left="426" w:hanging="426"/>
        <w:jc w:val="both"/>
        <w:rPr>
          <w:lang w:val="en-US"/>
        </w:rPr>
      </w:pPr>
      <w:r>
        <w:rPr>
          <w:rStyle w:val="FootnoteReference"/>
        </w:rPr>
        <w:footnoteRef/>
      </w:r>
      <w:r>
        <w:t xml:space="preserve"> </w:t>
      </w:r>
      <w:r>
        <w:tab/>
        <w:t>Benkler (n 161) 157.</w:t>
      </w:r>
    </w:p>
  </w:footnote>
  <w:footnote w:id="173">
    <w:p w14:paraId="1C340BFB" w14:textId="4B6C0342" w:rsidR="005C0DC6" w:rsidRPr="00D84040" w:rsidRDefault="005C0DC6" w:rsidP="00692824">
      <w:pPr>
        <w:pStyle w:val="FootnoteText"/>
        <w:ind w:left="426" w:hanging="426"/>
        <w:jc w:val="both"/>
        <w:rPr>
          <w:lang w:val="en-US"/>
        </w:rPr>
      </w:pPr>
      <w:r>
        <w:rPr>
          <w:rStyle w:val="FootnoteReference"/>
        </w:rPr>
        <w:footnoteRef/>
      </w:r>
      <w:r>
        <w:t xml:space="preserve"> </w:t>
      </w:r>
      <w:r>
        <w:tab/>
        <w:t>Elkin-Koren (n 169) 101.</w:t>
      </w:r>
    </w:p>
  </w:footnote>
  <w:footnote w:id="174">
    <w:p w14:paraId="450857F0" w14:textId="3FCB81FD" w:rsidR="005C0DC6" w:rsidRDefault="005C0DC6" w:rsidP="00B62395">
      <w:pPr>
        <w:pStyle w:val="FootnoteText"/>
        <w:ind w:left="426" w:hanging="426"/>
        <w:jc w:val="both"/>
      </w:pPr>
      <w:r>
        <w:rPr>
          <w:rStyle w:val="FootnoteReference"/>
        </w:rPr>
        <w:footnoteRef/>
      </w:r>
      <w:r>
        <w:t xml:space="preserve"> </w:t>
      </w:r>
      <w:r>
        <w:tab/>
        <w:t xml:space="preserve">The advent of internet marked emergence of a concern on the part of the rights holders for the ease and low cost of access to and copy of the available materials online. The perceived internet threat was based on the rhetoric “as copying costs approach zero, intellectual property rights must approach perfect control” (See James Boyle, </w:t>
      </w:r>
      <w:r w:rsidRPr="00C9654C">
        <w:rPr>
          <w:i/>
          <w:iCs/>
        </w:rPr>
        <w:t>The Public Domain: Enclosing the Commons of the Mind</w:t>
      </w:r>
      <w:r>
        <w:t xml:space="preserve"> (Yale University of Press 2008) 61). The repercussions were largely reflected in the Clinton Administration’s ‘Report of the Working Group on Intellectual Property Rights’ published in 1995, called ‘White Paper’, that preceded the DMCA and set out the copyright and information policy principles of the US while entering the internet era. As well established by Vaidhyanathan, 1995 White Paper represented four surrenders of important safeguards in the copyright system:</w:t>
      </w:r>
    </w:p>
    <w:p w14:paraId="2AE318CD" w14:textId="4130A54C" w:rsidR="005C0DC6" w:rsidRDefault="005C0DC6" w:rsidP="00692824">
      <w:pPr>
        <w:pStyle w:val="FootnoteText"/>
        <w:numPr>
          <w:ilvl w:val="0"/>
          <w:numId w:val="41"/>
        </w:numPr>
        <w:ind w:left="1349" w:right="567" w:hanging="357"/>
        <w:jc w:val="both"/>
      </w:pPr>
      <w:r>
        <w:t>The surrender of balance to control: As a result of the chief piece of legislation in subsequent years, the DMCA; content providers can set the terms for access to and use of a work.</w:t>
      </w:r>
    </w:p>
    <w:p w14:paraId="7E358A1E" w14:textId="02423DF6" w:rsidR="005C0DC6" w:rsidRDefault="005C0DC6" w:rsidP="00692824">
      <w:pPr>
        <w:pStyle w:val="FootnoteText"/>
        <w:numPr>
          <w:ilvl w:val="0"/>
          <w:numId w:val="41"/>
        </w:numPr>
        <w:ind w:left="1349" w:right="567" w:hanging="357"/>
        <w:jc w:val="both"/>
      </w:pPr>
      <w:r>
        <w:t>The surrender of public interest to private interest: The rhetoric of “intellectual property” in the 1990s was punctuated by appeals to prevent theft and efforts to extend markets. There was little public discussion about copyright as a public good that can encourage a rich public sphere and diverse democratic culture.</w:t>
      </w:r>
    </w:p>
    <w:p w14:paraId="6700A8E4" w14:textId="63DF1B93" w:rsidR="005C0DC6" w:rsidRDefault="005C0DC6" w:rsidP="00692824">
      <w:pPr>
        <w:pStyle w:val="FootnoteText"/>
        <w:numPr>
          <w:ilvl w:val="0"/>
          <w:numId w:val="41"/>
        </w:numPr>
        <w:ind w:left="1349" w:right="567" w:hanging="357"/>
        <w:jc w:val="both"/>
      </w:pPr>
      <w:r>
        <w:t>The surrender of republican deliberation within nation-state to unelected multi-lateral nongovernmental bodies: WIPO and WTO assumed a greater role in copyright policy as multinational media companies sought global standards that satisfied their ambitions.</w:t>
      </w:r>
    </w:p>
    <w:p w14:paraId="2D4720CA" w14:textId="424FC8AE" w:rsidR="005C0DC6" w:rsidRDefault="005C0DC6" w:rsidP="00692824">
      <w:pPr>
        <w:pStyle w:val="FootnoteText"/>
        <w:numPr>
          <w:ilvl w:val="0"/>
          <w:numId w:val="41"/>
        </w:numPr>
        <w:ind w:left="1349" w:right="567" w:hanging="357"/>
        <w:jc w:val="both"/>
      </w:pPr>
      <w:r>
        <w:t xml:space="preserve">The surrender of culture to technology: The DMCA forbids any circumvention of electronic locks that regulate access to copyrighted material” (Siva Vaidhyanathan, </w:t>
      </w:r>
      <w:r w:rsidRPr="00692824">
        <w:rPr>
          <w:i/>
          <w:iCs/>
        </w:rPr>
        <w:t>Copyright and Copywrongs: The rise of Intellectual Property and How It Threatens Creativity</w:t>
      </w:r>
      <w:r>
        <w:t>, (New York University Press 2001) 159-160).</w:t>
      </w:r>
    </w:p>
  </w:footnote>
  <w:footnote w:id="175">
    <w:p w14:paraId="129DFA67" w14:textId="5AD82DB7" w:rsidR="005C0DC6" w:rsidRDefault="005C0DC6" w:rsidP="00B62395">
      <w:pPr>
        <w:pStyle w:val="FootnoteText"/>
        <w:ind w:left="426" w:hanging="426"/>
        <w:jc w:val="both"/>
      </w:pPr>
      <w:r>
        <w:rPr>
          <w:rStyle w:val="FootnoteReference"/>
        </w:rPr>
        <w:footnoteRef/>
      </w:r>
      <w:r>
        <w:t xml:space="preserve"> </w:t>
      </w:r>
      <w:r>
        <w:tab/>
        <w:t xml:space="preserve">Boyle (n 174) 60-62; Lawrence Lessig, </w:t>
      </w:r>
      <w:r w:rsidRPr="00C9654C">
        <w:rPr>
          <w:i/>
          <w:iCs/>
        </w:rPr>
        <w:t>Code; version 2.0</w:t>
      </w:r>
      <w:r>
        <w:t xml:space="preserve"> (Basic Books 2006) 176-180. According to Lessig, the ‘perfect control’ which he coins with ‘trusted systems’ “provide the authors with the same sort of protection [of copyright laws]”. He puts forth his firm and substantiated reasoning as follows:</w:t>
      </w:r>
    </w:p>
    <w:p w14:paraId="519C06A7" w14:textId="66F5D869" w:rsidR="005C0DC6" w:rsidRDefault="005C0DC6" w:rsidP="001D01F4">
      <w:pPr>
        <w:pStyle w:val="FootnoteText"/>
        <w:ind w:left="992" w:right="567"/>
        <w:jc w:val="both"/>
      </w:pPr>
      <w:r>
        <w:t xml:space="preserve">Copyright orders others to respect the rights of the copyright holder before using his property; trusted systems give access only if rights are respected in the first place. The controls needed to regulate this access are built into the systems, and no users (except hackers) have a choice about whether to obey them. The code complements the law by codifying the rules, making them more efficient. (Ibid, 179) </w:t>
      </w:r>
    </w:p>
  </w:footnote>
  <w:footnote w:id="176">
    <w:p w14:paraId="69B80836" w14:textId="0A81E61B" w:rsidR="005C0DC6" w:rsidRDefault="005C0DC6" w:rsidP="00B62395">
      <w:pPr>
        <w:pStyle w:val="FootnoteText"/>
        <w:ind w:left="426" w:hanging="426"/>
        <w:jc w:val="both"/>
      </w:pPr>
      <w:r>
        <w:rPr>
          <w:rStyle w:val="FootnoteReference"/>
        </w:rPr>
        <w:footnoteRef/>
      </w:r>
      <w:r>
        <w:t xml:space="preserve"> </w:t>
      </w:r>
      <w:r>
        <w:tab/>
        <w:t>Vaidhyanathan (n 174) 159, 174-175; Lessig (175) 186; Boyle (n 174) 61, 100-101.</w:t>
      </w:r>
    </w:p>
  </w:footnote>
  <w:footnote w:id="177">
    <w:p w14:paraId="5B03A0E7" w14:textId="1E27F26F" w:rsidR="005C0DC6" w:rsidRDefault="005C0DC6" w:rsidP="00B62395">
      <w:pPr>
        <w:pStyle w:val="FootnoteText"/>
        <w:ind w:left="426" w:hanging="426"/>
        <w:jc w:val="both"/>
      </w:pPr>
      <w:r>
        <w:rPr>
          <w:rStyle w:val="FootnoteReference"/>
        </w:rPr>
        <w:footnoteRef/>
      </w:r>
      <w:r>
        <w:t xml:space="preserve"> </w:t>
      </w:r>
      <w:r>
        <w:tab/>
        <w:t xml:space="preserve">Niva Elkin-Koren, ‘Copyrights in Cyberspace - Rights without Laws’ [1998] 73 Chicago-Kent Law Review, 1155, 1192. Regarding free flow of information, see </w:t>
      </w:r>
      <w:bookmarkStart w:id="224" w:name="_Hlk52279240"/>
      <w:r>
        <w:t>Elkin-Koren (n 169)</w:t>
      </w:r>
      <w:bookmarkEnd w:id="224"/>
      <w:r>
        <w:t xml:space="preserve"> </w:t>
      </w:r>
      <w:r w:rsidRPr="00890B12">
        <w:t xml:space="preserve">where it is argued that </w:t>
      </w:r>
      <w:r>
        <w:t>“</w:t>
      </w:r>
      <w:r w:rsidRPr="00890B12">
        <w:t>control rather than rem</w:t>
      </w:r>
      <w:r>
        <w:t>uneration becomes the focus of legal disputes concerning copyright” (p. 84) and “this transforms copyright law from a law that sought to serve policy goals and secure incentives for creators into a law that facilitates control in information markets” (p. 106).</w:t>
      </w:r>
    </w:p>
  </w:footnote>
  <w:footnote w:id="178">
    <w:p w14:paraId="354097C2" w14:textId="6D34ED8C" w:rsidR="005C0DC6" w:rsidRDefault="005C0DC6" w:rsidP="00B62395">
      <w:pPr>
        <w:pStyle w:val="FootnoteText"/>
        <w:ind w:left="426" w:hanging="426"/>
        <w:jc w:val="both"/>
      </w:pPr>
      <w:r>
        <w:rPr>
          <w:rStyle w:val="FootnoteReference"/>
        </w:rPr>
        <w:footnoteRef/>
      </w:r>
      <w:r>
        <w:t xml:space="preserve"> </w:t>
      </w:r>
      <w:r>
        <w:tab/>
        <w:t>See Elkin-Koren (n 158) 267-268.</w:t>
      </w:r>
    </w:p>
  </w:footnote>
  <w:footnote w:id="179">
    <w:p w14:paraId="6AFAA0AD" w14:textId="68ED8B30" w:rsidR="005C0DC6" w:rsidRDefault="005C0DC6" w:rsidP="00B62395">
      <w:pPr>
        <w:pStyle w:val="FootnoteText"/>
        <w:ind w:left="426" w:hanging="426"/>
        <w:jc w:val="both"/>
      </w:pPr>
      <w:r>
        <w:rPr>
          <w:rStyle w:val="FootnoteReference"/>
        </w:rPr>
        <w:footnoteRef/>
      </w:r>
      <w:r>
        <w:t xml:space="preserve"> </w:t>
      </w:r>
      <w:r>
        <w:tab/>
        <w:t xml:space="preserve">See Emily B. Laidlaw, </w:t>
      </w:r>
      <w:r w:rsidRPr="00CC4675">
        <w:rPr>
          <w:i/>
          <w:iCs/>
        </w:rPr>
        <w:t>Regulating Speech in Cyberspace; Gatekeepers, Human Rights and Corporate Responsibility</w:t>
      </w:r>
      <w:r>
        <w:t xml:space="preserve"> (Cambridge University Press, 2015) 33, 46; Balkin (n 166) 240, 244-5.</w:t>
      </w:r>
    </w:p>
  </w:footnote>
  <w:footnote w:id="180">
    <w:p w14:paraId="1094B7A6" w14:textId="79BEFC75" w:rsidR="005C0DC6" w:rsidRDefault="005C0DC6" w:rsidP="00692824">
      <w:pPr>
        <w:pStyle w:val="FootnoteText"/>
        <w:ind w:left="426" w:hanging="426"/>
        <w:jc w:val="both"/>
      </w:pPr>
      <w:r>
        <w:rPr>
          <w:rStyle w:val="FootnoteReference"/>
        </w:rPr>
        <w:footnoteRef/>
      </w:r>
      <w:r>
        <w:t xml:space="preserve"> </w:t>
      </w:r>
      <w:r>
        <w:tab/>
        <w:t xml:space="preserve">Lewin, who coined gatekeeping, was interested in understanding how widespread social changes can be promoted, and studied this by analysing the factors that influence food consumption habits (Kasper Welbers, </w:t>
      </w:r>
      <w:r w:rsidRPr="00A56ECF">
        <w:t>‘Gatekeeping in the Digital Age’ (PhD Thesis, Vrije Universiteit Amsterdam 2016)</w:t>
      </w:r>
      <w:r>
        <w:t xml:space="preserve"> 26, referring to K. Lewin ‘Frontiers in group dynamics II: Channels of group life; social planning and action research’ [1947] 1(2) Human Relations 143-153).</w:t>
      </w:r>
    </w:p>
  </w:footnote>
  <w:footnote w:id="181">
    <w:p w14:paraId="2E9596D3" w14:textId="72A93B4E" w:rsidR="005C0DC6" w:rsidRDefault="005C0DC6" w:rsidP="00B62395">
      <w:pPr>
        <w:pStyle w:val="FootnoteText"/>
        <w:ind w:left="426" w:hanging="426"/>
        <w:jc w:val="both"/>
      </w:pPr>
      <w:r>
        <w:rPr>
          <w:rStyle w:val="FootnoteReference"/>
        </w:rPr>
        <w:footnoteRef/>
      </w:r>
      <w:r>
        <w:t xml:space="preserve"> </w:t>
      </w:r>
      <w:r>
        <w:tab/>
        <w:t>Ibid, 3.</w:t>
      </w:r>
    </w:p>
  </w:footnote>
  <w:footnote w:id="182">
    <w:p w14:paraId="6C63C619" w14:textId="48A6190F" w:rsidR="005C0DC6" w:rsidRDefault="005C0DC6" w:rsidP="00B62395">
      <w:pPr>
        <w:pStyle w:val="FootnoteText"/>
        <w:ind w:left="426" w:hanging="426"/>
        <w:jc w:val="both"/>
      </w:pPr>
      <w:r>
        <w:rPr>
          <w:rStyle w:val="FootnoteReference"/>
        </w:rPr>
        <w:footnoteRef/>
      </w:r>
      <w:r>
        <w:t xml:space="preserve"> </w:t>
      </w:r>
      <w:r>
        <w:tab/>
        <w:t>Ibid.</w:t>
      </w:r>
    </w:p>
  </w:footnote>
  <w:footnote w:id="183">
    <w:p w14:paraId="2AD4F57E" w14:textId="33662220" w:rsidR="005C0DC6" w:rsidRDefault="005C0DC6" w:rsidP="00B62395">
      <w:pPr>
        <w:pStyle w:val="FootnoteText"/>
        <w:ind w:left="426" w:hanging="426"/>
        <w:jc w:val="both"/>
      </w:pPr>
      <w:r>
        <w:rPr>
          <w:rStyle w:val="FootnoteReference"/>
        </w:rPr>
        <w:footnoteRef/>
      </w:r>
      <w:r>
        <w:t xml:space="preserve"> </w:t>
      </w:r>
      <w:r>
        <w:tab/>
        <w:t>Ibid, 1.</w:t>
      </w:r>
    </w:p>
  </w:footnote>
  <w:footnote w:id="184">
    <w:p w14:paraId="1AB89A50" w14:textId="77876EE2" w:rsidR="005C0DC6" w:rsidRDefault="005C0DC6" w:rsidP="00B62395">
      <w:pPr>
        <w:pStyle w:val="FootnoteText"/>
        <w:ind w:left="426" w:hanging="426"/>
        <w:jc w:val="both"/>
      </w:pPr>
      <w:r>
        <w:rPr>
          <w:rStyle w:val="FootnoteReference"/>
        </w:rPr>
        <w:footnoteRef/>
      </w:r>
      <w:r>
        <w:t xml:space="preserve"> </w:t>
      </w:r>
      <w:r>
        <w:tab/>
      </w:r>
      <w:r w:rsidRPr="00A762F7">
        <w:rPr>
          <w:lang w:val="en-US"/>
        </w:rPr>
        <w:t xml:space="preserve">Karine </w:t>
      </w:r>
      <w:bookmarkStart w:id="226" w:name="_Hlk52288844"/>
      <w:r w:rsidRPr="00A762F7">
        <w:rPr>
          <w:lang w:val="en-US"/>
        </w:rPr>
        <w:t>Barzilai-Nahon</w:t>
      </w:r>
      <w:bookmarkEnd w:id="226"/>
      <w:r w:rsidRPr="00A762F7">
        <w:rPr>
          <w:lang w:val="en-US"/>
        </w:rPr>
        <w:t>, ‘Toward a Theory of Network Gatekeeping: A Framework for Exploring Information Control’ [2008] 59(9) Journal of the American Society for Information Science and Technology</w:t>
      </w:r>
      <w:r>
        <w:rPr>
          <w:lang w:val="en-US"/>
        </w:rPr>
        <w:t xml:space="preserve"> 1493, 1496. See also </w:t>
      </w:r>
      <w:r>
        <w:t>Karine Barzilai‐Nahon,</w:t>
      </w:r>
      <w:r w:rsidRPr="00775708">
        <w:t xml:space="preserve"> </w:t>
      </w:r>
      <w:r>
        <w:t xml:space="preserve">‘Gatekeeping: A critical review’ 2009 43(1) Annual Review of Information Science and Technology 1, 44. </w:t>
      </w:r>
    </w:p>
  </w:footnote>
  <w:footnote w:id="185">
    <w:p w14:paraId="18498334" w14:textId="441BC372" w:rsidR="005C0DC6" w:rsidRDefault="005C0DC6" w:rsidP="00692824">
      <w:pPr>
        <w:pStyle w:val="FootnoteText"/>
        <w:ind w:left="426" w:hanging="426"/>
        <w:jc w:val="both"/>
      </w:pPr>
      <w:r>
        <w:rPr>
          <w:rStyle w:val="FootnoteReference"/>
        </w:rPr>
        <w:footnoteRef/>
      </w:r>
      <w:r>
        <w:t xml:space="preserve"> </w:t>
      </w:r>
      <w:bookmarkStart w:id="227" w:name="_Hlk52765646"/>
      <w:r>
        <w:tab/>
      </w:r>
      <w:r>
        <w:rPr>
          <w:lang w:val="en-US"/>
        </w:rPr>
        <w:t>Ibid</w:t>
      </w:r>
      <w:r>
        <w:t xml:space="preserve">, 1496. </w:t>
      </w:r>
      <w:bookmarkEnd w:id="227"/>
      <w:r>
        <w:t>According to the author, “</w:t>
      </w:r>
      <w:r w:rsidRPr="00655539">
        <w:t xml:space="preserve">In a network context, this definition </w:t>
      </w:r>
      <w:r>
        <w:t xml:space="preserve">[of gatekeeping] </w:t>
      </w:r>
      <w:r w:rsidRPr="00655539">
        <w:t>is translated to treat gatekeeping as a type of control exercised on information as it moves in and out of gates, and provides one of the broadest views of gatekeeping</w:t>
      </w:r>
      <w:r>
        <w:t>” (Ibid, 1496).</w:t>
      </w:r>
    </w:p>
  </w:footnote>
  <w:footnote w:id="186">
    <w:p w14:paraId="60B8C1B8" w14:textId="78FFA075" w:rsidR="005C0DC6" w:rsidRDefault="005C0DC6" w:rsidP="00692824">
      <w:pPr>
        <w:pStyle w:val="FootnoteText"/>
        <w:ind w:left="426" w:hanging="426"/>
        <w:jc w:val="both"/>
      </w:pPr>
      <w:r>
        <w:rPr>
          <w:rStyle w:val="FootnoteReference"/>
        </w:rPr>
        <w:footnoteRef/>
      </w:r>
      <w:r>
        <w:t xml:space="preserve"> </w:t>
      </w:r>
      <w:r>
        <w:tab/>
        <w:t xml:space="preserve">Ibid. </w:t>
      </w:r>
      <w:r w:rsidRPr="00CC6810">
        <w:t>The mechanisms include, for example, channelling i.e. search engines, hyperlinks</w:t>
      </w:r>
      <w:r>
        <w:t>;</w:t>
      </w:r>
      <w:r w:rsidRPr="00CC6810">
        <w:t xml:space="preserve"> censorship i.e. filtering, blocking, zoning</w:t>
      </w:r>
      <w:r>
        <w:t>;</w:t>
      </w:r>
      <w:r w:rsidRPr="00CC6810">
        <w:t xml:space="preserve"> </w:t>
      </w:r>
      <w:r>
        <w:t xml:space="preserve">security i.e. authentication controls, integrity controls and access controls; </w:t>
      </w:r>
      <w:r w:rsidRPr="00CC6810">
        <w:t>value-add</w:t>
      </w:r>
      <w:r>
        <w:t>ing</w:t>
      </w:r>
      <w:r w:rsidRPr="00CC6810">
        <w:t xml:space="preserve"> i.e. </w:t>
      </w:r>
      <w:r>
        <w:t xml:space="preserve">contextualisation, </w:t>
      </w:r>
      <w:r w:rsidRPr="00CC6810">
        <w:t>customisation</w:t>
      </w:r>
      <w:r>
        <w:t>, personalisation;</w:t>
      </w:r>
      <w:r w:rsidRPr="00CC6810">
        <w:t xml:space="preserve"> infrastructure i.e. network access, </w:t>
      </w:r>
      <w:r>
        <w:t xml:space="preserve">network configuration; </w:t>
      </w:r>
      <w:r w:rsidRPr="00CC6810">
        <w:t xml:space="preserve">user interaction i.e. </w:t>
      </w:r>
      <w:r>
        <w:t xml:space="preserve">add-on, navigation tools; </w:t>
      </w:r>
      <w:r w:rsidRPr="00CC6810">
        <w:t xml:space="preserve">editorial mechanisms i.e. technical controls, content </w:t>
      </w:r>
      <w:r>
        <w:t>controls, design tools of information content (Ibid, 1498).</w:t>
      </w:r>
    </w:p>
  </w:footnote>
  <w:footnote w:id="187">
    <w:p w14:paraId="52A24E01" w14:textId="573232E2" w:rsidR="005C0DC6" w:rsidRDefault="005C0DC6" w:rsidP="00B62395">
      <w:pPr>
        <w:pStyle w:val="FootnoteText"/>
        <w:ind w:left="426" w:hanging="426"/>
        <w:jc w:val="both"/>
      </w:pPr>
      <w:r>
        <w:rPr>
          <w:rStyle w:val="FootnoteReference"/>
        </w:rPr>
        <w:footnoteRef/>
      </w:r>
      <w:r>
        <w:t xml:space="preserve">  </w:t>
      </w:r>
      <w:r>
        <w:tab/>
        <w:t xml:space="preserve">Laidlaw (n 179) 47. </w:t>
      </w:r>
    </w:p>
  </w:footnote>
  <w:footnote w:id="188">
    <w:p w14:paraId="4ACC2630" w14:textId="4DF58AC2" w:rsidR="005C0DC6" w:rsidRDefault="005C0DC6" w:rsidP="00692824">
      <w:pPr>
        <w:pStyle w:val="FootnoteText"/>
        <w:ind w:left="426" w:hanging="426"/>
        <w:jc w:val="both"/>
      </w:pPr>
      <w:r>
        <w:rPr>
          <w:rStyle w:val="FootnoteReference"/>
        </w:rPr>
        <w:footnoteRef/>
      </w:r>
      <w:r>
        <w:t xml:space="preserve"> </w:t>
      </w:r>
      <w:r>
        <w:tab/>
        <w:t>Laidlaw (n 179) 57. According to the Laidlaw’s model, “Whether human rights responsibilities should be incurred and the extent to these responsibilities depends on the extent to which the gatekeeper controls the deliberation ad participation in the forms of meaning-making in democratic culture.”. This model results in and merges up with the proposed ‘corporate social responsibility’ (CSR), meaning that businesses are responsible for human rights within their ‘sphere of influence’, a concept which is articulated in the UN’s framework of CSR (Laidlaw (n 179) 47).</w:t>
      </w:r>
    </w:p>
  </w:footnote>
  <w:footnote w:id="189">
    <w:p w14:paraId="78FA237D" w14:textId="350E5F29" w:rsidR="005C0DC6" w:rsidRDefault="005C0DC6" w:rsidP="00692824">
      <w:pPr>
        <w:pStyle w:val="FootnoteText"/>
        <w:ind w:left="426" w:hanging="426"/>
        <w:jc w:val="both"/>
      </w:pPr>
      <w:r>
        <w:rPr>
          <w:rStyle w:val="FootnoteReference"/>
        </w:rPr>
        <w:footnoteRef/>
      </w:r>
      <w:r>
        <w:t xml:space="preserve"> </w:t>
      </w:r>
      <w:bookmarkStart w:id="230" w:name="_Hlk52760042"/>
      <w:r>
        <w:tab/>
        <w:t>See Laidlaw (n 179) 259</w:t>
      </w:r>
      <w:bookmarkEnd w:id="230"/>
      <w:r>
        <w:t xml:space="preserve">. The debate over this concept and its potential role against the ultimate findings is left to the Chapter 8, as the gatekeeping conception becomes more crucial and surfacing following the doctrinal analysis and the case studies. </w:t>
      </w:r>
    </w:p>
  </w:footnote>
  <w:footnote w:id="190">
    <w:p w14:paraId="0FD62B92" w14:textId="1CFCF392" w:rsidR="005C0DC6" w:rsidRPr="00A762F7" w:rsidRDefault="005C0DC6" w:rsidP="00E67A5E">
      <w:pPr>
        <w:pStyle w:val="FootnoteText"/>
        <w:ind w:left="426" w:hanging="426"/>
        <w:jc w:val="both"/>
        <w:rPr>
          <w:lang w:val="en-US"/>
        </w:rPr>
      </w:pPr>
      <w:r w:rsidRPr="00A762F7">
        <w:rPr>
          <w:rStyle w:val="FootnoteReference"/>
        </w:rPr>
        <w:footnoteRef/>
      </w:r>
      <w:r w:rsidRPr="00A762F7">
        <w:t xml:space="preserve"> </w:t>
      </w:r>
      <w:r>
        <w:tab/>
      </w:r>
      <w:r w:rsidRPr="00A762F7">
        <w:t xml:space="preserve">Natali Helberger, Katharina Kleinen-von Königslöw and Rob van der Noll, </w:t>
      </w:r>
      <w:r>
        <w:t>‘</w:t>
      </w:r>
      <w:r w:rsidRPr="00A762F7">
        <w:t>Regulating the new information intermediaries as gatekeepers of information diversity</w:t>
      </w:r>
      <w:r>
        <w:t>’</w:t>
      </w:r>
      <w:r w:rsidRPr="00A762F7">
        <w:t xml:space="preserve"> [2015] 17(6) Info 50,</w:t>
      </w:r>
      <w:r w:rsidRPr="00A762F7">
        <w:rPr>
          <w:lang w:val="en-US"/>
        </w:rPr>
        <w:t xml:space="preserve"> 52.</w:t>
      </w:r>
    </w:p>
  </w:footnote>
  <w:footnote w:id="191">
    <w:p w14:paraId="38B6F0A8" w14:textId="3F2B600E" w:rsidR="005C0DC6" w:rsidRDefault="005C0DC6" w:rsidP="00B62395">
      <w:pPr>
        <w:pStyle w:val="FootnoteText"/>
        <w:ind w:left="426" w:hanging="426"/>
        <w:jc w:val="both"/>
      </w:pPr>
      <w:r>
        <w:rPr>
          <w:rStyle w:val="FootnoteReference"/>
        </w:rPr>
        <w:footnoteRef/>
      </w:r>
      <w:r>
        <w:t xml:space="preserve"> </w:t>
      </w:r>
      <w:r>
        <w:tab/>
        <w:t>Peter Alexiadis and Alexandre de Streel, ‘Designing an EU Intervention Standard for Digital Platforms’ (</w:t>
      </w:r>
      <w:r w:rsidRPr="007269B5">
        <w:t>EUI Working Paper</w:t>
      </w:r>
      <w:r>
        <w:t xml:space="preserve"> RSCAS 2020/14) 5 &lt;</w:t>
      </w:r>
      <w:r w:rsidRPr="007269B5">
        <w:t>https://papers.ssrn.com/sol3/papers.cfm?abstract_id=3544694</w:t>
      </w:r>
      <w:r>
        <w:t>&gt; accessed 9 October 2020</w:t>
      </w:r>
    </w:p>
  </w:footnote>
  <w:footnote w:id="192">
    <w:p w14:paraId="147A9BBE" w14:textId="198C7D48" w:rsidR="005C0DC6" w:rsidRDefault="005C0DC6" w:rsidP="00B62395">
      <w:pPr>
        <w:pStyle w:val="FootnoteText"/>
        <w:ind w:left="426" w:hanging="426"/>
        <w:jc w:val="both"/>
      </w:pPr>
      <w:r>
        <w:rPr>
          <w:rStyle w:val="FootnoteReference"/>
        </w:rPr>
        <w:footnoteRef/>
      </w:r>
      <w:r>
        <w:t xml:space="preserve"> </w:t>
      </w:r>
      <w:r>
        <w:tab/>
        <w:t>According to this rather narrow definitional framework introduced by Alexiadis and De Streel, i</w:t>
      </w:r>
      <w:r w:rsidRPr="006F321A">
        <w:t xml:space="preserve">n </w:t>
      </w:r>
      <w:r w:rsidRPr="00D2405C">
        <w:t xml:space="preserve">the former scenario, the gatekeeper controls access by third-party firms to its users. </w:t>
      </w:r>
      <w:r w:rsidRPr="00692824">
        <w:t>For example, an online social network has, to some extent, control over access to its users by online adve</w:t>
      </w:r>
      <w:r w:rsidRPr="00D2405C">
        <w:t xml:space="preserve">rtisers, </w:t>
      </w:r>
      <w:r w:rsidRPr="00864A8F">
        <w:t xml:space="preserve">particularly for those consumers who spend most of their time on that social network. In the second </w:t>
      </w:r>
      <w:r>
        <w:t>scenario</w:t>
      </w:r>
      <w:r w:rsidRPr="00864A8F">
        <w:t xml:space="preserve">, the gatekeeper controls access to content, products and/or services. For example, a search engine controls the access of users to </w:t>
      </w:r>
      <w:r>
        <w:t>w</w:t>
      </w:r>
      <w:r w:rsidRPr="00864A8F">
        <w:t>eb content via its ranking algorithm, while a music streaming service controls access to its large catalogue of music titles through its personalised recommendations, etc.</w:t>
      </w:r>
      <w:r>
        <w:t xml:space="preserve"> (Ibid, 5).</w:t>
      </w:r>
    </w:p>
  </w:footnote>
  <w:footnote w:id="193">
    <w:p w14:paraId="7C6BC43B" w14:textId="0BD54C0D" w:rsidR="005C0DC6" w:rsidRDefault="005C0DC6" w:rsidP="00B62395">
      <w:pPr>
        <w:pStyle w:val="FootnoteText"/>
        <w:ind w:left="426" w:hanging="426"/>
        <w:jc w:val="both"/>
      </w:pPr>
      <w:r>
        <w:rPr>
          <w:rStyle w:val="FootnoteReference"/>
        </w:rPr>
        <w:footnoteRef/>
      </w:r>
      <w:r>
        <w:t xml:space="preserve"> </w:t>
      </w:r>
      <w:r>
        <w:tab/>
        <w:t>The Commission, on 2</w:t>
      </w:r>
      <w:r w:rsidRPr="00B62FB9">
        <w:rPr>
          <w:vertAlign w:val="superscript"/>
        </w:rPr>
        <w:t>nd</w:t>
      </w:r>
      <w:r>
        <w:t xml:space="preserve"> June 2020, published a consultation document by which to seek the stakeholders’ views as to the regulation of digital platforms for their gatekeeping functionalities. Commission, emphasizing wide-ranging capabilities of such platforms, e.g. access to large amounts of data and leveraging this into new advantages/markets, bundling </w:t>
      </w:r>
      <w:r w:rsidRPr="00044012">
        <w:t>a broad range of platform and other digital services into a seamless, data-driven offer</w:t>
      </w:r>
      <w:r>
        <w:t>, put forth three policy options for ex ante regulation. These include, (i) r</w:t>
      </w:r>
      <w:r w:rsidRPr="00044012">
        <w:t>evise the horizontal framework set in the Platform-to-Business Regulation (EU) 2019/1150</w:t>
      </w:r>
      <w:r>
        <w:t>; (ii) a</w:t>
      </w:r>
      <w:r w:rsidRPr="00044012">
        <w:t>dopt a horizontal framework empowering regulators to collect information from large online platforms acting as gatekeepers</w:t>
      </w:r>
      <w:r>
        <w:t>; and (iii) a</w:t>
      </w:r>
      <w:r w:rsidRPr="00044012">
        <w:t>dopt a new and flexible ex ante regulatory framework for large online platforms acting as gatekeepers</w:t>
      </w:r>
      <w:r>
        <w:t xml:space="preserve"> (See </w:t>
      </w:r>
      <w:bookmarkStart w:id="231" w:name="_Hlk52769261"/>
      <w:r>
        <w:t xml:space="preserve">European Commission, </w:t>
      </w:r>
      <w:r w:rsidRPr="00B62FB9">
        <w:t>Digital Services Act package ex ante regulatory instrument for very large online platforms with significant network effects acting as gate-keepers in the European Union’s internal market</w:t>
      </w:r>
      <w:r>
        <w:t xml:space="preserve">, </w:t>
      </w:r>
      <w:r w:rsidRPr="00B62FB9">
        <w:t>Document Ares</w:t>
      </w:r>
      <w:r>
        <w:t xml:space="preserve"> </w:t>
      </w:r>
      <w:r w:rsidRPr="00B62FB9">
        <w:t>(2020)</w:t>
      </w:r>
      <w:r>
        <w:t xml:space="preserve"> </w:t>
      </w:r>
      <w:r w:rsidRPr="00B62FB9">
        <w:t>2877647</w:t>
      </w:r>
      <w:r>
        <w:t>, &lt;</w:t>
      </w:r>
      <w:r w:rsidRPr="00B62FB9">
        <w:t>https://eur-lex.europa.eu/legal-content/EN/TXT/?uri=PI_COM%3AAres%282020%292877647</w:t>
      </w:r>
      <w:r>
        <w:t xml:space="preserve">&gt; accessed </w:t>
      </w:r>
      <w:bookmarkEnd w:id="231"/>
      <w:r>
        <w:t>9 October 2020). While there is not a draft published yet, it seems that first option along with some elements from other options seems to be forging ahead, given the recent news leaks (</w:t>
      </w:r>
      <w:bookmarkStart w:id="232" w:name="_Hlk52769345"/>
      <w:r>
        <w:t>Dr2 consultants, ‘</w:t>
      </w:r>
      <w:r w:rsidRPr="00B62FB9">
        <w:t>The Digital Services Act – How does it affect businesses in the EU?</w:t>
      </w:r>
      <w:r>
        <w:t>’ (14 September, 2020) &lt;</w:t>
      </w:r>
      <w:r w:rsidRPr="00CF5155">
        <w:t>https://dr2consultants.eu/digital-services-act-how-does-it-affect-businesses-in-the-eu/</w:t>
      </w:r>
      <w:r>
        <w:t xml:space="preserve">&gt; accessed </w:t>
      </w:r>
      <w:bookmarkEnd w:id="232"/>
      <w:r>
        <w:t>9 October 2020.</w:t>
      </w:r>
    </w:p>
  </w:footnote>
  <w:footnote w:id="194">
    <w:p w14:paraId="6E22D8A7" w14:textId="2BBEAADE" w:rsidR="005C0DC6" w:rsidRDefault="005C0DC6" w:rsidP="00B62395">
      <w:pPr>
        <w:pStyle w:val="FootnoteText"/>
        <w:ind w:left="426" w:hanging="426"/>
        <w:jc w:val="both"/>
      </w:pPr>
      <w:r>
        <w:rPr>
          <w:rStyle w:val="FootnoteReference"/>
        </w:rPr>
        <w:footnoteRef/>
      </w:r>
      <w:r>
        <w:t xml:space="preserve"> </w:t>
      </w:r>
      <w:r>
        <w:tab/>
        <w:t xml:space="preserve">See the section ‘8.4.2. </w:t>
      </w:r>
      <w:r w:rsidRPr="0028764E">
        <w:t>Revitalising ‘gatekeeping’ and gatekeeping activities</w:t>
      </w:r>
      <w:r>
        <w:t>’.</w:t>
      </w:r>
    </w:p>
  </w:footnote>
  <w:footnote w:id="195">
    <w:p w14:paraId="6B7709D6" w14:textId="7B794FFA" w:rsidR="005C0DC6" w:rsidRDefault="005C0DC6" w:rsidP="00B62395">
      <w:pPr>
        <w:pStyle w:val="FootnoteText"/>
        <w:ind w:left="426" w:hanging="426"/>
        <w:jc w:val="both"/>
      </w:pPr>
      <w:r>
        <w:rPr>
          <w:rStyle w:val="FootnoteReference"/>
        </w:rPr>
        <w:footnoteRef/>
      </w:r>
      <w:r>
        <w:t xml:space="preserve"> </w:t>
      </w:r>
      <w:r>
        <w:tab/>
        <w:t>See also Alexiadis and De Streel (n 191) 5.</w:t>
      </w:r>
    </w:p>
  </w:footnote>
  <w:footnote w:id="196">
    <w:p w14:paraId="1CE658E5" w14:textId="317000BB"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[A] computer program is a list of instructions or statements for directing the computer to perform a required data-processing task. There are various types of programming languages that can be written for a computer, but the computer can only execute programs which are represented internally in binary form (e.g. a series of 1s and 0s). Programs written in other languages must be translated to the binary representation before they can be executed by the computer. The binary code representation is also known as machine language. For example, a machine language instruction may add two numbers, move data from one memory location to another, or determine whether a number is equal to zero. A machine language instruction such as the bit (binary digit) sequence 01101011 might correspond to the instruction to ‘add the contents of one register to another’. Very few programmers can readily understand machine language, and almost no program would currently be written directly in this form (John Abbott, ‘Reverse Engineering of Software: Copyright and Interoperability’ [200</w:t>
      </w:r>
      <w:r>
        <w:t>3</w:t>
      </w:r>
      <w:r w:rsidRPr="006B6D7C">
        <w:t xml:space="preserve">] </w:t>
      </w:r>
      <w:r>
        <w:t xml:space="preserve">14 </w:t>
      </w:r>
      <w:r w:rsidRPr="006B6D7C">
        <w:t>Journal of Law and Information Science 7</w:t>
      </w:r>
      <w:r>
        <w:t>,</w:t>
      </w:r>
      <w:r w:rsidRPr="006B6D7C">
        <w:t xml:space="preserve"> 9). </w:t>
      </w:r>
    </w:p>
  </w:footnote>
  <w:footnote w:id="197">
    <w:p w14:paraId="4BED0B94" w14:textId="53B2C68C"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William Cornish, David Llewelyn and Tanya Aplin, </w:t>
      </w:r>
      <w:r w:rsidRPr="00A70042">
        <w:rPr>
          <w:i/>
          <w:iCs/>
        </w:rPr>
        <w:t>Intellectual Property: Patents, Copyright, Trade Marks and Allied Rights</w:t>
      </w:r>
      <w:r w:rsidRPr="006B6D7C">
        <w:t xml:space="preserve"> (8</w:t>
      </w:r>
      <w:r>
        <w:t>th</w:t>
      </w:r>
      <w:r w:rsidRPr="006B6D7C">
        <w:t xml:space="preserve"> ed</w:t>
      </w:r>
      <w:r>
        <w:t>n</w:t>
      </w:r>
      <w:r w:rsidRPr="006B6D7C">
        <w:t>, Sweet &amp; Maxwell 2013) 818.</w:t>
      </w:r>
    </w:p>
  </w:footnote>
  <w:footnote w:id="198">
    <w:p w14:paraId="5FE2040E" w14:textId="0C77CDB7"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Ibid.</w:t>
      </w:r>
    </w:p>
  </w:footnote>
  <w:footnote w:id="199">
    <w:p w14:paraId="7CC27E60" w14:textId="737E4C22"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t>Ibid.</w:t>
      </w:r>
      <w:r>
        <w:t xml:space="preserve"> S</w:t>
      </w:r>
      <w:r w:rsidRPr="006B6D7C">
        <w:t xml:space="preserve">ee </w:t>
      </w:r>
      <w:r>
        <w:t xml:space="preserve">also </w:t>
      </w:r>
      <w:r w:rsidRPr="006B6D7C">
        <w:t>Pamela Samuelson, ‘The Past, Present and Future of Software Copyright Interoperability Rules in the European Union and United States’ [2010] 34(3) European Intellectual Property Review</w:t>
      </w:r>
      <w:r>
        <w:t>,</w:t>
      </w:r>
      <w:r w:rsidRPr="006B6D7C">
        <w:t xml:space="preserve"> 229-</w:t>
      </w:r>
      <w:r w:rsidRPr="006B6D7C">
        <w:rPr>
          <w:lang w:val="en-US"/>
        </w:rPr>
        <w:t xml:space="preserve">236. </w:t>
      </w:r>
    </w:p>
  </w:footnote>
  <w:footnote w:id="200">
    <w:p w14:paraId="4C771B4A" w14:textId="1F96605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Any work not dramatic or musical and is written, spoken or sung</w:t>
      </w:r>
      <w:r>
        <w:t>,</w:t>
      </w:r>
      <w:r w:rsidRPr="006B6D7C">
        <w:t xml:space="preserve"> denotes ‘literary works’ in general. Either expressed in print or writing, such works are regarded as ‘literary work</w:t>
      </w:r>
      <w:r>
        <w:t>s</w:t>
      </w:r>
      <w:r w:rsidRPr="006B6D7C">
        <w:t xml:space="preserve">’ insofar as they involve “skill, labour and judgement” within the legal understanding (e.g. under </w:t>
      </w:r>
      <w:r>
        <w:t xml:space="preserve">the </w:t>
      </w:r>
      <w:r w:rsidRPr="006B6D7C">
        <w:t xml:space="preserve">UK Copyright Designs and Patents Act 1988). </w:t>
      </w:r>
    </w:p>
  </w:footnote>
  <w:footnote w:id="201">
    <w:p w14:paraId="105ECDD0" w14:textId="38DDCC0D"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rPr>
          <w:lang w:val="en-US"/>
        </w:rPr>
        <w:t>Berne Convention for the Protection of Literary and Artistic Works (as amended on September 28, 1979), ˂http://www.wipo.int/treaties/en/ip/berne/</w:t>
      </w:r>
      <w:r w:rsidRPr="006B6D7C">
        <w:t xml:space="preserve">˃ accessed </w:t>
      </w:r>
      <w:r>
        <w:t>9 October 2020</w:t>
      </w:r>
      <w:r w:rsidRPr="006B6D7C">
        <w:t>.</w:t>
      </w:r>
    </w:p>
  </w:footnote>
  <w:footnote w:id="202">
    <w:p w14:paraId="73F2AF5D" w14:textId="3C450C04"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Agreement on Trade-related Aspects of Intellectual Property Rights </w:t>
      </w:r>
      <w:r>
        <w:t>(‘</w:t>
      </w:r>
      <w:r w:rsidRPr="006B6D7C">
        <w:t xml:space="preserve">TRIPS </w:t>
      </w:r>
      <w:r>
        <w:t>Agreement’</w:t>
      </w:r>
      <w:r w:rsidRPr="006B6D7C">
        <w:t>) is a multilateral agreement</w:t>
      </w:r>
      <w:r>
        <w:t xml:space="preserve">, Annex 1C of the Marrakesh Agreement Establishing </w:t>
      </w:r>
      <w:r w:rsidRPr="006B6D7C">
        <w:t>the WTO</w:t>
      </w:r>
      <w:r>
        <w:t>,</w:t>
      </w:r>
      <w:r w:rsidRPr="006B6D7C">
        <w:t xml:space="preserve"> setting out the minimum standards of legal protection and enforcement for a number of different forms of IPRs. See WTO, TRIPS, ˂https://www.wto.org/english/docs_e/legal_e/27-trips_01_e.htm˃ accessed by </w:t>
      </w:r>
      <w:r>
        <w:t>9 October 2020</w:t>
      </w:r>
      <w:r w:rsidRPr="006B6D7C">
        <w:t>.</w:t>
      </w:r>
    </w:p>
  </w:footnote>
  <w:footnote w:id="203">
    <w:p w14:paraId="47816D93" w14:textId="0381B35A"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Simoneta Vezzoso, </w:t>
      </w:r>
      <w:r>
        <w:t>‘</w:t>
      </w:r>
      <w:r w:rsidRPr="006B6D7C">
        <w:t>Copyright, Interfaces, and a Possible Atlantic Divide</w:t>
      </w:r>
      <w:r>
        <w:t>’</w:t>
      </w:r>
      <w:r w:rsidRPr="006B6D7C">
        <w:t xml:space="preserve"> [2012] </w:t>
      </w:r>
      <w:r>
        <w:t xml:space="preserve">2 </w:t>
      </w:r>
      <w:r w:rsidRPr="006B6D7C">
        <w:t>Jipitec 154</w:t>
      </w:r>
    </w:p>
    <w:p w14:paraId="4B556855" w14:textId="2E86BD43" w:rsidR="005C0DC6" w:rsidRPr="006B6D7C" w:rsidRDefault="005C0DC6" w:rsidP="00A70042">
      <w:pPr>
        <w:pStyle w:val="FootnoteText"/>
        <w:ind w:left="426"/>
        <w:jc w:val="both"/>
      </w:pPr>
      <w:r w:rsidRPr="006B6D7C">
        <w:t xml:space="preserve">˂https://www.jipitec.eu/issues/jipitec-3-2-2012/3444/vezzoso.pdf˃ accessed </w:t>
      </w:r>
      <w:r>
        <w:t>9 October 2020</w:t>
      </w:r>
      <w:r w:rsidRPr="006B6D7C">
        <w:t>.</w:t>
      </w:r>
    </w:p>
  </w:footnote>
  <w:footnote w:id="204">
    <w:p w14:paraId="26906D1B" w14:textId="021791D4"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See Weston (n 1</w:t>
      </w:r>
      <w:r>
        <w:t>3</w:t>
      </w:r>
      <w:r w:rsidRPr="006B6D7C">
        <w:t>) 234.</w:t>
      </w:r>
    </w:p>
  </w:footnote>
  <w:footnote w:id="205">
    <w:p w14:paraId="0DB671B0" w14:textId="6619870F"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Software Directive, </w:t>
      </w:r>
      <w:r>
        <w:t>art</w:t>
      </w:r>
      <w:r w:rsidRPr="006B6D7C">
        <w:t xml:space="preserve"> 1(2).</w:t>
      </w:r>
    </w:p>
  </w:footnote>
  <w:footnote w:id="206">
    <w:p w14:paraId="2B342E5A" w14:textId="7C5F25DC"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The main rationale behind the idea/expression dichotomy is that it is socially desirable to allow for the free use of the fundamental building blocks</w:t>
      </w:r>
      <w:r>
        <w:t>,</w:t>
      </w:r>
      <w:r w:rsidRPr="006B6D7C">
        <w:t xml:space="preserve"> the “ideas” of knowledge production</w:t>
      </w:r>
      <w:r>
        <w:t>,</w:t>
      </w:r>
      <w:r w:rsidRPr="006B6D7C">
        <w:t xml:space="preserve"> </w:t>
      </w:r>
      <w:r>
        <w:t>with</w:t>
      </w:r>
      <w:r w:rsidRPr="006B6D7C">
        <w:t>in the area of copyright protection.</w:t>
      </w:r>
    </w:p>
  </w:footnote>
  <w:footnote w:id="207">
    <w:p w14:paraId="0BE2FC21" w14:textId="693C59D6"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Software Directive, </w:t>
      </w:r>
      <w:r>
        <w:t>art</w:t>
      </w:r>
      <w:r w:rsidRPr="006B6D7C">
        <w:t xml:space="preserve"> 1(2). According to </w:t>
      </w:r>
      <w:r>
        <w:t xml:space="preserve">the </w:t>
      </w:r>
      <w:r w:rsidRPr="006B6D7C">
        <w:t xml:space="preserve">Software Directive, “a computer program shall be protected if it is original in the sense that it is the author’s own intellectual creation. No other criteria shall be applied to determine its eligibility for protection” </w:t>
      </w:r>
      <w:r>
        <w:t>(</w:t>
      </w:r>
      <w:r w:rsidRPr="006B6D7C">
        <w:t xml:space="preserve">Software Directive, </w:t>
      </w:r>
      <w:r>
        <w:t>art</w:t>
      </w:r>
      <w:r w:rsidRPr="006B6D7C">
        <w:t xml:space="preserve"> 1(3)</w:t>
      </w:r>
      <w:r>
        <w:t>)</w:t>
      </w:r>
      <w:r w:rsidRPr="006B6D7C">
        <w:t>.</w:t>
      </w:r>
    </w:p>
  </w:footnote>
  <w:footnote w:id="208">
    <w:p w14:paraId="1DEF31C4" w14:textId="4B4F5CC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Software Directive, recital 15.</w:t>
      </w:r>
    </w:p>
  </w:footnote>
  <w:footnote w:id="209">
    <w:p w14:paraId="7C54F362" w14:textId="4812B2C0"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Software Directive, </w:t>
      </w:r>
      <w:r>
        <w:t>art</w:t>
      </w:r>
      <w:r w:rsidRPr="006B6D7C">
        <w:t xml:space="preserve"> 6(1).</w:t>
      </w:r>
    </w:p>
  </w:footnote>
  <w:footnote w:id="210">
    <w:p w14:paraId="6209E5DE" w14:textId="1AF8CE14"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Hart describes the level of compatibility intended by the Software Directive as ‘multi-vendor interoperability’. He however stresses that the Directive’s wording does not refer to the full functioning of all the elements of the programs with which the independently created program is required to interoperate (Robert Hart</w:t>
      </w:r>
      <w:r>
        <w:t>,</w:t>
      </w:r>
      <w:r w:rsidRPr="006B6D7C">
        <w:t xml:space="preserve"> ‘Interoperability Information and the Microsoft Decision’ [2006] 7 </w:t>
      </w:r>
      <w:r w:rsidRPr="006B6D7C">
        <w:rPr>
          <w:iCs/>
        </w:rPr>
        <w:t>European Intellectual Property Review</w:t>
      </w:r>
      <w:r w:rsidRPr="006B6D7C">
        <w:t xml:space="preserve"> </w:t>
      </w:r>
      <w:r>
        <w:t xml:space="preserve">361, </w:t>
      </w:r>
      <w:r w:rsidRPr="006B6D7C">
        <w:t>362).</w:t>
      </w:r>
    </w:p>
  </w:footnote>
  <w:footnote w:id="211">
    <w:p w14:paraId="30C46BD0" w14:textId="59A06FC4"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585E34">
        <w:rPr>
          <w:iCs/>
        </w:rPr>
        <w:t>See</w:t>
      </w:r>
      <w:r>
        <w:rPr>
          <w:i/>
        </w:rPr>
        <w:t xml:space="preserve"> </w:t>
      </w:r>
      <w:r>
        <w:t>the section ‘3</w:t>
      </w:r>
      <w:r w:rsidRPr="00585E34">
        <w:t>.1.3.</w:t>
      </w:r>
      <w:r>
        <w:t xml:space="preserve"> </w:t>
      </w:r>
      <w:r w:rsidRPr="00585E34">
        <w:t xml:space="preserve">Copyrightability of interfaces: Analysis through the lens of </w:t>
      </w:r>
      <w:r w:rsidRPr="0088383B">
        <w:rPr>
          <w:i/>
          <w:iCs/>
        </w:rPr>
        <w:t>Softwarová</w:t>
      </w:r>
      <w:r w:rsidRPr="00585E34">
        <w:t xml:space="preserve"> and </w:t>
      </w:r>
      <w:r w:rsidRPr="0088383B">
        <w:rPr>
          <w:i/>
          <w:iCs/>
        </w:rPr>
        <w:t>SAS v WPL</w:t>
      </w:r>
      <w:r w:rsidRPr="00585E34">
        <w:t xml:space="preserve"> cases</w:t>
      </w:r>
      <w:r>
        <w:t>’.</w:t>
      </w:r>
    </w:p>
  </w:footnote>
  <w:footnote w:id="212">
    <w:p w14:paraId="7A68CF32" w14:textId="7AECA0DE"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EPC, </w:t>
      </w:r>
      <w:r>
        <w:t>art</w:t>
      </w:r>
      <w:r w:rsidRPr="006B6D7C">
        <w:t xml:space="preserve"> 52(1).</w:t>
      </w:r>
    </w:p>
  </w:footnote>
  <w:footnote w:id="213">
    <w:p w14:paraId="21E199B1" w14:textId="62E46FB7" w:rsidR="005C0DC6" w:rsidRPr="006B6D7C" w:rsidRDefault="005C0DC6" w:rsidP="00A70042">
      <w:pPr>
        <w:pStyle w:val="FootnoteText"/>
        <w:ind w:left="426" w:hanging="426"/>
        <w:jc w:val="both"/>
      </w:pPr>
      <w:r w:rsidRPr="006B6D7C">
        <w:rPr>
          <w:rStyle w:val="FootnoteReference"/>
        </w:rPr>
        <w:footnoteRef/>
      </w:r>
      <w:r>
        <w:t xml:space="preserve"> </w:t>
      </w:r>
      <w:r>
        <w:tab/>
        <w:t>In</w:t>
      </w:r>
      <w:r w:rsidRPr="006B6D7C">
        <w:t xml:space="preserve"> Article 52(2)</w:t>
      </w:r>
      <w:r>
        <w:t>,</w:t>
      </w:r>
      <w:r w:rsidRPr="006B6D7C">
        <w:t xml:space="preserve"> </w:t>
      </w:r>
      <w:r>
        <w:t xml:space="preserve">the </w:t>
      </w:r>
      <w:r w:rsidRPr="006B6D7C">
        <w:t>EPC excludes the following from patentability:</w:t>
      </w:r>
    </w:p>
    <w:p w14:paraId="66D1DDC3" w14:textId="77777777" w:rsidR="005C0DC6" w:rsidRPr="006B6D7C" w:rsidRDefault="005C0DC6" w:rsidP="00A70042">
      <w:pPr>
        <w:pStyle w:val="FootnoteText"/>
        <w:numPr>
          <w:ilvl w:val="0"/>
          <w:numId w:val="2"/>
        </w:numPr>
        <w:ind w:left="709" w:hanging="284"/>
        <w:jc w:val="both"/>
      </w:pPr>
      <w:r w:rsidRPr="006B6D7C">
        <w:t>discoveries, scientific theories and mathematical methods;</w:t>
      </w:r>
    </w:p>
    <w:p w14:paraId="1C35601A" w14:textId="77777777" w:rsidR="005C0DC6" w:rsidRPr="006B6D7C" w:rsidRDefault="005C0DC6" w:rsidP="00A70042">
      <w:pPr>
        <w:pStyle w:val="FootnoteText"/>
        <w:numPr>
          <w:ilvl w:val="0"/>
          <w:numId w:val="2"/>
        </w:numPr>
        <w:ind w:left="709" w:hanging="284"/>
        <w:jc w:val="both"/>
      </w:pPr>
      <w:r w:rsidRPr="006B6D7C">
        <w:t>aesthetic creations;</w:t>
      </w:r>
    </w:p>
    <w:p w14:paraId="46B48C41" w14:textId="77777777" w:rsidR="005C0DC6" w:rsidRPr="006B6D7C" w:rsidRDefault="005C0DC6" w:rsidP="00A70042">
      <w:pPr>
        <w:pStyle w:val="FootnoteText"/>
        <w:numPr>
          <w:ilvl w:val="0"/>
          <w:numId w:val="2"/>
        </w:numPr>
        <w:ind w:left="709" w:hanging="284"/>
        <w:jc w:val="both"/>
      </w:pPr>
      <w:r w:rsidRPr="006B6D7C">
        <w:t xml:space="preserve">schemes, rules and methods for performing mental acts, playing games or doing business, and </w:t>
      </w:r>
      <w:r w:rsidRPr="006B6D7C">
        <w:rPr>
          <w:i/>
        </w:rPr>
        <w:t>programs for computers</w:t>
      </w:r>
      <w:r w:rsidRPr="006B6D7C">
        <w:t>;</w:t>
      </w:r>
    </w:p>
    <w:p w14:paraId="1775660B" w14:textId="77777777" w:rsidR="005C0DC6" w:rsidRPr="006B6D7C" w:rsidRDefault="005C0DC6" w:rsidP="00A70042">
      <w:pPr>
        <w:pStyle w:val="FootnoteText"/>
        <w:numPr>
          <w:ilvl w:val="0"/>
          <w:numId w:val="2"/>
        </w:numPr>
        <w:ind w:left="709" w:hanging="284"/>
        <w:jc w:val="both"/>
      </w:pPr>
      <w:r w:rsidRPr="006B6D7C">
        <w:t>presentations of information.</w:t>
      </w:r>
    </w:p>
  </w:footnote>
  <w:footnote w:id="214">
    <w:p w14:paraId="0DD871F7" w14:textId="5CCFCF5C"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EPC, </w:t>
      </w:r>
      <w:r>
        <w:t>art</w:t>
      </w:r>
      <w:r w:rsidRPr="006B6D7C">
        <w:t xml:space="preserve"> 52(3).</w:t>
      </w:r>
    </w:p>
  </w:footnote>
  <w:footnote w:id="215">
    <w:p w14:paraId="4398CC86" w14:textId="5D42275D"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Zingales (n </w:t>
      </w:r>
      <w:r>
        <w:t>62</w:t>
      </w:r>
      <w:r w:rsidRPr="006B6D7C">
        <w:t xml:space="preserve">) 9. </w:t>
      </w:r>
    </w:p>
  </w:footnote>
  <w:footnote w:id="216">
    <w:p w14:paraId="57EB0892" w14:textId="27FD6B75"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Begoña G. Otero, ‘Compelling disclosure of software interoperability information: A risk for innovation or a balanced solution?’ in G. B. Dinwoodie (ed</w:t>
      </w:r>
      <w:r>
        <w:t>s</w:t>
      </w:r>
      <w:r w:rsidRPr="006B6D7C">
        <w:t xml:space="preserve">), </w:t>
      </w:r>
      <w:r w:rsidRPr="00B4123F">
        <w:rPr>
          <w:i/>
          <w:iCs/>
        </w:rPr>
        <w:t>Intellectual Property and General Legal Principles: Is IP a Lex Specialis</w:t>
      </w:r>
      <w:r w:rsidRPr="006B6D7C">
        <w:t>? (Edward Elgar 2015) 82-83.</w:t>
      </w:r>
    </w:p>
  </w:footnote>
  <w:footnote w:id="217">
    <w:p w14:paraId="691D5325" w14:textId="42BD9B5A" w:rsidR="005C0DC6" w:rsidRDefault="005C0DC6" w:rsidP="00A70042">
      <w:pPr>
        <w:pStyle w:val="FootnoteText"/>
        <w:ind w:left="426" w:hanging="426"/>
        <w:jc w:val="both"/>
      </w:pPr>
      <w:r w:rsidRPr="002125BD">
        <w:rPr>
          <w:rStyle w:val="FootnoteReference"/>
        </w:rPr>
        <w:footnoteRef/>
      </w:r>
      <w:r w:rsidRPr="002125BD">
        <w:t xml:space="preserve"> </w:t>
      </w:r>
      <w:r>
        <w:tab/>
      </w:r>
      <w:r w:rsidRPr="002125BD">
        <w:t>Ibid.</w:t>
      </w:r>
      <w:r>
        <w:t xml:space="preserve"> </w:t>
      </w:r>
      <w:r w:rsidRPr="0049694E">
        <w:t>Patent infringement</w:t>
      </w:r>
      <w:r>
        <w:t xml:space="preserve"> might take place when a third party makes or uses a patented invention without receiving the permission from the patent proprietor. According to the TRIPS Agreement, given that a patent is an exclusive right, the patent proprietor has the right to prevent third parties who do not have the owner’s consent from doing the following acts:</w:t>
      </w:r>
    </w:p>
    <w:p w14:paraId="5B1CDB53" w14:textId="77777777" w:rsidR="005C0DC6" w:rsidRDefault="005C0DC6" w:rsidP="00A70042">
      <w:pPr>
        <w:pStyle w:val="FootnoteText"/>
        <w:numPr>
          <w:ilvl w:val="0"/>
          <w:numId w:val="26"/>
        </w:numPr>
        <w:ind w:left="567" w:hanging="141"/>
        <w:jc w:val="both"/>
      </w:pPr>
      <w:r>
        <w:t>making, using offering for sale, selling, or importing for these purposes the patented product, or</w:t>
      </w:r>
    </w:p>
    <w:p w14:paraId="6480064D" w14:textId="18547113" w:rsidR="005C0DC6" w:rsidRPr="002125BD" w:rsidRDefault="005C0DC6" w:rsidP="00A70042">
      <w:pPr>
        <w:pStyle w:val="FootnoteText"/>
        <w:numPr>
          <w:ilvl w:val="0"/>
          <w:numId w:val="26"/>
        </w:numPr>
        <w:ind w:left="567" w:hanging="141"/>
        <w:jc w:val="both"/>
      </w:pPr>
      <w:r>
        <w:t>where the subject-matter of the patent is a process, using offering for sale, selling or importing for these purposes at least the product obtained by the patented process. (TRIPS Agreement, art 28(1)). See EPO, ‘Fundamentals of infringement’ &lt;</w:t>
      </w:r>
      <w:hyperlink r:id="rId6" w:history="1">
        <w:r w:rsidRPr="00B4123F">
          <w:t>https://e-courses.epo.org/wbts_int/litigation/</w:t>
        </w:r>
        <w:r>
          <w:t xml:space="preserve"> </w:t>
        </w:r>
        <w:r w:rsidRPr="00B4123F">
          <w:t>FundamentalsOfInfringement.pdf</w:t>
        </w:r>
      </w:hyperlink>
      <w:r>
        <w:t>&gt; accessed 9 October 2020.</w:t>
      </w:r>
    </w:p>
  </w:footnote>
  <w:footnote w:id="218">
    <w:p w14:paraId="23383F25" w14:textId="7A82B46D"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Weston (n </w:t>
      </w:r>
      <w:r>
        <w:t>13</w:t>
      </w:r>
      <w:r w:rsidRPr="002125BD">
        <w:t>) 241.</w:t>
      </w:r>
    </w:p>
  </w:footnote>
  <w:footnote w:id="219">
    <w:p w14:paraId="3FDB3300" w14:textId="32EBDB42"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Samuelson (n </w:t>
      </w:r>
      <w:r>
        <w:t>4</w:t>
      </w:r>
      <w:r w:rsidRPr="002125BD">
        <w:t>) 1961.</w:t>
      </w:r>
    </w:p>
  </w:footnote>
  <w:footnote w:id="220">
    <w:p w14:paraId="5740688E" w14:textId="1D47500A"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For detailed information about other types of IPRs and their relation to interoperability, see </w:t>
      </w:r>
      <w:r>
        <w:rPr>
          <w:lang w:val="en-US"/>
        </w:rPr>
        <w:t xml:space="preserve">the section ‘4. Intellectual property rights: European IPR regime’ </w:t>
      </w:r>
    </w:p>
  </w:footnote>
  <w:footnote w:id="221">
    <w:p w14:paraId="5CF7FC75" w14:textId="53D65A0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See Samuelson (n 4) 1945.</w:t>
      </w:r>
    </w:p>
  </w:footnote>
  <w:footnote w:id="222">
    <w:p w14:paraId="309CEB6C" w14:textId="4745E9A3"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Van Rooijen (n </w:t>
      </w:r>
      <w:r>
        <w:t>40</w:t>
      </w:r>
      <w:r w:rsidRPr="006B6D7C">
        <w:t xml:space="preserve">) 99. </w:t>
      </w:r>
    </w:p>
  </w:footnote>
  <w:footnote w:id="223">
    <w:p w14:paraId="0F005CB0" w14:textId="4502CB78"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See Regulation (EC) 139/2004 on the control of concentrations between undertakings [2004] OJ L24/1 (‘EU Merger Regulation’</w:t>
      </w:r>
      <w:r>
        <w:t xml:space="preserve"> or ‘EUMR’</w:t>
      </w:r>
      <w:r w:rsidRPr="006B6D7C">
        <w:t>) which allows the Commission to prohibit or require modifications of mergers that ‘significantly impede effective competition’ (SIEC) in cases whereby a dominant position is created or strengthened.</w:t>
      </w:r>
    </w:p>
  </w:footnote>
  <w:footnote w:id="224">
    <w:p w14:paraId="1BF0863C" w14:textId="0FEC9E5C"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rPr>
          <w:lang w:val="en-US"/>
        </w:rPr>
        <w:t xml:space="preserve">Pablo Ibáñez Colomo, </w:t>
      </w:r>
      <w:r>
        <w:rPr>
          <w:lang w:val="en-US"/>
        </w:rPr>
        <w:t>‘</w:t>
      </w:r>
      <w:r w:rsidRPr="006B6D7C">
        <w:rPr>
          <w:lang w:val="en-US"/>
        </w:rPr>
        <w:t>EU Competition Law in the Regulated Network Industries</w:t>
      </w:r>
      <w:r>
        <w:rPr>
          <w:lang w:val="en-US"/>
        </w:rPr>
        <w:t>’ (2016)</w:t>
      </w:r>
      <w:r w:rsidRPr="006B6D7C">
        <w:rPr>
          <w:lang w:val="en-US"/>
        </w:rPr>
        <w:t xml:space="preserve"> LSE Law, Society and Economy Working Papers 08/2016, 6 ˂</w:t>
      </w:r>
      <w:hyperlink r:id="rId7" w:history="1">
        <w:r w:rsidRPr="00B4123F">
          <w:t>http://dx.doi.org/10.2139/ssrn.2747785</w:t>
        </w:r>
      </w:hyperlink>
      <w:r w:rsidRPr="006B6D7C">
        <w:t xml:space="preserve">˃ accessed </w:t>
      </w:r>
      <w:r>
        <w:t>9 October 2020</w:t>
      </w:r>
      <w:r w:rsidRPr="006B6D7C">
        <w:t>.</w:t>
      </w:r>
    </w:p>
  </w:footnote>
  <w:footnote w:id="225">
    <w:p w14:paraId="319C1A07" w14:textId="6AF1C5B3" w:rsidR="005C0DC6" w:rsidRPr="006B6D7C" w:rsidRDefault="005C0DC6" w:rsidP="00F66E89">
      <w:pPr>
        <w:pStyle w:val="FootnoteText"/>
        <w:ind w:left="426" w:hanging="426"/>
        <w:jc w:val="both"/>
      </w:pPr>
      <w:r w:rsidRPr="006B6D7C">
        <w:rPr>
          <w:rStyle w:val="FootnoteReference"/>
        </w:rPr>
        <w:footnoteRef/>
      </w:r>
      <w:r w:rsidRPr="006B6D7C">
        <w:t xml:space="preserve"> </w:t>
      </w:r>
      <w:r>
        <w:tab/>
      </w:r>
      <w:r w:rsidRPr="006B6D7C">
        <w:t xml:space="preserve">See Van Rooijen (n </w:t>
      </w:r>
      <w:r>
        <w:t>40</w:t>
      </w:r>
      <w:r w:rsidRPr="006B6D7C">
        <w:t>) 99.</w:t>
      </w:r>
    </w:p>
  </w:footnote>
  <w:footnote w:id="226">
    <w:p w14:paraId="0C60ECEA" w14:textId="10A94968" w:rsidR="005C0DC6" w:rsidRDefault="005C0DC6" w:rsidP="00692824">
      <w:pPr>
        <w:pStyle w:val="FootnoteText"/>
        <w:ind w:left="426" w:hanging="426"/>
        <w:jc w:val="both"/>
      </w:pPr>
      <w:r>
        <w:rPr>
          <w:rStyle w:val="FootnoteReference"/>
        </w:rPr>
        <w:footnoteRef/>
      </w:r>
      <w:r>
        <w:t xml:space="preserve"> </w:t>
      </w:r>
      <w:r>
        <w:tab/>
        <w:t xml:space="preserve">According to Article 3 of TFEU, ‘the establishing of the competition rules necessary for the functioning of the internal market’ is set out as one of the areas whereby the Union has exclusive competence. This also relates to and is strengthened by the major freedoms that underlie the EU as a supra-national organisation. </w:t>
      </w:r>
      <w:r w:rsidRPr="00845414">
        <w:t>Article 26(2) of the TFEU states that “The internal market shall comprise an area without internal frontiers in which the free movement of goods, persons, services and capital is ensured in accordance with the provisions of the Treaties”.</w:t>
      </w:r>
    </w:p>
  </w:footnote>
  <w:footnote w:id="227">
    <w:p w14:paraId="28D77D27" w14:textId="0A3C6F11" w:rsidR="005C0DC6" w:rsidRPr="006B6D7C" w:rsidRDefault="005C0DC6" w:rsidP="00A70042">
      <w:pPr>
        <w:pStyle w:val="FootnoteText"/>
        <w:ind w:left="426" w:hanging="426"/>
        <w:jc w:val="both"/>
      </w:pPr>
      <w:r w:rsidRPr="006B6D7C">
        <w:rPr>
          <w:rStyle w:val="FootnoteReference"/>
        </w:rPr>
        <w:footnoteRef/>
      </w:r>
      <w:r w:rsidRPr="006B6D7C">
        <w:t xml:space="preserve"> </w:t>
      </w:r>
      <w:r>
        <w:tab/>
        <w:t xml:space="preserve">Joined </w:t>
      </w:r>
      <w:r w:rsidRPr="006B6D7C">
        <w:t xml:space="preserve">Cases </w:t>
      </w:r>
      <w:r w:rsidRPr="00D41AAD">
        <w:t>C-241/91 P and C-242/91 P</w:t>
      </w:r>
      <w:r w:rsidRPr="006B6D7C">
        <w:t xml:space="preserve">, </w:t>
      </w:r>
      <w:r w:rsidRPr="00D41AAD">
        <w:rPr>
          <w:i/>
          <w:iCs/>
        </w:rPr>
        <w:t xml:space="preserve">Radio Telefis Eireann </w:t>
      </w:r>
      <w:r>
        <w:rPr>
          <w:i/>
          <w:iCs/>
        </w:rPr>
        <w:t>(</w:t>
      </w:r>
      <w:r w:rsidRPr="006B6D7C">
        <w:rPr>
          <w:i/>
          <w:iCs/>
        </w:rPr>
        <w:t>RTE</w:t>
      </w:r>
      <w:r>
        <w:rPr>
          <w:i/>
          <w:iCs/>
        </w:rPr>
        <w:t>)</w:t>
      </w:r>
      <w:r w:rsidRPr="006B6D7C">
        <w:rPr>
          <w:i/>
          <w:iCs/>
        </w:rPr>
        <w:t xml:space="preserve"> and</w:t>
      </w:r>
      <w:r>
        <w:rPr>
          <w:i/>
          <w:iCs/>
        </w:rPr>
        <w:t xml:space="preserve"> </w:t>
      </w:r>
      <w:r w:rsidRPr="00D41AAD">
        <w:rPr>
          <w:i/>
          <w:iCs/>
        </w:rPr>
        <w:t>Independent Television Publications Ltd</w:t>
      </w:r>
      <w:r w:rsidRPr="006B6D7C">
        <w:rPr>
          <w:i/>
          <w:iCs/>
        </w:rPr>
        <w:t xml:space="preserve"> </w:t>
      </w:r>
      <w:r>
        <w:rPr>
          <w:i/>
          <w:iCs/>
        </w:rPr>
        <w:t>(</w:t>
      </w:r>
      <w:r w:rsidRPr="006B6D7C">
        <w:rPr>
          <w:i/>
          <w:iCs/>
        </w:rPr>
        <w:t>ITP</w:t>
      </w:r>
      <w:r>
        <w:rPr>
          <w:i/>
          <w:iCs/>
        </w:rPr>
        <w:t>)</w:t>
      </w:r>
      <w:r w:rsidRPr="006B6D7C">
        <w:rPr>
          <w:i/>
          <w:iCs/>
        </w:rPr>
        <w:t xml:space="preserve"> </w:t>
      </w:r>
      <w:r w:rsidRPr="006B6D7C">
        <w:rPr>
          <w:iCs/>
        </w:rPr>
        <w:t>v.</w:t>
      </w:r>
      <w:r w:rsidRPr="006B6D7C">
        <w:rPr>
          <w:i/>
          <w:iCs/>
        </w:rPr>
        <w:t xml:space="preserve"> Commission</w:t>
      </w:r>
      <w:r w:rsidRPr="006B6D7C">
        <w:t xml:space="preserve"> </w:t>
      </w:r>
      <w:r w:rsidRPr="006B6D7C">
        <w:sym w:font="Symbol" w:char="F05B"/>
      </w:r>
      <w:r w:rsidRPr="006B6D7C">
        <w:t>1995</w:t>
      </w:r>
      <w:r w:rsidRPr="006B6D7C">
        <w:sym w:font="Symbol" w:char="F05D"/>
      </w:r>
      <w:r w:rsidRPr="006B6D7C">
        <w:t xml:space="preserve"> ECR I-743, </w:t>
      </w:r>
      <w:r w:rsidRPr="006B6D7C">
        <w:sym w:font="Symbol" w:char="F05B"/>
      </w:r>
      <w:r w:rsidRPr="006B6D7C">
        <w:t>1995</w:t>
      </w:r>
      <w:r w:rsidRPr="006B6D7C">
        <w:sym w:font="Symbol" w:char="F05D"/>
      </w:r>
      <w:r w:rsidRPr="006B6D7C">
        <w:t xml:space="preserve"> 4 CMLR 718 (‘</w:t>
      </w:r>
      <w:r w:rsidRPr="006B6D7C">
        <w:rPr>
          <w:i/>
        </w:rPr>
        <w:t>Magill</w:t>
      </w:r>
      <w:r w:rsidRPr="006B6D7C">
        <w:t xml:space="preserve"> judgement’).</w:t>
      </w:r>
    </w:p>
  </w:footnote>
  <w:footnote w:id="228">
    <w:p w14:paraId="6DE90B1F" w14:textId="4B7D975F"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Case C-418/01 </w:t>
      </w:r>
      <w:r w:rsidRPr="006B6D7C">
        <w:rPr>
          <w:i/>
        </w:rPr>
        <w:t xml:space="preserve">IMS Health GmbH &amp; Co. OHG v NDC Health GmbH &amp; Co KG, </w:t>
      </w:r>
      <w:r w:rsidRPr="006B6D7C">
        <w:t xml:space="preserve">Judgment of 29 April 2004, </w:t>
      </w:r>
      <w:r w:rsidRPr="006B6D7C">
        <w:sym w:font="Symbol" w:char="F05B"/>
      </w:r>
      <w:r w:rsidRPr="006B6D7C">
        <w:t>2004</w:t>
      </w:r>
      <w:r w:rsidRPr="006B6D7C">
        <w:sym w:font="Symbol" w:char="F05D"/>
      </w:r>
      <w:r w:rsidRPr="006B6D7C">
        <w:t xml:space="preserve"> 4 CMLR 1543 (‘</w:t>
      </w:r>
      <w:r w:rsidRPr="006B6D7C">
        <w:rPr>
          <w:i/>
        </w:rPr>
        <w:t>IMS Health</w:t>
      </w:r>
      <w:r w:rsidRPr="006B6D7C">
        <w:t xml:space="preserve"> judgement’).</w:t>
      </w:r>
    </w:p>
  </w:footnote>
  <w:footnote w:id="229">
    <w:p w14:paraId="205C88D1" w14:textId="2C24FA32"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See Communication from the Commission-Guidance on the Commission’s enforcement priorities in applying Article 82 of the Commission Treaty to abusive exclusionary conduct by dominant undertakings</w:t>
      </w:r>
      <w:r>
        <w:t xml:space="preserve">, </w:t>
      </w:r>
      <w:r w:rsidRPr="002125BD">
        <w:t>2009</w:t>
      </w:r>
      <w:r>
        <w:t>,</w:t>
      </w:r>
      <w:r w:rsidRPr="002125BD">
        <w:t xml:space="preserve"> OJ C 45/7 (</w:t>
      </w:r>
      <w:r>
        <w:t>‘</w:t>
      </w:r>
      <w:r w:rsidRPr="002125BD">
        <w:t>Commission Guidance</w:t>
      </w:r>
      <w:r>
        <w:t>’</w:t>
      </w:r>
      <w:r w:rsidRPr="002125BD">
        <w:t xml:space="preserve">) </w:t>
      </w:r>
      <w:r>
        <w:t>para</w:t>
      </w:r>
      <w:r w:rsidRPr="002125BD">
        <w:t xml:space="preserve"> 81.</w:t>
      </w:r>
    </w:p>
  </w:footnote>
  <w:footnote w:id="230">
    <w:p w14:paraId="18F98AC7" w14:textId="219F0C1C"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rPr>
          <w:lang w:val="en-US"/>
        </w:rPr>
        <w:t>See the section ‘5.4. Merger Regulation’.</w:t>
      </w:r>
    </w:p>
  </w:footnote>
  <w:footnote w:id="231">
    <w:p w14:paraId="384DA765" w14:textId="5DFBD4DD"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rPr>
          <w:lang w:val="en-US"/>
        </w:rPr>
        <w:t xml:space="preserve">See the section ‘5.2. Article 101 </w:t>
      </w:r>
      <w:r>
        <w:rPr>
          <w:lang w:val="en-US"/>
        </w:rPr>
        <w:t xml:space="preserve">of the </w:t>
      </w:r>
      <w:r w:rsidRPr="006B6D7C">
        <w:rPr>
          <w:lang w:val="en-US"/>
        </w:rPr>
        <w:t>TFEU’.</w:t>
      </w:r>
    </w:p>
  </w:footnote>
  <w:footnote w:id="232">
    <w:p w14:paraId="161BA2E3" w14:textId="21221407" w:rsidR="005C0DC6" w:rsidRPr="006B6D7C" w:rsidRDefault="005C0DC6" w:rsidP="00A70042">
      <w:pPr>
        <w:pStyle w:val="FootnoteText"/>
        <w:ind w:left="426" w:hanging="426"/>
        <w:jc w:val="both"/>
        <w:rPr>
          <w:lang w:val="tr-TR"/>
        </w:rPr>
      </w:pPr>
      <w:r w:rsidRPr="006B6D7C">
        <w:rPr>
          <w:rStyle w:val="FootnoteReference"/>
        </w:rPr>
        <w:footnoteRef/>
      </w:r>
      <w:r w:rsidRPr="006B6D7C">
        <w:t xml:space="preserve"> </w:t>
      </w:r>
      <w:r>
        <w:tab/>
      </w:r>
      <w:r w:rsidRPr="006B6D7C">
        <w:t>For more detailed information regarding ‘electronic communications network</w:t>
      </w:r>
      <w:r>
        <w:t>s</w:t>
      </w:r>
      <w:r w:rsidRPr="006B6D7C">
        <w:t>’ see the section ‘6.2.2.2. Introduction of new ECS categories’.</w:t>
      </w:r>
    </w:p>
  </w:footnote>
  <w:footnote w:id="233">
    <w:p w14:paraId="34B67C9F" w14:textId="3367200B"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Framework Directive</w:t>
      </w:r>
      <w:r>
        <w:t>, a</w:t>
      </w:r>
      <w:r w:rsidRPr="006B6D7C">
        <w:t>rt. 2(c)</w:t>
      </w:r>
      <w:r>
        <w:t xml:space="preserve">. The core part of this definition has been kept in the EECC, being rephrased as </w:t>
      </w:r>
      <w:r w:rsidRPr="00A05C30">
        <w:t>“service normally provided for remuneration via electronic communications networks</w:t>
      </w:r>
      <w:r>
        <w:t>” (EECC Directive, art 2(4)), with an enlarged scope and categories. See the section ‘</w:t>
      </w:r>
      <w:r w:rsidRPr="00A05C30">
        <w:t>6.2.2.2. Introduction of new ECS categories</w:t>
      </w:r>
      <w:r>
        <w:t>’.</w:t>
      </w:r>
    </w:p>
  </w:footnote>
  <w:footnote w:id="234">
    <w:p w14:paraId="0DA4D970" w14:textId="16451520"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For more detailed information regarding </w:t>
      </w:r>
      <w:r>
        <w:t xml:space="preserve">the </w:t>
      </w:r>
      <w:r w:rsidRPr="006B6D7C">
        <w:t xml:space="preserve">‘EECC’ see the section ‘6.2.2.1. OTT Impact and a new carve-out under </w:t>
      </w:r>
      <w:r>
        <w:t xml:space="preserve">the </w:t>
      </w:r>
      <w:r w:rsidRPr="006B6D7C">
        <w:t>EECC’.</w:t>
      </w:r>
    </w:p>
  </w:footnote>
  <w:footnote w:id="235">
    <w:p w14:paraId="083654B0" w14:textId="734818E8"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rPr>
          <w:lang w:val="en-US"/>
        </w:rPr>
        <w:t xml:space="preserve">For the details of </w:t>
      </w:r>
      <w:r>
        <w:rPr>
          <w:lang w:val="en-US"/>
        </w:rPr>
        <w:t xml:space="preserve">the </w:t>
      </w:r>
      <w:r w:rsidRPr="006B6D7C">
        <w:rPr>
          <w:lang w:val="en-US"/>
        </w:rPr>
        <w:t xml:space="preserve">EU regulatory framework </w:t>
      </w:r>
      <w:r>
        <w:rPr>
          <w:lang w:val="en-US"/>
        </w:rPr>
        <w:t xml:space="preserve">(ECRF) </w:t>
      </w:r>
      <w:r w:rsidRPr="006B6D7C">
        <w:rPr>
          <w:lang w:val="en-US"/>
        </w:rPr>
        <w:t xml:space="preserve">see </w:t>
      </w:r>
      <w:r w:rsidRPr="006B6D7C">
        <w:t xml:space="preserve">the section </w:t>
      </w:r>
      <w:r w:rsidRPr="006B6D7C">
        <w:rPr>
          <w:lang w:val="en-US"/>
        </w:rPr>
        <w:t>‘6. Sector-specific regulations: Electronic communications law’</w:t>
      </w:r>
      <w:r>
        <w:rPr>
          <w:lang w:val="en-US"/>
        </w:rPr>
        <w:t>.</w:t>
      </w:r>
      <w:r w:rsidRPr="006B6D7C">
        <w:rPr>
          <w:lang w:val="en-US"/>
        </w:rPr>
        <w:t xml:space="preserve">   </w:t>
      </w:r>
    </w:p>
  </w:footnote>
  <w:footnote w:id="236">
    <w:p w14:paraId="275BA3DA" w14:textId="2FF06389"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t>Notwithstanding, interoperability is a matter of competition for the ICT markets</w:t>
      </w:r>
      <w:r>
        <w:t>,</w:t>
      </w:r>
      <w:r w:rsidRPr="006B6D7C">
        <w:t xml:space="preserve"> including those of electronic communications, and from this viewpoint this study elaborates </w:t>
      </w:r>
      <w:r>
        <w:t xml:space="preserve">the </w:t>
      </w:r>
      <w:r w:rsidRPr="006B6D7C">
        <w:t>ECRF</w:t>
      </w:r>
      <w:r>
        <w:t>,</w:t>
      </w:r>
      <w:r w:rsidRPr="006B6D7C">
        <w:t xml:space="preserve"> focusing on the dimensions of competition and innovation at stake.   </w:t>
      </w:r>
    </w:p>
  </w:footnote>
  <w:footnote w:id="237">
    <w:p w14:paraId="67465AF3" w14:textId="748D8FC5" w:rsidR="005C0DC6" w:rsidRPr="00BD3A4B"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t xml:space="preserve">Peter Alexiadis, </w:t>
      </w:r>
      <w:r>
        <w:t>‘</w:t>
      </w:r>
      <w:r w:rsidRPr="006B6D7C">
        <w:t xml:space="preserve">Balancing the Application of </w:t>
      </w:r>
      <w:r>
        <w:t>ex post</w:t>
      </w:r>
      <w:r w:rsidRPr="006B6D7C">
        <w:t xml:space="preserve"> and </w:t>
      </w:r>
      <w:r>
        <w:t>ex ante</w:t>
      </w:r>
      <w:r w:rsidRPr="006B6D7C">
        <w:t xml:space="preserve"> Disciplines under Community Law in Electronic Communications Markets: Square Pegs in Round Holes?</w:t>
      </w:r>
      <w:r>
        <w:t>’</w:t>
      </w:r>
      <w:r w:rsidRPr="006B6D7C">
        <w:t xml:space="preserve"> </w:t>
      </w:r>
      <w:r>
        <w:t>(</w:t>
      </w:r>
      <w:r w:rsidRPr="006B6D7C">
        <w:t>2012</w:t>
      </w:r>
      <w:r>
        <w:t>)</w:t>
      </w:r>
      <w:r w:rsidRPr="006B6D7C">
        <w:t xml:space="preserve"> 139</w:t>
      </w:r>
      <w:r>
        <w:rPr>
          <w:lang w:val="en-US"/>
        </w:rPr>
        <w:t xml:space="preserve"> </w:t>
      </w:r>
      <w:r w:rsidRPr="006B6D7C">
        <w:t xml:space="preserve">˂https://www.gibsondunn.com/wp-content/uploads/documents/publications/Alexiadis-BalancingtheApplicationofExPostandExAnteDisciplines.pdf˃ accessed </w:t>
      </w:r>
      <w:r>
        <w:t>9 October 2020</w:t>
      </w:r>
      <w:r w:rsidRPr="006B6D7C">
        <w:t>.</w:t>
      </w:r>
    </w:p>
  </w:footnote>
  <w:footnote w:id="238">
    <w:p w14:paraId="111C0256" w14:textId="607FD862"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Pr>
          <w:lang w:val="en-US"/>
        </w:rPr>
        <w:t>EECC</w:t>
      </w:r>
      <w:r w:rsidRPr="006B6D7C">
        <w:rPr>
          <w:lang w:val="en-US"/>
        </w:rPr>
        <w:t xml:space="preserve"> Directive, </w:t>
      </w:r>
      <w:r>
        <w:rPr>
          <w:lang w:val="en-US"/>
        </w:rPr>
        <w:t>a</w:t>
      </w:r>
      <w:r w:rsidRPr="006B6D7C">
        <w:rPr>
          <w:lang w:val="en-US"/>
        </w:rPr>
        <w:t>rt</w:t>
      </w:r>
      <w:r>
        <w:rPr>
          <w:lang w:val="en-US"/>
        </w:rPr>
        <w:t xml:space="preserve"> </w:t>
      </w:r>
      <w:r w:rsidRPr="00D330E2">
        <w:rPr>
          <w:lang w:val="en-US"/>
        </w:rPr>
        <w:t xml:space="preserve">69 to 74 and </w:t>
      </w:r>
      <w:r>
        <w:rPr>
          <w:lang w:val="en-US"/>
        </w:rPr>
        <w:t>a</w:t>
      </w:r>
      <w:r w:rsidRPr="00D330E2">
        <w:rPr>
          <w:lang w:val="en-US"/>
        </w:rPr>
        <w:t>rt 76 to 81</w:t>
      </w:r>
      <w:r w:rsidRPr="006B6D7C">
        <w:rPr>
          <w:lang w:val="en-US"/>
        </w:rPr>
        <w:t>.</w:t>
      </w:r>
    </w:p>
  </w:footnote>
  <w:footnote w:id="239">
    <w:p w14:paraId="7A9244F3" w14:textId="239D0A49" w:rsidR="005C0DC6" w:rsidRPr="006B6D7C" w:rsidRDefault="005C0DC6" w:rsidP="00A70042">
      <w:pPr>
        <w:pStyle w:val="FootnoteText"/>
        <w:ind w:left="426" w:hanging="426"/>
        <w:jc w:val="both"/>
      </w:pPr>
      <w:r w:rsidRPr="006B6D7C">
        <w:rPr>
          <w:rStyle w:val="FootnoteReference"/>
        </w:rPr>
        <w:footnoteRef/>
      </w:r>
      <w:r>
        <w:t xml:space="preserve"> </w:t>
      </w:r>
      <w:r>
        <w:tab/>
      </w:r>
      <w:r w:rsidRPr="007428E9">
        <w:t xml:space="preserve">Directive (EU) 2018/1972 of the European Parliament and of the Council of 11 December 2018 establishing the European Electronic Communications Code </w:t>
      </w:r>
      <w:r w:rsidRPr="00F305EF">
        <w:t xml:space="preserve">[2018] OJ L 321/36 </w:t>
      </w:r>
      <w:r w:rsidRPr="007428E9">
        <w:t>(</w:t>
      </w:r>
      <w:r>
        <w:t>‘</w:t>
      </w:r>
      <w:r w:rsidRPr="007428E9">
        <w:t>European Electronic Communications Code</w:t>
      </w:r>
      <w:r>
        <w:t>’</w:t>
      </w:r>
      <w:r w:rsidRPr="007428E9">
        <w:t xml:space="preserve"> </w:t>
      </w:r>
      <w:r>
        <w:t>or ‘</w:t>
      </w:r>
      <w:r w:rsidRPr="007428E9">
        <w:t>EECC</w:t>
      </w:r>
      <w:r>
        <w:t>’</w:t>
      </w:r>
      <w:r w:rsidRPr="007428E9">
        <w:t>)</w:t>
      </w:r>
      <w:r>
        <w:t xml:space="preserve"> a</w:t>
      </w:r>
      <w:r w:rsidRPr="006B6D7C">
        <w:t>rt</w:t>
      </w:r>
      <w:r>
        <w:t xml:space="preserve"> 39(3)</w:t>
      </w:r>
      <w:r w:rsidRPr="006B6D7C">
        <w:t>.</w:t>
      </w:r>
    </w:p>
  </w:footnote>
  <w:footnote w:id="240">
    <w:p w14:paraId="586C28D2" w14:textId="5AA04E76"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rPr>
          <w:lang w:val="en-US"/>
        </w:rPr>
        <w:t>See the section ‘6. Sector-specific regulations: Electronic communications law’.</w:t>
      </w:r>
    </w:p>
  </w:footnote>
  <w:footnote w:id="241">
    <w:p w14:paraId="4866D495" w14:textId="104DECB3" w:rsidR="005C0DC6" w:rsidRPr="006B6D7C" w:rsidRDefault="005C0DC6" w:rsidP="00A70042">
      <w:pPr>
        <w:pStyle w:val="FootnoteText"/>
        <w:ind w:left="426" w:hanging="426"/>
        <w:jc w:val="both"/>
        <w:rPr>
          <w:lang w:val="en-US"/>
        </w:rPr>
      </w:pPr>
      <w:r w:rsidRPr="006B6D7C">
        <w:rPr>
          <w:rStyle w:val="FootnoteReference"/>
        </w:rPr>
        <w:footnoteRef/>
      </w:r>
      <w:r w:rsidRPr="006B6D7C">
        <w:t xml:space="preserve"> </w:t>
      </w:r>
      <w:r>
        <w:tab/>
      </w:r>
      <w:r w:rsidRPr="006B6D7C">
        <w:t xml:space="preserve">Such instruments were even enhanced in number and type within the context of the Commission’s ECC Proposal published in September 2016. For the details see </w:t>
      </w:r>
      <w:r>
        <w:t xml:space="preserve">the section </w:t>
      </w:r>
      <w:r w:rsidRPr="006B6D7C">
        <w:t>‘6.2.2. Introduction of new ECS categories and reach of interoperability problems’.</w:t>
      </w:r>
    </w:p>
  </w:footnote>
  <w:footnote w:id="242">
    <w:p w14:paraId="2BF63F3B" w14:textId="75D16210" w:rsidR="005C0DC6" w:rsidRPr="006B6D7C" w:rsidRDefault="005C0DC6" w:rsidP="00A70042">
      <w:pPr>
        <w:pStyle w:val="FootnoteText"/>
        <w:ind w:left="426" w:hanging="426"/>
        <w:jc w:val="both"/>
        <w:rPr>
          <w:lang w:eastAsia="tr-TR"/>
        </w:rPr>
      </w:pPr>
      <w:r w:rsidRPr="006B6D7C">
        <w:rPr>
          <w:rStyle w:val="FootnoteReference"/>
        </w:rPr>
        <w:footnoteRef/>
      </w:r>
      <w:r w:rsidRPr="006B6D7C">
        <w:t xml:space="preserve"> </w:t>
      </w:r>
      <w:r>
        <w:tab/>
        <w:t xml:space="preserve">See Articles 12-31 of the </w:t>
      </w:r>
      <w:r w:rsidRPr="006B6D7C">
        <w:t>GDPR (</w:t>
      </w:r>
      <w:r>
        <w:t xml:space="preserve">Regulation (EU) 2016/679 of the European Parliament and of the Council of 27 April 2016 on the protection of natural persons with regard to the processing of personal data and on the free movement of such data, and repealing Directive 95/46/EC [2016] OJ </w:t>
      </w:r>
      <w:r w:rsidRPr="00B14782">
        <w:t>L 119/1</w:t>
      </w:r>
      <w:r>
        <w:t xml:space="preserve"> (‘General Data Protection Regulation’ or ‘</w:t>
      </w:r>
      <w:r w:rsidRPr="006B6D7C">
        <w:rPr>
          <w:lang w:val="en-US"/>
        </w:rPr>
        <w:t>GDPR</w:t>
      </w:r>
      <w:r>
        <w:rPr>
          <w:lang w:val="en-US"/>
        </w:rPr>
        <w:t>’)</w:t>
      </w:r>
      <w:r w:rsidRPr="006B6D7C">
        <w:rPr>
          <w:lang w:val="en-US"/>
        </w:rPr>
        <w:t xml:space="preserve">, </w:t>
      </w:r>
      <w:r>
        <w:rPr>
          <w:lang w:val="en-US"/>
        </w:rPr>
        <w:t>a</w:t>
      </w:r>
      <w:r w:rsidRPr="006B6D7C">
        <w:rPr>
          <w:lang w:val="en-US"/>
        </w:rPr>
        <w:t xml:space="preserve">rt 4(1)).  </w:t>
      </w:r>
    </w:p>
  </w:footnote>
  <w:footnote w:id="243">
    <w:p w14:paraId="20E491E1" w14:textId="6BDA387E" w:rsidR="005C0DC6" w:rsidRPr="006B6D7C" w:rsidRDefault="005C0DC6" w:rsidP="00A70042">
      <w:pPr>
        <w:pStyle w:val="FootnoteText"/>
        <w:ind w:left="426" w:hanging="426"/>
        <w:jc w:val="both"/>
        <w:rPr>
          <w:lang w:val="en-US" w:eastAsia="tr-TR"/>
        </w:rPr>
      </w:pPr>
      <w:r w:rsidRPr="006B6D7C">
        <w:rPr>
          <w:rStyle w:val="FootnoteReference"/>
        </w:rPr>
        <w:footnoteRef/>
      </w:r>
      <w:r w:rsidRPr="006B6D7C">
        <w:t xml:space="preserve"> </w:t>
      </w:r>
      <w:r>
        <w:tab/>
      </w:r>
      <w:r w:rsidRPr="006B6D7C">
        <w:rPr>
          <w:lang w:val="en-US"/>
        </w:rPr>
        <w:t xml:space="preserve">Under </w:t>
      </w:r>
      <w:r>
        <w:rPr>
          <w:lang w:val="en-US"/>
        </w:rPr>
        <w:t xml:space="preserve">the </w:t>
      </w:r>
      <w:r w:rsidRPr="006B6D7C">
        <w:rPr>
          <w:lang w:val="en-US"/>
        </w:rPr>
        <w:t xml:space="preserve">GDPR ‘personal data’ is defined as </w:t>
      </w:r>
      <w:r w:rsidRPr="006B6D7C">
        <w:t>“</w:t>
      </w:r>
      <w:r w:rsidRPr="006B6D7C">
        <w:rPr>
          <w:lang w:val="en-US"/>
        </w:rPr>
        <w:t>any information relating to an identified or identifiable natural person (‘data subject’); an identifiable natural person is one who can be identified, directly or indirectly, in particular by reference to an identifier such as a name, an identification number, location data, an online identifier or to one or more factors specific to the physical, physiological, genetic, mental, economic, cultural or social identity of that natural person”</w:t>
      </w:r>
      <w:r>
        <w:rPr>
          <w:lang w:val="en-US"/>
        </w:rPr>
        <w:t xml:space="preserve"> (GDPR, art 4(1))</w:t>
      </w:r>
      <w:r w:rsidRPr="006B6D7C">
        <w:rPr>
          <w:lang w:val="en-US"/>
        </w:rPr>
        <w:t>.</w:t>
      </w:r>
    </w:p>
  </w:footnote>
  <w:footnote w:id="244">
    <w:p w14:paraId="7BBD173D" w14:textId="2DB61D94" w:rsidR="005C0DC6" w:rsidRPr="006B6D7C" w:rsidRDefault="005C0DC6" w:rsidP="00A70042">
      <w:pPr>
        <w:pStyle w:val="FootnoteText"/>
        <w:ind w:left="426" w:hanging="426"/>
        <w:jc w:val="both"/>
      </w:pPr>
      <w:r w:rsidRPr="006B6D7C">
        <w:rPr>
          <w:rStyle w:val="FootnoteReference"/>
        </w:rPr>
        <w:footnoteRef/>
      </w:r>
      <w:r w:rsidRPr="006B6D7C">
        <w:rPr>
          <w:rStyle w:val="FootnoteReference"/>
        </w:rPr>
        <w:t xml:space="preserve"> </w:t>
      </w:r>
      <w:r>
        <w:tab/>
      </w:r>
      <w:r w:rsidRPr="006B6D7C">
        <w:t>See Communication from the Commission to the European Parliament, the Council, the European Economic and Social Committee and the Committee of Regions COM</w:t>
      </w:r>
      <w:r>
        <w:t xml:space="preserve"> </w:t>
      </w:r>
      <w:r w:rsidRPr="006B6D7C">
        <w:t>(2015) 192 final.</w:t>
      </w:r>
    </w:p>
  </w:footnote>
  <w:footnote w:id="245">
    <w:p w14:paraId="20316956" w14:textId="5F4129D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Aysem Diker Vanberg, </w:t>
      </w:r>
      <w:r>
        <w:t>‘</w:t>
      </w:r>
      <w:r w:rsidRPr="006B6D7C">
        <w:t>The Right to Data Portability in the GDPR: What Lessons Can Be Learned from the EU Experience?</w:t>
      </w:r>
      <w:r>
        <w:t>’</w:t>
      </w:r>
      <w:r w:rsidRPr="006B6D7C">
        <w:t xml:space="preserve"> [2018] 21(7) Journal of Internet Law 11</w:t>
      </w:r>
      <w:r>
        <w:t>,</w:t>
      </w:r>
      <w:r w:rsidRPr="006B6D7C">
        <w:t xml:space="preserve"> 11.</w:t>
      </w:r>
    </w:p>
  </w:footnote>
  <w:footnote w:id="246">
    <w:p w14:paraId="22A2CA8E" w14:textId="23FCDF9B"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Aysem Diker Vanberg and Mehmet Bilal Unver, ‘The Right to Data Portability in the GDPR and EU Competition Law: Odd Couple or Dynamic Duo?’ [2017]</w:t>
      </w:r>
      <w:r>
        <w:t xml:space="preserve"> 8</w:t>
      </w:r>
      <w:r w:rsidRPr="006B6D7C">
        <w:t xml:space="preserve"> European Journal of Law and Technology 1</w:t>
      </w:r>
      <w:r>
        <w:t>,</w:t>
      </w:r>
      <w:r w:rsidRPr="006B6D7C">
        <w:t xml:space="preserve"> 2.</w:t>
      </w:r>
    </w:p>
  </w:footnote>
  <w:footnote w:id="247">
    <w:p w14:paraId="5A4179E8" w14:textId="371AF0A3" w:rsidR="005C0DC6" w:rsidRPr="006B6D7C" w:rsidRDefault="005C0DC6" w:rsidP="00A70042">
      <w:pPr>
        <w:pStyle w:val="FootnoteText"/>
        <w:ind w:left="426" w:hanging="426"/>
        <w:jc w:val="both"/>
      </w:pPr>
      <w:r w:rsidRPr="006B6D7C">
        <w:rPr>
          <w:rStyle w:val="FootnoteReference"/>
        </w:rPr>
        <w:footnoteRef/>
      </w:r>
      <w:r w:rsidRPr="006B6D7C">
        <w:t xml:space="preserve"> </w:t>
      </w:r>
      <w:r>
        <w:tab/>
        <w:t xml:space="preserve">The </w:t>
      </w:r>
      <w:r w:rsidRPr="006B6D7C">
        <w:t xml:space="preserve">GDPR, recital 68 and </w:t>
      </w:r>
      <w:r>
        <w:t>a</w:t>
      </w:r>
      <w:r w:rsidRPr="006B6D7C">
        <w:t>rt 20 1(a).</w:t>
      </w:r>
    </w:p>
  </w:footnote>
  <w:footnote w:id="248">
    <w:p w14:paraId="1CEEAEB2" w14:textId="1F8E60F4" w:rsidR="005C0DC6" w:rsidRPr="006B6D7C" w:rsidRDefault="005C0DC6" w:rsidP="00A70042">
      <w:pPr>
        <w:pStyle w:val="FootnoteText"/>
        <w:ind w:left="426" w:hanging="426"/>
        <w:jc w:val="both"/>
      </w:pPr>
      <w:r w:rsidRPr="006B6D7C">
        <w:rPr>
          <w:rStyle w:val="FootnoteReference"/>
        </w:rPr>
        <w:footnoteRef/>
      </w:r>
      <w:r w:rsidRPr="006B6D7C">
        <w:t xml:space="preserve"> </w:t>
      </w:r>
      <w:r>
        <w:tab/>
        <w:t xml:space="preserve">The </w:t>
      </w:r>
      <w:r w:rsidRPr="006B6D7C">
        <w:t>GDPR, recital 68.</w:t>
      </w:r>
    </w:p>
  </w:footnote>
  <w:footnote w:id="249">
    <w:p w14:paraId="0BB0AE58" w14:textId="6C197BC0"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rPr>
          <w:lang w:val="en-US"/>
        </w:rPr>
        <w:t xml:space="preserve">See also </w:t>
      </w:r>
      <w:r w:rsidRPr="006B6D7C">
        <w:t xml:space="preserve">Unver </w:t>
      </w:r>
      <w:r w:rsidRPr="006B6D7C">
        <w:rPr>
          <w:lang w:val="en-US"/>
        </w:rPr>
        <w:t xml:space="preserve">(n </w:t>
      </w:r>
      <w:r>
        <w:rPr>
          <w:lang w:val="en-US"/>
        </w:rPr>
        <w:t>30</w:t>
      </w:r>
      <w:r w:rsidRPr="006B6D7C">
        <w:rPr>
          <w:lang w:val="en-US"/>
        </w:rPr>
        <w:t>) 10</w:t>
      </w:r>
      <w:r>
        <w:rPr>
          <w:lang w:val="en-US"/>
        </w:rPr>
        <w:t>6</w:t>
      </w:r>
      <w:r w:rsidRPr="006B6D7C">
        <w:t>, reading</w:t>
      </w:r>
      <w:r>
        <w:t>;</w:t>
      </w:r>
      <w:r w:rsidRPr="006B6D7C">
        <w:t xml:space="preserve"> “it is apparent that ‘interoperability’ envisioned here is limited to data processing systems of the software platforms”.  </w:t>
      </w:r>
    </w:p>
  </w:footnote>
  <w:footnote w:id="250">
    <w:p w14:paraId="141D2AFB" w14:textId="20F98B90"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See Unver </w:t>
      </w:r>
      <w:r w:rsidRPr="006B6D7C">
        <w:rPr>
          <w:lang w:val="en-US"/>
        </w:rPr>
        <w:t xml:space="preserve">(n </w:t>
      </w:r>
      <w:r>
        <w:rPr>
          <w:lang w:val="en-US"/>
        </w:rPr>
        <w:t>30</w:t>
      </w:r>
      <w:r w:rsidRPr="006B6D7C">
        <w:rPr>
          <w:lang w:val="en-US"/>
        </w:rPr>
        <w:t>) 10</w:t>
      </w:r>
      <w:r>
        <w:rPr>
          <w:lang w:val="en-US"/>
        </w:rPr>
        <w:t>5-107</w:t>
      </w:r>
      <w:r w:rsidRPr="006B6D7C">
        <w:t>.</w:t>
      </w:r>
    </w:p>
  </w:footnote>
  <w:footnote w:id="251">
    <w:p w14:paraId="0CDD0BDB" w14:textId="206BD8B3"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See </w:t>
      </w:r>
      <w:r>
        <w:t>also inf</w:t>
      </w:r>
      <w:r w:rsidRPr="006B6D7C">
        <w:t xml:space="preserve">ra note </w:t>
      </w:r>
      <w:r w:rsidRPr="00571C82">
        <w:t>254</w:t>
      </w:r>
      <w:r w:rsidRPr="006B6D7C">
        <w:t>.</w:t>
      </w:r>
    </w:p>
  </w:footnote>
  <w:footnote w:id="252">
    <w:p w14:paraId="1EE17BCD" w14:textId="4AF1F546"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Gregory G. Wrobel, ‘Connecting Antitrust Standards to the Internet of Things’, [2014]</w:t>
      </w:r>
      <w:r>
        <w:t xml:space="preserve"> </w:t>
      </w:r>
      <w:r w:rsidRPr="006B6D7C">
        <w:t>29(1) Antitrust ABA</w:t>
      </w:r>
      <w:r>
        <w:t xml:space="preserve"> 62,</w:t>
      </w:r>
      <w:r w:rsidRPr="006B6D7C">
        <w:t xml:space="preserve"> 63.</w:t>
      </w:r>
    </w:p>
  </w:footnote>
  <w:footnote w:id="253">
    <w:p w14:paraId="4B571A46" w14:textId="3F5B5B91"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Ibid, 66.</w:t>
      </w:r>
    </w:p>
  </w:footnote>
  <w:footnote w:id="254">
    <w:p w14:paraId="6797CF1C" w14:textId="12A99F59" w:rsidR="005C0DC6" w:rsidRPr="006B6D7C" w:rsidRDefault="005C0DC6" w:rsidP="00A70042">
      <w:pPr>
        <w:pStyle w:val="FootnoteText"/>
        <w:ind w:left="426" w:hanging="426"/>
        <w:jc w:val="both"/>
      </w:pPr>
      <w:r w:rsidRPr="006B6D7C">
        <w:rPr>
          <w:rStyle w:val="FootnoteReference"/>
        </w:rPr>
        <w:footnoteRef/>
      </w:r>
      <w:r w:rsidRPr="006B6D7C">
        <w:t xml:space="preserve"> </w:t>
      </w:r>
      <w:r>
        <w:tab/>
      </w:r>
      <w:r w:rsidRPr="006B6D7C">
        <w:t xml:space="preserve">While </w:t>
      </w:r>
      <w:r>
        <w:t xml:space="preserve">the </w:t>
      </w:r>
      <w:r w:rsidRPr="006B6D7C">
        <w:t xml:space="preserve">lack of data portability has not been considered </w:t>
      </w:r>
      <w:r>
        <w:t xml:space="preserve">as </w:t>
      </w:r>
      <w:r w:rsidRPr="006B6D7C">
        <w:t>a</w:t>
      </w:r>
      <w:r>
        <w:t>n antitrust</w:t>
      </w:r>
      <w:r w:rsidRPr="006B6D7C">
        <w:t xml:space="preserve"> problem to be remedied so far, data portability would </w:t>
      </w:r>
      <w:r>
        <w:t>constitute</w:t>
      </w:r>
      <w:r w:rsidRPr="006B6D7C">
        <w:t xml:space="preserve"> the subject-matter of antitrust investigations</w:t>
      </w:r>
      <w:r>
        <w:t>,</w:t>
      </w:r>
      <w:r w:rsidRPr="006B6D7C">
        <w:t xml:space="preserve"> as happened in </w:t>
      </w:r>
      <w:r>
        <w:t xml:space="preserve">the </w:t>
      </w:r>
      <w:r w:rsidRPr="006B6D7C">
        <w:t xml:space="preserve">Google case, where one of the scrutinized issues was ‘whether Google has restricted the portability of online advertising data to competing online advertising platforms’ (European Commission, ‘Antitrust: Commission Probes Allegations of Antitrust Violations by Google’ (Press Release, IP/10/1624, 30 November 2010), &lt;http://europa.eu/rapid/press-release_IP-10-1624_en.htm&gt; accessed </w:t>
      </w:r>
      <w:r>
        <w:t>9 October 2020</w:t>
      </w:r>
      <w:r w:rsidRPr="006B6D7C">
        <w:t>).</w:t>
      </w:r>
      <w:r>
        <w:t xml:space="preserve"> Notwithstanding, a number of global players, namely Google, Microsoft, Facebook and Twitter have been involved in an open source project to facilitate portability of non-personal (See infra note 776). </w:t>
      </w:r>
    </w:p>
  </w:footnote>
  <w:footnote w:id="255">
    <w:p w14:paraId="45F163A7" w14:textId="17C2429A"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United Nations Conference on Trade and Development (UNCTAD) (Trade and Development Board Commission on Investment, Technology and Related Financial Issues), </w:t>
      </w:r>
      <w:r w:rsidRPr="00B32741">
        <w:rPr>
          <w:i/>
          <w:iCs/>
        </w:rPr>
        <w:t>Competition Policy and the Exercise of Intellectual Property Rights</w:t>
      </w:r>
      <w:r w:rsidRPr="002125BD">
        <w:t xml:space="preserve"> (Report by the UNCTAD </w:t>
      </w:r>
      <w:r>
        <w:t>S</w:t>
      </w:r>
      <w:r w:rsidRPr="002125BD">
        <w:t>ecretariat</w:t>
      </w:r>
      <w:r>
        <w:t>,</w:t>
      </w:r>
      <w:r w:rsidRPr="002125BD">
        <w:t xml:space="preserve"> 2008</w:t>
      </w:r>
      <w:r>
        <w:t>)</w:t>
      </w:r>
      <w:r w:rsidRPr="002125BD">
        <w:t xml:space="preserve">, 3, ˂http://unctad.org/en/Docs/c2clpd68_en.pdf˃ accessed </w:t>
      </w:r>
      <w:r>
        <w:t>9 October 2020</w:t>
      </w:r>
      <w:r w:rsidRPr="002125BD">
        <w:t>.</w:t>
      </w:r>
    </w:p>
  </w:footnote>
  <w:footnote w:id="256">
    <w:p w14:paraId="5888C885" w14:textId="4123D893"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Ibid, 4.</w:t>
      </w:r>
    </w:p>
  </w:footnote>
  <w:footnote w:id="257">
    <w:p w14:paraId="128181C4" w14:textId="1281C326"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Cornish, </w:t>
      </w:r>
      <w:r w:rsidRPr="002125BD">
        <w:t>Llewelyn and Aplin</w:t>
      </w:r>
      <w:r w:rsidRPr="002125BD">
        <w:rPr>
          <w:lang w:val="en-US"/>
        </w:rPr>
        <w:t xml:space="preserve"> (n 1</w:t>
      </w:r>
      <w:r>
        <w:rPr>
          <w:lang w:val="en-US"/>
        </w:rPr>
        <w:t>97</w:t>
      </w:r>
      <w:r w:rsidRPr="002125BD">
        <w:rPr>
          <w:lang w:val="en-US"/>
        </w:rPr>
        <w:t>) 6.</w:t>
      </w:r>
    </w:p>
  </w:footnote>
  <w:footnote w:id="258">
    <w:p w14:paraId="0D5C01D1" w14:textId="17283AEF"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Cornish, </w:t>
      </w:r>
      <w:r w:rsidRPr="002125BD">
        <w:t>Llewelyn and Aplin</w:t>
      </w:r>
      <w:r w:rsidRPr="002125BD">
        <w:rPr>
          <w:lang w:val="en-US"/>
        </w:rPr>
        <w:t xml:space="preserve"> (n 1</w:t>
      </w:r>
      <w:r>
        <w:rPr>
          <w:lang w:val="en-US"/>
        </w:rPr>
        <w:t>97</w:t>
      </w:r>
      <w:r w:rsidRPr="002125BD">
        <w:rPr>
          <w:lang w:val="en-US"/>
        </w:rPr>
        <w:t xml:space="preserve">) 3. </w:t>
      </w:r>
      <w:r>
        <w:rPr>
          <w:lang w:val="en-US"/>
        </w:rPr>
        <w:t xml:space="preserve">While there is a variety of IPRs, including </w:t>
      </w:r>
      <w:r w:rsidRPr="002125BD">
        <w:rPr>
          <w:lang w:val="en-US"/>
        </w:rPr>
        <w:t>industrial designs and trade</w:t>
      </w:r>
      <w:r>
        <w:rPr>
          <w:lang w:val="en-US"/>
        </w:rPr>
        <w:t>mark</w:t>
      </w:r>
      <w:r w:rsidRPr="002125BD">
        <w:rPr>
          <w:lang w:val="en-US"/>
        </w:rPr>
        <w:t>s</w:t>
      </w:r>
      <w:r>
        <w:rPr>
          <w:lang w:val="en-US"/>
        </w:rPr>
        <w:t>, for the purpose of this study, the analysis has been dedicated to copyrights, patents, trade secrets and databases</w:t>
      </w:r>
      <w:r w:rsidRPr="002125BD">
        <w:rPr>
          <w:lang w:val="en-US"/>
        </w:rPr>
        <w:t>.</w:t>
      </w:r>
    </w:p>
  </w:footnote>
  <w:footnote w:id="259">
    <w:p w14:paraId="1DBE5897" w14:textId="0D09056F" w:rsidR="005C0DC6" w:rsidRDefault="005C0DC6" w:rsidP="00A70042">
      <w:pPr>
        <w:pStyle w:val="FootnoteText"/>
        <w:ind w:left="426" w:hanging="426"/>
        <w:jc w:val="both"/>
      </w:pPr>
      <w:r>
        <w:rPr>
          <w:rStyle w:val="FootnoteReference"/>
        </w:rPr>
        <w:footnoteRef/>
      </w:r>
      <w:r>
        <w:t xml:space="preserve"> World Intellectual Property Organisation (WIPO), ‘</w:t>
      </w:r>
      <w:r w:rsidRPr="00D0740D">
        <w:t>What is a Trade Secret?</w:t>
      </w:r>
      <w:r>
        <w:t>’ &lt;</w:t>
      </w:r>
      <w:hyperlink r:id="rId8" w:history="1">
        <w:r w:rsidRPr="003B3821">
          <w:t>https://www.wipo.int/sme/en/ip_business/trade_secrets/trade_secrets.htm</w:t>
        </w:r>
      </w:hyperlink>
      <w:r w:rsidRPr="002125BD">
        <w:t xml:space="preserve">˃ accessed </w:t>
      </w:r>
      <w:r>
        <w:t>9 October 2020</w:t>
      </w:r>
      <w:r w:rsidRPr="002125BD">
        <w:t>.</w:t>
      </w:r>
    </w:p>
  </w:footnote>
  <w:footnote w:id="260">
    <w:p w14:paraId="2A594C08" w14:textId="4F158D50"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Ray Finkelstein, ‘Legal protection of business research and development: can it harm competition?’ in M Pittard, A L Monotti and J Duns (eds) </w:t>
      </w:r>
      <w:r w:rsidRPr="002125BD">
        <w:rPr>
          <w:i/>
          <w:lang w:val="en-US"/>
        </w:rPr>
        <w:t>Business, Innovation and the Law: Perspectives from Intellectual Property, Labour, Competition and Corporate Law</w:t>
      </w:r>
      <w:r w:rsidRPr="002125BD">
        <w:rPr>
          <w:lang w:val="en-US"/>
        </w:rPr>
        <w:t xml:space="preserve"> (Edward Elgar 2013) 252-253.</w:t>
      </w:r>
    </w:p>
  </w:footnote>
  <w:footnote w:id="261">
    <w:p w14:paraId="3EC6AB12" w14:textId="2E2238B6"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Cornish, </w:t>
      </w:r>
      <w:r w:rsidRPr="002125BD">
        <w:t>Llewelyn and Aplin</w:t>
      </w:r>
      <w:r w:rsidRPr="002125BD">
        <w:rPr>
          <w:lang w:val="en-US"/>
        </w:rPr>
        <w:t xml:space="preserve"> (n 1</w:t>
      </w:r>
      <w:r>
        <w:rPr>
          <w:lang w:val="en-US"/>
        </w:rPr>
        <w:t>97</w:t>
      </w:r>
      <w:r w:rsidRPr="002125BD">
        <w:rPr>
          <w:lang w:val="en-US"/>
        </w:rPr>
        <w:t>) 6.</w:t>
      </w:r>
    </w:p>
  </w:footnote>
  <w:footnote w:id="262">
    <w:p w14:paraId="669D950C" w14:textId="71E6593C"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Cornish, </w:t>
      </w:r>
      <w:r w:rsidRPr="002125BD">
        <w:t>Llewelyn and Aplin</w:t>
      </w:r>
      <w:r w:rsidRPr="002125BD">
        <w:rPr>
          <w:lang w:val="en-US"/>
        </w:rPr>
        <w:t xml:space="preserve"> (n 1</w:t>
      </w:r>
      <w:r>
        <w:rPr>
          <w:lang w:val="en-US"/>
        </w:rPr>
        <w:t>97</w:t>
      </w:r>
      <w:r w:rsidRPr="002125BD">
        <w:rPr>
          <w:lang w:val="en-US"/>
        </w:rPr>
        <w:t>) 7.</w:t>
      </w:r>
    </w:p>
  </w:footnote>
  <w:footnote w:id="263">
    <w:p w14:paraId="23C07DF7" w14:textId="1B2E3F1D" w:rsidR="005C0DC6" w:rsidRDefault="005C0DC6" w:rsidP="00B62395">
      <w:pPr>
        <w:pStyle w:val="FootnoteText"/>
        <w:ind w:left="426" w:hanging="426"/>
        <w:jc w:val="both"/>
      </w:pPr>
      <w:r>
        <w:rPr>
          <w:rStyle w:val="FootnoteReference"/>
        </w:rPr>
        <w:footnoteRef/>
      </w:r>
      <w:r>
        <w:t xml:space="preserve"> </w:t>
      </w:r>
      <w:r>
        <w:tab/>
        <w:t>Robin Mansell and W. Edward Steinmueller, ‘Intellectual property rights: the development of information infrastructures for the information society’ (A study carried out for the STOA programme of the European Parliament, Final Report, 1995) 1-2 &lt;</w:t>
      </w:r>
      <w:r w:rsidRPr="00492A25">
        <w:t>http://eprints.lse.ac.uk/24969/</w:t>
      </w:r>
      <w:r>
        <w:t>&gt; accessed 9 October 2020.</w:t>
      </w:r>
    </w:p>
  </w:footnote>
  <w:footnote w:id="264">
    <w:p w14:paraId="7CA5B56E" w14:textId="5EAED073" w:rsidR="005C0DC6" w:rsidRDefault="005C0DC6" w:rsidP="00B62395">
      <w:pPr>
        <w:pStyle w:val="FootnoteText"/>
        <w:ind w:left="426" w:hanging="426"/>
        <w:jc w:val="both"/>
      </w:pPr>
      <w:r>
        <w:rPr>
          <w:rStyle w:val="FootnoteReference"/>
        </w:rPr>
        <w:footnoteRef/>
      </w:r>
      <w:r>
        <w:t xml:space="preserve"> </w:t>
      </w:r>
      <w:r>
        <w:tab/>
        <w:t>Boyle (n 174) 7. It is rightfully established by the scholars that “[C]</w:t>
      </w:r>
      <w:r w:rsidRPr="00597544">
        <w:t xml:space="preserve">opyright law, </w:t>
      </w:r>
      <w:r>
        <w:t>(…)</w:t>
      </w:r>
      <w:r w:rsidRPr="00597544">
        <w:t xml:space="preserve"> mediates two conflicting public interests: the public interest in maximizing the production of information, and the public interest in providing maximum access to information</w:t>
      </w:r>
      <w:r>
        <w:t xml:space="preserve">”. (Niva Elkin-Koren, ‘Public/Private and Copyright Reform in Cyberspace’ (1996) 2(2) Journal of Computer-Mediated Communication, referring to </w:t>
      </w:r>
      <w:r w:rsidRPr="00597544">
        <w:t>Mark Rose, Authors and Owners</w:t>
      </w:r>
      <w:r>
        <w:t xml:space="preserve"> (</w:t>
      </w:r>
      <w:r w:rsidRPr="00597544">
        <w:t>Harvard University Press</w:t>
      </w:r>
      <w:r>
        <w:t xml:space="preserve"> </w:t>
      </w:r>
      <w:r w:rsidRPr="00597544">
        <w:t>1992</w:t>
      </w:r>
      <w:r>
        <w:t>)</w:t>
      </w:r>
      <w:r w:rsidRPr="00597544">
        <w:t xml:space="preserve"> 140</w:t>
      </w:r>
      <w:r>
        <w:t xml:space="preserve"> &lt;</w:t>
      </w:r>
      <w:hyperlink r:id="rId9" w:history="1">
        <w:r w:rsidRPr="00287244">
          <w:t>https://doi.org/10.1111/j.1083-6101.1996.tb00059.x</w:t>
        </w:r>
      </w:hyperlink>
      <w:r>
        <w:t>&gt; accessed 9 October 2020).</w:t>
      </w:r>
    </w:p>
  </w:footnote>
  <w:footnote w:id="265">
    <w:p w14:paraId="69A9E54D" w14:textId="0003427A" w:rsidR="005C0DC6" w:rsidRDefault="005C0DC6" w:rsidP="00B62395">
      <w:pPr>
        <w:pStyle w:val="FootnoteText"/>
        <w:ind w:left="426" w:hanging="426"/>
        <w:jc w:val="both"/>
      </w:pPr>
      <w:r>
        <w:rPr>
          <w:rStyle w:val="FootnoteReference"/>
        </w:rPr>
        <w:footnoteRef/>
      </w:r>
      <w:r>
        <w:t xml:space="preserve"> </w:t>
      </w:r>
      <w:r>
        <w:tab/>
        <w:t>Boyle (n 174) 7.</w:t>
      </w:r>
    </w:p>
  </w:footnote>
  <w:footnote w:id="266">
    <w:p w14:paraId="6B168139" w14:textId="05CFB3FC" w:rsidR="005C0DC6" w:rsidRDefault="005C0DC6">
      <w:pPr>
        <w:pStyle w:val="FootnoteText"/>
        <w:ind w:left="426" w:hanging="426"/>
        <w:jc w:val="both"/>
        <w:rPr>
          <w:lang w:val="en-US"/>
        </w:rPr>
      </w:pPr>
      <w:r>
        <w:rPr>
          <w:rStyle w:val="FootnoteReference"/>
        </w:rPr>
        <w:footnoteRef/>
      </w:r>
      <w:r>
        <w:t xml:space="preserve"> </w:t>
      </w:r>
      <w:r>
        <w:tab/>
        <w:t xml:space="preserve">Notably, IPRs themselves would qualify </w:t>
      </w:r>
      <w:r w:rsidRPr="00B92B7C">
        <w:t xml:space="preserve">as a barrier to entry </w:t>
      </w:r>
      <w:r>
        <w:t xml:space="preserve">under certain circumstances. This is argued to be so </w:t>
      </w:r>
      <w:r w:rsidRPr="00B92B7C">
        <w:t xml:space="preserve">when </w:t>
      </w:r>
      <w:r>
        <w:t>the IPRs</w:t>
      </w:r>
      <w:r w:rsidRPr="00B92B7C">
        <w:t xml:space="preserve"> raise the costs of potential infringers per se</w:t>
      </w:r>
      <w:r>
        <w:t xml:space="preserve"> (I. </w:t>
      </w:r>
      <w:r w:rsidRPr="00950D14">
        <w:t xml:space="preserve">Eagles and </w:t>
      </w:r>
      <w:r>
        <w:t xml:space="preserve">L. </w:t>
      </w:r>
      <w:r w:rsidRPr="00950D14">
        <w:t xml:space="preserve">Longdin, </w:t>
      </w:r>
      <w:r w:rsidRPr="00692824">
        <w:rPr>
          <w:i/>
          <w:iCs/>
        </w:rPr>
        <w:t>Refusals to License Intellectual Property: Testing the Limits of Law and Economics</w:t>
      </w:r>
      <w:r w:rsidRPr="00950D14">
        <w:t xml:space="preserve"> (Hart Publishing 2011)</w:t>
      </w:r>
      <w:r>
        <w:t xml:space="preserve"> 99)</w:t>
      </w:r>
      <w:r w:rsidRPr="002125BD">
        <w:rPr>
          <w:lang w:val="en-US"/>
        </w:rPr>
        <w:t>.</w:t>
      </w:r>
      <w:r>
        <w:rPr>
          <w:lang w:val="en-US"/>
        </w:rPr>
        <w:t xml:space="preserve"> According to Eagles and Longdin, t</w:t>
      </w:r>
      <w:r w:rsidRPr="00EF47DC">
        <w:rPr>
          <w:lang w:val="en-US"/>
        </w:rPr>
        <w:t>his is most likely to occur when the right in question is used in such a way as to:</w:t>
      </w:r>
    </w:p>
    <w:p w14:paraId="59686091" w14:textId="77777777" w:rsidR="005C0DC6" w:rsidRDefault="005C0DC6" w:rsidP="00B92B7C">
      <w:pPr>
        <w:pStyle w:val="FootnoteText"/>
        <w:numPr>
          <w:ilvl w:val="0"/>
          <w:numId w:val="28"/>
        </w:numPr>
        <w:ind w:left="709" w:hanging="284"/>
        <w:jc w:val="both"/>
        <w:rPr>
          <w:lang w:val="en-US"/>
        </w:rPr>
      </w:pPr>
      <w:r w:rsidRPr="00EF47DC">
        <w:rPr>
          <w:lang w:val="en-US"/>
        </w:rPr>
        <w:t>inhibit the creation of new markets by limiting derivative or developmental use of protected products or processes;</w:t>
      </w:r>
    </w:p>
    <w:p w14:paraId="72CB637C" w14:textId="77777777" w:rsidR="005C0DC6" w:rsidRDefault="005C0DC6" w:rsidP="00B92B7C">
      <w:pPr>
        <w:pStyle w:val="FootnoteText"/>
        <w:numPr>
          <w:ilvl w:val="0"/>
          <w:numId w:val="28"/>
        </w:numPr>
        <w:ind w:left="709" w:hanging="284"/>
        <w:jc w:val="both"/>
        <w:rPr>
          <w:lang w:val="en-US"/>
        </w:rPr>
      </w:pPr>
      <w:r w:rsidRPr="00EF47DC">
        <w:rPr>
          <w:lang w:val="en-US"/>
        </w:rPr>
        <w:t>facilitate market segmentation by erecting geographic obstacles to product movement;</w:t>
      </w:r>
    </w:p>
    <w:p w14:paraId="5310E549" w14:textId="1DC6BBEF" w:rsidR="005C0DC6" w:rsidRPr="00692824" w:rsidRDefault="005C0DC6" w:rsidP="00692824">
      <w:pPr>
        <w:pStyle w:val="FootnoteText"/>
        <w:numPr>
          <w:ilvl w:val="0"/>
          <w:numId w:val="28"/>
        </w:numPr>
        <w:ind w:left="709" w:hanging="284"/>
        <w:jc w:val="both"/>
        <w:rPr>
          <w:lang w:val="en-US"/>
        </w:rPr>
      </w:pPr>
      <w:r w:rsidRPr="00B56ABB">
        <w:rPr>
          <w:lang w:val="en-US"/>
        </w:rPr>
        <w:t>permit right</w:t>
      </w:r>
      <w:r>
        <w:rPr>
          <w:lang w:val="en-US"/>
        </w:rPr>
        <w:t>s</w:t>
      </w:r>
      <w:r w:rsidRPr="00B56ABB">
        <w:rPr>
          <w:lang w:val="en-US"/>
        </w:rPr>
        <w:t xml:space="preserve"> holders to use the power conferred by the right to deter entry into markets not covered by the right, or requiring would-be entrants to enter all markets simultaneously or not at all (</w:t>
      </w:r>
      <w:r>
        <w:rPr>
          <w:lang w:val="en-US"/>
        </w:rPr>
        <w:t>Ibid,</w:t>
      </w:r>
      <w:r w:rsidRPr="00B56ABB">
        <w:rPr>
          <w:lang w:val="en-US"/>
        </w:rPr>
        <w:t xml:space="preserve"> 99-100).</w:t>
      </w:r>
    </w:p>
  </w:footnote>
  <w:footnote w:id="267">
    <w:p w14:paraId="466BE073" w14:textId="2CFA38B3" w:rsidR="005C0DC6" w:rsidRPr="00A70042" w:rsidRDefault="005C0DC6" w:rsidP="00A70042">
      <w:pPr>
        <w:pStyle w:val="FootnoteText"/>
        <w:ind w:left="426" w:hanging="426"/>
        <w:jc w:val="both"/>
        <w:rPr>
          <w:spacing w:val="-2"/>
        </w:rPr>
      </w:pPr>
      <w:r w:rsidRPr="00A70042">
        <w:rPr>
          <w:rStyle w:val="FootnoteReference"/>
          <w:spacing w:val="-2"/>
        </w:rPr>
        <w:footnoteRef/>
      </w:r>
      <w:r w:rsidRPr="00A70042">
        <w:rPr>
          <w:spacing w:val="-2"/>
        </w:rPr>
        <w:t xml:space="preserve"> </w:t>
      </w:r>
      <w:r w:rsidRPr="00A70042">
        <w:rPr>
          <w:spacing w:val="-2"/>
        </w:rPr>
        <w:tab/>
        <w:t>Such kinds of works as progressively extended and categorised so as to cover dramatic and artistic works set the ground for delineated areas of protection; yet each area of copyright protection requires standard criteria, e.g. originality. Behind this lies the root requirement that sufficient “skill, judgement and labour”, or “selection, judgement and experience”, or “labour, skill and capital”, be expended by the author in creating the work (</w:t>
      </w:r>
      <w:r w:rsidRPr="00A70042">
        <w:rPr>
          <w:spacing w:val="-2"/>
          <w:lang w:val="en-US"/>
        </w:rPr>
        <w:t xml:space="preserve">Cornish, </w:t>
      </w:r>
      <w:r w:rsidRPr="00A70042">
        <w:rPr>
          <w:spacing w:val="-2"/>
        </w:rPr>
        <w:t>Llewelyn and Aplin</w:t>
      </w:r>
      <w:r w:rsidRPr="00A70042">
        <w:rPr>
          <w:spacing w:val="-2"/>
          <w:lang w:val="en-US"/>
        </w:rPr>
        <w:t xml:space="preserve"> (n 1</w:t>
      </w:r>
      <w:r>
        <w:rPr>
          <w:spacing w:val="-2"/>
          <w:lang w:val="en-US"/>
        </w:rPr>
        <w:t>97</w:t>
      </w:r>
      <w:r w:rsidRPr="00A70042">
        <w:rPr>
          <w:spacing w:val="-2"/>
          <w:lang w:val="en-US"/>
        </w:rPr>
        <w:t>)</w:t>
      </w:r>
      <w:r w:rsidRPr="00A70042">
        <w:rPr>
          <w:spacing w:val="-2"/>
        </w:rPr>
        <w:t xml:space="preserve"> 435).</w:t>
      </w:r>
    </w:p>
  </w:footnote>
  <w:footnote w:id="268">
    <w:p w14:paraId="338E759E" w14:textId="165E0611"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Weston (n </w:t>
      </w:r>
      <w:r>
        <w:t>13</w:t>
      </w:r>
      <w:r w:rsidRPr="002125BD">
        <w:t>) 197.</w:t>
      </w:r>
    </w:p>
  </w:footnote>
  <w:footnote w:id="269">
    <w:p w14:paraId="7B430011" w14:textId="1CD57106"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Berne Convention for the protection of Literary and Artistic Works, (as amended on Septemb</w:t>
      </w:r>
      <w:r>
        <w:t>er 28, 1979) (Berne Convention)</w:t>
      </w:r>
      <w:r w:rsidRPr="002125BD">
        <w:t xml:space="preserve">. </w:t>
      </w:r>
    </w:p>
  </w:footnote>
  <w:footnote w:id="270">
    <w:p w14:paraId="54668BED" w14:textId="2B46E36E" w:rsidR="005C0DC6" w:rsidRPr="00A70042" w:rsidRDefault="005C0DC6" w:rsidP="00A70042">
      <w:pPr>
        <w:pStyle w:val="FootnoteText"/>
        <w:ind w:left="426" w:hanging="426"/>
        <w:jc w:val="both"/>
        <w:rPr>
          <w:spacing w:val="-4"/>
          <w:lang w:val="en-US"/>
        </w:rPr>
      </w:pPr>
      <w:r w:rsidRPr="00A70042">
        <w:rPr>
          <w:rStyle w:val="FootnoteReference"/>
          <w:spacing w:val="-4"/>
        </w:rPr>
        <w:footnoteRef/>
      </w:r>
      <w:r w:rsidRPr="00A70042">
        <w:rPr>
          <w:spacing w:val="-4"/>
        </w:rPr>
        <w:t xml:space="preserve"> </w:t>
      </w:r>
      <w:r w:rsidRPr="00A70042">
        <w:rPr>
          <w:spacing w:val="-4"/>
        </w:rPr>
        <w:tab/>
        <w:t>See the European Commission, ‘Digital Single Market: The EU copyright legislation’ (28 August 2015) ˂https://ec.europa.eu/digital-single-market/en/eu-copyright-legislation</w:t>
      </w:r>
      <w:bookmarkStart w:id="284" w:name="_Hlk13141937"/>
      <w:r w:rsidRPr="00A70042">
        <w:rPr>
          <w:spacing w:val="-4"/>
        </w:rPr>
        <w:t xml:space="preserve">˃ accessed </w:t>
      </w:r>
      <w:r>
        <w:rPr>
          <w:spacing w:val="-4"/>
        </w:rPr>
        <w:t>9 October 2020</w:t>
      </w:r>
      <w:r w:rsidRPr="00A70042">
        <w:rPr>
          <w:spacing w:val="-4"/>
        </w:rPr>
        <w:t xml:space="preserve">. </w:t>
      </w:r>
      <w:bookmarkEnd w:id="284"/>
    </w:p>
  </w:footnote>
  <w:footnote w:id="271">
    <w:p w14:paraId="7D12F7C2" w14:textId="3A079F5A"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t xml:space="preserve">See supra note </w:t>
      </w:r>
      <w:r w:rsidRPr="00287244">
        <w:t>70</w:t>
      </w:r>
      <w:r w:rsidRPr="002125BD">
        <w:rPr>
          <w:lang w:val="en-US"/>
        </w:rPr>
        <w:t>.</w:t>
      </w:r>
    </w:p>
  </w:footnote>
  <w:footnote w:id="272">
    <w:p w14:paraId="5BB7C68F" w14:textId="2698D2E1"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Pr>
          <w:lang w:val="en-US"/>
        </w:rPr>
        <w:t>However</w:t>
      </w:r>
      <w:r w:rsidRPr="002125BD">
        <w:rPr>
          <w:lang w:val="en-US"/>
        </w:rPr>
        <w:t xml:space="preserve">, the recitals 28 and 29 compromise this </w:t>
      </w:r>
      <w:r>
        <w:rPr>
          <w:lang w:val="en-US"/>
        </w:rPr>
        <w:t>argument</w:t>
      </w:r>
      <w:r w:rsidRPr="002125BD">
        <w:rPr>
          <w:lang w:val="en-US"/>
        </w:rPr>
        <w:t xml:space="preserve"> as the former reads</w:t>
      </w:r>
      <w:r>
        <w:rPr>
          <w:lang w:val="en-US"/>
        </w:rPr>
        <w:t>:</w:t>
      </w:r>
      <w:r w:rsidRPr="002125BD">
        <w:rPr>
          <w:lang w:val="en-US"/>
        </w:rPr>
        <w:t xml:space="preserve"> </w:t>
      </w:r>
      <w:r w:rsidRPr="002125BD">
        <w:t>“</w:t>
      </w:r>
      <w:r w:rsidRPr="002125BD">
        <w:rPr>
          <w:lang w:val="en-US"/>
        </w:rPr>
        <w:t>Copyright protection under this Directive includes the exclusive right to control distribution of the work incorporated in a tangible article”</w:t>
      </w:r>
      <w:r>
        <w:rPr>
          <w:lang w:val="en-US"/>
        </w:rPr>
        <w:t>.</w:t>
      </w:r>
      <w:r w:rsidRPr="002125BD">
        <w:rPr>
          <w:lang w:val="en-US"/>
        </w:rPr>
        <w:t xml:space="preserve"> </w:t>
      </w:r>
      <w:r>
        <w:rPr>
          <w:lang w:val="en-US"/>
        </w:rPr>
        <w:t>Whereas</w:t>
      </w:r>
      <w:r w:rsidRPr="002125BD">
        <w:rPr>
          <w:lang w:val="en-US"/>
        </w:rPr>
        <w:t xml:space="preserve"> the latter read</w:t>
      </w:r>
      <w:r>
        <w:rPr>
          <w:lang w:val="en-US"/>
        </w:rPr>
        <w:t>s:</w:t>
      </w:r>
      <w:r w:rsidRPr="002125BD">
        <w:rPr>
          <w:lang w:val="en-US"/>
        </w:rPr>
        <w:t xml:space="preserve"> “The question of exhaustion does not arise in the case of services and on-line services in particular”.  </w:t>
      </w:r>
    </w:p>
  </w:footnote>
  <w:footnote w:id="273">
    <w:p w14:paraId="34494A2B" w14:textId="4FDEC5EC"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Mireille Van Eechoud, P. Bernt Hugenholtz, Stef van Gompel, Lucie Guibault and Natali Helberger, </w:t>
      </w:r>
      <w:r w:rsidRPr="002125BD">
        <w:rPr>
          <w:i/>
          <w:lang w:val="en-US"/>
        </w:rPr>
        <w:t xml:space="preserve">Harmonizing European Copyright Law: The Challenges of Better Lawmaking </w:t>
      </w:r>
      <w:r w:rsidRPr="002125BD">
        <w:rPr>
          <w:lang w:val="en-US"/>
        </w:rPr>
        <w:t>(Kluwer Law International 2009) 9.</w:t>
      </w:r>
    </w:p>
  </w:footnote>
  <w:footnote w:id="274">
    <w:p w14:paraId="7AAF34E0" w14:textId="305BD3D0"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Bernd Justin J</w:t>
      </w:r>
      <w:r w:rsidRPr="002125BD">
        <w:rPr>
          <w:lang w:val="tr-TR"/>
        </w:rPr>
        <w:t>ütte</w:t>
      </w:r>
      <w:r w:rsidRPr="002125BD">
        <w:t>, Reconstructing European Copyright Law for the Digital Single Market: Between Old Paradigm and Digital Challenges (Hart Publishing 2017)</w:t>
      </w:r>
      <w:r w:rsidRPr="002125BD">
        <w:rPr>
          <w:lang w:val="en-US"/>
        </w:rPr>
        <w:t xml:space="preserve"> 112-113.</w:t>
      </w:r>
      <w:r>
        <w:rPr>
          <w:lang w:val="en-US"/>
        </w:rPr>
        <w:t xml:space="preserve"> </w:t>
      </w:r>
      <w:r w:rsidRPr="002125BD">
        <w:t>Article 2</w:t>
      </w:r>
      <w:r>
        <w:t xml:space="preserve"> of the </w:t>
      </w:r>
      <w:r w:rsidRPr="002125BD">
        <w:t xml:space="preserve">InfoSoc Directive </w:t>
      </w:r>
      <w:r>
        <w:rPr>
          <w:lang w:val="en-US"/>
        </w:rPr>
        <w:t>illustrates this generic scope. Indeed</w:t>
      </w:r>
      <w:r w:rsidRPr="001A03DF">
        <w:rPr>
          <w:lang w:val="en-US"/>
        </w:rPr>
        <w:t xml:space="preserve">, the reproduction right enshrined </w:t>
      </w:r>
      <w:r>
        <w:rPr>
          <w:lang w:val="en-US"/>
        </w:rPr>
        <w:t>there</w:t>
      </w:r>
      <w:r w:rsidRPr="001A03DF">
        <w:rPr>
          <w:lang w:val="en-US"/>
        </w:rPr>
        <w:t>under covers “direct or indirect, temporary or permanent reproduction[s] by any means and in any form, in whole or in part”.</w:t>
      </w:r>
    </w:p>
  </w:footnote>
  <w:footnote w:id="275">
    <w:p w14:paraId="2E8C6CBD" w14:textId="598FC72E"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Article 114 </w:t>
      </w:r>
      <w:r>
        <w:rPr>
          <w:lang w:val="en-US"/>
        </w:rPr>
        <w:t xml:space="preserve">of the </w:t>
      </w:r>
      <w:r w:rsidRPr="002125BD">
        <w:rPr>
          <w:lang w:val="en-US"/>
        </w:rPr>
        <w:t>TFEU grants power</w:t>
      </w:r>
      <w:r>
        <w:rPr>
          <w:lang w:val="en-US"/>
        </w:rPr>
        <w:t>s</w:t>
      </w:r>
      <w:r w:rsidRPr="002125BD">
        <w:rPr>
          <w:lang w:val="en-US"/>
        </w:rPr>
        <w:t xml:space="preserve"> to harmonize the laws of the Member States to the extent required for the functioning of the internal market (See Van Eechoud </w:t>
      </w:r>
      <w:r>
        <w:rPr>
          <w:lang w:val="en-US"/>
        </w:rPr>
        <w:t>et al</w:t>
      </w:r>
      <w:r w:rsidRPr="002125BD">
        <w:rPr>
          <w:lang w:val="en-US"/>
        </w:rPr>
        <w:t xml:space="preserve"> (n 2</w:t>
      </w:r>
      <w:r>
        <w:rPr>
          <w:lang w:val="en-US"/>
        </w:rPr>
        <w:t>73</w:t>
      </w:r>
      <w:r w:rsidRPr="002125BD">
        <w:rPr>
          <w:lang w:val="en-US"/>
        </w:rPr>
        <w:t>) 13).</w:t>
      </w:r>
    </w:p>
  </w:footnote>
  <w:footnote w:id="276">
    <w:p w14:paraId="5C344FC5" w14:textId="7BD90FD7"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t>J</w:t>
      </w:r>
      <w:r w:rsidRPr="002125BD">
        <w:rPr>
          <w:lang w:val="tr-TR"/>
        </w:rPr>
        <w:t>ütte (n 2</w:t>
      </w:r>
      <w:r>
        <w:rPr>
          <w:lang w:val="tr-TR"/>
        </w:rPr>
        <w:t>74</w:t>
      </w:r>
      <w:r w:rsidRPr="002125BD">
        <w:rPr>
          <w:lang w:val="tr-TR"/>
        </w:rPr>
        <w:t>)</w:t>
      </w:r>
      <w:r w:rsidRPr="002125BD">
        <w:t xml:space="preserve"> 116-117. </w:t>
      </w:r>
    </w:p>
  </w:footnote>
  <w:footnote w:id="277">
    <w:p w14:paraId="5DE532D9" w14:textId="5141AD08"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J</w:t>
      </w:r>
      <w:r w:rsidRPr="002125BD">
        <w:rPr>
          <w:lang w:val="tr-TR"/>
        </w:rPr>
        <w:t>ütte (n 2</w:t>
      </w:r>
      <w:r>
        <w:rPr>
          <w:lang w:val="tr-TR"/>
        </w:rPr>
        <w:t>74</w:t>
      </w:r>
      <w:r w:rsidRPr="002125BD">
        <w:rPr>
          <w:lang w:val="tr-TR"/>
        </w:rPr>
        <w:t>)</w:t>
      </w:r>
      <w:r w:rsidRPr="002125BD">
        <w:rPr>
          <w:lang w:val="en-US"/>
        </w:rPr>
        <w:t xml:space="preserve"> 113.</w:t>
      </w:r>
    </w:p>
  </w:footnote>
  <w:footnote w:id="278">
    <w:p w14:paraId="3CDC9975" w14:textId="5F97E48B"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J</w:t>
      </w:r>
      <w:r w:rsidRPr="002125BD">
        <w:rPr>
          <w:lang w:val="tr-TR"/>
        </w:rPr>
        <w:t>ütte (n 2</w:t>
      </w:r>
      <w:r>
        <w:rPr>
          <w:lang w:val="tr-TR"/>
        </w:rPr>
        <w:t>74</w:t>
      </w:r>
      <w:r w:rsidRPr="002125BD">
        <w:rPr>
          <w:lang w:val="tr-TR"/>
        </w:rPr>
        <w:t>)</w:t>
      </w:r>
      <w:r w:rsidRPr="002125BD">
        <w:rPr>
          <w:lang w:val="en-US"/>
        </w:rPr>
        <w:t xml:space="preserve"> 113.</w:t>
      </w:r>
    </w:p>
  </w:footnote>
  <w:footnote w:id="279">
    <w:p w14:paraId="75F7E32F" w14:textId="6127A420"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J</w:t>
      </w:r>
      <w:r w:rsidRPr="002125BD">
        <w:rPr>
          <w:lang w:val="tr-TR"/>
        </w:rPr>
        <w:t>ütte (n 2</w:t>
      </w:r>
      <w:r>
        <w:rPr>
          <w:lang w:val="tr-TR"/>
        </w:rPr>
        <w:t>74</w:t>
      </w:r>
      <w:r w:rsidRPr="002125BD">
        <w:rPr>
          <w:lang w:val="tr-TR"/>
        </w:rPr>
        <w:t>)</w:t>
      </w:r>
      <w:r w:rsidRPr="002125BD">
        <w:rPr>
          <w:lang w:val="en-US"/>
        </w:rPr>
        <w:t xml:space="preserve"> 113.</w:t>
      </w:r>
    </w:p>
  </w:footnote>
  <w:footnote w:id="280">
    <w:p w14:paraId="41D37F6E" w14:textId="48D05496"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For de</w:t>
      </w:r>
      <w:r>
        <w:t>scription</w:t>
      </w:r>
      <w:r w:rsidRPr="002125BD">
        <w:t xml:space="preserve"> </w:t>
      </w:r>
      <w:r>
        <w:t>of</w:t>
      </w:r>
      <w:r w:rsidRPr="002125BD">
        <w:t xml:space="preserve"> c</w:t>
      </w:r>
      <w:r>
        <w:t>omputer programs see supra note</w:t>
      </w:r>
      <w:r w:rsidRPr="002125BD">
        <w:t xml:space="preserve"> 1</w:t>
      </w:r>
      <w:r>
        <w:t>96</w:t>
      </w:r>
      <w:r w:rsidRPr="002125BD">
        <w:t>.</w:t>
      </w:r>
    </w:p>
  </w:footnote>
  <w:footnote w:id="281">
    <w:p w14:paraId="69CC7474" w14:textId="740C50ED" w:rsidR="005C0DC6" w:rsidRPr="002125BD" w:rsidRDefault="005C0DC6" w:rsidP="00A70042">
      <w:pPr>
        <w:pStyle w:val="FootnoteText"/>
        <w:ind w:left="426" w:hanging="426"/>
        <w:jc w:val="both"/>
      </w:pPr>
      <w:r w:rsidRPr="002125BD">
        <w:rPr>
          <w:rStyle w:val="FootnoteReference"/>
        </w:rPr>
        <w:footnoteRef/>
      </w:r>
      <w:r w:rsidRPr="002125BD">
        <w:t xml:space="preserve"> </w:t>
      </w:r>
      <w:r>
        <w:tab/>
        <w:t xml:space="preserve">TRIPS </w:t>
      </w:r>
      <w:r w:rsidRPr="002125BD">
        <w:t xml:space="preserve">Agreement, </w:t>
      </w:r>
      <w:r>
        <w:t>a</w:t>
      </w:r>
      <w:r w:rsidRPr="002125BD">
        <w:t xml:space="preserve">rt 10; WIPO Copyright Treaty, </w:t>
      </w:r>
      <w:r>
        <w:t>art</w:t>
      </w:r>
      <w:r w:rsidRPr="002125BD">
        <w:t xml:space="preserve"> 4.</w:t>
      </w:r>
    </w:p>
  </w:footnote>
  <w:footnote w:id="282">
    <w:p w14:paraId="639C69A5" w14:textId="7B49ED15"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lang w:val="en-US"/>
        </w:rPr>
        <w:t xml:space="preserve">Cornish, </w:t>
      </w:r>
      <w:r w:rsidRPr="002125BD">
        <w:t>Llewelyn and Aplin</w:t>
      </w:r>
      <w:r w:rsidRPr="002125BD">
        <w:rPr>
          <w:lang w:val="en-US"/>
        </w:rPr>
        <w:t xml:space="preserve"> (n 1</w:t>
      </w:r>
      <w:r>
        <w:rPr>
          <w:lang w:val="en-US"/>
        </w:rPr>
        <w:t>97</w:t>
      </w:r>
      <w:r w:rsidRPr="002125BD">
        <w:rPr>
          <w:lang w:val="en-US"/>
        </w:rPr>
        <w:t>)</w:t>
      </w:r>
      <w:r w:rsidRPr="002125BD">
        <w:t xml:space="preserve"> 821.</w:t>
      </w:r>
      <w:r>
        <w:t xml:space="preserve"> See also the section ‘</w:t>
      </w:r>
      <w:r w:rsidRPr="00585E34">
        <w:t>3.1.3.</w:t>
      </w:r>
      <w:r>
        <w:t xml:space="preserve"> </w:t>
      </w:r>
      <w:r w:rsidRPr="00585E34">
        <w:t xml:space="preserve">Copyrightability of interfaces: Analysis through the lens of </w:t>
      </w:r>
      <w:r w:rsidRPr="000C31DB">
        <w:rPr>
          <w:i/>
          <w:iCs/>
        </w:rPr>
        <w:t xml:space="preserve">Softwarová </w:t>
      </w:r>
      <w:r w:rsidRPr="000C31DB">
        <w:t>and</w:t>
      </w:r>
      <w:r w:rsidRPr="000C31DB">
        <w:rPr>
          <w:i/>
          <w:iCs/>
        </w:rPr>
        <w:t xml:space="preserve"> SAS v WPL</w:t>
      </w:r>
      <w:r w:rsidRPr="00585E34">
        <w:t xml:space="preserve"> cases</w:t>
      </w:r>
      <w:r>
        <w:t>’.</w:t>
      </w:r>
    </w:p>
  </w:footnote>
  <w:footnote w:id="283">
    <w:p w14:paraId="028DC12D" w14:textId="5E1942BA"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The program must be recorded in writing or otherwise; but this is defined to include writing code, not necessarily by hand, and “regardless of the method by which, or medium in or on which, it is recorded” (</w:t>
      </w:r>
      <w:r w:rsidRPr="002125BD">
        <w:rPr>
          <w:lang w:val="en-US"/>
        </w:rPr>
        <w:t xml:space="preserve">Cornish, </w:t>
      </w:r>
      <w:r w:rsidRPr="002125BD">
        <w:t>Llewelyn and Aplin</w:t>
      </w:r>
      <w:r w:rsidRPr="002125BD">
        <w:rPr>
          <w:lang w:val="en-US"/>
        </w:rPr>
        <w:t xml:space="preserve"> (n 1</w:t>
      </w:r>
      <w:r>
        <w:rPr>
          <w:lang w:val="en-US"/>
        </w:rPr>
        <w:t>97</w:t>
      </w:r>
      <w:r w:rsidRPr="002125BD">
        <w:rPr>
          <w:lang w:val="en-US"/>
        </w:rPr>
        <w:t>)</w:t>
      </w:r>
      <w:r w:rsidRPr="002125BD">
        <w:t xml:space="preserve"> 435).</w:t>
      </w:r>
    </w:p>
  </w:footnote>
  <w:footnote w:id="284">
    <w:p w14:paraId="133893D9" w14:textId="5299F2B4"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Andrea Renda, Felice Simonelli, Giuseppe Mazziotti, Alberto Bolognini and Giacomo Luchetta, </w:t>
      </w:r>
      <w:r w:rsidRPr="001928EB">
        <w:rPr>
          <w:i/>
          <w:iCs/>
          <w:lang w:val="en-US"/>
        </w:rPr>
        <w:t>The Implementation, Application and Effects of the EU Directive on Copyright in the Information Society</w:t>
      </w:r>
      <w:r w:rsidRPr="002125BD">
        <w:rPr>
          <w:lang w:val="en-US"/>
        </w:rPr>
        <w:t xml:space="preserve"> (CEPS Special Report, No. 120, November 2015</w:t>
      </w:r>
      <w:r>
        <w:rPr>
          <w:lang w:val="en-US"/>
        </w:rPr>
        <w:t>)</w:t>
      </w:r>
      <w:r w:rsidRPr="002125BD">
        <w:rPr>
          <w:lang w:val="en-US"/>
        </w:rPr>
        <w:t>, 125.</w:t>
      </w:r>
    </w:p>
  </w:footnote>
  <w:footnote w:id="285">
    <w:p w14:paraId="7C8C9DA9" w14:textId="7700B97B" w:rsidR="005C0DC6" w:rsidRDefault="005C0DC6" w:rsidP="00A70042">
      <w:pPr>
        <w:pStyle w:val="FootnoteText"/>
        <w:ind w:left="426" w:hanging="426"/>
        <w:jc w:val="both"/>
      </w:pPr>
      <w:r>
        <w:rPr>
          <w:rStyle w:val="FootnoteReference"/>
        </w:rPr>
        <w:footnoteRef/>
      </w:r>
      <w:r>
        <w:t xml:space="preserve"> </w:t>
      </w:r>
      <w:r>
        <w:tab/>
      </w:r>
      <w:r w:rsidRPr="00A94CA0">
        <w:t xml:space="preserve">Directive (EU) 2019/790 of the European Parliament and of the Council of 17 April 2019 on </w:t>
      </w:r>
      <w:r>
        <w:t>C</w:t>
      </w:r>
      <w:r w:rsidRPr="00A94CA0">
        <w:t xml:space="preserve">opyright and </w:t>
      </w:r>
      <w:r>
        <w:t>R</w:t>
      </w:r>
      <w:r w:rsidRPr="00A94CA0">
        <w:t xml:space="preserve">elated </w:t>
      </w:r>
      <w:r>
        <w:t>R</w:t>
      </w:r>
      <w:r w:rsidRPr="00A94CA0">
        <w:t xml:space="preserve">ights in the Digital Single Market and </w:t>
      </w:r>
      <w:r>
        <w:t>A</w:t>
      </w:r>
      <w:r w:rsidRPr="00A94CA0">
        <w:t xml:space="preserve">mending Directives 96/9/EC and 2001/29/EC </w:t>
      </w:r>
      <w:r>
        <w:t xml:space="preserve">[2019] </w:t>
      </w:r>
      <w:r w:rsidRPr="001928EB">
        <w:t xml:space="preserve">OJ L 130 </w:t>
      </w:r>
      <w:r w:rsidRPr="00A94CA0">
        <w:t>(</w:t>
      </w:r>
      <w:r>
        <w:t>‘</w:t>
      </w:r>
      <w:r w:rsidRPr="00A94CA0">
        <w:t>Directive on Copyright in the Digital Single Market</w:t>
      </w:r>
      <w:r>
        <w:t>’).</w:t>
      </w:r>
    </w:p>
  </w:footnote>
  <w:footnote w:id="286">
    <w:p w14:paraId="39894538" w14:textId="0A21BC68" w:rsidR="005C0DC6" w:rsidRDefault="005C0DC6" w:rsidP="00A70042">
      <w:pPr>
        <w:pStyle w:val="FootnoteText"/>
        <w:ind w:left="426" w:hanging="426"/>
        <w:jc w:val="both"/>
      </w:pPr>
      <w:r>
        <w:rPr>
          <w:rStyle w:val="FootnoteReference"/>
        </w:rPr>
        <w:footnoteRef/>
      </w:r>
      <w:r>
        <w:t xml:space="preserve"> </w:t>
      </w:r>
      <w:r>
        <w:tab/>
      </w:r>
      <w:r w:rsidRPr="00A94CA0">
        <w:t xml:space="preserve">Regarding the details of </w:t>
      </w:r>
      <w:r>
        <w:t xml:space="preserve">the </w:t>
      </w:r>
      <w:r w:rsidRPr="00A94CA0">
        <w:t xml:space="preserve">Directive on Copyright in the Digital Single Market, see CREATE, </w:t>
      </w:r>
      <w:r>
        <w:t>‘</w:t>
      </w:r>
      <w:r w:rsidRPr="00A94CA0">
        <w:t>EU Copyright Reform</w:t>
      </w:r>
      <w:r>
        <w:t>’ &lt;</w:t>
      </w:r>
      <w:hyperlink r:id="rId10" w:history="1">
        <w:r w:rsidRPr="0044201F">
          <w:t>https://www.create.ac.uk/policy-responses/eu-copyright-reform/</w:t>
        </w:r>
      </w:hyperlink>
      <w:r>
        <w:t>&gt; accessed 9 October 2020.</w:t>
      </w:r>
    </w:p>
  </w:footnote>
  <w:footnote w:id="287">
    <w:p w14:paraId="3AED02C1" w14:textId="0A3D794F" w:rsidR="005C0DC6" w:rsidRDefault="005C0DC6" w:rsidP="00B62395">
      <w:pPr>
        <w:pStyle w:val="FootnoteText"/>
        <w:ind w:left="426" w:hanging="426"/>
        <w:jc w:val="both"/>
      </w:pPr>
      <w:r>
        <w:rPr>
          <w:rStyle w:val="FootnoteReference"/>
        </w:rPr>
        <w:footnoteRef/>
      </w:r>
      <w:r>
        <w:t xml:space="preserve"> </w:t>
      </w:r>
      <w:r>
        <w:tab/>
        <w:t xml:space="preserve">See supra note </w:t>
      </w:r>
      <w:r w:rsidRPr="00287244">
        <w:t>174</w:t>
      </w:r>
      <w:r>
        <w:t>.</w:t>
      </w:r>
    </w:p>
  </w:footnote>
  <w:footnote w:id="288">
    <w:p w14:paraId="0811CBA4" w14:textId="0BCDECBB" w:rsidR="005C0DC6" w:rsidRDefault="005C0DC6" w:rsidP="00B62395">
      <w:pPr>
        <w:pStyle w:val="FootnoteText"/>
        <w:ind w:left="426" w:hanging="426"/>
        <w:jc w:val="both"/>
      </w:pPr>
      <w:r>
        <w:rPr>
          <w:rStyle w:val="FootnoteReference"/>
        </w:rPr>
        <w:footnoteRef/>
      </w:r>
      <w:r>
        <w:t xml:space="preserve"> </w:t>
      </w:r>
      <w:r>
        <w:tab/>
        <w:t xml:space="preserve">See supra note </w:t>
      </w:r>
      <w:r w:rsidRPr="00CF3273">
        <w:t>161</w:t>
      </w:r>
      <w:r>
        <w:t xml:space="preserve">. Hereby it is remarkable to recognise that IPRs have a key role in this transition as they are “supposed to create a feedback mechanism that dictates the contours of information and innovation production” and from a broader perspective it could be said that they are “designed to shape out information marketplace” (Boyle (n 174) 7). </w:t>
      </w:r>
    </w:p>
  </w:footnote>
  <w:footnote w:id="289">
    <w:p w14:paraId="7EFFCEAA" w14:textId="2101DA9B" w:rsidR="005C0DC6" w:rsidRDefault="005C0DC6" w:rsidP="00B62395">
      <w:pPr>
        <w:pStyle w:val="FootnoteText"/>
        <w:ind w:left="426" w:hanging="426"/>
        <w:jc w:val="both"/>
      </w:pPr>
      <w:r>
        <w:rPr>
          <w:rStyle w:val="FootnoteReference"/>
        </w:rPr>
        <w:footnoteRef/>
      </w:r>
      <w:r>
        <w:t xml:space="preserve"> </w:t>
      </w:r>
      <w:r>
        <w:tab/>
        <w:t>The term of ‘enclosure’ is used by Boyle in his exposition</w:t>
      </w:r>
      <w:r>
        <w:rPr>
          <w:color w:val="FF0000"/>
        </w:rPr>
        <w:t xml:space="preserve"> </w:t>
      </w:r>
      <w:r>
        <w:t>concerning the IPRs and public domain in which expansion of the former at the expense of the latter is highlighted with the phrase, ‘second enclosure movement’. According to his analogy, this follows the first enclosure movement around feudal systems within which was existing concentration of economic in exchange for large-scale investment and management (Boyle (n 174) 42-45).</w:t>
      </w:r>
    </w:p>
  </w:footnote>
  <w:footnote w:id="290">
    <w:p w14:paraId="23196EE7" w14:textId="7358FE30" w:rsidR="005C0DC6" w:rsidRDefault="005C0DC6" w:rsidP="00B62395">
      <w:pPr>
        <w:pStyle w:val="FootnoteText"/>
        <w:ind w:left="426" w:hanging="426"/>
        <w:jc w:val="both"/>
      </w:pPr>
      <w:r>
        <w:rPr>
          <w:rStyle w:val="FootnoteReference"/>
        </w:rPr>
        <w:footnoteRef/>
      </w:r>
      <w:r>
        <w:t xml:space="preserve"> </w:t>
      </w:r>
      <w:r>
        <w:tab/>
        <w:t>Boyle (n 174) 46; Lessig (n 175) 186.</w:t>
      </w:r>
    </w:p>
  </w:footnote>
  <w:footnote w:id="291">
    <w:p w14:paraId="623153AD" w14:textId="1D6200AB"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Separate treatment between expressive parts of computer programs and the underlying ideas and principles is usually simplified as the ‘idea/expression’ dichotomy.</w:t>
      </w:r>
    </w:p>
  </w:footnote>
  <w:footnote w:id="292">
    <w:p w14:paraId="196407FD" w14:textId="7769D131"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Software Directive, </w:t>
      </w:r>
      <w:r>
        <w:t>art</w:t>
      </w:r>
      <w:r w:rsidRPr="002125BD">
        <w:t xml:space="preserve"> 5(2).</w:t>
      </w:r>
    </w:p>
  </w:footnote>
  <w:footnote w:id="293">
    <w:p w14:paraId="2D933D38" w14:textId="318B3B7D"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Software Directive, </w:t>
      </w:r>
      <w:r>
        <w:t>art</w:t>
      </w:r>
      <w:r w:rsidRPr="002125BD">
        <w:t xml:space="preserve"> 1(3), reading</w:t>
      </w:r>
      <w:r>
        <w:t>;</w:t>
      </w:r>
      <w:r w:rsidRPr="002125BD">
        <w:t xml:space="preserve"> “A computer program shall be protected if it is original in the sense that it is the author’s own intellectual creation. No other criteria shall be applied to determine its eligibility for protection”.</w:t>
      </w:r>
    </w:p>
  </w:footnote>
  <w:footnote w:id="294">
    <w:p w14:paraId="04A04BB0" w14:textId="4575F976"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Such rights cover “the right to … (a) … reproduction of a computer program … (b) the translation, adaptation, arrangement and any other alteration of a computer program and the reproduction of the results thereof, … (c) any form of distribution to the public, including the rental, of the original computer program or of copies thereof” (Software Directive, </w:t>
      </w:r>
      <w:r>
        <w:t>art</w:t>
      </w:r>
      <w:r w:rsidRPr="002125BD">
        <w:t xml:space="preserve"> 4).  </w:t>
      </w:r>
    </w:p>
  </w:footnote>
  <w:footnote w:id="295">
    <w:p w14:paraId="14845736" w14:textId="4B45854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This is considered as a type of ‘reverse engineering’ along with other acts</w:t>
      </w:r>
      <w:r>
        <w:t xml:space="preserve">, </w:t>
      </w:r>
      <w:r w:rsidRPr="002125BD">
        <w:t>i.e. disassembly</w:t>
      </w:r>
      <w:r>
        <w:t xml:space="preserve"> and </w:t>
      </w:r>
      <w:r w:rsidRPr="002125BD">
        <w:t>decompilation</w:t>
      </w:r>
      <w:r>
        <w:t>,</w:t>
      </w:r>
      <w:r w:rsidRPr="002125BD">
        <w:t xml:space="preserve"> distinguished by </w:t>
      </w:r>
      <w:r>
        <w:t xml:space="preserve">certain </w:t>
      </w:r>
      <w:r w:rsidRPr="002125BD">
        <w:t>technical and functional aspects. For detailed analysis of reverse engineering including typical examples see Abbot (n 1</w:t>
      </w:r>
      <w:r>
        <w:t>96</w:t>
      </w:r>
      <w:r w:rsidRPr="002125BD">
        <w:t>) 11-14.</w:t>
      </w:r>
    </w:p>
  </w:footnote>
  <w:footnote w:id="296">
    <w:p w14:paraId="341275E7" w14:textId="64C592DE"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It is acknowledged under </w:t>
      </w:r>
      <w:r>
        <w:rPr>
          <w:lang w:val="en-US"/>
        </w:rPr>
        <w:t xml:space="preserve">the </w:t>
      </w:r>
      <w:r w:rsidRPr="002125BD">
        <w:rPr>
          <w:lang w:val="en-US"/>
        </w:rPr>
        <w:t xml:space="preserve">Software Directive that </w:t>
      </w:r>
      <w:r w:rsidRPr="002125BD">
        <w:t>“</w:t>
      </w:r>
      <w:r w:rsidRPr="002125BD">
        <w:rPr>
          <w:lang w:val="en-US"/>
        </w:rPr>
        <w:t>The function of a computer program is to communicate and work together with other components of a computer system and with users” (Software Directive, recital 10).</w:t>
      </w:r>
    </w:p>
  </w:footnote>
  <w:footnote w:id="297">
    <w:p w14:paraId="4341FD1A" w14:textId="0AA033A8" w:rsidR="005C0DC6" w:rsidRPr="002125BD" w:rsidRDefault="005C0DC6" w:rsidP="00A70042">
      <w:pPr>
        <w:pStyle w:val="FootnoteText"/>
        <w:ind w:left="426" w:hanging="426"/>
        <w:jc w:val="both"/>
      </w:pPr>
      <w:r w:rsidRPr="002125BD">
        <w:rPr>
          <w:rStyle w:val="FootnoteReference"/>
        </w:rPr>
        <w:footnoteRef/>
      </w:r>
      <w:r w:rsidRPr="002125BD">
        <w:t xml:space="preserve"> </w:t>
      </w:r>
      <w:r>
        <w:tab/>
        <w:t xml:space="preserve">The </w:t>
      </w:r>
      <w:r w:rsidRPr="002125BD">
        <w:t xml:space="preserve">Directive restricts the application of the decompilation right to “the parts of the original program which are necessary to achieve interoperability” (Software Directive, </w:t>
      </w:r>
      <w:r>
        <w:t>art</w:t>
      </w:r>
      <w:r w:rsidRPr="002125BD">
        <w:t xml:space="preserve"> 6(1/c).</w:t>
      </w:r>
    </w:p>
  </w:footnote>
  <w:footnote w:id="298">
    <w:p w14:paraId="5597B4A6" w14:textId="3EEA61D0"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Software Directive, </w:t>
      </w:r>
      <w:r>
        <w:t>art</w:t>
      </w:r>
      <w:r w:rsidRPr="002125BD">
        <w:t xml:space="preserve"> 6(2/b).</w:t>
      </w:r>
    </w:p>
  </w:footnote>
  <w:footnote w:id="299">
    <w:p w14:paraId="37FA14DA" w14:textId="45179232"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Weston (n </w:t>
      </w:r>
      <w:r>
        <w:t>13</w:t>
      </w:r>
      <w:r w:rsidRPr="002125BD">
        <w:t>) 39.</w:t>
      </w:r>
    </w:p>
  </w:footnote>
  <w:footnote w:id="300">
    <w:p w14:paraId="0FFED327" w14:textId="34505CF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Weston (n </w:t>
      </w:r>
      <w:r>
        <w:t>13</w:t>
      </w:r>
      <w:r w:rsidRPr="002125BD">
        <w:t xml:space="preserve">) 204, </w:t>
      </w:r>
      <w:r>
        <w:t>referr</w:t>
      </w:r>
      <w:r w:rsidRPr="002125BD">
        <w:t xml:space="preserve">ing </w:t>
      </w:r>
      <w:r>
        <w:t xml:space="preserve">to </w:t>
      </w:r>
      <w:r w:rsidRPr="002125BD">
        <w:t>Begoña González Otero, ‘Compelling to Disclose Software Interoperable Information’ [2013] 16(1-2) The Journal of World Intellectual Property 5.</w:t>
      </w:r>
    </w:p>
  </w:footnote>
  <w:footnote w:id="301">
    <w:p w14:paraId="3DF73E7C" w14:textId="0A0BFAB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On the other hand, this could be contested with the argument that </w:t>
      </w:r>
      <w:r>
        <w:t xml:space="preserve">the </w:t>
      </w:r>
      <w:r w:rsidRPr="002125BD">
        <w:t xml:space="preserve">pro-interoperability approach of the Directive is compromised under Article 6 of the Directive, which </w:t>
      </w:r>
      <w:r>
        <w:t>limit</w:t>
      </w:r>
      <w:r w:rsidRPr="002125BD">
        <w:t>s decompilation to the licensees and/or equivalent right</w:t>
      </w:r>
      <w:r>
        <w:t xml:space="preserve">s </w:t>
      </w:r>
      <w:r w:rsidRPr="002125BD">
        <w:t>holders [</w:t>
      </w:r>
      <w:r>
        <w:t>a</w:t>
      </w:r>
      <w:r w:rsidRPr="002125BD">
        <w:t>rt 6/1(a)],</w:t>
      </w:r>
      <w:r>
        <w:t xml:space="preserve"> with the limitation</w:t>
      </w:r>
      <w:r w:rsidRPr="002125BD">
        <w:t xml:space="preserve"> to “the information necessary to achieve interoperability </w:t>
      </w:r>
      <w:r>
        <w:t xml:space="preserve">[that] </w:t>
      </w:r>
      <w:r w:rsidRPr="002125BD">
        <w:t>has not previously been readily available” [</w:t>
      </w:r>
      <w:r>
        <w:t>a</w:t>
      </w:r>
      <w:r w:rsidRPr="002125BD">
        <w:t>rt 6/1(b)] and to “the parts of the original program which are necessary in order to achieve interoperability” [</w:t>
      </w:r>
      <w:r>
        <w:t>a</w:t>
      </w:r>
      <w:r w:rsidRPr="002125BD">
        <w:t>rt 6/1(b)]. Likewise, the Directive bans usage of the obtained information “for goals other than to achieve the interoperability” [</w:t>
      </w:r>
      <w:r>
        <w:t>a</w:t>
      </w:r>
      <w:r w:rsidRPr="002125BD">
        <w:t xml:space="preserve">rt 6/2(a)] and </w:t>
      </w:r>
      <w:r>
        <w:t xml:space="preserve">prohibits </w:t>
      </w:r>
      <w:r w:rsidRPr="002125BD">
        <w:t xml:space="preserve">dissemination of such information “except when necessary for the interoperability of the independently created computer program” </w:t>
      </w:r>
      <w:r>
        <w:t xml:space="preserve">[art 6/2(b)] (See </w:t>
      </w:r>
      <w:r w:rsidRPr="002125BD">
        <w:t>Otero</w:t>
      </w:r>
      <w:r>
        <w:t xml:space="preserve"> (n 216)</w:t>
      </w:r>
      <w:r w:rsidRPr="002125BD">
        <w:t xml:space="preserve"> 88).</w:t>
      </w:r>
    </w:p>
  </w:footnote>
  <w:footnote w:id="302">
    <w:p w14:paraId="5124E12E" w14:textId="089D85FD"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Weston (n </w:t>
      </w:r>
      <w:r>
        <w:t>13</w:t>
      </w:r>
      <w:r w:rsidRPr="002125BD">
        <w:t>) 200.</w:t>
      </w:r>
    </w:p>
  </w:footnote>
  <w:footnote w:id="303">
    <w:p w14:paraId="0EDF7C27" w14:textId="1E29F009"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Weston (n </w:t>
      </w:r>
      <w:r>
        <w:t>13</w:t>
      </w:r>
      <w:r w:rsidRPr="002125BD">
        <w:t>) 200.</w:t>
      </w:r>
    </w:p>
  </w:footnote>
  <w:footnote w:id="304">
    <w:p w14:paraId="2EAAA0DC" w14:textId="17F18E17"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Inge Graef, ‘How can software interoperability be achieved under European competition law and related regimes?’ [2011] 5(1) Journal of Euro</w:t>
      </w:r>
      <w:r>
        <w:t>pean Competition Law &amp; Practice</w:t>
      </w:r>
      <w:r w:rsidRPr="002125BD">
        <w:t xml:space="preserve"> 6, 16. </w:t>
      </w:r>
    </w:p>
  </w:footnote>
  <w:footnote w:id="305">
    <w:p w14:paraId="62E9F6B4" w14:textId="28E4BBFC" w:rsidR="005C0DC6" w:rsidRPr="002125BD" w:rsidRDefault="005C0DC6" w:rsidP="00A70042">
      <w:pPr>
        <w:pStyle w:val="FootnoteText"/>
        <w:ind w:left="426" w:hanging="426"/>
        <w:jc w:val="both"/>
        <w:rPr>
          <w:rFonts w:eastAsiaTheme="minorHAnsi"/>
          <w:iCs/>
          <w:color w:val="000000"/>
        </w:rPr>
      </w:pPr>
      <w:r w:rsidRPr="002125BD">
        <w:rPr>
          <w:rStyle w:val="FootnoteReference"/>
        </w:rPr>
        <w:footnoteRef/>
      </w:r>
      <w:r w:rsidRPr="002125BD">
        <w:t xml:space="preserve"> </w:t>
      </w:r>
      <w:r>
        <w:tab/>
      </w:r>
      <w:r w:rsidRPr="002125BD">
        <w:rPr>
          <w:rFonts w:eastAsiaTheme="minorHAnsi"/>
          <w:color w:val="000000"/>
        </w:rPr>
        <w:t>Case C-393/09</w:t>
      </w:r>
      <w:r>
        <w:rPr>
          <w:rFonts w:eastAsiaTheme="minorHAnsi"/>
          <w:color w:val="000000"/>
        </w:rPr>
        <w:t xml:space="preserve">, </w:t>
      </w:r>
      <w:r w:rsidRPr="002125BD">
        <w:rPr>
          <w:rFonts w:eastAsiaTheme="minorHAnsi"/>
          <w:i/>
          <w:iCs/>
          <w:color w:val="000000"/>
        </w:rPr>
        <w:t xml:space="preserve">Bezpečnostní </w:t>
      </w:r>
      <w:r>
        <w:rPr>
          <w:rFonts w:eastAsiaTheme="minorHAnsi"/>
          <w:i/>
          <w:iCs/>
          <w:color w:val="000000"/>
        </w:rPr>
        <w:t>S</w:t>
      </w:r>
      <w:r w:rsidRPr="002125BD">
        <w:rPr>
          <w:rFonts w:eastAsiaTheme="minorHAnsi"/>
          <w:i/>
          <w:iCs/>
          <w:color w:val="000000"/>
        </w:rPr>
        <w:t xml:space="preserve">oftwarová </w:t>
      </w:r>
      <w:r>
        <w:rPr>
          <w:rFonts w:eastAsiaTheme="minorHAnsi"/>
          <w:i/>
          <w:iCs/>
          <w:color w:val="000000"/>
        </w:rPr>
        <w:t>A</w:t>
      </w:r>
      <w:r w:rsidRPr="002125BD">
        <w:rPr>
          <w:rFonts w:eastAsiaTheme="minorHAnsi"/>
          <w:i/>
          <w:iCs/>
          <w:color w:val="000000"/>
        </w:rPr>
        <w:t xml:space="preserve">sociace - Svaz </w:t>
      </w:r>
      <w:r>
        <w:rPr>
          <w:rFonts w:eastAsiaTheme="minorHAnsi"/>
          <w:i/>
          <w:iCs/>
          <w:color w:val="000000"/>
        </w:rPr>
        <w:t>S</w:t>
      </w:r>
      <w:r w:rsidRPr="002125BD">
        <w:rPr>
          <w:rFonts w:eastAsiaTheme="minorHAnsi"/>
          <w:i/>
          <w:iCs/>
          <w:color w:val="000000"/>
        </w:rPr>
        <w:t xml:space="preserve">oftwarová </w:t>
      </w:r>
      <w:r>
        <w:rPr>
          <w:rFonts w:eastAsiaTheme="minorHAnsi"/>
          <w:i/>
          <w:iCs/>
          <w:color w:val="000000"/>
        </w:rPr>
        <w:t>O</w:t>
      </w:r>
      <w:r w:rsidRPr="002125BD">
        <w:rPr>
          <w:rFonts w:eastAsiaTheme="minorHAnsi"/>
          <w:i/>
          <w:iCs/>
          <w:color w:val="000000"/>
        </w:rPr>
        <w:t xml:space="preserve">chrany v Ministerstvo </w:t>
      </w:r>
      <w:r>
        <w:rPr>
          <w:rFonts w:eastAsiaTheme="minorHAnsi"/>
          <w:i/>
          <w:iCs/>
          <w:color w:val="000000"/>
        </w:rPr>
        <w:t>K</w:t>
      </w:r>
      <w:r w:rsidRPr="002125BD">
        <w:rPr>
          <w:rFonts w:eastAsiaTheme="minorHAnsi"/>
          <w:i/>
          <w:iCs/>
          <w:color w:val="000000"/>
        </w:rPr>
        <w:t>ultury</w:t>
      </w:r>
      <w:r w:rsidRPr="002125BD">
        <w:rPr>
          <w:rFonts w:eastAsiaTheme="minorHAnsi"/>
          <w:color w:val="000000"/>
        </w:rPr>
        <w:t xml:space="preserve"> </w:t>
      </w:r>
      <w:r w:rsidRPr="002125BD">
        <w:rPr>
          <w:rFonts w:eastAsiaTheme="minorHAnsi"/>
          <w:iCs/>
          <w:color w:val="000000"/>
        </w:rPr>
        <w:t>[2011] ECDR 3</w:t>
      </w:r>
      <w:r w:rsidRPr="002125BD">
        <w:rPr>
          <w:rFonts w:eastAsiaTheme="minorHAnsi"/>
          <w:i/>
          <w:iCs/>
          <w:color w:val="000000"/>
        </w:rPr>
        <w:t xml:space="preserve"> (‘Softwarová </w:t>
      </w:r>
      <w:r w:rsidRPr="002125BD">
        <w:rPr>
          <w:rFonts w:eastAsiaTheme="minorHAnsi"/>
          <w:iCs/>
          <w:color w:val="000000"/>
        </w:rPr>
        <w:t>judgement’).</w:t>
      </w:r>
    </w:p>
  </w:footnote>
  <w:footnote w:id="306">
    <w:p w14:paraId="44AA4EFA" w14:textId="68554491"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GUIs, which are not seen as part of the code but only as a result of the code, are also referred to as the “look and feel” enabling communication and interaction between the user and the computer program (Weston (n </w:t>
      </w:r>
      <w:r>
        <w:t>13</w:t>
      </w:r>
      <w:r w:rsidRPr="002125BD">
        <w:t>) 208).</w:t>
      </w:r>
    </w:p>
  </w:footnote>
  <w:footnote w:id="307">
    <w:p w14:paraId="54A4A2C3" w14:textId="79901BE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rFonts w:eastAsiaTheme="minorHAnsi"/>
          <w:i/>
          <w:iCs/>
          <w:color w:val="000000"/>
        </w:rPr>
        <w:t xml:space="preserve">Softwarová </w:t>
      </w:r>
      <w:r w:rsidRPr="002125BD">
        <w:rPr>
          <w:rFonts w:eastAsiaTheme="minorHAnsi"/>
          <w:iCs/>
          <w:color w:val="000000"/>
        </w:rPr>
        <w:t xml:space="preserve">judgement, </w:t>
      </w:r>
      <w:r>
        <w:rPr>
          <w:rFonts w:eastAsiaTheme="minorHAnsi"/>
          <w:iCs/>
          <w:color w:val="000000"/>
        </w:rPr>
        <w:t>para</w:t>
      </w:r>
      <w:r w:rsidRPr="002125BD">
        <w:rPr>
          <w:rFonts w:eastAsiaTheme="minorHAnsi"/>
          <w:iCs/>
          <w:color w:val="000000"/>
        </w:rPr>
        <w:t xml:space="preserve"> 35.</w:t>
      </w:r>
    </w:p>
  </w:footnote>
  <w:footnote w:id="308">
    <w:p w14:paraId="4B04F9CA" w14:textId="288AEF2B"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rFonts w:eastAsiaTheme="minorHAnsi"/>
          <w:i/>
          <w:iCs/>
          <w:color w:val="000000"/>
        </w:rPr>
        <w:t xml:space="preserve">Softwarová </w:t>
      </w:r>
      <w:r>
        <w:rPr>
          <w:rFonts w:eastAsiaTheme="minorHAnsi"/>
          <w:iCs/>
          <w:color w:val="000000"/>
        </w:rPr>
        <w:t>judgement, para 35</w:t>
      </w:r>
      <w:r w:rsidRPr="002125BD">
        <w:t>.</w:t>
      </w:r>
    </w:p>
  </w:footnote>
  <w:footnote w:id="309">
    <w:p w14:paraId="18EFAA41" w14:textId="7506097A" w:rsidR="005C0DC6" w:rsidRPr="002125BD" w:rsidRDefault="005C0DC6" w:rsidP="00A70042">
      <w:pPr>
        <w:pStyle w:val="FootnoteText"/>
        <w:ind w:left="426" w:hanging="426"/>
        <w:jc w:val="both"/>
      </w:pPr>
      <w:r w:rsidRPr="002125BD">
        <w:rPr>
          <w:rStyle w:val="FootnoteReference"/>
        </w:rPr>
        <w:footnoteRef/>
      </w:r>
      <w:r>
        <w:rPr>
          <w:i/>
        </w:rPr>
        <w:t xml:space="preserve"> </w:t>
      </w:r>
      <w:r>
        <w:rPr>
          <w:i/>
        </w:rPr>
        <w:tab/>
      </w:r>
      <w:r w:rsidRPr="0041685F">
        <w:rPr>
          <w:iCs/>
        </w:rPr>
        <w:t>Case C-406/10</w:t>
      </w:r>
      <w:r>
        <w:rPr>
          <w:iCs/>
        </w:rPr>
        <w:t>,</w:t>
      </w:r>
      <w:r w:rsidRPr="0041685F">
        <w:rPr>
          <w:i/>
        </w:rPr>
        <w:t xml:space="preserve"> SAS Institute Inc v World Programming Ltd </w:t>
      </w:r>
      <w:r w:rsidRPr="0041685F">
        <w:rPr>
          <w:iCs/>
        </w:rPr>
        <w:t>[2012] 3 CMLR 4 (‘</w:t>
      </w:r>
      <w:r w:rsidRPr="0041685F">
        <w:rPr>
          <w:i/>
        </w:rPr>
        <w:t>SAS v WPL judgement</w:t>
      </w:r>
      <w:r w:rsidRPr="0041685F">
        <w:rPr>
          <w:iCs/>
        </w:rPr>
        <w:t>’)</w:t>
      </w:r>
      <w:r>
        <w:rPr>
          <w:iCs/>
        </w:rPr>
        <w:t>.</w:t>
      </w:r>
    </w:p>
  </w:footnote>
  <w:footnote w:id="310">
    <w:p w14:paraId="3D633A5C" w14:textId="49EA5ACB" w:rsidR="005C0DC6" w:rsidRPr="002125BD" w:rsidRDefault="005C0DC6" w:rsidP="00A70042">
      <w:pPr>
        <w:pStyle w:val="FootnoteText"/>
        <w:ind w:left="426" w:hanging="426"/>
        <w:jc w:val="both"/>
        <w:rPr>
          <w:lang w:val="en-US"/>
        </w:rPr>
      </w:pPr>
      <w:r w:rsidRPr="002125BD">
        <w:rPr>
          <w:rStyle w:val="FootnoteReference"/>
        </w:rPr>
        <w:footnoteRef/>
      </w:r>
      <w:r>
        <w:t xml:space="preserve"> </w:t>
      </w:r>
      <w:r>
        <w:tab/>
      </w:r>
      <w:r w:rsidRPr="002125BD">
        <w:rPr>
          <w:lang w:val="en-US"/>
        </w:rPr>
        <w:t>Samuelson</w:t>
      </w:r>
      <w:r>
        <w:rPr>
          <w:lang w:val="en-US"/>
        </w:rPr>
        <w:t xml:space="preserve"> (n 199) </w:t>
      </w:r>
      <w:r w:rsidRPr="002125BD">
        <w:rPr>
          <w:lang w:val="en-US"/>
        </w:rPr>
        <w:t>229</w:t>
      </w:r>
      <w:r>
        <w:rPr>
          <w:lang w:val="en-US"/>
        </w:rPr>
        <w:t>.</w:t>
      </w:r>
      <w:r w:rsidRPr="002125BD">
        <w:rPr>
          <w:lang w:val="en-US"/>
        </w:rPr>
        <w:t xml:space="preserve"> </w:t>
      </w:r>
    </w:p>
  </w:footnote>
  <w:footnote w:id="311">
    <w:p w14:paraId="22C29E7C" w14:textId="2725C44A"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i/>
        </w:rPr>
        <w:t>SAS v WPL</w:t>
      </w:r>
      <w:r w:rsidRPr="002125BD">
        <w:t xml:space="preserve"> judgement, </w:t>
      </w:r>
      <w:r>
        <w:t>para</w:t>
      </w:r>
      <w:r w:rsidRPr="002125BD">
        <w:t xml:space="preserve"> 39.</w:t>
      </w:r>
    </w:p>
  </w:footnote>
  <w:footnote w:id="312">
    <w:p w14:paraId="1F46C454" w14:textId="6EE80ADE"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SAS v WPL</w:t>
      </w:r>
      <w:r w:rsidRPr="002125BD">
        <w:t xml:space="preserve"> judgement, </w:t>
      </w:r>
      <w:r>
        <w:t>para</w:t>
      </w:r>
      <w:r w:rsidRPr="002125BD">
        <w:t xml:space="preserve"> 40. It is conceivable that this viewpoint </w:t>
      </w:r>
      <w:r>
        <w:t>is complementary to</w:t>
      </w:r>
      <w:r w:rsidRPr="002125BD">
        <w:t xml:space="preserve"> the </w:t>
      </w:r>
      <w:r w:rsidRPr="002125BD">
        <w:rPr>
          <w:i/>
        </w:rPr>
        <w:t>Softwarova</w:t>
      </w:r>
      <w:r w:rsidRPr="002125BD">
        <w:t xml:space="preserve"> ruling, where the C</w:t>
      </w:r>
      <w:r>
        <w:t>o</w:t>
      </w:r>
      <w:r w:rsidRPr="002125BD">
        <w:t>J, whilst not excluding the copyrightability of graphic user interfaces, found that such interfaces do not constitute a form of expression of computer programs but enable users making use of their features.</w:t>
      </w:r>
    </w:p>
  </w:footnote>
  <w:footnote w:id="313">
    <w:p w14:paraId="78E696B7" w14:textId="56F5EB7F"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SAS v WPL</w:t>
      </w:r>
      <w:r w:rsidRPr="002125BD">
        <w:t xml:space="preserve"> judgement, </w:t>
      </w:r>
      <w:r>
        <w:t>para</w:t>
      </w:r>
      <w:r w:rsidRPr="002125BD">
        <w:t xml:space="preserve"> 45.</w:t>
      </w:r>
    </w:p>
  </w:footnote>
  <w:footnote w:id="314">
    <w:p w14:paraId="4130E045" w14:textId="3EA9E933"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See also Vezzosso</w:t>
      </w:r>
      <w:r>
        <w:t xml:space="preserve"> (n 203)</w:t>
      </w:r>
      <w:r w:rsidRPr="002125BD">
        <w:t xml:space="preserve"> 159, reading</w:t>
      </w:r>
      <w:r>
        <w:t>;</w:t>
      </w:r>
      <w:r w:rsidRPr="002125BD">
        <w:t xml:space="preserve"> “…[t]he functional character of APIs, being even stronger than with compute</w:t>
      </w:r>
      <w:r>
        <w:t>r</w:t>
      </w:r>
      <w:r w:rsidRPr="002125BD">
        <w:t xml:space="preserve"> programs in general, would very often place them well below the originality threshold, and the general support in favour of interoperability expressed by the Software Directive could possibly present a further counterargument [against copyrightability of interfaces]”.</w:t>
      </w:r>
    </w:p>
  </w:footnote>
  <w:footnote w:id="315">
    <w:p w14:paraId="0B187F3A" w14:textId="17641FFF"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Otero (n </w:t>
      </w:r>
      <w:r>
        <w:t>216</w:t>
      </w:r>
      <w:r w:rsidRPr="002125BD">
        <w:t>) 86, reading</w:t>
      </w:r>
      <w:r>
        <w:t>;</w:t>
      </w:r>
      <w:r w:rsidRPr="002125BD">
        <w:t xml:space="preserve"> “Since a computer program’s form of expression is functional, variations of its expression will not matter because these possible variations come from utility reasons and not the </w:t>
      </w:r>
      <w:r>
        <w:t>’</w:t>
      </w:r>
      <w:r w:rsidRPr="002125BD">
        <w:t>aesthetic freedom</w:t>
      </w:r>
      <w:r>
        <w:t>’</w:t>
      </w:r>
      <w:r w:rsidRPr="002125BD">
        <w:t xml:space="preserve"> or whim of its developer. Therefore, expression and function merge. …” </w:t>
      </w:r>
    </w:p>
  </w:footnote>
  <w:footnote w:id="316">
    <w:p w14:paraId="45D58479" w14:textId="772C44A3"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Otero (n </w:t>
      </w:r>
      <w:r>
        <w:t>216</w:t>
      </w:r>
      <w:r w:rsidRPr="002125BD">
        <w:t>) 86. See Software Directive</w:t>
      </w:r>
      <w:r>
        <w:t>,</w:t>
      </w:r>
      <w:r w:rsidRPr="00F24746">
        <w:t xml:space="preserve"> </w:t>
      </w:r>
      <w:r>
        <w:t>art</w:t>
      </w:r>
      <w:r w:rsidRPr="002125BD">
        <w:t xml:space="preserve"> 1(2).</w:t>
      </w:r>
    </w:p>
  </w:footnote>
  <w:footnote w:id="317">
    <w:p w14:paraId="2B47FCD6" w14:textId="78521A98"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Otero (n </w:t>
      </w:r>
      <w:r>
        <w:t>216</w:t>
      </w:r>
      <w:r w:rsidRPr="002125BD">
        <w:t>) 86.</w:t>
      </w:r>
    </w:p>
  </w:footnote>
  <w:footnote w:id="318">
    <w:p w14:paraId="03BB6048" w14:textId="00D34351"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Weston (n </w:t>
      </w:r>
      <w:r>
        <w:t>13</w:t>
      </w:r>
      <w:r w:rsidRPr="002125BD">
        <w:t>) 198.</w:t>
      </w:r>
    </w:p>
  </w:footnote>
  <w:footnote w:id="319">
    <w:p w14:paraId="46696905" w14:textId="34168005"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According to Article 9(2) of TRIPS </w:t>
      </w:r>
      <w:r>
        <w:t xml:space="preserve">Agreement </w:t>
      </w:r>
      <w:r w:rsidRPr="002125BD">
        <w:t>and Article 2 of the WCT, copyright protection shall extend to expressions but not to the “ideas, procedures, methods of operation or mathematical concepts as such”.</w:t>
      </w:r>
    </w:p>
  </w:footnote>
  <w:footnote w:id="320">
    <w:p w14:paraId="54EECDDD" w14:textId="5E3A04AD"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Stefano Comino, Fabio M. Manenti and Nikolaus Thumm, ‘The Role of Patents in Information and Communication Technologies (ICTs): A Survey of the Literature’ </w:t>
      </w:r>
      <w:r>
        <w:t>(</w:t>
      </w:r>
      <w:r w:rsidRPr="002125BD">
        <w:t>2017</w:t>
      </w:r>
      <w:r>
        <w:t>)</w:t>
      </w:r>
      <w:r w:rsidRPr="002125BD">
        <w:t xml:space="preserve"> Marco Fanno Working Paper N. 212, 3. According to the</w:t>
      </w:r>
      <w:r>
        <w:t xml:space="preserve"> </w:t>
      </w:r>
      <w:r w:rsidRPr="00DD3FB6">
        <w:t>Organisation for Economic Co-operation and Development</w:t>
      </w:r>
      <w:r>
        <w:t xml:space="preserve"> (</w:t>
      </w:r>
      <w:r w:rsidRPr="002125BD">
        <w:t>OECD</w:t>
      </w:r>
      <w:r>
        <w:t>)</w:t>
      </w:r>
      <w:r w:rsidRPr="002125BD">
        <w:t xml:space="preserve"> and </w:t>
      </w:r>
      <w:r>
        <w:t xml:space="preserve">the </w:t>
      </w:r>
      <w:r w:rsidRPr="002125BD">
        <w:t>WIPO figures, about one third of the patent applications were filed within the ICT-related sectors</w:t>
      </w:r>
      <w:r>
        <w:t xml:space="preserve"> (Ibid)</w:t>
      </w:r>
      <w:r w:rsidRPr="002125BD">
        <w:t xml:space="preserve">. </w:t>
      </w:r>
    </w:p>
  </w:footnote>
  <w:footnote w:id="321">
    <w:p w14:paraId="685C8A73" w14:textId="43CA24E9"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Finkelstein (n </w:t>
      </w:r>
      <w:r>
        <w:t>260</w:t>
      </w:r>
      <w:r w:rsidRPr="002125BD">
        <w:t>) 249.</w:t>
      </w:r>
    </w:p>
  </w:footnote>
  <w:footnote w:id="322">
    <w:p w14:paraId="41383E96" w14:textId="2C1DB4F6" w:rsidR="005C0DC6" w:rsidRDefault="005C0DC6" w:rsidP="00A70042">
      <w:pPr>
        <w:pStyle w:val="FootnoteText"/>
        <w:ind w:left="426" w:hanging="426"/>
        <w:jc w:val="both"/>
      </w:pPr>
      <w:r>
        <w:rPr>
          <w:rStyle w:val="FootnoteReference"/>
        </w:rPr>
        <w:footnoteRef/>
      </w:r>
      <w:r>
        <w:t xml:space="preserve"> </w:t>
      </w:r>
      <w:r>
        <w:tab/>
      </w:r>
      <w:r w:rsidRPr="002A23C3">
        <w:t>TRIPS Agreement</w:t>
      </w:r>
      <w:r>
        <w:t>,</w:t>
      </w:r>
      <w:r w:rsidRPr="002A23C3">
        <w:t xml:space="preserve"> </w:t>
      </w:r>
      <w:r>
        <w:t>art</w:t>
      </w:r>
      <w:r w:rsidRPr="002A23C3">
        <w:t xml:space="preserve"> 27(1)</w:t>
      </w:r>
      <w:r>
        <w:t>.</w:t>
      </w:r>
      <w:r w:rsidRPr="002A23C3">
        <w:t xml:space="preserve"> </w:t>
      </w:r>
    </w:p>
  </w:footnote>
  <w:footnote w:id="323">
    <w:p w14:paraId="25C5CE0B" w14:textId="0AB3FC7D"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Paris Convention for the Protection of Industrial Property (as revised at Stockholm in 1967).</w:t>
      </w:r>
    </w:p>
  </w:footnote>
  <w:footnote w:id="324">
    <w:p w14:paraId="307E55C3" w14:textId="35EA06F3"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Śaila Jaina and R. K. Jain, </w:t>
      </w:r>
      <w:r w:rsidRPr="002125BD">
        <w:rPr>
          <w:i/>
        </w:rPr>
        <w:t>Patents: Procedures and Practices with Examples of Complete Specifications and Important Judgements</w:t>
      </w:r>
      <w:r w:rsidRPr="002125BD">
        <w:t xml:space="preserve"> (Universal Law Publishing Co. Pvt. Ltd. 2011) 174. </w:t>
      </w:r>
    </w:p>
  </w:footnote>
  <w:footnote w:id="325">
    <w:p w14:paraId="79ACE48A" w14:textId="6E197350"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Regulation of patents originally goes back to </w:t>
      </w:r>
      <w:r>
        <w:t xml:space="preserve">the </w:t>
      </w:r>
      <w:r w:rsidRPr="002125BD">
        <w:t>1883 Paris Convention for the Protection of the Industrial Property, which allows special agreements between the members insofar as they do not create a contrast with the Convention itself.</w:t>
      </w:r>
    </w:p>
  </w:footnote>
  <w:footnote w:id="326">
    <w:p w14:paraId="78C88601" w14:textId="6169B880"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Sir Robin Jacob, Daniel Alexander QC and Matthew Fisher, </w:t>
      </w:r>
      <w:r w:rsidRPr="002125BD">
        <w:rPr>
          <w:i/>
        </w:rPr>
        <w:t>Guidebook to Intellectual Property</w:t>
      </w:r>
      <w:r w:rsidRPr="002125BD">
        <w:t>, (6</w:t>
      </w:r>
      <w:r>
        <w:t>th</w:t>
      </w:r>
      <w:r w:rsidRPr="002125BD">
        <w:t xml:space="preserve"> </w:t>
      </w:r>
      <w:r>
        <w:t xml:space="preserve">edn, </w:t>
      </w:r>
      <w:r w:rsidRPr="002125BD">
        <w:t>Hart Publishing 2013) 29.</w:t>
      </w:r>
    </w:p>
  </w:footnote>
  <w:footnote w:id="327">
    <w:p w14:paraId="3FC9C894" w14:textId="2FD7EAD5"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Hellen Norman, </w:t>
      </w:r>
      <w:r w:rsidRPr="002125BD">
        <w:rPr>
          <w:i/>
        </w:rPr>
        <w:t>Intellectual Property Law</w:t>
      </w:r>
      <w:r w:rsidRPr="002125BD">
        <w:t>, (OUP 2011) 83.</w:t>
      </w:r>
    </w:p>
  </w:footnote>
  <w:footnote w:id="328">
    <w:p w14:paraId="3B20A51E" w14:textId="0958A92D" w:rsidR="005C0DC6" w:rsidRPr="002125BD" w:rsidRDefault="005C0DC6" w:rsidP="00A70042">
      <w:pPr>
        <w:pStyle w:val="FootnoteText"/>
        <w:ind w:left="426" w:hanging="426"/>
        <w:jc w:val="both"/>
      </w:pPr>
      <w:r w:rsidRPr="002125BD">
        <w:rPr>
          <w:rStyle w:val="FootnoteReference"/>
        </w:rPr>
        <w:footnoteRef/>
      </w:r>
      <w:r w:rsidRPr="002125BD">
        <w:t xml:space="preserve"> </w:t>
      </w:r>
      <w:r>
        <w:tab/>
        <w:t>EPC, art</w:t>
      </w:r>
      <w:r w:rsidRPr="002125BD">
        <w:t xml:space="preserve"> 52(1).</w:t>
      </w:r>
    </w:p>
  </w:footnote>
  <w:footnote w:id="329">
    <w:p w14:paraId="6E6B3115" w14:textId="64CD8AD4" w:rsidR="005C0DC6" w:rsidRPr="002125BD" w:rsidRDefault="005C0DC6" w:rsidP="00A70042">
      <w:pPr>
        <w:pStyle w:val="FootnoteText"/>
        <w:ind w:left="426" w:hanging="426"/>
        <w:jc w:val="both"/>
      </w:pPr>
      <w:r w:rsidRPr="002125BD">
        <w:rPr>
          <w:rStyle w:val="FootnoteReference"/>
        </w:rPr>
        <w:footnoteRef/>
      </w:r>
      <w:r w:rsidRPr="002125BD">
        <w:t xml:space="preserve"> </w:t>
      </w:r>
      <w:r>
        <w:tab/>
        <w:t>EPC, art</w:t>
      </w:r>
      <w:r w:rsidRPr="001778A0">
        <w:t xml:space="preserve"> 52-57. See also Stavroula Karapapa and Luke McDonagh, </w:t>
      </w:r>
      <w:r w:rsidRPr="00595E3B">
        <w:rPr>
          <w:i/>
          <w:iCs/>
        </w:rPr>
        <w:t>Intellectual Property Law</w:t>
      </w:r>
      <w:r w:rsidRPr="001778A0">
        <w:t xml:space="preserve"> (OUP 2019) 401; Norman (n </w:t>
      </w:r>
      <w:r>
        <w:t>327</w:t>
      </w:r>
      <w:r w:rsidRPr="001778A0">
        <w:t>) 102</w:t>
      </w:r>
      <w:r w:rsidRPr="002125BD">
        <w:t>.</w:t>
      </w:r>
    </w:p>
  </w:footnote>
  <w:footnote w:id="330">
    <w:p w14:paraId="2146F3E2" w14:textId="361971B0"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This could also be seen from the wording of Article (52/3) which reads as follows:</w:t>
      </w:r>
    </w:p>
    <w:p w14:paraId="3A06E551" w14:textId="77777777" w:rsidR="005C0DC6" w:rsidRPr="002125BD" w:rsidRDefault="005C0DC6" w:rsidP="00A70042">
      <w:pPr>
        <w:pStyle w:val="FootnoteText"/>
        <w:ind w:left="426" w:right="720"/>
        <w:jc w:val="both"/>
      </w:pPr>
      <w:r w:rsidRPr="002125BD">
        <w:t xml:space="preserve">“The provisions of paragraph 2 shall exclude patentability of the subject-matter or activities referred to in that provision only to the extent to which a European patent application or European patent relates to such subject-matter or activities </w:t>
      </w:r>
      <w:r w:rsidRPr="002125BD">
        <w:rPr>
          <w:i/>
        </w:rPr>
        <w:t>as such</w:t>
      </w:r>
      <w:r w:rsidRPr="002125BD">
        <w:t xml:space="preserve">”.  </w:t>
      </w:r>
    </w:p>
  </w:footnote>
  <w:footnote w:id="331">
    <w:p w14:paraId="1B33C614" w14:textId="5734C75D" w:rsidR="005C0DC6" w:rsidRDefault="005C0DC6" w:rsidP="00B62395">
      <w:pPr>
        <w:pStyle w:val="FootnoteText"/>
        <w:ind w:left="426" w:hanging="426"/>
        <w:jc w:val="both"/>
      </w:pPr>
      <w:r>
        <w:rPr>
          <w:rStyle w:val="FootnoteReference"/>
        </w:rPr>
        <w:footnoteRef/>
      </w:r>
      <w:r>
        <w:t xml:space="preserve"> </w:t>
      </w:r>
      <w:r>
        <w:tab/>
        <w:t>EPC, art. 53.</w:t>
      </w:r>
    </w:p>
  </w:footnote>
  <w:footnote w:id="332">
    <w:p w14:paraId="35982174" w14:textId="092B3E63" w:rsidR="005C0DC6" w:rsidRPr="002125BD" w:rsidRDefault="005C0DC6" w:rsidP="00A70042">
      <w:pPr>
        <w:pStyle w:val="FootnoteText"/>
        <w:ind w:left="426" w:hanging="426"/>
        <w:jc w:val="both"/>
      </w:pPr>
      <w:r w:rsidRPr="002125BD">
        <w:rPr>
          <w:rStyle w:val="FootnoteReference"/>
        </w:rPr>
        <w:footnoteRef/>
      </w:r>
      <w:r>
        <w:t xml:space="preserve"> </w:t>
      </w:r>
      <w:r>
        <w:tab/>
        <w:t>Cesare</w:t>
      </w:r>
      <w:r w:rsidRPr="002125BD">
        <w:t xml:space="preserve"> Bartolini, </w:t>
      </w:r>
      <w:r>
        <w:t>Cristiana</w:t>
      </w:r>
      <w:r w:rsidRPr="002125BD">
        <w:t xml:space="preserve"> Santos and </w:t>
      </w:r>
      <w:r>
        <w:t>Carsten</w:t>
      </w:r>
      <w:r w:rsidRPr="002125BD">
        <w:t xml:space="preserve"> Ullrich</w:t>
      </w:r>
      <w:r>
        <w:t>, ‘Property and the cloud’</w:t>
      </w:r>
      <w:r w:rsidRPr="002125BD">
        <w:t xml:space="preserve"> </w:t>
      </w:r>
      <w:r>
        <w:t xml:space="preserve">[2018] 34 Computer Law and Security Review 358, </w:t>
      </w:r>
      <w:r w:rsidRPr="002125BD">
        <w:t>369.</w:t>
      </w:r>
    </w:p>
  </w:footnote>
  <w:footnote w:id="333">
    <w:p w14:paraId="28482E7E" w14:textId="55F80836" w:rsidR="005C0DC6" w:rsidRPr="00696150" w:rsidRDefault="005C0DC6" w:rsidP="00A70042">
      <w:pPr>
        <w:pStyle w:val="FootnoteText"/>
        <w:ind w:left="426" w:hanging="426"/>
        <w:jc w:val="both"/>
      </w:pPr>
      <w:r w:rsidRPr="002125BD">
        <w:rPr>
          <w:rStyle w:val="FootnoteReference"/>
        </w:rPr>
        <w:footnoteRef/>
      </w:r>
      <w:r w:rsidRPr="002125BD">
        <w:t xml:space="preserve"> </w:t>
      </w:r>
      <w:r>
        <w:tab/>
      </w:r>
      <w:r w:rsidRPr="002125BD">
        <w:rPr>
          <w:lang w:val="en-US"/>
        </w:rPr>
        <w:t xml:space="preserve">Paul Van den Bulck, </w:t>
      </w:r>
      <w:r>
        <w:rPr>
          <w:lang w:val="en-US"/>
        </w:rPr>
        <w:t>‘</w:t>
      </w:r>
      <w:r w:rsidRPr="002125BD">
        <w:rPr>
          <w:lang w:val="en-US"/>
        </w:rPr>
        <w:t>Patentability of Software</w:t>
      </w:r>
      <w:r>
        <w:rPr>
          <w:lang w:val="en-US"/>
        </w:rPr>
        <w:t>’</w:t>
      </w:r>
      <w:r w:rsidRPr="002125BD">
        <w:rPr>
          <w:lang w:val="en-US"/>
        </w:rPr>
        <w:t xml:space="preserve"> (</w:t>
      </w:r>
      <w:r w:rsidRPr="00317CEC">
        <w:rPr>
          <w:i/>
          <w:iCs/>
          <w:lang w:val="en-US"/>
        </w:rPr>
        <w:t>ULYS Net</w:t>
      </w:r>
      <w:r w:rsidRPr="002125BD">
        <w:rPr>
          <w:lang w:val="en-US"/>
        </w:rPr>
        <w:t>), ˂https://www.ulys.net/upload/conferences/doc/Patentability%20of%20Software.pps˃ accessed 2</w:t>
      </w:r>
      <w:r>
        <w:rPr>
          <w:lang w:val="en-US"/>
        </w:rPr>
        <w:t>1</w:t>
      </w:r>
      <w:r w:rsidRPr="002125BD">
        <w:rPr>
          <w:lang w:val="en-US"/>
        </w:rPr>
        <w:t xml:space="preserve"> </w:t>
      </w:r>
      <w:r>
        <w:rPr>
          <w:lang w:val="en-US"/>
        </w:rPr>
        <w:t>August</w:t>
      </w:r>
      <w:r w:rsidRPr="002125BD">
        <w:rPr>
          <w:lang w:val="en-US"/>
        </w:rPr>
        <w:t xml:space="preserve"> 201</w:t>
      </w:r>
      <w:r>
        <w:rPr>
          <w:lang w:val="en-US"/>
        </w:rPr>
        <w:t>8</w:t>
      </w:r>
      <w:r>
        <w:t xml:space="preserve">. </w:t>
      </w:r>
      <w:r w:rsidRPr="002125BD">
        <w:rPr>
          <w:lang w:val="en-US"/>
        </w:rPr>
        <w:t xml:space="preserve">See </w:t>
      </w:r>
      <w:r>
        <w:rPr>
          <w:lang w:val="en-US"/>
        </w:rPr>
        <w:t xml:space="preserve">EPO, </w:t>
      </w:r>
      <w:r w:rsidRPr="002125BD">
        <w:rPr>
          <w:lang w:val="en-US"/>
        </w:rPr>
        <w:t>Patents for software? European law and practice</w:t>
      </w:r>
      <w:r>
        <w:rPr>
          <w:lang w:val="en-US"/>
        </w:rPr>
        <w:t xml:space="preserve"> (2009)</w:t>
      </w:r>
      <w:r w:rsidRPr="002125BD">
        <w:rPr>
          <w:lang w:val="en-US"/>
        </w:rPr>
        <w:t xml:space="preserve"> ˂</w:t>
      </w:r>
      <w:r w:rsidRPr="003A6B99">
        <w:rPr>
          <w:lang w:val="en-US"/>
        </w:rPr>
        <w:t>https://tt.tecnico.ulisboa.pt/files/sites/41/PI-Pack-INPI-E-Patents-for-Software-EPO.pdf</w:t>
      </w:r>
      <w:r w:rsidRPr="002125BD">
        <w:rPr>
          <w:lang w:val="en-US"/>
        </w:rPr>
        <w:t xml:space="preserve">˃ accessed </w:t>
      </w:r>
      <w:r>
        <w:rPr>
          <w:lang w:val="en-US"/>
        </w:rPr>
        <w:t>9 October 2020</w:t>
      </w:r>
      <w:r w:rsidRPr="002125BD">
        <w:rPr>
          <w:lang w:val="en-US"/>
        </w:rPr>
        <w:t xml:space="preserve">. Similar criteria are also sought under </w:t>
      </w:r>
      <w:r>
        <w:rPr>
          <w:lang w:val="en-US"/>
        </w:rPr>
        <w:t xml:space="preserve">the </w:t>
      </w:r>
      <w:r w:rsidRPr="002125BD">
        <w:rPr>
          <w:lang w:val="en-US"/>
        </w:rPr>
        <w:t>TRIPS and WIPO Treaties for patentability (See</w:t>
      </w:r>
      <w:r>
        <w:rPr>
          <w:lang w:val="en-US"/>
        </w:rPr>
        <w:t xml:space="preserve"> the section ‘4.2.1.</w:t>
      </w:r>
      <w:r w:rsidRPr="002125BD">
        <w:rPr>
          <w:lang w:val="en-US"/>
        </w:rPr>
        <w:t xml:space="preserve"> General </w:t>
      </w:r>
      <w:r>
        <w:rPr>
          <w:lang w:val="en-US"/>
        </w:rPr>
        <w:t>o</w:t>
      </w:r>
      <w:r w:rsidRPr="002125BD">
        <w:rPr>
          <w:lang w:val="en-US"/>
        </w:rPr>
        <w:t>verview of</w:t>
      </w:r>
      <w:r>
        <w:rPr>
          <w:lang w:val="en-US"/>
        </w:rPr>
        <w:t xml:space="preserve"> the</w:t>
      </w:r>
      <w:r w:rsidRPr="002125BD">
        <w:rPr>
          <w:lang w:val="en-US"/>
        </w:rPr>
        <w:t xml:space="preserve"> E</w:t>
      </w:r>
      <w:r>
        <w:rPr>
          <w:lang w:val="en-US"/>
        </w:rPr>
        <w:t>U</w:t>
      </w:r>
      <w:r w:rsidRPr="002125BD">
        <w:rPr>
          <w:lang w:val="en-US"/>
        </w:rPr>
        <w:t xml:space="preserve"> </w:t>
      </w:r>
      <w:r>
        <w:rPr>
          <w:lang w:val="en-US"/>
        </w:rPr>
        <w:t>p</w:t>
      </w:r>
      <w:r w:rsidRPr="002125BD">
        <w:rPr>
          <w:lang w:val="en-US"/>
        </w:rPr>
        <w:t>atent regime</w:t>
      </w:r>
      <w:r>
        <w:rPr>
          <w:lang w:val="en-US"/>
        </w:rPr>
        <w:t>’</w:t>
      </w:r>
      <w:r w:rsidRPr="002125BD">
        <w:rPr>
          <w:lang w:val="en-US"/>
        </w:rPr>
        <w:t>)</w:t>
      </w:r>
      <w:r w:rsidRPr="002125BD">
        <w:t>.</w:t>
      </w:r>
    </w:p>
  </w:footnote>
  <w:footnote w:id="334">
    <w:p w14:paraId="335603D4" w14:textId="5FDA12DB" w:rsidR="005C0DC6" w:rsidRPr="002125BD" w:rsidRDefault="005C0DC6" w:rsidP="00A70042">
      <w:pPr>
        <w:pStyle w:val="FootnoteText"/>
        <w:ind w:left="426" w:hanging="426"/>
        <w:jc w:val="both"/>
      </w:pPr>
      <w:r w:rsidRPr="002125BD">
        <w:rPr>
          <w:rStyle w:val="FootnoteReference"/>
        </w:rPr>
        <w:footnoteRef/>
      </w:r>
      <w:r>
        <w:t xml:space="preserve"> </w:t>
      </w:r>
      <w:r>
        <w:tab/>
        <w:t>Van den Bulck (n 333</w:t>
      </w:r>
      <w:r w:rsidRPr="002125BD">
        <w:t>).</w:t>
      </w:r>
    </w:p>
  </w:footnote>
  <w:footnote w:id="335">
    <w:p w14:paraId="645DB041" w14:textId="0BF2FEC8"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w:t>
      </w:r>
      <w:r w:rsidRPr="002125BD">
        <w:rPr>
          <w:rStyle w:val="fontstyle01"/>
          <w:rFonts w:ascii="Times New Roman" w:hAnsi="Times New Roman"/>
        </w:rPr>
        <w:t>Case T 258/03, Auction Method/HITACHI [2004] OJ 2004, 575.</w:t>
      </w:r>
    </w:p>
  </w:footnote>
  <w:footnote w:id="336">
    <w:p w14:paraId="793F9430" w14:textId="275FF45B"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Zingales (n </w:t>
      </w:r>
      <w:r>
        <w:t>62</w:t>
      </w:r>
      <w:r w:rsidRPr="002125BD">
        <w:t>) 9.</w:t>
      </w:r>
    </w:p>
  </w:footnote>
  <w:footnote w:id="337">
    <w:p w14:paraId="1724E8D4" w14:textId="6B69785E"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Van den Bulck (n </w:t>
      </w:r>
      <w:r>
        <w:rPr>
          <w:lang w:val="en-US"/>
        </w:rPr>
        <w:t>333</w:t>
      </w:r>
      <w:r w:rsidRPr="002125BD">
        <w:rPr>
          <w:lang w:val="en-US"/>
        </w:rPr>
        <w:t>).</w:t>
      </w:r>
    </w:p>
  </w:footnote>
  <w:footnote w:id="338">
    <w:p w14:paraId="45083B04" w14:textId="6FA96AD0" w:rsidR="005C0DC6" w:rsidRDefault="005C0DC6" w:rsidP="00B62395">
      <w:pPr>
        <w:pStyle w:val="FootnoteText"/>
        <w:ind w:left="426" w:hanging="426"/>
        <w:jc w:val="both"/>
      </w:pPr>
      <w:r>
        <w:rPr>
          <w:rStyle w:val="FootnoteReference"/>
        </w:rPr>
        <w:footnoteRef/>
      </w:r>
      <w:r>
        <w:t xml:space="preserve">  </w:t>
      </w:r>
      <w:r>
        <w:tab/>
      </w:r>
      <w:r w:rsidRPr="00692824">
        <w:t>See also</w:t>
      </w:r>
      <w:r>
        <w:t xml:space="preserve"> Peter Drahos and John Braithwaite,</w:t>
      </w:r>
      <w:r w:rsidRPr="00692824">
        <w:rPr>
          <w:i/>
          <w:iCs/>
        </w:rPr>
        <w:t xml:space="preserve"> Information feudalism</w:t>
      </w:r>
      <w:r>
        <w:t xml:space="preserve"> (Eartscan Publications 2002) </w:t>
      </w:r>
      <w:r w:rsidRPr="00692824">
        <w:t>173</w:t>
      </w:r>
      <w:r>
        <w:t>,</w:t>
      </w:r>
      <w:r w:rsidRPr="00041125">
        <w:t xml:space="preserve"> </w:t>
      </w:r>
      <w:r>
        <w:t>reading;</w:t>
      </w:r>
      <w:r w:rsidRPr="00692824">
        <w:t xml:space="preserve"> “the companies that colonise the internet with these kinds of patents [i.e. 1-Click patent] and are able to enforce them using a combination of software tracking tools and the threat of litigation are in a position to become, in effect, the internet’s private regulators”</w:t>
      </w:r>
      <w:r>
        <w:t>.</w:t>
      </w:r>
    </w:p>
  </w:footnote>
  <w:footnote w:id="339">
    <w:p w14:paraId="7E04DC5C" w14:textId="4184A638"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Samuelson (n 4) 1962-1963.</w:t>
      </w:r>
    </w:p>
  </w:footnote>
  <w:footnote w:id="340">
    <w:p w14:paraId="7B15AC2F" w14:textId="1F6D1BE1" w:rsidR="005C0DC6" w:rsidRDefault="005C0DC6" w:rsidP="00A70042">
      <w:pPr>
        <w:pStyle w:val="FootnoteText"/>
        <w:ind w:left="426" w:hanging="426"/>
      </w:pPr>
      <w:r>
        <w:rPr>
          <w:rStyle w:val="FootnoteReference"/>
        </w:rPr>
        <w:footnoteRef/>
      </w:r>
      <w:r>
        <w:t xml:space="preserve"> </w:t>
      </w:r>
      <w:r>
        <w:tab/>
        <w:t xml:space="preserve">See supra note </w:t>
      </w:r>
      <w:r w:rsidRPr="00BF0AC0">
        <w:t>217</w:t>
      </w:r>
      <w:r>
        <w:t>.</w:t>
      </w:r>
    </w:p>
  </w:footnote>
  <w:footnote w:id="341">
    <w:p w14:paraId="1B86C357" w14:textId="544346C5"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Based on survey data o</w:t>
      </w:r>
      <w:r>
        <w:t>f</w:t>
      </w:r>
      <w:r w:rsidRPr="002125BD">
        <w:t xml:space="preserve"> inventors from 23 countries (European countries, Israel, USA and Japan)) filing applications at the EPO between 2003 and 2005, an empirical study show</w:t>
      </w:r>
      <w:r>
        <w:t>s</w:t>
      </w:r>
      <w:r w:rsidRPr="002125BD">
        <w:t xml:space="preserve"> that a substantial share of patents </w:t>
      </w:r>
      <w:r>
        <w:t xml:space="preserve">are </w:t>
      </w:r>
      <w:r w:rsidRPr="002125BD">
        <w:t xml:space="preserve">not being used by firms internally or for market transactions and they interpret this evidence as support </w:t>
      </w:r>
      <w:r>
        <w:t>f</w:t>
      </w:r>
      <w:r w:rsidRPr="002125BD">
        <w:t>o</w:t>
      </w:r>
      <w:r>
        <w:t>r</w:t>
      </w:r>
      <w:r w:rsidRPr="002125BD">
        <w:t xml:space="preserve"> the importance of strategic patenting (Comino, Manenti and Thumm (n 2</w:t>
      </w:r>
      <w:r>
        <w:t>61</w:t>
      </w:r>
      <w:r w:rsidRPr="002125BD">
        <w:t>) 4</w:t>
      </w:r>
      <w:r>
        <w:t>) referring to Torrisi et al, ‘Used, Blocking and Sleeping Patents: Empirical Evidence from a Large-Scale Inventor Survey’, [2016] 45(7) Research Policy, 1374-1385).</w:t>
      </w:r>
    </w:p>
  </w:footnote>
  <w:footnote w:id="342">
    <w:p w14:paraId="1C009548" w14:textId="68042DF8"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Comino, Manenti and Thumm (n </w:t>
      </w:r>
      <w:r>
        <w:t>320</w:t>
      </w:r>
      <w:r w:rsidRPr="002125BD">
        <w:t xml:space="preserve">) 4. </w:t>
      </w:r>
    </w:p>
  </w:footnote>
  <w:footnote w:id="343">
    <w:p w14:paraId="5D6BB93B" w14:textId="76FAE0C9"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Comino, Manenti and Thumm (n </w:t>
      </w:r>
      <w:r>
        <w:t>320</w:t>
      </w:r>
      <w:r w:rsidRPr="002125BD">
        <w:t xml:space="preserve">) 5. </w:t>
      </w:r>
    </w:p>
  </w:footnote>
  <w:footnote w:id="344">
    <w:p w14:paraId="4ACA5643" w14:textId="44D5A8CC"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t>European Commission, ‘</w:t>
      </w:r>
      <w:r w:rsidRPr="002125BD">
        <w:t>Proposal for a Directive of the European Parliament and of the Council on the patentability of computer-implemented inventions</w:t>
      </w:r>
      <w:r>
        <w:t>’</w:t>
      </w:r>
      <w:r w:rsidRPr="002125BD">
        <w:t xml:space="preserve"> (2002/C 151 E/05) COM</w:t>
      </w:r>
      <w:r>
        <w:t xml:space="preserve"> </w:t>
      </w:r>
      <w:r w:rsidRPr="002125BD">
        <w:t xml:space="preserve">(2002) 92 final </w:t>
      </w:r>
      <w:r>
        <w:t>-</w:t>
      </w:r>
      <w:r w:rsidRPr="002125BD">
        <w:t xml:space="preserve"> 2002/0047(COD)</w:t>
      </w:r>
      <w:r>
        <w:t>.</w:t>
      </w:r>
    </w:p>
  </w:footnote>
  <w:footnote w:id="345">
    <w:p w14:paraId="13F48B42" w14:textId="3EB805B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Istvan Erdos, ‘A Measure to Protect Computer-Implemented Inventions in Europe’, [2004] </w:t>
      </w:r>
      <w:r>
        <w:t xml:space="preserve">3 </w:t>
      </w:r>
      <w:r w:rsidRPr="002125BD">
        <w:t>Journal of Information, Law and Technology</w:t>
      </w:r>
      <w:r w:rsidRPr="002125BD">
        <w:rPr>
          <w:lang w:val="en-US"/>
        </w:rPr>
        <w:t xml:space="preserve"> ˂https://warwick.ac.uk/fac/soc/law/elj/jilt/2004_3/</w:t>
      </w:r>
      <w:r>
        <w:rPr>
          <w:lang w:val="en-US"/>
        </w:rPr>
        <w:t xml:space="preserve"> </w:t>
      </w:r>
      <w:r w:rsidRPr="002125BD">
        <w:rPr>
          <w:lang w:val="en-US"/>
        </w:rPr>
        <w:t xml:space="preserve">erdos˃ accessed </w:t>
      </w:r>
      <w:r>
        <w:rPr>
          <w:lang w:val="en-US"/>
        </w:rPr>
        <w:t>9 October 2020</w:t>
      </w:r>
      <w:r w:rsidRPr="002125BD">
        <w:rPr>
          <w:lang w:val="en-US"/>
        </w:rPr>
        <w:t>.</w:t>
      </w:r>
    </w:p>
  </w:footnote>
  <w:footnote w:id="346">
    <w:p w14:paraId="278F1CC0" w14:textId="79373E4D"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Ibid.</w:t>
      </w:r>
    </w:p>
  </w:footnote>
  <w:footnote w:id="347">
    <w:p w14:paraId="384EA6F3" w14:textId="6363B566"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Graef (n </w:t>
      </w:r>
      <w:r>
        <w:rPr>
          <w:lang w:val="en-US"/>
        </w:rPr>
        <w:t>304</w:t>
      </w:r>
      <w:r w:rsidRPr="002125BD">
        <w:rPr>
          <w:lang w:val="en-US"/>
        </w:rPr>
        <w:t>) 15.</w:t>
      </w:r>
    </w:p>
  </w:footnote>
  <w:footnote w:id="348">
    <w:p w14:paraId="3C6790C5" w14:textId="0F978803"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rFonts w:eastAsiaTheme="minorHAnsi"/>
          <w:i/>
          <w:iCs/>
          <w:color w:val="231F20"/>
        </w:rPr>
        <w:t xml:space="preserve">Atari Corp. and Tengen Inc. v. Nintendo of America Inc. and Nintendo Co. Ltd., </w:t>
      </w:r>
      <w:r w:rsidRPr="002125BD">
        <w:rPr>
          <w:rFonts w:eastAsiaTheme="minorHAnsi"/>
          <w:color w:val="231F20"/>
        </w:rPr>
        <w:t>975 F.2d 832, (Fed.</w:t>
      </w:r>
      <w:r>
        <w:rPr>
          <w:rFonts w:eastAsiaTheme="minorHAnsi"/>
          <w:color w:val="231F20"/>
        </w:rPr>
        <w:t xml:space="preserve"> </w:t>
      </w:r>
      <w:r w:rsidRPr="002125BD">
        <w:rPr>
          <w:rFonts w:eastAsiaTheme="minorHAnsi"/>
          <w:color w:val="231F20"/>
        </w:rPr>
        <w:t>Cir. 1990)</w:t>
      </w:r>
      <w:r w:rsidRPr="002125BD">
        <w:rPr>
          <w:lang w:val="en-US"/>
        </w:rPr>
        <w:t xml:space="preserve"> (‘</w:t>
      </w:r>
      <w:r w:rsidRPr="002125BD">
        <w:rPr>
          <w:i/>
          <w:lang w:val="en-US"/>
        </w:rPr>
        <w:t>Nintendo</w:t>
      </w:r>
      <w:r w:rsidRPr="002125BD">
        <w:rPr>
          <w:lang w:val="en-US"/>
        </w:rPr>
        <w:t xml:space="preserve"> judgement’).</w:t>
      </w:r>
    </w:p>
  </w:footnote>
  <w:footnote w:id="349">
    <w:p w14:paraId="6C299CE5" w14:textId="415FE68F"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Normally an initiation technique (10NES) was originally designed by Nintendo with the aim to create a specific access code for the authorized games to run on the Nintendo platform. Atari succeeded to produce game cartridges generating a similarly functioning data stream to initiate 10NES and allow Atari games to run on the NES consoles (Samuelson (n 4) 1965). </w:t>
      </w:r>
    </w:p>
  </w:footnote>
  <w:footnote w:id="350">
    <w:p w14:paraId="1374FA66" w14:textId="0332F8BA"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Zingales (n </w:t>
      </w:r>
      <w:r>
        <w:rPr>
          <w:lang w:val="en-US"/>
        </w:rPr>
        <w:t>62</w:t>
      </w:r>
      <w:r w:rsidRPr="002125BD">
        <w:rPr>
          <w:lang w:val="en-US"/>
        </w:rPr>
        <w:t>) 20.</w:t>
      </w:r>
    </w:p>
  </w:footnote>
  <w:footnote w:id="351">
    <w:p w14:paraId="09B6E29D" w14:textId="478A8055"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i/>
          <w:lang w:val="en-US"/>
        </w:rPr>
        <w:t>Nintendo</w:t>
      </w:r>
      <w:r w:rsidRPr="002125BD">
        <w:rPr>
          <w:lang w:val="en-US"/>
        </w:rPr>
        <w:t xml:space="preserve"> judgement, 1.</w:t>
      </w:r>
    </w:p>
  </w:footnote>
  <w:footnote w:id="352">
    <w:p w14:paraId="4820666B" w14:textId="276A117A"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According to the Court, “</w:t>
      </w:r>
      <w:r w:rsidRPr="002125BD">
        <w:rPr>
          <w:lang w:val="en-US"/>
        </w:rPr>
        <w:t>An author cannot acquire patent-like protection by putting an idea, process, or method of operation in an unintelligible format and asserting copyright infringement against those who try to understand that idea, process, or method of operation” (</w:t>
      </w:r>
      <w:r w:rsidRPr="002125BD">
        <w:rPr>
          <w:i/>
          <w:lang w:val="en-US"/>
        </w:rPr>
        <w:t>Nintendo</w:t>
      </w:r>
      <w:r w:rsidRPr="002125BD">
        <w:rPr>
          <w:lang w:val="en-US"/>
        </w:rPr>
        <w:t xml:space="preserve"> judgement, </w:t>
      </w:r>
      <w:r>
        <w:rPr>
          <w:lang w:val="en-US"/>
        </w:rPr>
        <w:t>9</w:t>
      </w:r>
      <w:r w:rsidRPr="002125BD">
        <w:rPr>
          <w:lang w:val="en-US"/>
        </w:rPr>
        <w:t>).</w:t>
      </w:r>
    </w:p>
  </w:footnote>
  <w:footnote w:id="353">
    <w:p w14:paraId="7D03B8CF" w14:textId="18BB41F2" w:rsidR="005C0DC6" w:rsidRDefault="005C0DC6" w:rsidP="00B62395">
      <w:pPr>
        <w:pStyle w:val="FootnoteText"/>
        <w:ind w:left="426" w:hanging="426"/>
        <w:jc w:val="both"/>
      </w:pPr>
      <w:r>
        <w:rPr>
          <w:rStyle w:val="FootnoteReference"/>
        </w:rPr>
        <w:footnoteRef/>
      </w:r>
      <w:r>
        <w:t xml:space="preserve"> </w:t>
      </w:r>
      <w:r>
        <w:tab/>
      </w:r>
      <w:r w:rsidRPr="002125BD">
        <w:rPr>
          <w:i/>
          <w:lang w:val="en-US"/>
        </w:rPr>
        <w:t>Nintendo</w:t>
      </w:r>
      <w:r w:rsidRPr="002125BD">
        <w:rPr>
          <w:lang w:val="en-US"/>
        </w:rPr>
        <w:t xml:space="preserve"> judgement</w:t>
      </w:r>
      <w:r>
        <w:rPr>
          <w:lang w:val="en-US"/>
        </w:rPr>
        <w:t>, 11.</w:t>
      </w:r>
    </w:p>
  </w:footnote>
  <w:footnote w:id="354">
    <w:p w14:paraId="6C1550CC" w14:textId="27F47B8B" w:rsidR="005C0DC6" w:rsidRDefault="005C0DC6" w:rsidP="00B62395">
      <w:pPr>
        <w:pStyle w:val="FootnoteText"/>
        <w:ind w:left="426" w:hanging="426"/>
        <w:jc w:val="both"/>
      </w:pPr>
      <w:r>
        <w:rPr>
          <w:rStyle w:val="FootnoteReference"/>
        </w:rPr>
        <w:footnoteRef/>
      </w:r>
      <w:r>
        <w:t xml:space="preserve"> </w:t>
      </w:r>
      <w:r>
        <w:tab/>
      </w:r>
      <w:r w:rsidRPr="002125BD">
        <w:rPr>
          <w:i/>
          <w:lang w:val="en-US"/>
        </w:rPr>
        <w:t>Nintendo</w:t>
      </w:r>
      <w:r w:rsidRPr="002125BD">
        <w:rPr>
          <w:lang w:val="en-US"/>
        </w:rPr>
        <w:t xml:space="preserve"> judgement</w:t>
      </w:r>
      <w:r>
        <w:rPr>
          <w:lang w:val="en-US"/>
        </w:rPr>
        <w:t>, 12.</w:t>
      </w:r>
    </w:p>
  </w:footnote>
  <w:footnote w:id="355">
    <w:p w14:paraId="1E05F85B" w14:textId="2C5B8A48" w:rsidR="005C0DC6" w:rsidRPr="002125BD" w:rsidRDefault="005C0DC6" w:rsidP="00A70042">
      <w:pPr>
        <w:pStyle w:val="FootnoteText"/>
        <w:ind w:left="426" w:hanging="426"/>
        <w:jc w:val="both"/>
        <w:rPr>
          <w:rFonts w:eastAsiaTheme="minorHAnsi"/>
          <w:color w:val="231F20"/>
        </w:rPr>
      </w:pPr>
      <w:r w:rsidRPr="002125BD">
        <w:rPr>
          <w:rStyle w:val="FootnoteReference"/>
        </w:rPr>
        <w:footnoteRef/>
      </w:r>
      <w:r w:rsidRPr="002125BD">
        <w:t xml:space="preserve"> </w:t>
      </w:r>
      <w:r>
        <w:tab/>
      </w:r>
      <w:r w:rsidRPr="002125BD">
        <w:rPr>
          <w:rFonts w:eastAsiaTheme="minorHAnsi"/>
          <w:color w:val="231F20"/>
        </w:rPr>
        <w:t xml:space="preserve">See European Commission, </w:t>
      </w:r>
      <w:r>
        <w:rPr>
          <w:rFonts w:eastAsiaTheme="minorHAnsi"/>
          <w:color w:val="231F20"/>
        </w:rPr>
        <w:t>‘</w:t>
      </w:r>
      <w:r w:rsidRPr="002125BD">
        <w:rPr>
          <w:rFonts w:eastAsiaTheme="minorHAnsi"/>
          <w:color w:val="231F20"/>
        </w:rPr>
        <w:t>Commission opens proceedings against Nintendo distribution practices</w:t>
      </w:r>
      <w:r>
        <w:rPr>
          <w:rFonts w:eastAsiaTheme="minorHAnsi"/>
          <w:color w:val="231F20"/>
        </w:rPr>
        <w:t>’ (</w:t>
      </w:r>
      <w:r w:rsidRPr="002125BD">
        <w:rPr>
          <w:rFonts w:eastAsiaTheme="minorHAnsi"/>
          <w:color w:val="231F20"/>
        </w:rPr>
        <w:t>Press Release, IP/00/419, 28 April 2000</w:t>
      </w:r>
      <w:r>
        <w:rPr>
          <w:rFonts w:eastAsiaTheme="minorHAnsi"/>
          <w:color w:val="231F20"/>
        </w:rPr>
        <w:t>) &lt;</w:t>
      </w:r>
      <w:r w:rsidRPr="007A2E55">
        <w:rPr>
          <w:rFonts w:eastAsiaTheme="minorHAnsi"/>
          <w:color w:val="231F20"/>
        </w:rPr>
        <w:t>https://europa.eu/rapid/press-release_IP-00-419_en.htm?locale=en</w:t>
      </w:r>
      <w:r w:rsidRPr="006B6D7C">
        <w:t xml:space="preserve">&gt; accessed </w:t>
      </w:r>
      <w:r>
        <w:t>9 October 2020.</w:t>
      </w:r>
      <w:r>
        <w:rPr>
          <w:rFonts w:eastAsiaTheme="minorHAnsi"/>
          <w:color w:val="231F20"/>
        </w:rPr>
        <w:t xml:space="preserve"> </w:t>
      </w:r>
      <w:r w:rsidRPr="002125BD">
        <w:rPr>
          <w:rFonts w:eastAsiaTheme="minorHAnsi"/>
          <w:color w:val="231F20"/>
        </w:rPr>
        <w:t xml:space="preserve"> </w:t>
      </w:r>
    </w:p>
  </w:footnote>
  <w:footnote w:id="356">
    <w:p w14:paraId="66157A99" w14:textId="7EED46FE"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Zingales (n </w:t>
      </w:r>
      <w:r>
        <w:t>52</w:t>
      </w:r>
      <w:r w:rsidRPr="002125BD">
        <w:t xml:space="preserve">) </w:t>
      </w:r>
      <w:r w:rsidRPr="002125BD">
        <w:rPr>
          <w:lang w:val="en-US"/>
        </w:rPr>
        <w:t>22. This code served also to segment markets geographically, by requiring videogames to be run only on hardware sold in the same geographic area</w:t>
      </w:r>
      <w:r>
        <w:rPr>
          <w:lang w:val="en-US"/>
        </w:rPr>
        <w:t>,</w:t>
      </w:r>
      <w:r w:rsidRPr="002125BD">
        <w:rPr>
          <w:lang w:val="en-US"/>
        </w:rPr>
        <w:t xml:space="preserve"> such as North America, Europe and Asia (</w:t>
      </w:r>
      <w:r w:rsidRPr="002125BD">
        <w:t>Ibid)</w:t>
      </w:r>
      <w:r w:rsidRPr="002125BD">
        <w:rPr>
          <w:lang w:val="en-US"/>
        </w:rPr>
        <w:t>.</w:t>
      </w:r>
    </w:p>
  </w:footnote>
  <w:footnote w:id="357">
    <w:p w14:paraId="610D1A9E" w14:textId="4ED4C672"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Zingales (n </w:t>
      </w:r>
      <w:r>
        <w:t>62</w:t>
      </w:r>
      <w:r w:rsidRPr="002125BD">
        <w:t>)</w:t>
      </w:r>
      <w:r w:rsidRPr="002125BD">
        <w:rPr>
          <w:lang w:val="en-US"/>
        </w:rPr>
        <w:t xml:space="preserve"> 22. </w:t>
      </w:r>
    </w:p>
  </w:footnote>
  <w:footnote w:id="358">
    <w:p w14:paraId="44E5E710" w14:textId="23A4B575" w:rsidR="005C0DC6" w:rsidRDefault="005C0DC6" w:rsidP="00B62395">
      <w:pPr>
        <w:pStyle w:val="FootnoteText"/>
        <w:ind w:left="426" w:hanging="426"/>
        <w:jc w:val="both"/>
      </w:pPr>
      <w:r>
        <w:rPr>
          <w:rStyle w:val="FootnoteReference"/>
        </w:rPr>
        <w:footnoteRef/>
      </w:r>
      <w:r>
        <w:t xml:space="preserve"> </w:t>
      </w:r>
      <w:r>
        <w:tab/>
        <w:t xml:space="preserve">See supra note </w:t>
      </w:r>
      <w:r w:rsidRPr="004C117D">
        <w:t>73</w:t>
      </w:r>
      <w:r>
        <w:t>.</w:t>
      </w:r>
    </w:p>
  </w:footnote>
  <w:footnote w:id="359">
    <w:p w14:paraId="4EC313D6" w14:textId="2019FF3D"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Nintendo Co Ltd and others v PC Box Srl</w:t>
      </w:r>
      <w:r w:rsidRPr="002125BD">
        <w:t>, Case C-355/12, (23 January 2014) (‘</w:t>
      </w:r>
      <w:r w:rsidRPr="002125BD">
        <w:rPr>
          <w:i/>
        </w:rPr>
        <w:t>Nintento</w:t>
      </w:r>
      <w:r w:rsidRPr="002125BD">
        <w:t xml:space="preserve"> preliminary ruling’).</w:t>
      </w:r>
    </w:p>
  </w:footnote>
  <w:footnote w:id="360">
    <w:p w14:paraId="2CDCDCEC" w14:textId="53CDD888"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Zingales (n </w:t>
      </w:r>
      <w:r>
        <w:t>62</w:t>
      </w:r>
      <w:r w:rsidRPr="002125BD">
        <w:t>)</w:t>
      </w:r>
      <w:r w:rsidRPr="002125BD">
        <w:rPr>
          <w:lang w:val="en-US"/>
        </w:rPr>
        <w:t xml:space="preserve"> 22.</w:t>
      </w:r>
    </w:p>
  </w:footnote>
  <w:footnote w:id="361">
    <w:p w14:paraId="30141DF4" w14:textId="5A1FE90E"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i/>
        </w:rPr>
        <w:t>Nintendo</w:t>
      </w:r>
      <w:r w:rsidRPr="002125BD">
        <w:t xml:space="preserve"> preliminary ruling, </w:t>
      </w:r>
      <w:r>
        <w:t>para</w:t>
      </w:r>
      <w:r w:rsidRPr="002125BD">
        <w:t xml:space="preserve"> 32</w:t>
      </w:r>
      <w:r w:rsidRPr="002125BD">
        <w:rPr>
          <w:color w:val="231F20"/>
        </w:rPr>
        <w:t>.</w:t>
      </w:r>
    </w:p>
  </w:footnote>
  <w:footnote w:id="362">
    <w:p w14:paraId="0ECDF9C7" w14:textId="153C942E"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The factors underlined by the Court to be taken into consideration include</w:t>
      </w:r>
      <w:r>
        <w:t>;</w:t>
      </w:r>
      <w:r w:rsidRPr="002125BD">
        <w:t xml:space="preserve"> “the relative costs of different types of technological measures, of technological and practical aspects of their implementation, and of a comparison of the effectiveness of those different types of technological measures as regards the protection of right</w:t>
      </w:r>
      <w:r>
        <w:t xml:space="preserve">s </w:t>
      </w:r>
      <w:r w:rsidRPr="002125BD">
        <w:t>holder’s rights, that effectiveness however not having to be absolute” (</w:t>
      </w:r>
      <w:r w:rsidRPr="002125BD">
        <w:rPr>
          <w:i/>
        </w:rPr>
        <w:t>Nintendo</w:t>
      </w:r>
      <w:r w:rsidRPr="002125BD">
        <w:t xml:space="preserve"> preliminary ruling, </w:t>
      </w:r>
      <w:r>
        <w:t>para</w:t>
      </w:r>
      <w:r w:rsidRPr="002125BD">
        <w:t xml:space="preserve"> 33)</w:t>
      </w:r>
      <w:r w:rsidRPr="002125BD">
        <w:rPr>
          <w:color w:val="231F20"/>
        </w:rPr>
        <w:t>.</w:t>
      </w:r>
      <w:r w:rsidRPr="002125BD">
        <w:t xml:space="preserve"> </w:t>
      </w:r>
    </w:p>
  </w:footnote>
  <w:footnote w:id="363">
    <w:p w14:paraId="0EF3FC7F" w14:textId="1AF8C06F"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Zingales (n </w:t>
      </w:r>
      <w:r>
        <w:t>62</w:t>
      </w:r>
      <w:r w:rsidRPr="002125BD">
        <w:t>)</w:t>
      </w:r>
      <w:r w:rsidRPr="002125BD">
        <w:rPr>
          <w:lang w:val="en-US"/>
        </w:rPr>
        <w:t xml:space="preserve"> 23.</w:t>
      </w:r>
    </w:p>
  </w:footnote>
  <w:footnote w:id="364">
    <w:p w14:paraId="412A4644" w14:textId="2FA4206D"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bookmarkStart w:id="338" w:name="_Hlk12343872"/>
      <w:r>
        <w:tab/>
      </w:r>
      <w:r w:rsidRPr="002125BD">
        <w:rPr>
          <w:lang w:val="en-US"/>
        </w:rPr>
        <w:t>Title 17, Section 107 of the USC</w:t>
      </w:r>
      <w:r>
        <w:rPr>
          <w:lang w:val="en-US"/>
        </w:rPr>
        <w:t xml:space="preserve">A </w:t>
      </w:r>
      <w:bookmarkEnd w:id="338"/>
      <w:r w:rsidRPr="002125BD">
        <w:rPr>
          <w:lang w:val="en-US"/>
        </w:rPr>
        <w:t>reads as follows:</w:t>
      </w:r>
    </w:p>
    <w:p w14:paraId="0DD6660A" w14:textId="54D9F3C2" w:rsidR="005C0DC6" w:rsidRPr="002125BD" w:rsidRDefault="005C0DC6" w:rsidP="008339D5">
      <w:pPr>
        <w:pStyle w:val="FootnoteText"/>
        <w:ind w:left="851" w:hanging="131"/>
        <w:jc w:val="both"/>
        <w:rPr>
          <w:lang w:val="en-US"/>
        </w:rPr>
      </w:pPr>
      <w:r w:rsidRPr="002125BD">
        <w:t>“</w:t>
      </w:r>
      <w:r w:rsidRPr="002125BD">
        <w:rPr>
          <w:lang w:val="en-US"/>
        </w:rPr>
        <w:t>The fair use of a copyrighted work… for purposes such as criticism, comment, news reporting, teaching, … scholarship, or research, is not an infringement of copyright. In determining whether the use made of a work in any particular case is a fair use the factors to be considered shall include:</w:t>
      </w:r>
    </w:p>
    <w:p w14:paraId="75153E1C" w14:textId="77777777" w:rsidR="005C0DC6" w:rsidRPr="002125BD" w:rsidRDefault="005C0DC6" w:rsidP="00A70042">
      <w:pPr>
        <w:pStyle w:val="FootnoteText"/>
        <w:numPr>
          <w:ilvl w:val="0"/>
          <w:numId w:val="14"/>
        </w:numPr>
        <w:ind w:left="851" w:hanging="425"/>
        <w:jc w:val="both"/>
        <w:rPr>
          <w:lang w:val="en-US"/>
        </w:rPr>
      </w:pPr>
      <w:r w:rsidRPr="002125BD">
        <w:rPr>
          <w:lang w:val="en-US"/>
        </w:rPr>
        <w:t>The purpose and character of the use, including whether such use is of a commercial nature or is for non-profit educational purposes;</w:t>
      </w:r>
    </w:p>
    <w:p w14:paraId="4AFCA604" w14:textId="77777777" w:rsidR="005C0DC6" w:rsidRPr="002125BD" w:rsidRDefault="005C0DC6" w:rsidP="00A70042">
      <w:pPr>
        <w:pStyle w:val="FootnoteText"/>
        <w:numPr>
          <w:ilvl w:val="0"/>
          <w:numId w:val="14"/>
        </w:numPr>
        <w:ind w:left="851" w:hanging="425"/>
        <w:jc w:val="both"/>
        <w:rPr>
          <w:lang w:val="en-US"/>
        </w:rPr>
      </w:pPr>
      <w:r w:rsidRPr="002125BD">
        <w:rPr>
          <w:lang w:val="en-US"/>
        </w:rPr>
        <w:t>The nature of the copyrighted work;</w:t>
      </w:r>
    </w:p>
    <w:p w14:paraId="5979CC61" w14:textId="77777777" w:rsidR="005C0DC6" w:rsidRPr="002125BD" w:rsidRDefault="005C0DC6" w:rsidP="00A70042">
      <w:pPr>
        <w:pStyle w:val="FootnoteText"/>
        <w:numPr>
          <w:ilvl w:val="0"/>
          <w:numId w:val="14"/>
        </w:numPr>
        <w:ind w:left="851" w:hanging="425"/>
        <w:jc w:val="both"/>
        <w:rPr>
          <w:lang w:val="en-US"/>
        </w:rPr>
      </w:pPr>
      <w:r w:rsidRPr="002125BD">
        <w:rPr>
          <w:lang w:val="en-US"/>
        </w:rPr>
        <w:t>The amount and substantiality of the portion used in relation to the copyrighted work as a whole;</w:t>
      </w:r>
    </w:p>
    <w:p w14:paraId="30A298C7" w14:textId="77777777" w:rsidR="005C0DC6" w:rsidRPr="002125BD" w:rsidRDefault="005C0DC6" w:rsidP="00A70042">
      <w:pPr>
        <w:pStyle w:val="FootnoteText"/>
        <w:numPr>
          <w:ilvl w:val="0"/>
          <w:numId w:val="14"/>
        </w:numPr>
        <w:ind w:left="851" w:hanging="425"/>
        <w:jc w:val="both"/>
        <w:rPr>
          <w:lang w:val="en-US"/>
        </w:rPr>
      </w:pPr>
      <w:r w:rsidRPr="002125BD">
        <w:rPr>
          <w:lang w:val="en-US"/>
        </w:rPr>
        <w:t>The effect of the use upon the potential market or value of the copyrighted work”.</w:t>
      </w:r>
    </w:p>
  </w:footnote>
  <w:footnote w:id="365">
    <w:p w14:paraId="68CBE794" w14:textId="7C000337"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Sega Enterprises Ltd. v. Accolade, Inc</w:t>
      </w:r>
      <w:r w:rsidRPr="002125BD">
        <w:t>., 977 F.2d1510 (9th Cir. 1992).</w:t>
      </w:r>
    </w:p>
  </w:footnote>
  <w:footnote w:id="366">
    <w:p w14:paraId="717FF812" w14:textId="53FB32CC"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tr-TR"/>
        </w:rPr>
        <w:t xml:space="preserve">Band and Katoh (n </w:t>
      </w:r>
      <w:r>
        <w:rPr>
          <w:lang w:val="tr-TR"/>
        </w:rPr>
        <w:t>55</w:t>
      </w:r>
      <w:r w:rsidRPr="002125BD">
        <w:rPr>
          <w:lang w:val="tr-TR"/>
        </w:rPr>
        <w:t xml:space="preserve">) </w:t>
      </w:r>
      <w:r w:rsidRPr="002125BD">
        <w:rPr>
          <w:lang w:val="en-US"/>
        </w:rPr>
        <w:t>19.</w:t>
      </w:r>
    </w:p>
  </w:footnote>
  <w:footnote w:id="367">
    <w:p w14:paraId="63A5D53A" w14:textId="2A54BEF6" w:rsidR="005C0DC6" w:rsidRDefault="005C0DC6" w:rsidP="00B62395">
      <w:pPr>
        <w:pStyle w:val="FootnoteText"/>
        <w:ind w:left="426" w:hanging="426"/>
        <w:jc w:val="both"/>
      </w:pPr>
      <w:r>
        <w:rPr>
          <w:rStyle w:val="FootnoteReference"/>
        </w:rPr>
        <w:footnoteRef/>
      </w:r>
      <w:r>
        <w:t xml:space="preserve"> </w:t>
      </w:r>
      <w:r>
        <w:tab/>
        <w:t>Perzanowski (n 40) 116.</w:t>
      </w:r>
    </w:p>
  </w:footnote>
  <w:footnote w:id="368">
    <w:p w14:paraId="555CCC8A" w14:textId="0A469592"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See Samuelson (n 4) 2008, reading</w:t>
      </w:r>
      <w:r>
        <w:t>;</w:t>
      </w:r>
      <w:r w:rsidRPr="002125BD">
        <w:t xml:space="preserve"> “It is also conceivable although somewhat less likely, that U.S. courts will adopt the fair use defense proposal … to balance the patent holders’ and public interests at stake in cases involving patents affecting interoperability”.  </w:t>
      </w:r>
    </w:p>
  </w:footnote>
  <w:footnote w:id="369">
    <w:p w14:paraId="641FA9AA" w14:textId="66D89918"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Section 1201(f) titled ‘Reverse engineering’ permits the development and use of technological means of circumventing a technological measure for the purpose of enabling interoperability, providing exceptions to relevant prohibitions i.e. on the circumvention of access controls</w:t>
      </w:r>
      <w:r>
        <w:rPr>
          <w:lang w:val="en-US"/>
        </w:rPr>
        <w:t xml:space="preserve"> and</w:t>
      </w:r>
      <w:r w:rsidRPr="002125BD">
        <w:rPr>
          <w:lang w:val="en-US"/>
        </w:rPr>
        <w:t xml:space="preserve"> on the manufacture and distribution of devices that circumvent access controls and/or copy controls (See </w:t>
      </w:r>
      <w:r w:rsidRPr="002125BD">
        <w:rPr>
          <w:lang w:val="tr-TR"/>
        </w:rPr>
        <w:t xml:space="preserve">Band and Katoh (n </w:t>
      </w:r>
      <w:r>
        <w:rPr>
          <w:lang w:val="tr-TR"/>
        </w:rPr>
        <w:t>55</w:t>
      </w:r>
      <w:r w:rsidRPr="002125BD">
        <w:rPr>
          <w:lang w:val="tr-TR"/>
        </w:rPr>
        <w:t>)</w:t>
      </w:r>
      <w:r w:rsidRPr="002125BD">
        <w:rPr>
          <w:lang w:val="en-US"/>
        </w:rPr>
        <w:t xml:space="preserve"> 82-83).</w:t>
      </w:r>
    </w:p>
  </w:footnote>
  <w:footnote w:id="370">
    <w:p w14:paraId="7289A86A" w14:textId="33710F13" w:rsidR="005C0DC6" w:rsidRPr="002125BD" w:rsidRDefault="005C0DC6" w:rsidP="00F13406">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The attempts in the EU aiming to ensure that patented software products are to be subject to reverse engineering exemption</w:t>
      </w:r>
      <w:r>
        <w:rPr>
          <w:lang w:val="en-US"/>
        </w:rPr>
        <w:t>,</w:t>
      </w:r>
      <w:r w:rsidRPr="002125BD">
        <w:rPr>
          <w:lang w:val="en-US"/>
        </w:rPr>
        <w:t xml:space="preserve"> such as copyrighted computer programs</w:t>
      </w:r>
      <w:r>
        <w:rPr>
          <w:lang w:val="en-US"/>
        </w:rPr>
        <w:t>,</w:t>
      </w:r>
      <w:r w:rsidRPr="002125BD">
        <w:rPr>
          <w:lang w:val="en-US"/>
        </w:rPr>
        <w:t xml:space="preserve"> have failed so far. See Graef (n </w:t>
      </w:r>
      <w:r>
        <w:rPr>
          <w:lang w:val="en-US"/>
        </w:rPr>
        <w:t>304</w:t>
      </w:r>
      <w:r w:rsidRPr="002125BD">
        <w:rPr>
          <w:lang w:val="en-US"/>
        </w:rPr>
        <w:t>) 15.</w:t>
      </w:r>
      <w:r>
        <w:rPr>
          <w:lang w:val="en-US"/>
        </w:rPr>
        <w:t xml:space="preserve"> See also the section ‘</w:t>
      </w:r>
      <w:r w:rsidRPr="00F13406">
        <w:rPr>
          <w:lang w:val="en-US"/>
        </w:rPr>
        <w:t>4.2.2.</w:t>
      </w:r>
      <w:r>
        <w:rPr>
          <w:lang w:val="en-US"/>
        </w:rPr>
        <w:t xml:space="preserve"> </w:t>
      </w:r>
      <w:r w:rsidRPr="00F13406">
        <w:rPr>
          <w:lang w:val="en-US"/>
        </w:rPr>
        <w:t>Patentability of software and interfaces under the EU patent regime</w:t>
      </w:r>
      <w:r>
        <w:rPr>
          <w:lang w:val="en-US"/>
        </w:rPr>
        <w:t>’.</w:t>
      </w:r>
    </w:p>
  </w:footnote>
  <w:footnote w:id="371">
    <w:p w14:paraId="3F699012" w14:textId="687ECDE8" w:rsidR="005C0DC6" w:rsidRDefault="005C0DC6" w:rsidP="00A70042">
      <w:pPr>
        <w:pStyle w:val="FootnoteText"/>
        <w:ind w:left="426" w:hanging="426"/>
        <w:jc w:val="both"/>
      </w:pPr>
      <w:r>
        <w:rPr>
          <w:rStyle w:val="FootnoteReference"/>
        </w:rPr>
        <w:footnoteRef/>
      </w:r>
      <w:r>
        <w:t xml:space="preserve"> </w:t>
      </w:r>
      <w:r>
        <w:tab/>
      </w:r>
      <w:r w:rsidRPr="004B3353">
        <w:t xml:space="preserve">In lieu of </w:t>
      </w:r>
      <w:r>
        <w:t>such internal safeguards and more enhanced IPR protection</w:t>
      </w:r>
      <w:r w:rsidRPr="004B3353">
        <w:t xml:space="preserve">, competition law </w:t>
      </w:r>
      <w:r>
        <w:t xml:space="preserve">tools are much more invoked in the EU, with a stronger </w:t>
      </w:r>
      <w:r w:rsidRPr="004B3353">
        <w:t xml:space="preserve">role over the anti-competitive effects </w:t>
      </w:r>
      <w:r>
        <w:t>stemming from</w:t>
      </w:r>
      <w:r w:rsidRPr="004B3353">
        <w:t xml:space="preserve"> patent exploitation.</w:t>
      </w:r>
      <w:r w:rsidRPr="00880973">
        <w:t xml:space="preserve"> </w:t>
      </w:r>
    </w:p>
  </w:footnote>
  <w:footnote w:id="372">
    <w:p w14:paraId="1EB32D50" w14:textId="01C9FA89" w:rsidR="005C0DC6" w:rsidRDefault="005C0DC6" w:rsidP="00692824">
      <w:pPr>
        <w:pStyle w:val="FootnoteText"/>
        <w:ind w:left="426" w:hanging="426"/>
        <w:jc w:val="both"/>
      </w:pPr>
      <w:r>
        <w:rPr>
          <w:rStyle w:val="FootnoteReference"/>
        </w:rPr>
        <w:footnoteRef/>
      </w:r>
      <w:r>
        <w:t xml:space="preserve"> </w:t>
      </w:r>
      <w:r>
        <w:tab/>
      </w:r>
      <w:r w:rsidRPr="00880973">
        <w:t xml:space="preserve">On the other hand, it is also argued that the US anti-circumvention laws i.e. DMCA, are not sufficient </w:t>
      </w:r>
      <w:r>
        <w:t>in view of a number of shortcomings (See Perzanowski (n 40) 141-142). Perzanowski elaborates the shortcomings as follows:</w:t>
      </w:r>
    </w:p>
    <w:p w14:paraId="750D1708" w14:textId="71BFCB06" w:rsidR="005C0DC6" w:rsidRDefault="005C0DC6" w:rsidP="00692824">
      <w:pPr>
        <w:pStyle w:val="FootnoteText"/>
        <w:ind w:left="992" w:right="567"/>
        <w:jc w:val="both"/>
      </w:pPr>
      <w:r w:rsidRPr="00896448">
        <w:t>§ 1201(f)</w:t>
      </w:r>
      <w:r>
        <w:t xml:space="preserve"> does note embrace all the interoperable technologies. Section </w:t>
      </w:r>
      <w:r w:rsidRPr="00896448">
        <w:t>1201 (f)</w:t>
      </w:r>
      <w:r>
        <w:t xml:space="preserve"> permits the circumvention of technological measures that protect computer programs, but not “works generally, such as music or audio-visual works … distributed in digital form” As a result, interoperable products that make use of technologically protected entertainment content or other works are open to attack under the DMCA. The disparity in the treatment of these two classes of interoperable technologies is the result of two problematic distinction. First, this inequality relies on a clear division between technological measures that protect computer programs and those that protect other copyrighted works. Second, it relies on a distinction between program interoperability and data interoperability. Both distinctions are the product of factual oversimplifications, and neither supports exempting one class of interoperable technologies while subjecting the other to DMCA liability (Perzanowski (n 40) 141-142).</w:t>
      </w:r>
    </w:p>
  </w:footnote>
  <w:footnote w:id="373">
    <w:p w14:paraId="64824C06" w14:textId="63AE2009" w:rsidR="005C0DC6" w:rsidRPr="002125BD" w:rsidRDefault="005C0DC6" w:rsidP="00A70042">
      <w:pPr>
        <w:pStyle w:val="FootnoteText"/>
        <w:ind w:left="426" w:hanging="426"/>
        <w:jc w:val="both"/>
      </w:pPr>
      <w:r w:rsidRPr="002125BD">
        <w:rPr>
          <w:rStyle w:val="FootnoteReference"/>
        </w:rPr>
        <w:footnoteRef/>
      </w:r>
      <w:r w:rsidRPr="002125BD">
        <w:t xml:space="preserve"> </w:t>
      </w:r>
      <w:r>
        <w:tab/>
        <w:t xml:space="preserve">See </w:t>
      </w:r>
      <w:r w:rsidRPr="002125BD">
        <w:t xml:space="preserve">Weston (n </w:t>
      </w:r>
      <w:r>
        <w:t>13</w:t>
      </w:r>
      <w:r w:rsidRPr="002125BD">
        <w:t>) 288.</w:t>
      </w:r>
    </w:p>
  </w:footnote>
  <w:footnote w:id="374">
    <w:p w14:paraId="75AB7B69" w14:textId="2A0FE28C"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Zingales (n </w:t>
      </w:r>
      <w:r>
        <w:t>62</w:t>
      </w:r>
      <w:r w:rsidRPr="002125BD">
        <w:t>) 11.</w:t>
      </w:r>
    </w:p>
  </w:footnote>
  <w:footnote w:id="375">
    <w:p w14:paraId="4EAA674D" w14:textId="24E79C86"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TRIPS Agreement</w:t>
      </w:r>
      <w:r>
        <w:rPr>
          <w:lang w:val="en-US"/>
        </w:rPr>
        <w:t>,</w:t>
      </w:r>
      <w:r w:rsidRPr="002125BD">
        <w:rPr>
          <w:lang w:val="en-US"/>
        </w:rPr>
        <w:t xml:space="preserve"> </w:t>
      </w:r>
      <w:r>
        <w:rPr>
          <w:lang w:val="en-US"/>
        </w:rPr>
        <w:t>art</w:t>
      </w:r>
      <w:r w:rsidRPr="002125BD">
        <w:rPr>
          <w:lang w:val="en-US"/>
        </w:rPr>
        <w:t xml:space="preserve"> 39(2). Under the TRIPS provision, </w:t>
      </w:r>
      <w:r>
        <w:rPr>
          <w:lang w:val="en-US"/>
        </w:rPr>
        <w:t xml:space="preserve">the </w:t>
      </w:r>
      <w:r w:rsidRPr="002125BD">
        <w:rPr>
          <w:lang w:val="en-US"/>
        </w:rPr>
        <w:t xml:space="preserve">protection of trade secrets against third parties’ unauthorised disclosure, acquisition or use is bound up with such acts taking place “in a manner contrary to honest commercial practices.” </w:t>
      </w:r>
    </w:p>
  </w:footnote>
  <w:footnote w:id="376">
    <w:p w14:paraId="7A49CE0F" w14:textId="3E72D034"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Weston (n </w:t>
      </w:r>
      <w:r>
        <w:rPr>
          <w:lang w:val="en-US"/>
        </w:rPr>
        <w:t>13</w:t>
      </w:r>
      <w:r w:rsidRPr="002125BD">
        <w:rPr>
          <w:lang w:val="en-US"/>
        </w:rPr>
        <w:t>) 230-232.</w:t>
      </w:r>
    </w:p>
  </w:footnote>
  <w:footnote w:id="377">
    <w:p w14:paraId="7C731486" w14:textId="53B960EA"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Gustavo Ghidini and Emanuela Arezzo</w:t>
      </w:r>
      <w:r>
        <w:rPr>
          <w:lang w:val="en-US"/>
        </w:rPr>
        <w:t>,</w:t>
      </w:r>
      <w:r w:rsidRPr="002125BD">
        <w:rPr>
          <w:lang w:val="en-US"/>
        </w:rPr>
        <w:t xml:space="preserve"> ‘One, none, or a hundred thousand</w:t>
      </w:r>
      <w:r>
        <w:rPr>
          <w:lang w:val="en-US"/>
        </w:rPr>
        <w:t xml:space="preserve">: how many layers of protection </w:t>
      </w:r>
      <w:r w:rsidRPr="002125BD">
        <w:rPr>
          <w:lang w:val="en-US"/>
        </w:rPr>
        <w:t>for software innovations?’ in J Drexl (ed</w:t>
      </w:r>
      <w:r>
        <w:rPr>
          <w:lang w:val="en-US"/>
        </w:rPr>
        <w:t>s</w:t>
      </w:r>
      <w:r w:rsidRPr="002125BD">
        <w:rPr>
          <w:lang w:val="en-US"/>
        </w:rPr>
        <w:t>)</w:t>
      </w:r>
      <w:r>
        <w:rPr>
          <w:lang w:val="en-US"/>
        </w:rPr>
        <w:t>,</w:t>
      </w:r>
      <w:r w:rsidRPr="002125BD">
        <w:rPr>
          <w:lang w:val="en-US"/>
        </w:rPr>
        <w:t xml:space="preserve"> </w:t>
      </w:r>
      <w:r w:rsidRPr="00BA1447">
        <w:rPr>
          <w:i/>
          <w:iCs/>
          <w:lang w:val="en-US"/>
        </w:rPr>
        <w:t>Research Handbook on Intellectual Property and Competition</w:t>
      </w:r>
      <w:r>
        <w:rPr>
          <w:lang w:val="en-US"/>
        </w:rPr>
        <w:t xml:space="preserve"> </w:t>
      </w:r>
      <w:r w:rsidRPr="002125BD">
        <w:rPr>
          <w:lang w:val="en-US"/>
        </w:rPr>
        <w:t>(Edward Elgar 2008) 363.</w:t>
      </w:r>
    </w:p>
  </w:footnote>
  <w:footnote w:id="378">
    <w:p w14:paraId="65E75B47" w14:textId="28965F89"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Directive (EU) 2016/943 of the European Parliament and of the Council o</w:t>
      </w:r>
      <w:r>
        <w:rPr>
          <w:lang w:val="en-US"/>
        </w:rPr>
        <w:t>n</w:t>
      </w:r>
      <w:r w:rsidRPr="002125BD">
        <w:rPr>
          <w:lang w:val="en-US"/>
        </w:rPr>
        <w:t xml:space="preserve"> 8 June 2016 on the protection of undisclosed know-how and business information (trade secrets) against their unlawful acquisition, use and disclosure (</w:t>
      </w:r>
      <w:r>
        <w:rPr>
          <w:lang w:val="en-US"/>
        </w:rPr>
        <w:t>‘</w:t>
      </w:r>
      <w:r w:rsidRPr="002125BD">
        <w:rPr>
          <w:lang w:val="en-US"/>
        </w:rPr>
        <w:t>Trade Secrets Directive</w:t>
      </w:r>
      <w:r>
        <w:rPr>
          <w:lang w:val="en-US"/>
        </w:rPr>
        <w:t>’</w:t>
      </w:r>
      <w:r w:rsidRPr="002125BD">
        <w:rPr>
          <w:lang w:val="en-US"/>
        </w:rPr>
        <w:t>).</w:t>
      </w:r>
    </w:p>
  </w:footnote>
  <w:footnote w:id="379">
    <w:p w14:paraId="77A5A3B5" w14:textId="2BDBD09B"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As per Trade Secrets Directive, all</w:t>
      </w:r>
      <w:r>
        <w:t xml:space="preserve"> the</w:t>
      </w:r>
      <w:r w:rsidRPr="002125BD">
        <w:t xml:space="preserve"> following requirements should be met by the information as a ‘trade secret’:</w:t>
      </w:r>
    </w:p>
    <w:p w14:paraId="28864CB1" w14:textId="77777777" w:rsidR="005C0DC6" w:rsidRPr="002125BD" w:rsidRDefault="005C0DC6" w:rsidP="00A70042">
      <w:pPr>
        <w:pStyle w:val="FootnoteText"/>
        <w:numPr>
          <w:ilvl w:val="0"/>
          <w:numId w:val="15"/>
        </w:numPr>
        <w:ind w:left="709" w:hanging="284"/>
        <w:jc w:val="both"/>
        <w:rPr>
          <w:lang w:val="en-US"/>
        </w:rPr>
      </w:pPr>
      <w:r w:rsidRPr="002125BD">
        <w:rPr>
          <w:lang w:val="en-US"/>
        </w:rPr>
        <w:t>it is secret in the sense that it is not, as a body or in the precise configuration and assembly of its components, generally known among or readily accessible to persons within the circles that normally deal with the kind of information in question;</w:t>
      </w:r>
    </w:p>
    <w:p w14:paraId="4338F88B" w14:textId="77777777" w:rsidR="005C0DC6" w:rsidRPr="002125BD" w:rsidRDefault="005C0DC6" w:rsidP="00A70042">
      <w:pPr>
        <w:pStyle w:val="FootnoteText"/>
        <w:numPr>
          <w:ilvl w:val="0"/>
          <w:numId w:val="15"/>
        </w:numPr>
        <w:ind w:left="709" w:hanging="284"/>
        <w:jc w:val="both"/>
        <w:rPr>
          <w:lang w:val="en-US"/>
        </w:rPr>
      </w:pPr>
      <w:r w:rsidRPr="002125BD">
        <w:rPr>
          <w:lang w:val="en-US"/>
        </w:rPr>
        <w:t>it has commercial value because it is secret; and</w:t>
      </w:r>
    </w:p>
    <w:p w14:paraId="7BA3C8F4" w14:textId="0A9D09C6" w:rsidR="005C0DC6" w:rsidRPr="002125BD" w:rsidRDefault="005C0DC6" w:rsidP="00A70042">
      <w:pPr>
        <w:pStyle w:val="FootnoteText"/>
        <w:numPr>
          <w:ilvl w:val="0"/>
          <w:numId w:val="15"/>
        </w:numPr>
        <w:ind w:left="709" w:hanging="284"/>
        <w:jc w:val="both"/>
        <w:rPr>
          <w:lang w:val="en-US"/>
        </w:rPr>
      </w:pPr>
      <w:r w:rsidRPr="002125BD">
        <w:rPr>
          <w:lang w:val="en-US"/>
        </w:rPr>
        <w:t>it has been subject to reasonable steps under the circumstances, by the person lawfully in control of the information, to keep it secret</w:t>
      </w:r>
      <w:r>
        <w:rPr>
          <w:lang w:val="en-US"/>
        </w:rPr>
        <w:t xml:space="preserve"> (Trade Secrets Directive, </w:t>
      </w:r>
      <w:r>
        <w:t>art</w:t>
      </w:r>
      <w:r w:rsidRPr="002125BD">
        <w:t xml:space="preserve"> 2(1)</w:t>
      </w:r>
      <w:r>
        <w:t>).</w:t>
      </w:r>
    </w:p>
    <w:p w14:paraId="55613E63" w14:textId="4B492721" w:rsidR="005C0DC6" w:rsidRPr="002125BD" w:rsidRDefault="005C0DC6" w:rsidP="00A70042">
      <w:pPr>
        <w:pStyle w:val="FootnoteText"/>
        <w:ind w:left="709"/>
        <w:jc w:val="both"/>
        <w:rPr>
          <w:lang w:val="en-US"/>
        </w:rPr>
      </w:pPr>
      <w:r w:rsidRPr="002125BD">
        <w:rPr>
          <w:lang w:val="en-US"/>
        </w:rPr>
        <w:t xml:space="preserve">Accordingly, commercially valuable business information or know-how may be protected as long as it is kept secret by the holder by way of, for example, non-disclosure or confidentiality agreements (Inge Graef, </w:t>
      </w:r>
      <w:r>
        <w:rPr>
          <w:lang w:val="en-US"/>
        </w:rPr>
        <w:t>‘</w:t>
      </w:r>
      <w:r w:rsidRPr="002125BD">
        <w:rPr>
          <w:lang w:val="en-US"/>
        </w:rPr>
        <w:t xml:space="preserve">Data as Essential Facility Competition and Innovation on Online Platforms’ </w:t>
      </w:r>
      <w:r>
        <w:rPr>
          <w:lang w:val="en-US"/>
        </w:rPr>
        <w:t>(</w:t>
      </w:r>
      <w:r w:rsidRPr="002125BD">
        <w:t xml:space="preserve">PhD Dissertation, </w:t>
      </w:r>
      <w:r w:rsidRPr="002125BD">
        <w:rPr>
          <w:lang w:val="en-US"/>
        </w:rPr>
        <w:t>KU Leuven Faculty of Law</w:t>
      </w:r>
      <w:r>
        <w:rPr>
          <w:lang w:val="en-US"/>
        </w:rPr>
        <w:t xml:space="preserve"> 2016)</w:t>
      </w:r>
      <w:r w:rsidRPr="002125BD">
        <w:rPr>
          <w:lang w:val="en-US"/>
        </w:rPr>
        <w:t xml:space="preserve"> 144).</w:t>
      </w:r>
    </w:p>
  </w:footnote>
  <w:footnote w:id="380">
    <w:p w14:paraId="5F96A2E8" w14:textId="1175DE11" w:rsidR="005C0DC6" w:rsidRDefault="005C0DC6" w:rsidP="00B24620">
      <w:pPr>
        <w:pStyle w:val="FootnoteText"/>
        <w:ind w:left="426" w:hanging="426"/>
        <w:jc w:val="both"/>
      </w:pPr>
      <w:r>
        <w:rPr>
          <w:rStyle w:val="FootnoteReference"/>
        </w:rPr>
        <w:footnoteRef/>
      </w:r>
      <w:r>
        <w:t xml:space="preserve"> </w:t>
      </w:r>
      <w:r>
        <w:tab/>
      </w:r>
      <w:r w:rsidRPr="002125BD">
        <w:rPr>
          <w:lang w:val="en-US"/>
        </w:rPr>
        <w:t xml:space="preserve">Trade Secrets Directive, </w:t>
      </w:r>
      <w:r>
        <w:rPr>
          <w:lang w:val="en-US"/>
        </w:rPr>
        <w:t>art</w:t>
      </w:r>
      <w:r w:rsidRPr="002125BD">
        <w:rPr>
          <w:lang w:val="en-US"/>
        </w:rPr>
        <w:t xml:space="preserve"> 3</w:t>
      </w:r>
      <w:r>
        <w:rPr>
          <w:lang w:val="en-US"/>
        </w:rPr>
        <w:t>(1/b).</w:t>
      </w:r>
    </w:p>
  </w:footnote>
  <w:footnote w:id="381">
    <w:p w14:paraId="0EA33EA6" w14:textId="7BD375D3"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Trade Secrets Directive, </w:t>
      </w:r>
      <w:r>
        <w:rPr>
          <w:lang w:val="en-US"/>
        </w:rPr>
        <w:t>art</w:t>
      </w:r>
      <w:r w:rsidRPr="002125BD">
        <w:rPr>
          <w:lang w:val="en-US"/>
        </w:rPr>
        <w:t xml:space="preserve"> 3(1).</w:t>
      </w:r>
    </w:p>
  </w:footnote>
  <w:footnote w:id="382">
    <w:p w14:paraId="27A72240" w14:textId="7A5C1C54"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Trade Secrets Directive, </w:t>
      </w:r>
      <w:r>
        <w:rPr>
          <w:lang w:val="en-US"/>
        </w:rPr>
        <w:t>art</w:t>
      </w:r>
      <w:r w:rsidRPr="002125BD">
        <w:rPr>
          <w:lang w:val="en-US"/>
        </w:rPr>
        <w:t xml:space="preserve"> 3/1(b).</w:t>
      </w:r>
    </w:p>
  </w:footnote>
  <w:footnote w:id="383">
    <w:p w14:paraId="51D9B0B7" w14:textId="3AB7CC4F"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Trade Secrets Directive, </w:t>
      </w:r>
      <w:r>
        <w:rPr>
          <w:lang w:val="en-US"/>
        </w:rPr>
        <w:t>art</w:t>
      </w:r>
      <w:r w:rsidRPr="002125BD">
        <w:rPr>
          <w:lang w:val="en-US"/>
        </w:rPr>
        <w:t xml:space="preserve"> 3/1(b).</w:t>
      </w:r>
    </w:p>
  </w:footnote>
  <w:footnote w:id="384">
    <w:p w14:paraId="275D308D" w14:textId="3825CE0A" w:rsidR="005C0DC6" w:rsidRPr="002125BD" w:rsidRDefault="005C0DC6" w:rsidP="00A70042">
      <w:pPr>
        <w:pStyle w:val="FootnoteText"/>
        <w:ind w:left="426" w:hanging="426"/>
        <w:jc w:val="both"/>
      </w:pPr>
      <w:r w:rsidRPr="002125BD">
        <w:rPr>
          <w:rStyle w:val="FootnoteReference"/>
        </w:rPr>
        <w:footnoteRef/>
      </w:r>
      <w:r w:rsidRPr="002125BD">
        <w:t xml:space="preserve"> </w:t>
      </w:r>
      <w:r>
        <w:tab/>
        <w:t xml:space="preserve">Remarkably, </w:t>
      </w:r>
      <w:r w:rsidRPr="002125BD">
        <w:t xml:space="preserve">Article 6(2) of the Software Directive does not permit the information obtained through decompilation (a) to be used for goals other than to achieve the interoperability of the independently created computer program; (b) to be given to others, except when necessary for the interoperability of the independently created computer program; or (c) to be used for the development, production or marketing of a computer program substantially similar in its expression, or for any other act which infringes copyright. </w:t>
      </w:r>
    </w:p>
  </w:footnote>
  <w:footnote w:id="385">
    <w:p w14:paraId="3D1C636B" w14:textId="774CA4BD"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Trade Secrets Directive, </w:t>
      </w:r>
      <w:r>
        <w:rPr>
          <w:lang w:val="en-US"/>
        </w:rPr>
        <w:t>recital 16 and art</w:t>
      </w:r>
      <w:r w:rsidRPr="002125BD">
        <w:rPr>
          <w:lang w:val="en-US"/>
        </w:rPr>
        <w:t xml:space="preserve"> 3/1(b)</w:t>
      </w:r>
      <w:r>
        <w:rPr>
          <w:lang w:val="en-US"/>
        </w:rPr>
        <w:t>.</w:t>
      </w:r>
    </w:p>
  </w:footnote>
  <w:footnote w:id="386">
    <w:p w14:paraId="59E16C09" w14:textId="5258E2E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Sally Weston, ‘Improving interoperability by encouraging the sharing of interface specifications’ [2017]</w:t>
      </w:r>
      <w:r>
        <w:t xml:space="preserve"> </w:t>
      </w:r>
      <w:r w:rsidRPr="002125BD">
        <w:t>9(1)</w:t>
      </w:r>
      <w:r>
        <w:t xml:space="preserve"> Law, Innovation and Technology</w:t>
      </w:r>
      <w:r w:rsidRPr="002125BD">
        <w:t xml:space="preserve"> </w:t>
      </w:r>
      <w:r>
        <w:t xml:space="preserve">78, </w:t>
      </w:r>
      <w:r w:rsidRPr="002125BD">
        <w:t>85.</w:t>
      </w:r>
    </w:p>
  </w:footnote>
  <w:footnote w:id="387">
    <w:p w14:paraId="0D113B98" w14:textId="370524F6"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Trade Secrets Directive, recital 16.</w:t>
      </w:r>
    </w:p>
  </w:footnote>
  <w:footnote w:id="388">
    <w:p w14:paraId="6927DE3A" w14:textId="5B67CCEE"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lang w:val="en-US"/>
        </w:rPr>
        <w:t>Trade Secrets Directive, recital 17.</w:t>
      </w:r>
    </w:p>
  </w:footnote>
  <w:footnote w:id="389">
    <w:p w14:paraId="39855720" w14:textId="3194B01E"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Permissibility of the contractual obligations </w:t>
      </w:r>
      <w:r>
        <w:rPr>
          <w:lang w:val="en-US"/>
        </w:rPr>
        <w:t>contrary to</w:t>
      </w:r>
      <w:r w:rsidRPr="002125BD">
        <w:rPr>
          <w:lang w:val="en-US"/>
        </w:rPr>
        <w:t xml:space="preserve"> the reverse engineering</w:t>
      </w:r>
      <w:r w:rsidRPr="002125BD">
        <w:t xml:space="preserve"> is challengeable, considering the fact that </w:t>
      </w:r>
      <w:r>
        <w:t xml:space="preserve">the </w:t>
      </w:r>
      <w:r w:rsidRPr="002125BD">
        <w:t>Software Directive clearly bans “</w:t>
      </w:r>
      <w:r w:rsidRPr="002125BD">
        <w:rPr>
          <w:lang w:val="en-US"/>
        </w:rPr>
        <w:t xml:space="preserve">any contractual provisions contrary to” reverse engineering and acknowledging them as “null and void” (Software Directive, </w:t>
      </w:r>
      <w:r>
        <w:rPr>
          <w:lang w:val="en-US"/>
        </w:rPr>
        <w:t>art</w:t>
      </w:r>
      <w:r w:rsidRPr="002125BD">
        <w:rPr>
          <w:lang w:val="en-US"/>
        </w:rPr>
        <w:t xml:space="preserve"> 8</w:t>
      </w:r>
      <w:r>
        <w:rPr>
          <w:lang w:val="en-US"/>
        </w:rPr>
        <w:t>/2</w:t>
      </w:r>
      <w:r w:rsidRPr="002125BD">
        <w:rPr>
          <w:lang w:val="en-US"/>
        </w:rPr>
        <w:t>).</w:t>
      </w:r>
    </w:p>
  </w:footnote>
  <w:footnote w:id="390">
    <w:p w14:paraId="4B6C2A5C" w14:textId="4937BDF9"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Software Directive, </w:t>
      </w:r>
      <w:r>
        <w:t>art</w:t>
      </w:r>
      <w:r w:rsidRPr="002125BD">
        <w:t xml:space="preserve"> 8(1) reading</w:t>
      </w:r>
      <w:r>
        <w:t>;</w:t>
      </w:r>
      <w:r w:rsidRPr="002125BD">
        <w:t xml:space="preserve"> “</w:t>
      </w:r>
      <w:r>
        <w:t>[</w:t>
      </w:r>
      <w:r w:rsidRPr="002125BD">
        <w:t>T</w:t>
      </w:r>
      <w:r>
        <w:t>]</w:t>
      </w:r>
      <w:r w:rsidRPr="002125BD">
        <w:t>he provisions of this Directive shall be without prejudice to any other legal provisions such as those concerning patent rights, trademarks, unfair competition, trade secrets, protection of semi-conductor products or the law of contract”</w:t>
      </w:r>
      <w:r>
        <w:t>.</w:t>
      </w:r>
    </w:p>
  </w:footnote>
  <w:footnote w:id="391">
    <w:p w14:paraId="0FA1ED0F" w14:textId="55AA2F55"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This does not prevent the reverse engineering of the interface</w:t>
      </w:r>
      <w:r>
        <w:t>,</w:t>
      </w:r>
      <w:r w:rsidRPr="002125BD">
        <w:t xml:space="preserve"> but purports to restrict the use of the resulting information even where there is no copyright protection (Weston (n </w:t>
      </w:r>
      <w:r>
        <w:t>13</w:t>
      </w:r>
      <w:r w:rsidRPr="002125BD">
        <w:t>) 231).</w:t>
      </w:r>
    </w:p>
  </w:footnote>
  <w:footnote w:id="392">
    <w:p w14:paraId="520FFF90" w14:textId="7CE6C4EA"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Weston (n </w:t>
      </w:r>
      <w:r>
        <w:t>13</w:t>
      </w:r>
      <w:r w:rsidRPr="002125BD">
        <w:t xml:space="preserve">) </w:t>
      </w:r>
      <w:r w:rsidRPr="002125BD">
        <w:rPr>
          <w:lang w:val="en-US"/>
        </w:rPr>
        <w:t>231.</w:t>
      </w:r>
    </w:p>
  </w:footnote>
  <w:footnote w:id="393">
    <w:p w14:paraId="4ACC0A1C" w14:textId="49E40412"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Directive 96/9/EC of the European Parliament and of the Council o</w:t>
      </w:r>
      <w:r>
        <w:rPr>
          <w:lang w:val="en-US"/>
        </w:rPr>
        <w:t>n</w:t>
      </w:r>
      <w:r w:rsidRPr="002125BD">
        <w:rPr>
          <w:lang w:val="en-US"/>
        </w:rPr>
        <w:t xml:space="preserve"> 11 March 1996 on the legal protection of databases </w:t>
      </w:r>
      <w:r>
        <w:rPr>
          <w:lang w:val="tr-TR"/>
        </w:rPr>
        <w:t>[1996]</w:t>
      </w:r>
      <w:r w:rsidRPr="006B6D7C">
        <w:rPr>
          <w:lang w:val="tr-TR"/>
        </w:rPr>
        <w:t xml:space="preserve"> </w:t>
      </w:r>
      <w:r w:rsidRPr="003030E5">
        <w:rPr>
          <w:lang w:val="en-US"/>
        </w:rPr>
        <w:t xml:space="preserve">OJ L 77 </w:t>
      </w:r>
      <w:r w:rsidRPr="002125BD">
        <w:rPr>
          <w:lang w:val="en-US"/>
        </w:rPr>
        <w:t>(</w:t>
      </w:r>
      <w:r>
        <w:rPr>
          <w:lang w:val="en-US"/>
        </w:rPr>
        <w:t>‘</w:t>
      </w:r>
      <w:r w:rsidRPr="002125BD">
        <w:rPr>
          <w:lang w:val="en-US"/>
        </w:rPr>
        <w:t>Database Directive</w:t>
      </w:r>
      <w:r>
        <w:rPr>
          <w:lang w:val="en-US"/>
        </w:rPr>
        <w:t>’</w:t>
      </w:r>
      <w:r w:rsidRPr="002125BD">
        <w:rPr>
          <w:lang w:val="en-US"/>
        </w:rPr>
        <w:t>).</w:t>
      </w:r>
    </w:p>
  </w:footnote>
  <w:footnote w:id="394">
    <w:p w14:paraId="10ACA300" w14:textId="4B7CF3B7"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Database Directive, </w:t>
      </w:r>
      <w:r>
        <w:t>art</w:t>
      </w:r>
      <w:r w:rsidRPr="002125BD">
        <w:t xml:space="preserve"> 3(2). Notwithstanding, according to the same Directive provision, the copyright in question should be interpreted “without prejudice to any rights subsisting in those contents themselves”</w:t>
      </w:r>
      <w:r w:rsidRPr="002125BD">
        <w:rPr>
          <w:lang w:val="en-US"/>
        </w:rPr>
        <w:t>.</w:t>
      </w:r>
    </w:p>
  </w:footnote>
  <w:footnote w:id="395">
    <w:p w14:paraId="49F5EDC6" w14:textId="3C1D3A92"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Zingales (n </w:t>
      </w:r>
      <w:r>
        <w:rPr>
          <w:lang w:val="en-US"/>
        </w:rPr>
        <w:t>62</w:t>
      </w:r>
      <w:r w:rsidRPr="002125BD">
        <w:rPr>
          <w:lang w:val="en-US"/>
        </w:rPr>
        <w:t>) 13.</w:t>
      </w:r>
    </w:p>
  </w:footnote>
  <w:footnote w:id="396">
    <w:p w14:paraId="7AAF964C" w14:textId="2B26E5AC"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Such originality does not refer to the arrangement and selection of the data</w:t>
      </w:r>
      <w:r>
        <w:t>,</w:t>
      </w:r>
      <w:r w:rsidRPr="002125BD">
        <w:t xml:space="preserve"> which is the focus of the inquiry in</w:t>
      </w:r>
      <w:r>
        <w:t>to</w:t>
      </w:r>
      <w:r w:rsidRPr="002125BD">
        <w:t xml:space="preserve"> the specific copyright protection for databases, but rather to their intrinsic nature as a “work of art”</w:t>
      </w:r>
      <w:r>
        <w:t xml:space="preserve"> </w:t>
      </w:r>
      <w:r w:rsidRPr="002125BD">
        <w:t>which may or may not belong to the database maker, depending on who created th</w:t>
      </w:r>
      <w:r>
        <w:t>at</w:t>
      </w:r>
      <w:r w:rsidRPr="002125BD">
        <w:t xml:space="preserve"> data in the first place (</w:t>
      </w:r>
      <w:r w:rsidRPr="002125BD">
        <w:rPr>
          <w:lang w:val="en-US"/>
        </w:rPr>
        <w:t xml:space="preserve">Zingales (n </w:t>
      </w:r>
      <w:r>
        <w:rPr>
          <w:lang w:val="en-US"/>
        </w:rPr>
        <w:t>62</w:t>
      </w:r>
      <w:r w:rsidRPr="002125BD">
        <w:rPr>
          <w:lang w:val="en-US"/>
        </w:rPr>
        <w:t>)</w:t>
      </w:r>
      <w:r w:rsidRPr="002125BD">
        <w:t xml:space="preserve"> 13).</w:t>
      </w:r>
    </w:p>
  </w:footnote>
  <w:footnote w:id="397">
    <w:p w14:paraId="3D25EBDA" w14:textId="267C133B"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Database Directive, </w:t>
      </w:r>
      <w:r>
        <w:t>art</w:t>
      </w:r>
      <w:r w:rsidRPr="002125BD">
        <w:t xml:space="preserve"> 7(1).</w:t>
      </w:r>
    </w:p>
  </w:footnote>
  <w:footnote w:id="398">
    <w:p w14:paraId="72D5E8FA" w14:textId="00FA7788"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For the purpose of the Database Directive, ‘extraction’ means “the permanent or temporary transfer of all or a substantial part of the contents of a database to another medium by any means or in any form” (Database Directive, </w:t>
      </w:r>
      <w:r>
        <w:t>a</w:t>
      </w:r>
      <w:r w:rsidRPr="002125BD">
        <w:t xml:space="preserve">rt. 7/2(a)), whereas ‘re-utilization’ means any “form of making available to the public all or a substantial part of the contents of a database by the distribution of copies, by renting, by on-line or other forms of transmission” (Database Directive, </w:t>
      </w:r>
      <w:r>
        <w:t>a</w:t>
      </w:r>
      <w:r w:rsidRPr="002125BD">
        <w:t xml:space="preserve">rt. 7/2(b)). </w:t>
      </w:r>
    </w:p>
  </w:footnote>
  <w:footnote w:id="399">
    <w:p w14:paraId="1357B669" w14:textId="23C85F9E"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Besides, according to the Database Directive, “the repeated and systematic extraction and/or re-utilization of insubstantial parts of the contents of the database</w:t>
      </w:r>
      <w:r>
        <w:t>,</w:t>
      </w:r>
      <w:r w:rsidRPr="002125BD">
        <w:t xml:space="preserve"> implying acts which conflict with a normal exploitation of that database or which unreasonably prejudice the legitimate interests of the maker of the database” is also protected on </w:t>
      </w:r>
      <w:r>
        <w:t xml:space="preserve">the </w:t>
      </w:r>
      <w:r w:rsidRPr="002125BD">
        <w:t>part of the author of the database (See</w:t>
      </w:r>
      <w:r>
        <w:t xml:space="preserve"> Database Directive, art</w:t>
      </w:r>
      <w:r w:rsidRPr="002125BD">
        <w:t xml:space="preserve"> 7/5).</w:t>
      </w:r>
    </w:p>
  </w:footnote>
  <w:footnote w:id="400">
    <w:p w14:paraId="26FD89BA" w14:textId="0E45B2C2"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Graef (n </w:t>
      </w:r>
      <w:r>
        <w:rPr>
          <w:lang w:val="en-US"/>
        </w:rPr>
        <w:t>379</w:t>
      </w:r>
      <w:r w:rsidRPr="002125BD">
        <w:rPr>
          <w:lang w:val="en-US"/>
        </w:rPr>
        <w:t>) 139.</w:t>
      </w:r>
    </w:p>
  </w:footnote>
  <w:footnote w:id="401">
    <w:p w14:paraId="67996528" w14:textId="4A7607D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Database Directive, </w:t>
      </w:r>
      <w:r>
        <w:t>art</w:t>
      </w:r>
      <w:r w:rsidRPr="002125BD">
        <w:t xml:space="preserve"> 8 and 9.</w:t>
      </w:r>
    </w:p>
  </w:footnote>
  <w:footnote w:id="402">
    <w:p w14:paraId="02CA9F67" w14:textId="22E76397"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Zingales (n </w:t>
      </w:r>
      <w:r>
        <w:t>62</w:t>
      </w:r>
      <w:r w:rsidRPr="002125BD">
        <w:t>) 14.</w:t>
      </w:r>
    </w:p>
  </w:footnote>
  <w:footnote w:id="403">
    <w:p w14:paraId="3251ED2A" w14:textId="21E46AA7" w:rsidR="005C0DC6" w:rsidRPr="002125BD" w:rsidRDefault="005C0DC6" w:rsidP="00A70042">
      <w:pPr>
        <w:pStyle w:val="FootnoteText"/>
        <w:ind w:left="426" w:hanging="426"/>
        <w:jc w:val="both"/>
      </w:pPr>
      <w:r w:rsidRPr="002125BD">
        <w:rPr>
          <w:rStyle w:val="FootnoteReference"/>
        </w:rPr>
        <w:footnoteRef/>
      </w:r>
      <w:r w:rsidRPr="002125BD">
        <w:t xml:space="preserve"> </w:t>
      </w:r>
      <w:r>
        <w:tab/>
        <w:t>U</w:t>
      </w:r>
      <w:r w:rsidRPr="002125BD">
        <w:t xml:space="preserve">nver </w:t>
      </w:r>
      <w:r>
        <w:t xml:space="preserve">(n 30) </w:t>
      </w:r>
      <w:r w:rsidRPr="002125BD">
        <w:rPr>
          <w:lang w:val="en-US"/>
        </w:rPr>
        <w:t>101-102.</w:t>
      </w:r>
    </w:p>
  </w:footnote>
  <w:footnote w:id="404">
    <w:p w14:paraId="0C042753" w14:textId="52DC577E"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t>U</w:t>
      </w:r>
      <w:r w:rsidRPr="002125BD">
        <w:t xml:space="preserve">nver </w:t>
      </w:r>
      <w:r>
        <w:t xml:space="preserve">(n 30) </w:t>
      </w:r>
      <w:r w:rsidRPr="002125BD">
        <w:rPr>
          <w:lang w:val="en-US"/>
        </w:rPr>
        <w:t>102</w:t>
      </w:r>
      <w:r w:rsidRPr="002125BD">
        <w:t>.</w:t>
      </w:r>
    </w:p>
  </w:footnote>
  <w:footnote w:id="405">
    <w:p w14:paraId="16655513" w14:textId="6A1559E8"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Bartolini, Santos and Ullrich (n </w:t>
      </w:r>
      <w:r>
        <w:t>332</w:t>
      </w:r>
      <w:r w:rsidRPr="002125BD">
        <w:t xml:space="preserve">) 370. </w:t>
      </w:r>
    </w:p>
  </w:footnote>
  <w:footnote w:id="406">
    <w:p w14:paraId="487D7D0A" w14:textId="74BC779A" w:rsidR="005C0DC6" w:rsidRDefault="005C0DC6" w:rsidP="00A70042">
      <w:pPr>
        <w:pStyle w:val="FootnoteText"/>
        <w:ind w:left="426" w:hanging="426"/>
        <w:jc w:val="both"/>
      </w:pPr>
      <w:r>
        <w:rPr>
          <w:rStyle w:val="FootnoteReference"/>
        </w:rPr>
        <w:footnoteRef/>
      </w:r>
      <w:r>
        <w:t xml:space="preserve"> </w:t>
      </w:r>
      <w:r>
        <w:tab/>
        <w:t xml:space="preserve">Notwithstanding, there seems to be no statutory barrier against data flow across the EU, particularly following the entry into force of the Regulation 2018/1807, which sets out several measures to ensure that every business and user is able to process and store any data across the EU. See also infra note </w:t>
      </w:r>
      <w:r w:rsidRPr="00264144">
        <w:t>775</w:t>
      </w:r>
      <w:r w:rsidRPr="00751B3A">
        <w:t>.</w:t>
      </w:r>
      <w:r>
        <w:t xml:space="preserve"> </w:t>
      </w:r>
    </w:p>
  </w:footnote>
  <w:footnote w:id="407">
    <w:p w14:paraId="0771432E" w14:textId="5027110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Bartolini, Santos and Ullrich (n </w:t>
      </w:r>
      <w:r>
        <w:t>332</w:t>
      </w:r>
      <w:r w:rsidRPr="002125BD">
        <w:t>) 369</w:t>
      </w:r>
      <w:r>
        <w:t xml:space="preserve">, referring to the European Parliament, Committee on Industry, Research and Energy and Committee on the Internal Market and Consumer Protection, </w:t>
      </w:r>
      <w:r w:rsidRPr="00FA0531">
        <w:rPr>
          <w:i/>
          <w:iCs/>
        </w:rPr>
        <w:t>Report on Towards a Digital Single Market Act</w:t>
      </w:r>
      <w:r>
        <w:t>, 21.12.2015.</w:t>
      </w:r>
      <w:r w:rsidRPr="002125BD">
        <w:t xml:space="preserve"> </w:t>
      </w:r>
    </w:p>
  </w:footnote>
  <w:footnote w:id="408">
    <w:p w14:paraId="61EB7E2E" w14:textId="05C4AA56"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Eagles and Longdin (n </w:t>
      </w:r>
      <w:r>
        <w:rPr>
          <w:lang w:val="en-US"/>
        </w:rPr>
        <w:t>266</w:t>
      </w:r>
      <w:r w:rsidRPr="002125BD">
        <w:rPr>
          <w:lang w:val="en-US"/>
        </w:rPr>
        <w:t>) 52.</w:t>
      </w:r>
    </w:p>
  </w:footnote>
  <w:footnote w:id="409">
    <w:p w14:paraId="2254A0E0" w14:textId="64C75D96"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Bartolini, Santos and Ullrich (n </w:t>
      </w:r>
      <w:r>
        <w:rPr>
          <w:lang w:val="en-US"/>
        </w:rPr>
        <w:t>332</w:t>
      </w:r>
      <w:r w:rsidRPr="002125BD">
        <w:rPr>
          <w:lang w:val="en-US"/>
        </w:rPr>
        <w:t>) 370.</w:t>
      </w:r>
    </w:p>
  </w:footnote>
  <w:footnote w:id="410">
    <w:p w14:paraId="23AC7603" w14:textId="15BCC785"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Most SSOs encourage IPR owners involved in standardisation to disclose upfront i.e. prior to the adoption of a standard</w:t>
      </w:r>
      <w:r>
        <w:rPr>
          <w:lang w:val="en-US"/>
        </w:rPr>
        <w:t>,</w:t>
      </w:r>
      <w:r w:rsidRPr="002125BD">
        <w:rPr>
          <w:lang w:val="en-US"/>
        </w:rPr>
        <w:t xml:space="preserve"> the IPRs that they consider may be essential for its implementation (See the section </w:t>
      </w:r>
      <w:r>
        <w:rPr>
          <w:lang w:val="en-US"/>
        </w:rPr>
        <w:t>‘</w:t>
      </w:r>
      <w:r w:rsidRPr="002125BD">
        <w:rPr>
          <w:lang w:val="en-US"/>
        </w:rPr>
        <w:t>2.1.4. Standardisation’).</w:t>
      </w:r>
    </w:p>
  </w:footnote>
  <w:footnote w:id="411">
    <w:p w14:paraId="2A381341" w14:textId="063EEBBF"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Samuelson (n 4) 1963.</w:t>
      </w:r>
    </w:p>
  </w:footnote>
  <w:footnote w:id="412">
    <w:p w14:paraId="44476700" w14:textId="350D8643"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Trade Secrets Directive, </w:t>
      </w:r>
      <w:r>
        <w:rPr>
          <w:lang w:val="en-US"/>
        </w:rPr>
        <w:t>art</w:t>
      </w:r>
      <w:r w:rsidRPr="002125BD">
        <w:rPr>
          <w:lang w:val="en-US"/>
        </w:rPr>
        <w:t xml:space="preserve"> 3/1(b).</w:t>
      </w:r>
    </w:p>
  </w:footnote>
  <w:footnote w:id="413">
    <w:p w14:paraId="0247424C" w14:textId="1F8B10BB"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Software Directive, </w:t>
      </w:r>
      <w:r>
        <w:rPr>
          <w:lang w:val="en-US"/>
        </w:rPr>
        <w:t>art</w:t>
      </w:r>
      <w:r w:rsidRPr="002125BD">
        <w:rPr>
          <w:lang w:val="en-US"/>
        </w:rPr>
        <w:t xml:space="preserve"> 8.</w:t>
      </w:r>
    </w:p>
  </w:footnote>
  <w:footnote w:id="414">
    <w:p w14:paraId="02C7022E" w14:textId="4F5E341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Daly (n </w:t>
      </w:r>
      <w:r>
        <w:t>23</w:t>
      </w:r>
      <w:r w:rsidRPr="002125BD">
        <w:t>) 97.</w:t>
      </w:r>
    </w:p>
  </w:footnote>
  <w:footnote w:id="415">
    <w:p w14:paraId="27AB4467" w14:textId="6C01F03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Daly (n </w:t>
      </w:r>
      <w:r>
        <w:t>23</w:t>
      </w:r>
      <w:r w:rsidRPr="002125BD">
        <w:t>) 97.</w:t>
      </w:r>
    </w:p>
  </w:footnote>
  <w:footnote w:id="416">
    <w:p w14:paraId="706BFBE7" w14:textId="216A1460"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Pr>
          <w:lang w:val="en-US"/>
        </w:rPr>
        <w:t>V</w:t>
      </w:r>
      <w:r w:rsidRPr="002125BD">
        <w:rPr>
          <w:lang w:val="en-US"/>
        </w:rPr>
        <w:t xml:space="preserve">an Rooijen (n </w:t>
      </w:r>
      <w:r>
        <w:rPr>
          <w:lang w:val="en-US"/>
        </w:rPr>
        <w:t>40</w:t>
      </w:r>
      <w:r w:rsidRPr="002125BD">
        <w:rPr>
          <w:lang w:val="en-US"/>
        </w:rPr>
        <w:t>) 203.</w:t>
      </w:r>
    </w:p>
  </w:footnote>
  <w:footnote w:id="417">
    <w:p w14:paraId="79ABB2F8" w14:textId="7D9C73F9"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See </w:t>
      </w:r>
      <w:r w:rsidRPr="002125BD">
        <w:rPr>
          <w:lang w:val="en-US"/>
        </w:rPr>
        <w:t xml:space="preserve">Ghidini and Arezzo (n </w:t>
      </w:r>
      <w:r>
        <w:rPr>
          <w:lang w:val="en-US"/>
        </w:rPr>
        <w:t>377</w:t>
      </w:r>
      <w:r w:rsidRPr="002125BD">
        <w:rPr>
          <w:lang w:val="en-US"/>
        </w:rPr>
        <w:t>) 363.</w:t>
      </w:r>
    </w:p>
  </w:footnote>
  <w:footnote w:id="418">
    <w:p w14:paraId="53427E4D" w14:textId="761A1422"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t xml:space="preserve">See also </w:t>
      </w:r>
      <w:r w:rsidRPr="002125BD">
        <w:rPr>
          <w:lang w:val="en-US"/>
        </w:rPr>
        <w:t>Weston</w:t>
      </w:r>
      <w:r>
        <w:rPr>
          <w:lang w:val="en-US"/>
        </w:rPr>
        <w:t xml:space="preserve"> (n 13)</w:t>
      </w:r>
      <w:r w:rsidRPr="002125BD">
        <w:rPr>
          <w:lang w:val="en-US"/>
        </w:rPr>
        <w:t xml:space="preserve"> 257.</w:t>
      </w:r>
    </w:p>
  </w:footnote>
  <w:footnote w:id="419">
    <w:p w14:paraId="3879A85B" w14:textId="33DBBF4B" w:rsidR="005C0DC6" w:rsidRDefault="005C0DC6" w:rsidP="00B24620">
      <w:pPr>
        <w:pStyle w:val="FootnoteText"/>
        <w:ind w:left="426" w:hanging="426"/>
        <w:jc w:val="both"/>
      </w:pPr>
      <w:r>
        <w:rPr>
          <w:rStyle w:val="FootnoteReference"/>
        </w:rPr>
        <w:footnoteRef/>
      </w:r>
      <w:r>
        <w:t xml:space="preserve"> </w:t>
      </w:r>
      <w:r>
        <w:tab/>
        <w:t>See Mansell and Steinmuller (n 263) 1.</w:t>
      </w:r>
    </w:p>
  </w:footnote>
  <w:footnote w:id="420">
    <w:p w14:paraId="38F41FD9" w14:textId="3B7E219D"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Commission Notice on the definition of relevant market for the purposes of Community competition law [1997] OJ C 372/03).</w:t>
      </w:r>
    </w:p>
  </w:footnote>
  <w:footnote w:id="421">
    <w:p w14:paraId="08769370" w14:textId="70DC48E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Case 85/76 </w:t>
      </w:r>
      <w:r w:rsidRPr="002125BD">
        <w:rPr>
          <w:i/>
        </w:rPr>
        <w:t>Hoffman- La Roche &amp; Co AG v Commission</w:t>
      </w:r>
      <w:r w:rsidRPr="002125BD">
        <w:t xml:space="preserve"> </w:t>
      </w:r>
      <w:r>
        <w:t>[</w:t>
      </w:r>
      <w:r w:rsidRPr="002125BD">
        <w:t>1979</w:t>
      </w:r>
      <w:r>
        <w:t>]</w:t>
      </w:r>
      <w:r w:rsidRPr="002125BD">
        <w:t xml:space="preserve"> ECR 461, </w:t>
      </w:r>
      <w:r>
        <w:t>[</w:t>
      </w:r>
      <w:r w:rsidRPr="002125BD">
        <w:t>1979</w:t>
      </w:r>
      <w:r>
        <w:t>]</w:t>
      </w:r>
      <w:r w:rsidRPr="002125BD">
        <w:t xml:space="preserve"> 3 CLR 211</w:t>
      </w:r>
      <w:r>
        <w:t>,</w:t>
      </w:r>
      <w:r w:rsidRPr="002125BD">
        <w:t xml:space="preserve"> </w:t>
      </w:r>
      <w:r>
        <w:t>para</w:t>
      </w:r>
      <w:r w:rsidRPr="002125BD">
        <w:t xml:space="preserve"> 28. </w:t>
      </w:r>
    </w:p>
  </w:footnote>
  <w:footnote w:id="422">
    <w:p w14:paraId="4802EDBA" w14:textId="4DE55042"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Particularly analysing ‘competition in innovation’ is acknowledged as a very difficult task, incorporating ‘market definition’, along with the requirement towards competition law enforcers to make predictions on future and often uncertain developments (See Josef Drexl, </w:t>
      </w:r>
      <w:r>
        <w:rPr>
          <w:lang w:val="en-US"/>
        </w:rPr>
        <w:t>‘</w:t>
      </w:r>
      <w:r w:rsidRPr="002125BD">
        <w:rPr>
          <w:lang w:val="en-US"/>
        </w:rPr>
        <w:t>Anticompetitive Stumbling Stones on the Way to a Cleaner World: Protecting Competition in Innovation Without a Market</w:t>
      </w:r>
      <w:r>
        <w:rPr>
          <w:lang w:val="en-US"/>
        </w:rPr>
        <w:t>’</w:t>
      </w:r>
      <w:r w:rsidRPr="002125BD">
        <w:rPr>
          <w:lang w:val="en-US"/>
        </w:rPr>
        <w:t xml:space="preserve"> [2012] 8(3)</w:t>
      </w:r>
      <w:r>
        <w:rPr>
          <w:lang w:val="en-US"/>
        </w:rPr>
        <w:t xml:space="preserve"> </w:t>
      </w:r>
      <w:r w:rsidRPr="002125BD">
        <w:rPr>
          <w:lang w:val="en-US"/>
        </w:rPr>
        <w:t>Journal of Competition Law and Economics</w:t>
      </w:r>
      <w:r>
        <w:rPr>
          <w:lang w:val="en-US"/>
        </w:rPr>
        <w:t xml:space="preserve"> 507,</w:t>
      </w:r>
      <w:r w:rsidRPr="002125BD">
        <w:rPr>
          <w:lang w:val="en-US"/>
        </w:rPr>
        <w:t xml:space="preserve"> 512</w:t>
      </w:r>
      <w:r>
        <w:rPr>
          <w:lang w:val="en-US"/>
        </w:rPr>
        <w:t>)</w:t>
      </w:r>
      <w:r w:rsidRPr="002125BD">
        <w:rPr>
          <w:lang w:val="en-US"/>
        </w:rPr>
        <w:t xml:space="preserve">. </w:t>
      </w:r>
    </w:p>
  </w:footnote>
  <w:footnote w:id="423">
    <w:p w14:paraId="0CED3D70" w14:textId="61836625" w:rsidR="005C0DC6" w:rsidRDefault="005C0DC6" w:rsidP="00A70042">
      <w:pPr>
        <w:pStyle w:val="FootnoteText"/>
        <w:ind w:left="426" w:hanging="426"/>
        <w:jc w:val="both"/>
      </w:pPr>
      <w:r>
        <w:rPr>
          <w:rStyle w:val="FootnoteReference"/>
        </w:rPr>
        <w:footnoteRef/>
      </w:r>
      <w:r>
        <w:t xml:space="preserve"> </w:t>
      </w:r>
      <w:r>
        <w:tab/>
        <w:t xml:space="preserve">These difficulties are also highlighted by a recent report prepared for the Commission (See Jacques Crémer, Yves-Alexandre de Montjoye and Heike Schweitzer, </w:t>
      </w:r>
      <w:r w:rsidRPr="00187482">
        <w:rPr>
          <w:i/>
          <w:iCs/>
        </w:rPr>
        <w:t>Competition policy for the digital era</w:t>
      </w:r>
      <w:r>
        <w:t xml:space="preserve"> (2019) 44-46 &lt;</w:t>
      </w:r>
      <w:hyperlink r:id="rId11" w:history="1">
        <w:r w:rsidRPr="00187482">
          <w:t>http://ec.europa.eu/competition/publications/reports/kd0419345enn.pdf</w:t>
        </w:r>
      </w:hyperlink>
      <w:r>
        <w:t>&gt; accessed 9 October 2020.</w:t>
      </w:r>
    </w:p>
  </w:footnote>
  <w:footnote w:id="424">
    <w:p w14:paraId="045AA804" w14:textId="780017F0" w:rsidR="005C0DC6" w:rsidRPr="002125BD" w:rsidRDefault="005C0DC6" w:rsidP="00A70042">
      <w:pPr>
        <w:pStyle w:val="FootnoteText"/>
        <w:ind w:left="426" w:hanging="426"/>
        <w:jc w:val="both"/>
      </w:pPr>
      <w:r w:rsidRPr="002125BD">
        <w:rPr>
          <w:rStyle w:val="FootnoteReference"/>
        </w:rPr>
        <w:footnoteRef/>
      </w:r>
      <w:r w:rsidRPr="002125BD">
        <w:t xml:space="preserve"> </w:t>
      </w:r>
      <w:r>
        <w:tab/>
        <w:t xml:space="preserve">The </w:t>
      </w:r>
      <w:r w:rsidRPr="002125BD">
        <w:t xml:space="preserve">Hypothetical </w:t>
      </w:r>
      <w:r>
        <w:t>M</w:t>
      </w:r>
      <w:r w:rsidRPr="002125BD">
        <w:t xml:space="preserve">onopoly </w:t>
      </w:r>
      <w:r>
        <w:t>T</w:t>
      </w:r>
      <w:r w:rsidRPr="002125BD">
        <w:t xml:space="preserve">est is a standardised tool in antitrust analysis, according to which, the relevant market includes all products to which consumers would most likely switch in response to a “small but significant and non-transitory increase in price” (SSNIP). According to the US Horizontal Merger and Guidelines (US Department of Justice and Federal Trade Commission, 2010, </w:t>
      </w:r>
      <w:r>
        <w:t>para</w:t>
      </w:r>
      <w:r w:rsidRPr="002125BD">
        <w:t xml:space="preserve"> 4.1.1.), “…the test requires that a hypothetical profit-maximizing firm … that was the only present and future seller of those products (‘hypothetical monopolist’) likely would impose at least a ‘small but significant and non-transitory’ increase in price (‘SSNIP’)”.  </w:t>
      </w:r>
    </w:p>
  </w:footnote>
  <w:footnote w:id="425">
    <w:p w14:paraId="24EC4904" w14:textId="36A35730" w:rsidR="005C0DC6" w:rsidRPr="00187482" w:rsidRDefault="005C0DC6" w:rsidP="00A70042">
      <w:pPr>
        <w:pStyle w:val="FootnoteText"/>
        <w:ind w:left="426" w:hanging="426"/>
        <w:jc w:val="both"/>
      </w:pPr>
      <w:r w:rsidRPr="002125BD">
        <w:rPr>
          <w:rStyle w:val="FootnoteReference"/>
        </w:rPr>
        <w:footnoteRef/>
      </w:r>
      <w:r>
        <w:t xml:space="preserve"> </w:t>
      </w:r>
      <w:r>
        <w:tab/>
      </w:r>
      <w:r w:rsidRPr="00187482">
        <w:t>Alison Jones</w:t>
      </w:r>
      <w:r>
        <w:t xml:space="preserve"> and</w:t>
      </w:r>
      <w:r w:rsidRPr="00187482">
        <w:t xml:space="preserve"> Brenda</w:t>
      </w:r>
      <w:r>
        <w:t xml:space="preserve"> </w:t>
      </w:r>
      <w:r w:rsidRPr="002125BD">
        <w:t xml:space="preserve">Sufrin, </w:t>
      </w:r>
      <w:r w:rsidRPr="00604670">
        <w:rPr>
          <w:i/>
          <w:iCs/>
        </w:rPr>
        <w:t>EU Competition Law: Text, Cases and Materials</w:t>
      </w:r>
      <w:r w:rsidRPr="002125BD">
        <w:t xml:space="preserve"> (</w:t>
      </w:r>
      <w:r>
        <w:t>5th edn,</w:t>
      </w:r>
      <w:r w:rsidRPr="002125BD">
        <w:t xml:space="preserve"> OUP 2014) 63.</w:t>
      </w:r>
    </w:p>
  </w:footnote>
  <w:footnote w:id="426">
    <w:p w14:paraId="17B9F4B3" w14:textId="33548FCD"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w:t>
      </w:r>
      <w:r>
        <w:t>teve</w:t>
      </w:r>
      <w:r w:rsidRPr="002125BD">
        <w:t xml:space="preserve"> Anderman and H</w:t>
      </w:r>
      <w:r>
        <w:t>edvig</w:t>
      </w:r>
      <w:r w:rsidRPr="002125BD">
        <w:t xml:space="preserve"> Schmidt, </w:t>
      </w:r>
      <w:r w:rsidRPr="00604670">
        <w:rPr>
          <w:i/>
          <w:iCs/>
        </w:rPr>
        <w:t>EU Competition Law and Intellectual Property Rights: The Regulation of Innovation</w:t>
      </w:r>
      <w:r w:rsidRPr="002125BD">
        <w:t xml:space="preserve"> (2</w:t>
      </w:r>
      <w:r>
        <w:t>nd</w:t>
      </w:r>
      <w:r w:rsidRPr="002125BD">
        <w:rPr>
          <w:vertAlign w:val="superscript"/>
        </w:rPr>
        <w:t xml:space="preserve"> </w:t>
      </w:r>
      <w:r>
        <w:t>edn,</w:t>
      </w:r>
      <w:r w:rsidRPr="002125BD">
        <w:t xml:space="preserve"> </w:t>
      </w:r>
      <w:r>
        <w:t>OUP</w:t>
      </w:r>
      <w:r w:rsidRPr="002125BD">
        <w:t xml:space="preserve"> 2011) 39.</w:t>
      </w:r>
    </w:p>
  </w:footnote>
  <w:footnote w:id="427">
    <w:p w14:paraId="53ED2D20" w14:textId="4E1D6A43"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Commission guidelines on market analysis and the assessment of significant market power under the Community regulatory framework for electronic communications networks and services (2002/C 165/03) (</w:t>
      </w:r>
      <w:r>
        <w:t xml:space="preserve">‘Commission’s </w:t>
      </w:r>
      <w:r w:rsidRPr="002125BD">
        <w:t>2002 Guidelines</w:t>
      </w:r>
      <w:r>
        <w:t>’</w:t>
      </w:r>
      <w:r w:rsidRPr="002125BD">
        <w:t xml:space="preserve">), </w:t>
      </w:r>
      <w:r>
        <w:t>para</w:t>
      </w:r>
      <w:r w:rsidRPr="002125BD">
        <w:t xml:space="preserve"> 50.</w:t>
      </w:r>
    </w:p>
  </w:footnote>
  <w:footnote w:id="428">
    <w:p w14:paraId="4CE90402" w14:textId="59826E6B"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Case 22/78, </w:t>
      </w:r>
      <w:r w:rsidRPr="002125BD">
        <w:rPr>
          <w:i/>
        </w:rPr>
        <w:t>Hugin Kassaregister AB and Hugin Cash Registers Ltd v. EC Commission</w:t>
      </w:r>
      <w:r w:rsidRPr="002125BD">
        <w:t xml:space="preserve"> [1979] ECR 1869.</w:t>
      </w:r>
    </w:p>
  </w:footnote>
  <w:footnote w:id="429">
    <w:p w14:paraId="224BA356" w14:textId="7BD2F627"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Case C-53/92 P, </w:t>
      </w:r>
      <w:r w:rsidRPr="002125BD">
        <w:rPr>
          <w:i/>
        </w:rPr>
        <w:t xml:space="preserve">Hilti v. </w:t>
      </w:r>
      <w:r>
        <w:rPr>
          <w:i/>
        </w:rPr>
        <w:t xml:space="preserve">EC </w:t>
      </w:r>
      <w:r w:rsidRPr="002125BD">
        <w:rPr>
          <w:i/>
        </w:rPr>
        <w:t>Commission</w:t>
      </w:r>
      <w:r w:rsidRPr="002125BD">
        <w:t xml:space="preserve"> [1994] E</w:t>
      </w:r>
      <w:r>
        <w:t>C</w:t>
      </w:r>
      <w:r w:rsidRPr="002125BD">
        <w:t>R I-667.</w:t>
      </w:r>
    </w:p>
  </w:footnote>
  <w:footnote w:id="430">
    <w:p w14:paraId="225243D4" w14:textId="673A3CF6" w:rsidR="005C0DC6" w:rsidRPr="00A60DC2"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Case 238/87, </w:t>
      </w:r>
      <w:r w:rsidRPr="002125BD">
        <w:rPr>
          <w:i/>
        </w:rPr>
        <w:t>AB Volvo v. Erik Veng</w:t>
      </w:r>
      <w:r w:rsidRPr="002125BD">
        <w:t xml:space="preserve"> </w:t>
      </w:r>
      <w:r w:rsidRPr="00A60DC2">
        <w:rPr>
          <w:i/>
          <w:iCs/>
        </w:rPr>
        <w:t xml:space="preserve">(UK) Ltd. </w:t>
      </w:r>
      <w:r w:rsidRPr="00A60DC2">
        <w:sym w:font="Symbol" w:char="F05B"/>
      </w:r>
      <w:r w:rsidRPr="00A60DC2">
        <w:t>1988</w:t>
      </w:r>
      <w:r w:rsidRPr="00A60DC2">
        <w:sym w:font="Symbol" w:char="F05D"/>
      </w:r>
      <w:r w:rsidRPr="00A60DC2">
        <w:t xml:space="preserve"> ECR 6211, </w:t>
      </w:r>
      <w:r w:rsidRPr="00A60DC2">
        <w:sym w:font="Symbol" w:char="F05B"/>
      </w:r>
      <w:r w:rsidRPr="00A60DC2">
        <w:t>1989</w:t>
      </w:r>
      <w:r w:rsidRPr="00A60DC2">
        <w:sym w:font="Symbol" w:char="F05D"/>
      </w:r>
      <w:r w:rsidRPr="00A60DC2">
        <w:t xml:space="preserve"> 4 CMLR 122 (‘</w:t>
      </w:r>
      <w:r w:rsidRPr="00A60DC2">
        <w:rPr>
          <w:i/>
        </w:rPr>
        <w:t>Volvo</w:t>
      </w:r>
      <w:r w:rsidRPr="00A60DC2">
        <w:t xml:space="preserve"> judgement’)</w:t>
      </w:r>
      <w:r>
        <w:t>.</w:t>
      </w:r>
    </w:p>
  </w:footnote>
  <w:footnote w:id="431">
    <w:p w14:paraId="21AB5AEE" w14:textId="4041A0E1"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Case 53/87, </w:t>
      </w:r>
      <w:r w:rsidRPr="002125BD">
        <w:rPr>
          <w:i/>
        </w:rPr>
        <w:t>CICCRA v. Renault</w:t>
      </w:r>
      <w:r w:rsidRPr="002125BD">
        <w:t xml:space="preserve"> [1988] ECR 6039</w:t>
      </w:r>
      <w:r>
        <w:t xml:space="preserve"> </w:t>
      </w:r>
      <w:r w:rsidRPr="00A60DC2">
        <w:t>(‘</w:t>
      </w:r>
      <w:r w:rsidRPr="00A60DC2">
        <w:rPr>
          <w:i/>
          <w:iCs/>
        </w:rPr>
        <w:t>Renault</w:t>
      </w:r>
      <w:r w:rsidRPr="00A60DC2">
        <w:t xml:space="preserve"> judgement’)</w:t>
      </w:r>
      <w:r>
        <w:t>.</w:t>
      </w:r>
    </w:p>
  </w:footnote>
  <w:footnote w:id="432">
    <w:p w14:paraId="45CC3028" w14:textId="30C5A6B7"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Case C-333/94 P, </w:t>
      </w:r>
      <w:r w:rsidRPr="002125BD">
        <w:rPr>
          <w:i/>
        </w:rPr>
        <w:t>Tetra Pak International SA v.</w:t>
      </w:r>
      <w:r>
        <w:rPr>
          <w:i/>
        </w:rPr>
        <w:t xml:space="preserve"> EC</w:t>
      </w:r>
      <w:r w:rsidRPr="002125BD">
        <w:rPr>
          <w:i/>
        </w:rPr>
        <w:t xml:space="preserve"> Commission</w:t>
      </w:r>
      <w:r w:rsidRPr="002125BD">
        <w:t xml:space="preserve"> [1996] ECR I-5951.</w:t>
      </w:r>
    </w:p>
  </w:footnote>
  <w:footnote w:id="433">
    <w:p w14:paraId="14AD6BF6" w14:textId="29997F31"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Francis Fishwick, </w:t>
      </w:r>
      <w:r>
        <w:rPr>
          <w:lang w:val="en-US"/>
        </w:rPr>
        <w:t>‘</w:t>
      </w:r>
      <w:r w:rsidRPr="002125BD">
        <w:rPr>
          <w:lang w:val="en-US"/>
        </w:rPr>
        <w:t>The Definition of the Relevant Market in the Competition Policy of the European Economic Community</w:t>
      </w:r>
      <w:r>
        <w:rPr>
          <w:lang w:val="en-US"/>
        </w:rPr>
        <w:t>’</w:t>
      </w:r>
      <w:r w:rsidRPr="002125BD">
        <w:rPr>
          <w:lang w:val="en-US"/>
        </w:rPr>
        <w:t xml:space="preserve"> </w:t>
      </w:r>
      <w:r>
        <w:rPr>
          <w:lang w:val="en-US"/>
        </w:rPr>
        <w:t>[</w:t>
      </w:r>
      <w:r w:rsidRPr="002125BD">
        <w:rPr>
          <w:lang w:val="en-US"/>
        </w:rPr>
        <w:t>1993</w:t>
      </w:r>
      <w:r>
        <w:rPr>
          <w:lang w:val="en-US"/>
        </w:rPr>
        <w:t xml:space="preserve">] 63 </w:t>
      </w:r>
      <w:r w:rsidRPr="002125BD">
        <w:rPr>
          <w:lang w:val="en-US"/>
        </w:rPr>
        <w:t>Revue D'économie Industrielle</w:t>
      </w:r>
      <w:r>
        <w:rPr>
          <w:lang w:val="en-US"/>
        </w:rPr>
        <w:t xml:space="preserve"> 174</w:t>
      </w:r>
      <w:r w:rsidRPr="002125BD">
        <w:rPr>
          <w:lang w:val="en-US"/>
        </w:rPr>
        <w:t>, 176</w:t>
      </w:r>
      <w:r>
        <w:rPr>
          <w:lang w:val="en-US"/>
        </w:rPr>
        <w:t>.</w:t>
      </w:r>
    </w:p>
  </w:footnote>
  <w:footnote w:id="434">
    <w:p w14:paraId="19271D4D" w14:textId="5876E03E"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Anderman and Schmidt</w:t>
      </w:r>
      <w:r>
        <w:t xml:space="preserve"> (n 426)</w:t>
      </w:r>
      <w:r w:rsidRPr="002125BD">
        <w:t xml:space="preserve"> 46.</w:t>
      </w:r>
    </w:p>
  </w:footnote>
  <w:footnote w:id="435">
    <w:p w14:paraId="0C9BC27B" w14:textId="2B87E617"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See Christopher R. Leslie, </w:t>
      </w:r>
      <w:r w:rsidRPr="00604670">
        <w:rPr>
          <w:i/>
          <w:iCs/>
        </w:rPr>
        <w:t>Antitrust Law and Intellectual Property Rights: Cases and Materials</w:t>
      </w:r>
      <w:r w:rsidRPr="002125BD">
        <w:t xml:space="preserve"> (OUP, 2011)</w:t>
      </w:r>
      <w:r w:rsidRPr="002125BD">
        <w:rPr>
          <w:lang w:val="en-US"/>
        </w:rPr>
        <w:t xml:space="preserve"> 54</w:t>
      </w:r>
      <w:r>
        <w:rPr>
          <w:lang w:val="en-US"/>
        </w:rPr>
        <w:t>,</w:t>
      </w:r>
      <w:r w:rsidRPr="002125BD">
        <w:rPr>
          <w:lang w:val="en-US"/>
        </w:rPr>
        <w:t xml:space="preserve"> </w:t>
      </w:r>
      <w:r>
        <w:rPr>
          <w:lang w:val="en-US"/>
        </w:rPr>
        <w:t>where it is established</w:t>
      </w:r>
      <w:r w:rsidRPr="002125BD">
        <w:rPr>
          <w:lang w:val="en-US"/>
        </w:rPr>
        <w:t xml:space="preserve"> that the vas</w:t>
      </w:r>
      <w:r w:rsidRPr="00BC531E">
        <w:rPr>
          <w:lang w:val="en-US"/>
        </w:rPr>
        <w:t xml:space="preserve">t majority of academic literature recognizes that a patent does not confer market power. </w:t>
      </w:r>
      <w:r w:rsidRPr="00BC531E">
        <w:t>See also infra note 415.</w:t>
      </w:r>
      <w:r w:rsidRPr="002125BD">
        <w:t xml:space="preserve"> </w:t>
      </w:r>
    </w:p>
  </w:footnote>
  <w:footnote w:id="436">
    <w:p w14:paraId="4E80A24E" w14:textId="63857E37"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Jones and Sufrin</w:t>
      </w:r>
      <w:r>
        <w:t xml:space="preserve"> (n 425)</w:t>
      </w:r>
      <w:r w:rsidRPr="002125BD">
        <w:t xml:space="preserve"> 351</w:t>
      </w:r>
      <w:r>
        <w:t>.</w:t>
      </w:r>
      <w:r w:rsidRPr="002125BD">
        <w:t xml:space="preserve"> </w:t>
      </w:r>
    </w:p>
  </w:footnote>
  <w:footnote w:id="437">
    <w:p w14:paraId="37DF57F6" w14:textId="06100EA1" w:rsidR="005C0DC6" w:rsidRPr="002125BD" w:rsidRDefault="005C0DC6" w:rsidP="00A70042">
      <w:pPr>
        <w:pStyle w:val="FootnoteText"/>
        <w:ind w:left="426" w:hanging="426"/>
        <w:jc w:val="both"/>
      </w:pPr>
      <w:r w:rsidRPr="002125BD">
        <w:rPr>
          <w:rStyle w:val="FootnoteReference"/>
        </w:rPr>
        <w:footnoteRef/>
      </w:r>
      <w:r w:rsidRPr="002125BD">
        <w:t xml:space="preserve"> </w:t>
      </w:r>
      <w:r>
        <w:tab/>
        <w:t xml:space="preserve">Consolidated Version of the TFEU [2012] OJ </w:t>
      </w:r>
      <w:r w:rsidRPr="003054F1">
        <w:t>C 326/49</w:t>
      </w:r>
      <w:r>
        <w:t xml:space="preserve"> (‘</w:t>
      </w:r>
      <w:r w:rsidRPr="002125BD">
        <w:t>TFEU</w:t>
      </w:r>
      <w:r>
        <w:t>’)</w:t>
      </w:r>
      <w:r w:rsidRPr="002125BD">
        <w:t xml:space="preserve"> </w:t>
      </w:r>
      <w:r>
        <w:t>art</w:t>
      </w:r>
      <w:r w:rsidRPr="002125BD">
        <w:t xml:space="preserve"> 101(1).</w:t>
      </w:r>
    </w:p>
  </w:footnote>
  <w:footnote w:id="438">
    <w:p w14:paraId="0E3E591A" w14:textId="13480011"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Anderman and Schmidt</w:t>
      </w:r>
      <w:r>
        <w:t xml:space="preserve"> (n 426)</w:t>
      </w:r>
      <w:r w:rsidRPr="002125BD">
        <w:t xml:space="preserve"> 215. </w:t>
      </w:r>
    </w:p>
  </w:footnote>
  <w:footnote w:id="439">
    <w:p w14:paraId="08ED0108" w14:textId="754BF6F3"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TFEU, </w:t>
      </w:r>
      <w:r>
        <w:t>art</w:t>
      </w:r>
      <w:r w:rsidRPr="002125BD">
        <w:t xml:space="preserve"> 101(3).</w:t>
      </w:r>
    </w:p>
  </w:footnote>
  <w:footnote w:id="440">
    <w:p w14:paraId="074D476F" w14:textId="4C3737D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Drawing from the influence of the Chicago School</w:t>
      </w:r>
      <w:r>
        <w:t>’s</w:t>
      </w:r>
      <w:r w:rsidRPr="002125BD">
        <w:t xml:space="preserve"> antitrust analysis on US competition policy, the effects-based approach aims to avoid erroneous intervention against competitive and efficiency-increasing behaviour (avoiding type 1 errors or false positives) and to achieve an optimal level of enforcement of competition rules (Jones and Sufrin</w:t>
      </w:r>
      <w:r>
        <w:t xml:space="preserve"> (n 425) </w:t>
      </w:r>
      <w:r w:rsidRPr="002125BD">
        <w:t>59)</w:t>
      </w:r>
      <w:r w:rsidRPr="002125BD">
        <w:rPr>
          <w:lang w:val="en-US"/>
        </w:rPr>
        <w:t>.</w:t>
      </w:r>
    </w:p>
  </w:footnote>
  <w:footnote w:id="441">
    <w:p w14:paraId="3ABA114A" w14:textId="05877119" w:rsidR="005C0DC6" w:rsidRPr="001D319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Block exemptions operate as a safe harbour</w:t>
      </w:r>
      <w:r>
        <w:rPr>
          <w:lang w:val="en-US"/>
        </w:rPr>
        <w:t>,</w:t>
      </w:r>
      <w:r w:rsidRPr="002125BD">
        <w:rPr>
          <w:lang w:val="en-US"/>
        </w:rPr>
        <w:t xml:space="preserve"> exempting agreements even if they infringe Article 101 </w:t>
      </w:r>
      <w:r>
        <w:rPr>
          <w:lang w:val="en-US"/>
        </w:rPr>
        <w:t>(</w:t>
      </w:r>
      <w:r w:rsidRPr="001D319D">
        <w:t>A</w:t>
      </w:r>
      <w:r>
        <w:t>lison</w:t>
      </w:r>
      <w:r w:rsidRPr="001D319D">
        <w:t xml:space="preserve"> Jones and </w:t>
      </w:r>
      <w:r>
        <w:t>Brenda</w:t>
      </w:r>
      <w:r w:rsidRPr="001D319D">
        <w:t xml:space="preserve"> Sufrin,</w:t>
      </w:r>
      <w:r w:rsidRPr="00116428">
        <w:rPr>
          <w:color w:val="FF0000"/>
        </w:rPr>
        <w:t xml:space="preserve"> </w:t>
      </w:r>
      <w:r>
        <w:rPr>
          <w:i/>
        </w:rPr>
        <w:t xml:space="preserve">EC </w:t>
      </w:r>
      <w:r w:rsidRPr="001D319D">
        <w:rPr>
          <w:i/>
        </w:rPr>
        <w:t>Competition Law: Text, Cases and Materials</w:t>
      </w:r>
      <w:r w:rsidRPr="001D319D">
        <w:t xml:space="preserve"> (4</w:t>
      </w:r>
      <w:r>
        <w:t>th</w:t>
      </w:r>
      <w:r w:rsidRPr="001D319D">
        <w:t xml:space="preserve"> </w:t>
      </w:r>
      <w:r>
        <w:t>edn</w:t>
      </w:r>
      <w:r w:rsidRPr="001D319D">
        <w:t>, OUP 2011)</w:t>
      </w:r>
      <w:r>
        <w:t xml:space="preserve"> 629)</w:t>
      </w:r>
      <w:r w:rsidRPr="002125BD">
        <w:rPr>
          <w:lang w:val="en-US"/>
        </w:rPr>
        <w:t xml:space="preserve">, obviating individual assessment of the agreements that are covered by the block exemption regulations. Until May 2004, a notification system was in place, requiring individual notification of an agreement to the Commission, which was the only body with the power to grant an exemption under Article 101(3). However, </w:t>
      </w:r>
      <w:r>
        <w:rPr>
          <w:lang w:val="en-US"/>
        </w:rPr>
        <w:t>since</w:t>
      </w:r>
      <w:r w:rsidRPr="002125BD">
        <w:rPr>
          <w:lang w:val="en-US"/>
        </w:rPr>
        <w:t xml:space="preserve"> </w:t>
      </w:r>
      <w:r>
        <w:rPr>
          <w:lang w:val="en-US"/>
        </w:rPr>
        <w:t xml:space="preserve">1 </w:t>
      </w:r>
      <w:r w:rsidRPr="002125BD">
        <w:rPr>
          <w:lang w:val="en-US"/>
        </w:rPr>
        <w:t xml:space="preserve">May 2004 when Regulation 1/2003 came into force, the prohibition contained in Article 101(1) is automatically inapplicable </w:t>
      </w:r>
      <w:r w:rsidRPr="002125BD">
        <w:rPr>
          <w:i/>
          <w:lang w:val="en-US"/>
        </w:rPr>
        <w:t>ab initio</w:t>
      </w:r>
      <w:r w:rsidRPr="002125BD">
        <w:rPr>
          <w:lang w:val="en-US"/>
        </w:rPr>
        <w:t xml:space="preserve"> to agreements and concerted practices that satisfy the conditions set out in Article 101(3), without the need for any decision to that effect (Joanna Goyder and Matthew O’Regan, </w:t>
      </w:r>
      <w:r>
        <w:rPr>
          <w:lang w:val="en-US"/>
        </w:rPr>
        <w:t>‘</w:t>
      </w:r>
      <w:r w:rsidRPr="002125BD">
        <w:rPr>
          <w:lang w:val="en-US"/>
        </w:rPr>
        <w:t>Market Conduct</w:t>
      </w:r>
      <w:r>
        <w:rPr>
          <w:lang w:val="en-US"/>
        </w:rPr>
        <w:t>’</w:t>
      </w:r>
      <w:r w:rsidRPr="002125BD">
        <w:rPr>
          <w:lang w:val="en-US"/>
        </w:rPr>
        <w:t xml:space="preserve"> </w:t>
      </w:r>
      <w:r>
        <w:rPr>
          <w:lang w:val="en-US"/>
        </w:rPr>
        <w:t>i</w:t>
      </w:r>
      <w:r w:rsidRPr="002125BD">
        <w:rPr>
          <w:lang w:val="en-US"/>
        </w:rPr>
        <w:t xml:space="preserve">n L. Garzaniti and M. O’Regan (eds), </w:t>
      </w:r>
      <w:r w:rsidRPr="00FB25AC">
        <w:rPr>
          <w:i/>
          <w:iCs/>
          <w:lang w:val="en-US"/>
        </w:rPr>
        <w:t>Telecommunications, Broadcasting and the Internet: EU Competition Law and Regulation</w:t>
      </w:r>
      <w:r>
        <w:rPr>
          <w:lang w:val="en-US"/>
        </w:rPr>
        <w:t xml:space="preserve"> (</w:t>
      </w:r>
      <w:r w:rsidRPr="002125BD">
        <w:rPr>
          <w:lang w:val="en-US"/>
        </w:rPr>
        <w:t>3</w:t>
      </w:r>
      <w:r>
        <w:rPr>
          <w:lang w:val="en-US"/>
        </w:rPr>
        <w:t>rd</w:t>
      </w:r>
      <w:r w:rsidRPr="002125BD">
        <w:rPr>
          <w:lang w:val="en-US"/>
        </w:rPr>
        <w:t xml:space="preserve"> ed</w:t>
      </w:r>
      <w:r>
        <w:rPr>
          <w:lang w:val="en-US"/>
        </w:rPr>
        <w:t>n</w:t>
      </w:r>
      <w:r w:rsidRPr="002125BD">
        <w:rPr>
          <w:lang w:val="en-US"/>
        </w:rPr>
        <w:t>, Sweet &amp; Maxwell 2010</w:t>
      </w:r>
      <w:r>
        <w:rPr>
          <w:lang w:val="en-US"/>
        </w:rPr>
        <w:t>)</w:t>
      </w:r>
      <w:r w:rsidRPr="002125BD">
        <w:rPr>
          <w:lang w:val="en-US"/>
        </w:rPr>
        <w:t xml:space="preserve"> 4).</w:t>
      </w:r>
    </w:p>
  </w:footnote>
  <w:footnote w:id="442">
    <w:p w14:paraId="0F3624EB" w14:textId="7D66C8C9" w:rsidR="005C0DC6" w:rsidRPr="002125BD" w:rsidRDefault="005C0DC6" w:rsidP="00A70042">
      <w:pPr>
        <w:pStyle w:val="FootnoteText"/>
        <w:ind w:left="426" w:hanging="426"/>
        <w:jc w:val="both"/>
      </w:pPr>
      <w:r w:rsidRPr="001D319D">
        <w:rPr>
          <w:rStyle w:val="FootnoteReference"/>
        </w:rPr>
        <w:footnoteRef/>
      </w:r>
      <w:r w:rsidRPr="001D319D">
        <w:t xml:space="preserve"> </w:t>
      </w:r>
      <w:r>
        <w:tab/>
      </w:r>
      <w:r w:rsidRPr="001D319D">
        <w:t>Jones and Sufrin</w:t>
      </w:r>
      <w:r>
        <w:t xml:space="preserve"> </w:t>
      </w:r>
      <w:r w:rsidRPr="001D319D">
        <w:t>(</w:t>
      </w:r>
      <w:r>
        <w:t>n 441</w:t>
      </w:r>
      <w:r w:rsidRPr="001D319D">
        <w:t>) 629.</w:t>
      </w:r>
    </w:p>
  </w:footnote>
  <w:footnote w:id="443">
    <w:p w14:paraId="2B330777" w14:textId="04CF6E01" w:rsidR="005C0DC6" w:rsidRDefault="005C0DC6" w:rsidP="00A70042">
      <w:pPr>
        <w:pStyle w:val="FootnoteText"/>
        <w:ind w:left="426" w:hanging="426"/>
        <w:jc w:val="both"/>
      </w:pPr>
      <w:r>
        <w:rPr>
          <w:rStyle w:val="FootnoteReference"/>
        </w:rPr>
        <w:footnoteRef/>
      </w:r>
      <w:r>
        <w:t xml:space="preserve"> </w:t>
      </w:r>
      <w:r>
        <w:tab/>
        <w:t xml:space="preserve">European Commission, </w:t>
      </w:r>
      <w:r w:rsidRPr="002125BD">
        <w:t>Guidelines on the applicability of Article 101 of the Treaty on the Functioning of the European Union to horizontal co-operation agreements (2011/C 11/01)</w:t>
      </w:r>
      <w:r>
        <w:t xml:space="preserve"> (‘</w:t>
      </w:r>
      <w:r w:rsidRPr="00522953">
        <w:t xml:space="preserve">Commission’s </w:t>
      </w:r>
      <w:r>
        <w:t xml:space="preserve">2011 </w:t>
      </w:r>
      <w:r w:rsidRPr="00522953">
        <w:t>Guidelines</w:t>
      </w:r>
      <w:r>
        <w:t>’), para 263.</w:t>
      </w:r>
    </w:p>
  </w:footnote>
  <w:footnote w:id="444">
    <w:p w14:paraId="5FB22DA1" w14:textId="24BBE0C6"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t xml:space="preserve">Commission’s 2011 </w:t>
      </w:r>
      <w:r w:rsidRPr="002125BD">
        <w:t xml:space="preserve">Guidelines, </w:t>
      </w:r>
      <w:r>
        <w:t>para</w:t>
      </w:r>
      <w:r w:rsidRPr="002125BD">
        <w:t xml:space="preserve"> 280.</w:t>
      </w:r>
    </w:p>
  </w:footnote>
  <w:footnote w:id="445">
    <w:p w14:paraId="518D6BAE" w14:textId="56AADF8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An analysis of the IPR databases of 11 of the most important SSOs by a group of scholars revealed that approximately 250 distinct standards include technologies that are covered by one or more declared IPR, and many of these standards are successful and widely employed (</w:t>
      </w:r>
      <w:r w:rsidRPr="002125BD">
        <w:rPr>
          <w:lang w:val="en-US"/>
        </w:rPr>
        <w:t xml:space="preserve">Pierre Larouche and Geertrui Van Overwalle, </w:t>
      </w:r>
      <w:r>
        <w:rPr>
          <w:lang w:val="en-US"/>
        </w:rPr>
        <w:t>‘</w:t>
      </w:r>
      <w:r w:rsidRPr="002125BD">
        <w:rPr>
          <w:lang w:val="en-US"/>
        </w:rPr>
        <w:t>Interoperability standards, patents and competition policy</w:t>
      </w:r>
      <w:r>
        <w:rPr>
          <w:lang w:val="en-US"/>
        </w:rPr>
        <w:t>’</w:t>
      </w:r>
      <w:r w:rsidRPr="002125BD">
        <w:rPr>
          <w:lang w:val="en-US"/>
        </w:rPr>
        <w:t xml:space="preserve">, </w:t>
      </w:r>
      <w:r>
        <w:rPr>
          <w:lang w:val="en-US"/>
        </w:rPr>
        <w:t>(2014)</w:t>
      </w:r>
      <w:r w:rsidRPr="002125BD">
        <w:rPr>
          <w:lang w:val="en-US"/>
        </w:rPr>
        <w:t xml:space="preserve"> TILEC Discussion Paper</w:t>
      </w:r>
      <w:r>
        <w:rPr>
          <w:lang w:val="en-US"/>
        </w:rPr>
        <w:t xml:space="preserve"> </w:t>
      </w:r>
      <w:r w:rsidRPr="002125BD">
        <w:rPr>
          <w:lang w:val="en-US"/>
        </w:rPr>
        <w:t>DP 2014-050, December 2014, 6)</w:t>
      </w:r>
      <w:r>
        <w:rPr>
          <w:lang w:val="en-US"/>
        </w:rPr>
        <w:t>.</w:t>
      </w:r>
    </w:p>
  </w:footnote>
  <w:footnote w:id="446">
    <w:p w14:paraId="3968C528" w14:textId="6B31CD5D"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Ghosh (n </w:t>
      </w:r>
      <w:r>
        <w:rPr>
          <w:lang w:val="en-US"/>
        </w:rPr>
        <w:t>81</w:t>
      </w:r>
      <w:r w:rsidRPr="002125BD">
        <w:rPr>
          <w:lang w:val="en-US"/>
        </w:rPr>
        <w:t>) 77.</w:t>
      </w:r>
    </w:p>
  </w:footnote>
  <w:footnote w:id="447">
    <w:p w14:paraId="03606C4C" w14:textId="70A05CD9"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Ghosh (n </w:t>
      </w:r>
      <w:r>
        <w:rPr>
          <w:lang w:val="en-US"/>
        </w:rPr>
        <w:t>81</w:t>
      </w:r>
      <w:r w:rsidRPr="002125BD">
        <w:rPr>
          <w:lang w:val="en-US"/>
        </w:rPr>
        <w:t>) 77.</w:t>
      </w:r>
    </w:p>
  </w:footnote>
  <w:footnote w:id="448">
    <w:p w14:paraId="25274E24" w14:textId="16A69FC5"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Once a patented technology has been selected and implemented in the standard, the use of the patent covering that technology becomes essential – a SEP </w:t>
      </w:r>
      <w:r>
        <w:t>(Urš</w:t>
      </w:r>
      <w:r w:rsidRPr="00CE7358">
        <w:t>ka Petrov</w:t>
      </w:r>
      <w:r>
        <w:t>č</w:t>
      </w:r>
      <w:r w:rsidRPr="00CE7358">
        <w:t>i</w:t>
      </w:r>
      <w:r>
        <w:t xml:space="preserve">č, </w:t>
      </w:r>
      <w:r w:rsidRPr="002D51BF">
        <w:rPr>
          <w:i/>
          <w:iCs/>
        </w:rPr>
        <w:t>Competition Law and Standard Essential Patents: A Transatlantic Perspective</w:t>
      </w:r>
      <w:r>
        <w:t xml:space="preserve"> </w:t>
      </w:r>
      <w:r>
        <w:rPr>
          <w:lang w:val="tr-TR"/>
        </w:rPr>
        <w:t>(</w:t>
      </w:r>
      <w:r>
        <w:t>Kluwer Law International BV 2014)</w:t>
      </w:r>
      <w:r w:rsidRPr="002125BD">
        <w:t xml:space="preserve"> 29).</w:t>
      </w:r>
    </w:p>
  </w:footnote>
  <w:footnote w:id="449">
    <w:p w14:paraId="6AC3A9F2" w14:textId="114C13A6" w:rsidR="005C0DC6" w:rsidRDefault="005C0DC6" w:rsidP="00A70042">
      <w:pPr>
        <w:pStyle w:val="FootnoteText"/>
        <w:ind w:left="426" w:hanging="426"/>
        <w:jc w:val="both"/>
      </w:pPr>
      <w:r>
        <w:rPr>
          <w:rStyle w:val="FootnoteReference"/>
        </w:rPr>
        <w:footnoteRef/>
      </w:r>
      <w:r>
        <w:t xml:space="preserve"> </w:t>
      </w:r>
      <w:r>
        <w:tab/>
      </w:r>
      <w:r w:rsidRPr="002D51BF">
        <w:t xml:space="preserve">Article 102 of the TFEU articulates the most common </w:t>
      </w:r>
      <w:r>
        <w:t>(</w:t>
      </w:r>
      <w:r w:rsidRPr="002D51BF">
        <w:t>non-exhaustive</w:t>
      </w:r>
      <w:r>
        <w:t>)</w:t>
      </w:r>
      <w:r w:rsidRPr="002D51BF">
        <w:t xml:space="preserve"> examples of abuse of dominance.</w:t>
      </w:r>
      <w:r>
        <w:t xml:space="preserve"> According to that article, “[s]uch abuse may, in particular, consist in:</w:t>
      </w:r>
    </w:p>
    <w:p w14:paraId="6F5B9508" w14:textId="0D299456" w:rsidR="005C0DC6" w:rsidRDefault="005C0DC6" w:rsidP="00A70042">
      <w:pPr>
        <w:pStyle w:val="FootnoteText"/>
        <w:numPr>
          <w:ilvl w:val="0"/>
          <w:numId w:val="34"/>
        </w:numPr>
        <w:ind w:left="851" w:hanging="426"/>
        <w:jc w:val="both"/>
      </w:pPr>
      <w:r>
        <w:t>directly or indirectly imposing unfair purchase or selling prices or other unfair trading conditions;</w:t>
      </w:r>
    </w:p>
    <w:p w14:paraId="2771583B" w14:textId="2921E4E6" w:rsidR="005C0DC6" w:rsidRDefault="005C0DC6" w:rsidP="00A70042">
      <w:pPr>
        <w:pStyle w:val="FootnoteText"/>
        <w:numPr>
          <w:ilvl w:val="0"/>
          <w:numId w:val="34"/>
        </w:numPr>
        <w:ind w:left="851" w:hanging="426"/>
        <w:jc w:val="both"/>
      </w:pPr>
      <w:r>
        <w:t>limiting production, markets or technical development to the prejudice of consumers;</w:t>
      </w:r>
    </w:p>
    <w:p w14:paraId="76F2C295" w14:textId="1D0ADAFE" w:rsidR="005C0DC6" w:rsidRDefault="005C0DC6" w:rsidP="00A70042">
      <w:pPr>
        <w:pStyle w:val="FootnoteText"/>
        <w:numPr>
          <w:ilvl w:val="0"/>
          <w:numId w:val="34"/>
        </w:numPr>
        <w:ind w:left="851" w:hanging="426"/>
        <w:jc w:val="both"/>
      </w:pPr>
      <w:r>
        <w:t>applying dissimilar conditions to equivalent transactions with other trading parties, thereby placing them at a competitive disadvantage;</w:t>
      </w:r>
    </w:p>
    <w:p w14:paraId="5133D3F7" w14:textId="46A0EE0E" w:rsidR="005C0DC6" w:rsidRDefault="005C0DC6" w:rsidP="00A70042">
      <w:pPr>
        <w:pStyle w:val="FootnoteText"/>
        <w:numPr>
          <w:ilvl w:val="0"/>
          <w:numId w:val="34"/>
        </w:numPr>
        <w:ind w:left="851" w:hanging="426"/>
        <w:jc w:val="both"/>
      </w:pPr>
      <w:r>
        <w:t>making the conclusion of contracts subject to acceptance by the other parties of supplementary obligations which, by their nature or according to commercial usage, have no connection with the subject of such contracts.” (TFEU, art 102).</w:t>
      </w:r>
    </w:p>
  </w:footnote>
  <w:footnote w:id="450">
    <w:p w14:paraId="074EBA5E" w14:textId="5316D89B"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See Anderman and Schmidt</w:t>
      </w:r>
      <w:r>
        <w:t xml:space="preserve"> (n 426) </w:t>
      </w:r>
      <w:r w:rsidRPr="002125BD">
        <w:t>34.</w:t>
      </w:r>
    </w:p>
  </w:footnote>
  <w:footnote w:id="451">
    <w:p w14:paraId="72505DB8" w14:textId="14C1DDE2"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In this context, ‘unfair pricing’ and ‘limiting supply to markets’ are enshrined under Article 102(a) and Article 102(b)</w:t>
      </w:r>
      <w:r>
        <w:t xml:space="preserve"> </w:t>
      </w:r>
      <w:r w:rsidRPr="0091417C">
        <w:t>respectively</w:t>
      </w:r>
      <w:r w:rsidRPr="002125BD">
        <w:t>, whereas ‘discrimination’ and ‘tying’ are put forth under Article 102(c) and Article 102(d).</w:t>
      </w:r>
    </w:p>
  </w:footnote>
  <w:footnote w:id="452">
    <w:p w14:paraId="1028572E" w14:textId="2E80A22E"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Pr>
          <w:lang w:val="en-US"/>
        </w:rPr>
        <w:t>Weston (n 13)</w:t>
      </w:r>
      <w:r w:rsidRPr="002125BD">
        <w:rPr>
          <w:lang w:val="en-US"/>
        </w:rPr>
        <w:t xml:space="preserve"> 166.</w:t>
      </w:r>
    </w:p>
  </w:footnote>
  <w:footnote w:id="453">
    <w:p w14:paraId="1DBFD6CD" w14:textId="363B396F"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7F4478">
        <w:t xml:space="preserve">See </w:t>
      </w:r>
      <w:r>
        <w:t xml:space="preserve">Wolfgang </w:t>
      </w:r>
      <w:r w:rsidRPr="007F4478">
        <w:rPr>
          <w:lang w:val="en-US"/>
        </w:rPr>
        <w:t xml:space="preserve">Kerber and </w:t>
      </w:r>
      <w:r>
        <w:rPr>
          <w:lang w:val="en-US"/>
        </w:rPr>
        <w:t xml:space="preserve">Heike </w:t>
      </w:r>
      <w:r w:rsidRPr="007F4478">
        <w:rPr>
          <w:lang w:val="en-US"/>
        </w:rPr>
        <w:t xml:space="preserve">Schweitzer, </w:t>
      </w:r>
      <w:r>
        <w:rPr>
          <w:lang w:val="en-US"/>
        </w:rPr>
        <w:t>‘</w:t>
      </w:r>
      <w:r w:rsidRPr="007F4478">
        <w:rPr>
          <w:lang w:val="en-US"/>
        </w:rPr>
        <w:t xml:space="preserve">Interoperability </w:t>
      </w:r>
      <w:r w:rsidRPr="002D51BF">
        <w:rPr>
          <w:lang w:val="en-US"/>
        </w:rPr>
        <w:t>in the Digital Economy</w:t>
      </w:r>
      <w:r>
        <w:rPr>
          <w:lang w:val="en-US"/>
        </w:rPr>
        <w:t xml:space="preserve">’ [2011] 8(1) </w:t>
      </w:r>
      <w:r w:rsidRPr="007F4478">
        <w:rPr>
          <w:lang w:val="en-US"/>
        </w:rPr>
        <w:t>JIPITEC</w:t>
      </w:r>
      <w:r w:rsidRPr="002125BD">
        <w:rPr>
          <w:lang w:val="en-US"/>
        </w:rPr>
        <w:t xml:space="preserve"> </w:t>
      </w:r>
      <w:r>
        <w:rPr>
          <w:lang w:val="en-US"/>
        </w:rPr>
        <w:t xml:space="preserve">39, </w:t>
      </w:r>
      <w:r w:rsidRPr="002125BD">
        <w:rPr>
          <w:lang w:val="en-US"/>
        </w:rPr>
        <w:t>43.</w:t>
      </w:r>
    </w:p>
  </w:footnote>
  <w:footnote w:id="454">
    <w:p w14:paraId="3A928B25" w14:textId="191717B1"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‘Tying’ and ‘exclusive dealing’ pose comparable anti-competitive effects</w:t>
      </w:r>
      <w:r>
        <w:rPr>
          <w:lang w:val="en-US"/>
        </w:rPr>
        <w:t>.</w:t>
      </w:r>
      <w:r w:rsidRPr="002125BD">
        <w:rPr>
          <w:lang w:val="en-US"/>
        </w:rPr>
        <w:t xml:space="preserve"> </w:t>
      </w:r>
      <w:r>
        <w:rPr>
          <w:lang w:val="en-US"/>
        </w:rPr>
        <w:t>H</w:t>
      </w:r>
      <w:r w:rsidRPr="002125BD">
        <w:rPr>
          <w:lang w:val="en-US"/>
        </w:rPr>
        <w:t>owever, through these acts foreclosure happens by means of the existing contracts and the</w:t>
      </w:r>
      <w:r>
        <w:rPr>
          <w:lang w:val="en-US"/>
        </w:rPr>
        <w:t>ir</w:t>
      </w:r>
      <w:r w:rsidRPr="002125BD">
        <w:rPr>
          <w:lang w:val="en-US"/>
        </w:rPr>
        <w:t xml:space="preserve"> exclusionary terms and conditions</w:t>
      </w:r>
      <w:r>
        <w:rPr>
          <w:lang w:val="en-US"/>
        </w:rPr>
        <w:t>,</w:t>
      </w:r>
      <w:r w:rsidRPr="002125BD">
        <w:rPr>
          <w:lang w:val="en-US"/>
        </w:rPr>
        <w:t xml:space="preserve"> rather than the absen</w:t>
      </w:r>
      <w:r>
        <w:rPr>
          <w:lang w:val="en-US"/>
        </w:rPr>
        <w:t>ce</w:t>
      </w:r>
      <w:r w:rsidRPr="002125BD">
        <w:rPr>
          <w:lang w:val="en-US"/>
        </w:rPr>
        <w:t xml:space="preserve"> </w:t>
      </w:r>
      <w:r>
        <w:rPr>
          <w:lang w:val="en-US"/>
        </w:rPr>
        <w:t xml:space="preserve">of </w:t>
      </w:r>
      <w:r w:rsidRPr="002125BD">
        <w:rPr>
          <w:lang w:val="en-US"/>
        </w:rPr>
        <w:t>interoperability. Furthermore, these two acts do not have a direct relationship with the usage and boundaries of IPRs.</w:t>
      </w:r>
    </w:p>
  </w:footnote>
  <w:footnote w:id="455">
    <w:p w14:paraId="22F0DE97" w14:textId="5877A7D5" w:rsidR="005C0DC6" w:rsidRPr="002125BD" w:rsidRDefault="005C0DC6" w:rsidP="00A70042">
      <w:pPr>
        <w:pStyle w:val="FootnoteText"/>
        <w:ind w:left="426" w:hanging="426"/>
        <w:jc w:val="both"/>
      </w:pPr>
      <w:r w:rsidRPr="002125BD">
        <w:rPr>
          <w:rStyle w:val="FootnoteReference"/>
        </w:rPr>
        <w:footnoteRef/>
      </w:r>
      <w:r w:rsidRPr="002125BD">
        <w:t xml:space="preserve"> </w:t>
      </w:r>
      <w:r>
        <w:tab/>
        <w:t>Jones and Sufrin (n 425) 371</w:t>
      </w:r>
      <w:r w:rsidRPr="002125BD">
        <w:rPr>
          <w:lang w:val="en-US"/>
        </w:rPr>
        <w:t>.</w:t>
      </w:r>
    </w:p>
  </w:footnote>
  <w:footnote w:id="456">
    <w:p w14:paraId="5273EDC9" w14:textId="14731BCC" w:rsidR="005C0DC6" w:rsidRDefault="005C0DC6" w:rsidP="00B24620">
      <w:pPr>
        <w:pStyle w:val="FootnoteText"/>
        <w:ind w:left="426" w:hanging="426"/>
        <w:jc w:val="both"/>
      </w:pPr>
      <w:r>
        <w:rPr>
          <w:rStyle w:val="FootnoteReference"/>
        </w:rPr>
        <w:footnoteRef/>
      </w:r>
      <w:r>
        <w:t xml:space="preserve"> </w:t>
      </w:r>
      <w:r>
        <w:tab/>
        <w:t xml:space="preserve">While in some other scholarly works (see Perzanowski (n 40) 152-154) are examined other abusive behaviours including ‘tying’, this is not found to be useful given the reasons in supra note </w:t>
      </w:r>
      <w:r w:rsidRPr="00031E0E">
        <w:t>454</w:t>
      </w:r>
      <w:r>
        <w:t xml:space="preserve">.  </w:t>
      </w:r>
    </w:p>
  </w:footnote>
  <w:footnote w:id="457">
    <w:p w14:paraId="0D97F9A9" w14:textId="33278607" w:rsidR="005C0DC6" w:rsidRPr="002125BD" w:rsidRDefault="005C0DC6" w:rsidP="00A70042">
      <w:pPr>
        <w:pStyle w:val="FootnoteText"/>
        <w:ind w:left="426" w:hanging="426"/>
        <w:jc w:val="both"/>
        <w:rPr>
          <w:color w:val="FF0000"/>
        </w:rPr>
      </w:pPr>
      <w:r w:rsidRPr="002125BD">
        <w:rPr>
          <w:rStyle w:val="FootnoteReference"/>
        </w:rPr>
        <w:footnoteRef/>
      </w:r>
      <w:r w:rsidRPr="002125BD">
        <w:t xml:space="preserve"> </w:t>
      </w:r>
      <w:r>
        <w:tab/>
      </w:r>
      <w:r w:rsidRPr="002125BD">
        <w:rPr>
          <w:i/>
        </w:rPr>
        <w:t>U.S.  v. Terminal Railroad Association</w:t>
      </w:r>
      <w:r w:rsidRPr="002125BD">
        <w:t xml:space="preserve"> 224 US 383 (1912)</w:t>
      </w:r>
      <w:r w:rsidRPr="002125BD">
        <w:rPr>
          <w:i/>
        </w:rPr>
        <w:t>.</w:t>
      </w:r>
    </w:p>
  </w:footnote>
  <w:footnote w:id="458">
    <w:p w14:paraId="1A5181B8" w14:textId="17DA7975"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Regarding </w:t>
      </w:r>
      <w:r>
        <w:rPr>
          <w:lang w:val="en-US"/>
        </w:rPr>
        <w:t xml:space="preserve">the </w:t>
      </w:r>
      <w:r w:rsidRPr="002125BD">
        <w:rPr>
          <w:lang w:val="en-US"/>
        </w:rPr>
        <w:t>evolution and usage of the doctrine</w:t>
      </w:r>
      <w:r>
        <w:rPr>
          <w:lang w:val="en-US"/>
        </w:rPr>
        <w:t>,</w:t>
      </w:r>
      <w:r w:rsidRPr="002125BD">
        <w:rPr>
          <w:lang w:val="en-US"/>
        </w:rPr>
        <w:t xml:space="preserve"> particularly under EU law, see </w:t>
      </w:r>
      <w:r>
        <w:rPr>
          <w:lang w:val="en-US"/>
        </w:rPr>
        <w:t>Unver (n 100).</w:t>
      </w:r>
    </w:p>
  </w:footnote>
  <w:footnote w:id="459">
    <w:p w14:paraId="43EA2199" w14:textId="7CA826FF"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rPr>
          <w:i/>
          <w:lang w:val="tr-TR"/>
        </w:rPr>
        <w:t>Trinko</w:t>
      </w:r>
      <w:r w:rsidRPr="002125BD">
        <w:rPr>
          <w:lang w:val="tr-TR"/>
        </w:rPr>
        <w:t xml:space="preserve"> judgement</w:t>
      </w:r>
      <w:r>
        <w:rPr>
          <w:lang w:val="tr-TR"/>
        </w:rPr>
        <w:t xml:space="preserve"> (supra note 36)</w:t>
      </w:r>
      <w:r w:rsidRPr="002125BD">
        <w:rPr>
          <w:lang w:val="en-US"/>
        </w:rPr>
        <w:t xml:space="preserve"> dismissing the application of the widely known essential facilities doctrine to already regulated industries, symbolizes a sharp end to the claims of mandatory access obligations under section 2 of the Sherman Act. </w:t>
      </w:r>
      <w:r w:rsidRPr="002125BD">
        <w:rPr>
          <w:lang w:eastAsia="tr-TR"/>
        </w:rPr>
        <w:t xml:space="preserve">In </w:t>
      </w:r>
      <w:r w:rsidRPr="002125BD">
        <w:rPr>
          <w:i/>
          <w:lang w:eastAsia="tr-TR"/>
        </w:rPr>
        <w:t>Trinko</w:t>
      </w:r>
      <w:r w:rsidRPr="002125BD">
        <w:rPr>
          <w:lang w:eastAsia="tr-TR"/>
        </w:rPr>
        <w:t>, t</w:t>
      </w:r>
      <w:r w:rsidRPr="002125BD">
        <w:rPr>
          <w:lang w:val="tr-TR"/>
        </w:rPr>
        <w:t>he Supreme Court held that</w:t>
      </w:r>
      <w:r>
        <w:rPr>
          <w:lang w:val="tr-TR"/>
        </w:rPr>
        <w:t>:</w:t>
      </w:r>
    </w:p>
    <w:p w14:paraId="0817B570" w14:textId="210834B9" w:rsidR="005C0DC6" w:rsidRPr="002125BD" w:rsidRDefault="005C0DC6" w:rsidP="006C4F63">
      <w:pPr>
        <w:pStyle w:val="FootnoteText"/>
        <w:ind w:left="992" w:right="567"/>
        <w:jc w:val="both"/>
        <w:rPr>
          <w:lang w:val="en-US"/>
        </w:rPr>
      </w:pPr>
      <w:r w:rsidRPr="002125BD">
        <w:rPr>
          <w:lang w:val="tr-TR"/>
        </w:rPr>
        <w:t>One factor of particular importance is the existence of a regulatory structure designed to deter and remedy competition harm. Where such a structure exists, the additional benefits to competition provided by antitrust enforcement will tend to be small and it will be less plausible that the antitrust laws contemplate such additional scrutiny (</w:t>
      </w:r>
      <w:r w:rsidRPr="002125BD">
        <w:rPr>
          <w:i/>
          <w:lang w:val="tr-TR"/>
        </w:rPr>
        <w:t>Trinko</w:t>
      </w:r>
      <w:r w:rsidRPr="002125BD">
        <w:rPr>
          <w:lang w:val="tr-TR"/>
        </w:rPr>
        <w:t xml:space="preserve"> judgement, </w:t>
      </w:r>
      <w:r>
        <w:rPr>
          <w:lang w:val="tr-TR"/>
        </w:rPr>
        <w:t>para</w:t>
      </w:r>
      <w:r w:rsidRPr="002125BD">
        <w:rPr>
          <w:lang w:val="tr-TR"/>
        </w:rPr>
        <w:t xml:space="preserve"> 412).</w:t>
      </w:r>
    </w:p>
  </w:footnote>
  <w:footnote w:id="460">
    <w:p w14:paraId="10984EC6" w14:textId="0CAA74B3"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See</w:t>
      </w:r>
      <w:r w:rsidRPr="002125BD">
        <w:rPr>
          <w:i/>
          <w:iCs/>
        </w:rPr>
        <w:t xml:space="preserve"> Aspen Skiing Co. v. Aspen Highlands Skiing Corp.</w:t>
      </w:r>
      <w:r w:rsidRPr="002125BD">
        <w:t xml:space="preserve">, 472 US 585 (1985). </w:t>
      </w:r>
    </w:p>
  </w:footnote>
  <w:footnote w:id="461">
    <w:p w14:paraId="3E12C78A" w14:textId="024BC0D6" w:rsidR="005C0DC6" w:rsidRPr="002125BD" w:rsidRDefault="005C0DC6" w:rsidP="00A70042">
      <w:pPr>
        <w:pStyle w:val="FootnoteText"/>
        <w:ind w:left="426" w:hanging="426"/>
        <w:jc w:val="both"/>
        <w:rPr>
          <w:color w:val="FF0000"/>
        </w:rPr>
      </w:pPr>
      <w:r w:rsidRPr="002125BD">
        <w:rPr>
          <w:rStyle w:val="FootnoteReference"/>
          <w:rFonts w:eastAsiaTheme="majorEastAsia"/>
        </w:rPr>
        <w:footnoteRef/>
      </w:r>
      <w:r w:rsidRPr="002125BD">
        <w:t xml:space="preserve"> </w:t>
      </w:r>
      <w:r>
        <w:tab/>
      </w:r>
      <w:r w:rsidRPr="002125BD">
        <w:t xml:space="preserve">Joined Cases 6, 7/73, </w:t>
      </w:r>
      <w:r w:rsidRPr="002125BD">
        <w:rPr>
          <w:i/>
          <w:iCs/>
        </w:rPr>
        <w:t>Commercial Solvents</w:t>
      </w:r>
      <w:r w:rsidRPr="002125BD">
        <w:t xml:space="preserve"> </w:t>
      </w:r>
      <w:r w:rsidRPr="002125BD">
        <w:rPr>
          <w:i/>
          <w:iCs/>
        </w:rPr>
        <w:t>v. Commission</w:t>
      </w:r>
      <w:r w:rsidRPr="002125BD">
        <w:t xml:space="preserve"> </w:t>
      </w:r>
      <w:r w:rsidRPr="002125BD">
        <w:sym w:font="Symbol" w:char="F05B"/>
      </w:r>
      <w:r w:rsidRPr="002125BD">
        <w:t>1974</w:t>
      </w:r>
      <w:r w:rsidRPr="002125BD">
        <w:sym w:font="Symbol" w:char="F05D"/>
      </w:r>
      <w:r w:rsidRPr="002125BD">
        <w:t xml:space="preserve"> ECR 223 (</w:t>
      </w:r>
      <w:r>
        <w:t>‘</w:t>
      </w:r>
      <w:r w:rsidRPr="002125BD">
        <w:rPr>
          <w:i/>
        </w:rPr>
        <w:t>Commercial Solvents</w:t>
      </w:r>
      <w:r w:rsidRPr="002125BD">
        <w:t xml:space="preserve"> judgement</w:t>
      </w:r>
      <w:r>
        <w:t>’</w:t>
      </w:r>
      <w:r w:rsidRPr="002125BD">
        <w:t>).</w:t>
      </w:r>
    </w:p>
  </w:footnote>
  <w:footnote w:id="462">
    <w:p w14:paraId="717DC927" w14:textId="2F3181FF"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Ibid, </w:t>
      </w:r>
      <w:r>
        <w:t>para</w:t>
      </w:r>
      <w:r w:rsidRPr="002125BD">
        <w:t xml:space="preserve"> 25.</w:t>
      </w:r>
    </w:p>
  </w:footnote>
  <w:footnote w:id="463">
    <w:p w14:paraId="019ADD13" w14:textId="1954EC95" w:rsidR="005C0DC6" w:rsidRPr="002125BD" w:rsidRDefault="005C0DC6" w:rsidP="00A70042">
      <w:pPr>
        <w:pStyle w:val="FootnoteText"/>
        <w:ind w:left="426" w:hanging="426"/>
        <w:jc w:val="both"/>
        <w:rPr>
          <w:color w:val="FF0000"/>
        </w:rPr>
      </w:pPr>
      <w:r w:rsidRPr="002125BD">
        <w:rPr>
          <w:rStyle w:val="FootnoteReference"/>
          <w:rFonts w:eastAsiaTheme="majorEastAsia"/>
        </w:rPr>
        <w:footnoteRef/>
      </w:r>
      <w:r w:rsidRPr="002125BD">
        <w:t xml:space="preserve"> </w:t>
      </w:r>
      <w:r>
        <w:tab/>
      </w:r>
      <w:r w:rsidRPr="002125BD">
        <w:t xml:space="preserve">Case 27/76, </w:t>
      </w:r>
      <w:r w:rsidRPr="002125BD">
        <w:rPr>
          <w:i/>
          <w:iCs/>
        </w:rPr>
        <w:t>United Brands v. Commission</w:t>
      </w:r>
      <w:r w:rsidRPr="002125BD">
        <w:t xml:space="preserve">, </w:t>
      </w:r>
      <w:r w:rsidRPr="002125BD">
        <w:rPr>
          <w:iCs/>
        </w:rPr>
        <w:sym w:font="Symbol" w:char="F05B"/>
      </w:r>
      <w:r w:rsidRPr="002125BD">
        <w:rPr>
          <w:iCs/>
        </w:rPr>
        <w:t>1978</w:t>
      </w:r>
      <w:r w:rsidRPr="002125BD">
        <w:rPr>
          <w:iCs/>
        </w:rPr>
        <w:sym w:font="Symbol" w:char="F05D"/>
      </w:r>
      <w:r w:rsidRPr="002125BD">
        <w:rPr>
          <w:iCs/>
        </w:rPr>
        <w:t xml:space="preserve"> ECR 207</w:t>
      </w:r>
      <w:r w:rsidRPr="002125BD">
        <w:t xml:space="preserve"> (</w:t>
      </w:r>
      <w:r>
        <w:t>‘</w:t>
      </w:r>
      <w:r w:rsidRPr="002125BD">
        <w:rPr>
          <w:i/>
        </w:rPr>
        <w:t>United Brands</w:t>
      </w:r>
      <w:r w:rsidRPr="002125BD">
        <w:t xml:space="preserve"> judgement</w:t>
      </w:r>
      <w:r>
        <w:t>’</w:t>
      </w:r>
      <w:r w:rsidRPr="002125BD">
        <w:t>)</w:t>
      </w:r>
      <w:r>
        <w:t>.</w:t>
      </w:r>
    </w:p>
  </w:footnote>
  <w:footnote w:id="464">
    <w:p w14:paraId="2D1FD7C7" w14:textId="6A04CB8B" w:rsidR="005C0DC6" w:rsidRPr="002125BD" w:rsidRDefault="005C0DC6" w:rsidP="00A70042">
      <w:pPr>
        <w:pStyle w:val="FootnoteText"/>
        <w:ind w:left="426" w:hanging="426"/>
        <w:jc w:val="both"/>
      </w:pPr>
      <w:r w:rsidRPr="002125BD">
        <w:rPr>
          <w:rStyle w:val="FootnoteReference"/>
        </w:rPr>
        <w:footnoteRef/>
      </w:r>
      <w:r w:rsidRPr="002125BD">
        <w:t xml:space="preserve"> </w:t>
      </w:r>
      <w:r>
        <w:tab/>
        <w:t xml:space="preserve">The </w:t>
      </w:r>
      <w:r w:rsidRPr="002125BD">
        <w:t>C</w:t>
      </w:r>
      <w:r>
        <w:t>o</w:t>
      </w:r>
      <w:r w:rsidRPr="002125BD">
        <w:t xml:space="preserve">J reached the following conclusion in finding an ‘abuse of dominance’: </w:t>
      </w:r>
    </w:p>
    <w:p w14:paraId="39A5B7C6" w14:textId="6334751D" w:rsidR="005C0DC6" w:rsidRPr="002125BD" w:rsidRDefault="005C0DC6" w:rsidP="00F808C8">
      <w:pPr>
        <w:pStyle w:val="FootnoteText"/>
        <w:ind w:left="992" w:right="567"/>
        <w:jc w:val="both"/>
      </w:pPr>
      <w:r w:rsidRPr="002125BD">
        <w:t xml:space="preserve">In view of these conflicting arguments it is advisable to assert positively from the outset that an undertaking in a dominant position for the purpose of marketing a product ... cannot stop supplying </w:t>
      </w:r>
      <w:r w:rsidRPr="002125BD">
        <w:rPr>
          <w:i/>
        </w:rPr>
        <w:t>a long standing customer</w:t>
      </w:r>
      <w:r w:rsidRPr="002125BD">
        <w:t xml:space="preserve"> who abides by regular commercial practice, if the orders placed by that customer are in no way out of the ordinary</w:t>
      </w:r>
      <w:r>
        <w:t xml:space="preserve"> </w:t>
      </w:r>
      <w:r w:rsidRPr="002125BD">
        <w:t>(</w:t>
      </w:r>
      <w:r w:rsidRPr="002125BD">
        <w:rPr>
          <w:i/>
        </w:rPr>
        <w:t>United Brands</w:t>
      </w:r>
      <w:r w:rsidRPr="002125BD">
        <w:t xml:space="preserve"> judgement</w:t>
      </w:r>
      <w:r>
        <w:t>, para 182)</w:t>
      </w:r>
      <w:r w:rsidRPr="002125BD">
        <w:t>.</w:t>
      </w:r>
    </w:p>
  </w:footnote>
  <w:footnote w:id="465">
    <w:p w14:paraId="2587FB0A" w14:textId="55019545" w:rsidR="005C0DC6" w:rsidRDefault="005C0DC6" w:rsidP="00A70042">
      <w:pPr>
        <w:pStyle w:val="FootnoteText"/>
        <w:ind w:left="426" w:hanging="426"/>
        <w:jc w:val="both"/>
        <w:rPr>
          <w:color w:val="FF0000"/>
        </w:rPr>
      </w:pPr>
      <w:r>
        <w:rPr>
          <w:rStyle w:val="FootnoteReference"/>
          <w:rFonts w:eastAsiaTheme="majorEastAsia"/>
        </w:rPr>
        <w:footnoteRef/>
      </w:r>
      <w:r>
        <w:t xml:space="preserve"> </w:t>
      </w:r>
      <w:r>
        <w:tab/>
        <w:t xml:space="preserve">Case 311/84, </w:t>
      </w:r>
      <w:r>
        <w:rPr>
          <w:i/>
          <w:iCs/>
        </w:rPr>
        <w:t>Cenbtre belge d’études du marché</w:t>
      </w:r>
      <w:r>
        <w:t xml:space="preserve">, </w:t>
      </w:r>
      <w:r>
        <w:sym w:font="Symbol" w:char="F05B"/>
      </w:r>
      <w:r>
        <w:t>1985</w:t>
      </w:r>
      <w:r>
        <w:sym w:font="Symbol" w:char="F05D"/>
      </w:r>
      <w:r>
        <w:t xml:space="preserve"> ECR 3261 </w:t>
      </w:r>
      <w:r w:rsidRPr="00583D52">
        <w:t>(‘</w:t>
      </w:r>
      <w:r w:rsidRPr="00583D52">
        <w:rPr>
          <w:i/>
          <w:iCs/>
        </w:rPr>
        <w:t>Telemarketing</w:t>
      </w:r>
      <w:r w:rsidRPr="00583D52">
        <w:t xml:space="preserve"> judgement’)</w:t>
      </w:r>
      <w:r>
        <w:t xml:space="preserve">. </w:t>
      </w:r>
    </w:p>
  </w:footnote>
  <w:footnote w:id="466">
    <w:p w14:paraId="6CB6712B" w14:textId="4C1C93A8" w:rsidR="005C0DC6" w:rsidRPr="002125BD" w:rsidRDefault="005C0DC6" w:rsidP="00A70042">
      <w:pPr>
        <w:pStyle w:val="FootnoteText"/>
        <w:ind w:left="426" w:hanging="426"/>
        <w:jc w:val="both"/>
      </w:pPr>
      <w:r w:rsidRPr="002125BD">
        <w:rPr>
          <w:rStyle w:val="FootnoteReference"/>
        </w:rPr>
        <w:footnoteRef/>
      </w:r>
      <w:r w:rsidRPr="002125BD">
        <w:t xml:space="preserve"> </w:t>
      </w:r>
      <w:r>
        <w:tab/>
        <w:t xml:space="preserve">Paul </w:t>
      </w:r>
      <w:r w:rsidRPr="002125BD">
        <w:t xml:space="preserve">Nihoul and </w:t>
      </w:r>
      <w:r>
        <w:t xml:space="preserve">Peter </w:t>
      </w:r>
      <w:r w:rsidRPr="002125BD">
        <w:t xml:space="preserve">Rodford, </w:t>
      </w:r>
      <w:r w:rsidRPr="00B15309">
        <w:rPr>
          <w:i/>
          <w:iCs/>
        </w:rPr>
        <w:t>EU Electronic Communications Law: Competition and Regulation in the European Telecommunications Market</w:t>
      </w:r>
      <w:r>
        <w:t xml:space="preserve"> (OUP</w:t>
      </w:r>
      <w:r w:rsidRPr="002125BD">
        <w:t xml:space="preserve"> 2004</w:t>
      </w:r>
      <w:r>
        <w:t xml:space="preserve">) </w:t>
      </w:r>
      <w:r w:rsidRPr="002125BD">
        <w:t>470.</w:t>
      </w:r>
    </w:p>
  </w:footnote>
  <w:footnote w:id="467">
    <w:p w14:paraId="2E2063DA" w14:textId="7F59829F" w:rsidR="005C0DC6" w:rsidRPr="002125BD" w:rsidRDefault="005C0DC6" w:rsidP="00A70042">
      <w:pPr>
        <w:pStyle w:val="FootnoteText"/>
        <w:ind w:left="426" w:hanging="426"/>
        <w:jc w:val="both"/>
      </w:pPr>
      <w:r w:rsidRPr="002125BD">
        <w:rPr>
          <w:rStyle w:val="FootnoteReference"/>
        </w:rPr>
        <w:footnoteRef/>
      </w:r>
      <w:r w:rsidRPr="002125BD">
        <w:rPr>
          <w:color w:val="FF0000"/>
        </w:rPr>
        <w:t xml:space="preserve"> </w:t>
      </w:r>
      <w:r>
        <w:rPr>
          <w:color w:val="FF0000"/>
        </w:rPr>
        <w:tab/>
      </w:r>
      <w:r w:rsidRPr="002125BD">
        <w:t xml:space="preserve">Decision 88/589 of </w:t>
      </w:r>
      <w:smartTag w:uri="urn:schemas-microsoft-com:office:smarttags" w:element="date">
        <w:smartTagPr>
          <w:attr w:name="Year" w:val="1988"/>
          <w:attr w:name="Day" w:val="4"/>
          <w:attr w:name="Month" w:val="11"/>
        </w:smartTagPr>
        <w:r w:rsidRPr="002125BD">
          <w:t>4 November 1988</w:t>
        </w:r>
      </w:smartTag>
      <w:r w:rsidRPr="002125BD">
        <w:t xml:space="preserve">, </w:t>
      </w:r>
      <w:r w:rsidRPr="002125BD">
        <w:rPr>
          <w:i/>
        </w:rPr>
        <w:t xml:space="preserve">London European/Sabena </w:t>
      </w:r>
      <w:r w:rsidRPr="002125BD">
        <w:sym w:font="Symbol" w:char="F05B"/>
      </w:r>
      <w:r w:rsidRPr="002125BD">
        <w:t>1988</w:t>
      </w:r>
      <w:r w:rsidRPr="002125BD">
        <w:sym w:font="Symbol" w:char="F05D"/>
      </w:r>
      <w:r w:rsidRPr="002125BD">
        <w:t xml:space="preserve"> OJ L 317/47.</w:t>
      </w:r>
    </w:p>
  </w:footnote>
  <w:footnote w:id="468">
    <w:p w14:paraId="2BA364F5" w14:textId="27F511DD"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Decision 92/213 of </w:t>
      </w:r>
      <w:smartTag w:uri="urn:schemas-microsoft-com:office:smarttags" w:element="date">
        <w:smartTagPr>
          <w:attr w:name="Year" w:val="1992"/>
          <w:attr w:name="Day" w:val="26"/>
          <w:attr w:name="Month" w:val="2"/>
        </w:smartTagPr>
        <w:r w:rsidRPr="002125BD">
          <w:t>26 February 1992</w:t>
        </w:r>
      </w:smartTag>
      <w:r w:rsidRPr="002125BD">
        <w:t xml:space="preserve">, </w:t>
      </w:r>
      <w:r w:rsidRPr="002125BD">
        <w:rPr>
          <w:i/>
        </w:rPr>
        <w:t>British Midland/Aer Lingus</w:t>
      </w:r>
      <w:r w:rsidRPr="002125BD">
        <w:t xml:space="preserve"> </w:t>
      </w:r>
      <w:r w:rsidRPr="002125BD">
        <w:sym w:font="Symbol" w:char="F05B"/>
      </w:r>
      <w:r w:rsidRPr="002125BD">
        <w:t>1992</w:t>
      </w:r>
      <w:r w:rsidRPr="002125BD">
        <w:sym w:font="Symbol" w:char="F05D"/>
      </w:r>
      <w:r w:rsidRPr="002125BD">
        <w:t xml:space="preserve"> OJ L 96/34. </w:t>
      </w:r>
    </w:p>
  </w:footnote>
  <w:footnote w:id="469">
    <w:p w14:paraId="3664DEC6" w14:textId="7FBB07C0" w:rsidR="005C0DC6" w:rsidRPr="002125BD" w:rsidRDefault="005C0DC6" w:rsidP="00A70042">
      <w:pPr>
        <w:pStyle w:val="FootnoteText"/>
        <w:ind w:left="426" w:hanging="426"/>
        <w:jc w:val="both"/>
      </w:pPr>
      <w:r w:rsidRPr="002125BD">
        <w:rPr>
          <w:rStyle w:val="FootnoteReference"/>
        </w:rPr>
        <w:footnoteRef/>
      </w:r>
      <w:r w:rsidRPr="002125BD">
        <w:t xml:space="preserve"> </w:t>
      </w:r>
      <w:r>
        <w:tab/>
        <w:t>‘</w:t>
      </w:r>
      <w:r w:rsidRPr="002125BD">
        <w:t>Interlining</w:t>
      </w:r>
      <w:r>
        <w:t>’</w:t>
      </w:r>
      <w:r w:rsidRPr="002125BD">
        <w:t xml:space="preserve"> is a standard facility based on an international (IATA) agreement pursuant to which airline companies authorise each other</w:t>
      </w:r>
      <w:r>
        <w:t>,</w:t>
      </w:r>
      <w:r w:rsidRPr="002125BD">
        <w:t xml:space="preserve"> as well as travel agents</w:t>
      </w:r>
      <w:r>
        <w:t>,</w:t>
      </w:r>
      <w:r w:rsidRPr="002125BD">
        <w:t xml:space="preserve"> </w:t>
      </w:r>
      <w:r>
        <w:t xml:space="preserve">to </w:t>
      </w:r>
      <w:r w:rsidRPr="002125BD">
        <w:t xml:space="preserve">offer their services via a single ticket.  </w:t>
      </w:r>
    </w:p>
  </w:footnote>
  <w:footnote w:id="470">
    <w:p w14:paraId="56C32E9D" w14:textId="59ED103A"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Jones and Sufrin</w:t>
      </w:r>
      <w:r>
        <w:t xml:space="preserve"> (n 441)</w:t>
      </w:r>
      <w:r w:rsidRPr="002125BD">
        <w:t xml:space="preserve"> 4</w:t>
      </w:r>
      <w:r>
        <w:t>87</w:t>
      </w:r>
      <w:r w:rsidRPr="002125BD">
        <w:t>.</w:t>
      </w:r>
    </w:p>
  </w:footnote>
  <w:footnote w:id="471">
    <w:p w14:paraId="18E03154" w14:textId="76946A31" w:rsidR="005C0DC6" w:rsidRPr="002125BD" w:rsidRDefault="005C0DC6" w:rsidP="00A70042">
      <w:pPr>
        <w:pStyle w:val="FootnoteText"/>
        <w:ind w:left="426" w:hanging="426"/>
        <w:jc w:val="both"/>
      </w:pPr>
      <w:r w:rsidRPr="002125BD">
        <w:rPr>
          <w:rStyle w:val="FootnoteReference"/>
        </w:rPr>
        <w:footnoteRef/>
      </w:r>
      <w:r w:rsidRPr="002125BD">
        <w:t xml:space="preserve"> </w:t>
      </w:r>
      <w:r>
        <w:tab/>
        <w:t xml:space="preserve">Steven D. </w:t>
      </w:r>
      <w:r w:rsidRPr="002125BD">
        <w:t xml:space="preserve">Anderman, </w:t>
      </w:r>
      <w:r w:rsidRPr="00692824">
        <w:rPr>
          <w:i/>
          <w:iCs/>
        </w:rPr>
        <w:t>EC Competition Law and Intellectual Property Rights: The Regulation of Innovation</w:t>
      </w:r>
      <w:r w:rsidRPr="002125BD">
        <w:t xml:space="preserve"> </w:t>
      </w:r>
      <w:r>
        <w:t>(Clarendon Press</w:t>
      </w:r>
      <w:r w:rsidRPr="002125BD">
        <w:t xml:space="preserve"> 1998</w:t>
      </w:r>
      <w:r>
        <w:t xml:space="preserve">) </w:t>
      </w:r>
      <w:r w:rsidRPr="002125BD">
        <w:t xml:space="preserve">201. </w:t>
      </w:r>
    </w:p>
  </w:footnote>
  <w:footnote w:id="472">
    <w:p w14:paraId="6BD11364" w14:textId="1660E57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5B4017">
        <w:t>Case IV/34.174</w:t>
      </w:r>
      <w:r w:rsidRPr="002125BD">
        <w:t xml:space="preserve">, </w:t>
      </w:r>
      <w:r w:rsidRPr="002125BD">
        <w:rPr>
          <w:i/>
          <w:iCs/>
        </w:rPr>
        <w:t>B&amp;I Line plc/Sealink Harbours Ltd.</w:t>
      </w:r>
      <w:r w:rsidRPr="002125BD">
        <w:t xml:space="preserve"> </w:t>
      </w:r>
      <w:r w:rsidRPr="002125BD">
        <w:sym w:font="Symbol" w:char="F05B"/>
      </w:r>
      <w:r w:rsidRPr="002125BD">
        <w:t>1992</w:t>
      </w:r>
      <w:r w:rsidRPr="002125BD">
        <w:sym w:font="Symbol" w:char="F05D"/>
      </w:r>
      <w:r w:rsidRPr="002125BD">
        <w:t xml:space="preserve"> 5 CMLR 255. </w:t>
      </w:r>
    </w:p>
  </w:footnote>
  <w:footnote w:id="473">
    <w:p w14:paraId="4EE1E627" w14:textId="1E5088F6"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5B4017">
        <w:t>Case IV/34.689</w:t>
      </w:r>
      <w:r w:rsidRPr="002125BD">
        <w:t xml:space="preserve">, </w:t>
      </w:r>
      <w:r w:rsidRPr="002125BD">
        <w:rPr>
          <w:i/>
          <w:iCs/>
        </w:rPr>
        <w:t>Sea Containers/Stena Sealink</w:t>
      </w:r>
      <w:r w:rsidRPr="002125BD">
        <w:t xml:space="preserve"> </w:t>
      </w:r>
      <w:r w:rsidRPr="002125BD">
        <w:sym w:font="Symbol" w:char="F05B"/>
      </w:r>
      <w:r w:rsidRPr="002125BD">
        <w:t>1994</w:t>
      </w:r>
      <w:r w:rsidRPr="002125BD">
        <w:sym w:font="Symbol" w:char="F05D"/>
      </w:r>
      <w:r w:rsidRPr="002125BD">
        <w:t xml:space="preserve"> OJ L 15/8. </w:t>
      </w:r>
    </w:p>
  </w:footnote>
  <w:footnote w:id="474">
    <w:p w14:paraId="4B4745B4" w14:textId="74EA0F8B" w:rsidR="005C0DC6" w:rsidRPr="002125BD" w:rsidRDefault="005C0DC6" w:rsidP="00A70042">
      <w:pPr>
        <w:pStyle w:val="FootnoteText"/>
        <w:ind w:left="426" w:hanging="426"/>
        <w:jc w:val="both"/>
        <w:rPr>
          <w:lang w:val="es-ES"/>
        </w:rPr>
      </w:pPr>
      <w:r w:rsidRPr="002125BD">
        <w:rPr>
          <w:rStyle w:val="FootnoteReference"/>
        </w:rPr>
        <w:footnoteRef/>
      </w:r>
      <w:r w:rsidRPr="002125BD">
        <w:rPr>
          <w:lang w:val="es-ES"/>
        </w:rPr>
        <w:t xml:space="preserve"> </w:t>
      </w:r>
      <w:r>
        <w:rPr>
          <w:lang w:val="es-ES"/>
        </w:rPr>
        <w:tab/>
      </w:r>
      <w:r w:rsidRPr="0030790A">
        <w:rPr>
          <w:iCs/>
          <w:lang w:val="es-ES"/>
        </w:rPr>
        <w:t>Ibid</w:t>
      </w:r>
      <w:r w:rsidRPr="0030790A">
        <w:rPr>
          <w:lang w:val="es-ES"/>
        </w:rPr>
        <w:t xml:space="preserve">, </w:t>
      </w:r>
      <w:r>
        <w:rPr>
          <w:lang w:val="es-ES"/>
        </w:rPr>
        <w:t>para</w:t>
      </w:r>
      <w:r w:rsidRPr="002125BD">
        <w:rPr>
          <w:lang w:val="es-ES"/>
        </w:rPr>
        <w:t xml:space="preserve"> 66. </w:t>
      </w:r>
    </w:p>
  </w:footnote>
  <w:footnote w:id="475">
    <w:p w14:paraId="0849D493" w14:textId="1547C823"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See</w:t>
      </w:r>
      <w:r>
        <w:t xml:space="preserve"> </w:t>
      </w:r>
      <w:r w:rsidRPr="00A762F7">
        <w:t>P</w:t>
      </w:r>
      <w:r>
        <w:t>ierre</w:t>
      </w:r>
      <w:r w:rsidRPr="00A762F7">
        <w:t xml:space="preserve"> Larouche, </w:t>
      </w:r>
      <w:r w:rsidRPr="003054F1">
        <w:rPr>
          <w:i/>
          <w:iCs/>
        </w:rPr>
        <w:t>Competition Law and Regulation in European Telecommunications</w:t>
      </w:r>
      <w:r w:rsidRPr="00A762F7">
        <w:t xml:space="preserve"> (Hart Publishing, 2000)</w:t>
      </w:r>
      <w:r>
        <w:t xml:space="preserve"> </w:t>
      </w:r>
      <w:r w:rsidRPr="002125BD">
        <w:t>204-211. See also Richa</w:t>
      </w:r>
      <w:r>
        <w:t>rd Whish, Competition Law</w:t>
      </w:r>
      <w:r w:rsidRPr="002125BD">
        <w:t xml:space="preserve"> </w:t>
      </w:r>
      <w:r>
        <w:t>(</w:t>
      </w:r>
      <w:r w:rsidRPr="002125BD">
        <w:rPr>
          <w:iCs/>
        </w:rPr>
        <w:t>5</w:t>
      </w:r>
      <w:r>
        <w:rPr>
          <w:iCs/>
        </w:rPr>
        <w:t>th</w:t>
      </w:r>
      <w:r w:rsidRPr="002125BD">
        <w:rPr>
          <w:iCs/>
        </w:rPr>
        <w:t xml:space="preserve"> ed</w:t>
      </w:r>
      <w:r>
        <w:rPr>
          <w:iCs/>
        </w:rPr>
        <w:t>n</w:t>
      </w:r>
      <w:r w:rsidRPr="002125BD">
        <w:rPr>
          <w:iCs/>
        </w:rPr>
        <w:t>,</w:t>
      </w:r>
      <w:r w:rsidRPr="002125BD">
        <w:t xml:space="preserve"> Butterworths 2003</w:t>
      </w:r>
      <w:r>
        <w:t>)</w:t>
      </w:r>
      <w:r w:rsidRPr="002125BD">
        <w:t>, 670, reading</w:t>
      </w:r>
      <w:r>
        <w:t>;</w:t>
      </w:r>
      <w:r w:rsidRPr="002125BD">
        <w:t xml:space="preserve"> “[U]ndertakings controlling a bottleneck might be considered to be ‘super-dominant’, implying that they have a higher responsibility than the obligations attaching to ‘merely’ dominant firms”.</w:t>
      </w:r>
    </w:p>
  </w:footnote>
  <w:footnote w:id="476">
    <w:p w14:paraId="03152924" w14:textId="470D00FA" w:rsidR="005C0DC6" w:rsidRPr="005B4017"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Joined Cases 6,7/73, </w:t>
      </w:r>
      <w:r w:rsidRPr="002125BD">
        <w:rPr>
          <w:i/>
          <w:iCs/>
        </w:rPr>
        <w:t>Commercial Solvents</w:t>
      </w:r>
      <w:r w:rsidRPr="002125BD">
        <w:t xml:space="preserve"> </w:t>
      </w:r>
      <w:r w:rsidRPr="002125BD">
        <w:rPr>
          <w:i/>
          <w:iCs/>
        </w:rPr>
        <w:t>v. Commission</w:t>
      </w:r>
      <w:r w:rsidRPr="002125BD">
        <w:t xml:space="preserve"> </w:t>
      </w:r>
      <w:r w:rsidRPr="002125BD">
        <w:sym w:font="Symbol" w:char="F05B"/>
      </w:r>
      <w:r w:rsidRPr="002125BD">
        <w:t>1974</w:t>
      </w:r>
      <w:r w:rsidRPr="002125BD">
        <w:sym w:font="Symbol" w:char="F05D"/>
      </w:r>
      <w:r w:rsidRPr="002125BD">
        <w:t xml:space="preserve"> ECR 223</w:t>
      </w:r>
      <w:r>
        <w:t xml:space="preserve"> </w:t>
      </w:r>
      <w:r w:rsidRPr="005B4017">
        <w:t>(‘</w:t>
      </w:r>
      <w:r w:rsidRPr="005B4017">
        <w:rPr>
          <w:i/>
        </w:rPr>
        <w:t>Commercial Solvents</w:t>
      </w:r>
      <w:r w:rsidRPr="005B4017">
        <w:t xml:space="preserve"> judgement’)</w:t>
      </w:r>
      <w:r>
        <w:t>.</w:t>
      </w:r>
    </w:p>
  </w:footnote>
  <w:footnote w:id="477">
    <w:p w14:paraId="4CE0DB0D" w14:textId="723B00DF"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w:t>
      </w:r>
      <w:r w:rsidRPr="002125BD">
        <w:rPr>
          <w:i/>
        </w:rPr>
        <w:t>supra</w:t>
      </w:r>
      <w:r w:rsidRPr="002125BD">
        <w:t xml:space="preserve"> note </w:t>
      </w:r>
      <w:r w:rsidRPr="00173254">
        <w:t>227</w:t>
      </w:r>
      <w:r w:rsidRPr="002125BD">
        <w:t>.</w:t>
      </w:r>
    </w:p>
  </w:footnote>
  <w:footnote w:id="478">
    <w:p w14:paraId="69404E5F" w14:textId="567F5532"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Case T-504/93, </w:t>
      </w:r>
      <w:r w:rsidRPr="002125BD">
        <w:rPr>
          <w:i/>
          <w:iCs/>
        </w:rPr>
        <w:t>Tiercé Ladbroke SA v. Commission</w:t>
      </w:r>
      <w:r w:rsidRPr="002125BD">
        <w:t xml:space="preserve"> </w:t>
      </w:r>
      <w:r w:rsidRPr="002125BD">
        <w:sym w:font="Symbol" w:char="F05B"/>
      </w:r>
      <w:r w:rsidRPr="002125BD">
        <w:t>1997</w:t>
      </w:r>
      <w:r w:rsidRPr="002125BD">
        <w:sym w:font="Symbol" w:char="F05D"/>
      </w:r>
      <w:r w:rsidRPr="002125BD">
        <w:t xml:space="preserve"> ECR II-923, </w:t>
      </w:r>
      <w:r w:rsidRPr="002125BD">
        <w:sym w:font="Symbol" w:char="F05B"/>
      </w:r>
      <w:r w:rsidRPr="002125BD">
        <w:t>1997</w:t>
      </w:r>
      <w:r w:rsidRPr="002125BD">
        <w:sym w:font="Symbol" w:char="F05D"/>
      </w:r>
      <w:r w:rsidRPr="002125BD">
        <w:t xml:space="preserve"> ECR II-923, </w:t>
      </w:r>
      <w:r w:rsidRPr="002125BD">
        <w:sym w:font="Symbol" w:char="F05B"/>
      </w:r>
      <w:r w:rsidRPr="002125BD">
        <w:t>1997</w:t>
      </w:r>
      <w:r w:rsidRPr="002125BD">
        <w:sym w:font="Symbol" w:char="F05D"/>
      </w:r>
      <w:r w:rsidRPr="002125BD">
        <w:t xml:space="preserve"> 5 CMLR 309</w:t>
      </w:r>
      <w:r>
        <w:t xml:space="preserve"> (‘</w:t>
      </w:r>
      <w:r w:rsidRPr="002125BD">
        <w:rPr>
          <w:i/>
          <w:iCs/>
        </w:rPr>
        <w:t>Tiercé</w:t>
      </w:r>
      <w:r w:rsidRPr="00B15309">
        <w:rPr>
          <w:i/>
          <w:iCs/>
        </w:rPr>
        <w:t xml:space="preserve"> Ladbroke</w:t>
      </w:r>
      <w:r>
        <w:t xml:space="preserve"> judgement’)</w:t>
      </w:r>
      <w:r w:rsidRPr="002125BD">
        <w:t>.</w:t>
      </w:r>
    </w:p>
  </w:footnote>
  <w:footnote w:id="479">
    <w:p w14:paraId="630B8BBE" w14:textId="6DF43CA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Case C-7/97, </w:t>
      </w:r>
      <w:r w:rsidRPr="002125BD">
        <w:rPr>
          <w:i/>
        </w:rPr>
        <w:t xml:space="preserve">Oscar Bronner GmBH &amp; Co KG and Others v. Mediaprint Zeitungs-und Zeischiftverlag GmbH &amp; Co KG and Others </w:t>
      </w:r>
      <w:r w:rsidRPr="002125BD">
        <w:sym w:font="Symbol" w:char="F05B"/>
      </w:r>
      <w:r w:rsidRPr="002125BD">
        <w:t>1998</w:t>
      </w:r>
      <w:r w:rsidRPr="002125BD">
        <w:sym w:font="Symbol" w:char="F05D"/>
      </w:r>
      <w:r w:rsidRPr="002125BD">
        <w:t xml:space="preserve"> ECR I-7791, </w:t>
      </w:r>
      <w:r w:rsidRPr="002125BD">
        <w:sym w:font="Symbol" w:char="F05B"/>
      </w:r>
      <w:r w:rsidRPr="002125BD">
        <w:t>1999</w:t>
      </w:r>
      <w:r w:rsidRPr="002125BD">
        <w:sym w:font="Symbol" w:char="F05D"/>
      </w:r>
      <w:r w:rsidRPr="002125BD">
        <w:t xml:space="preserve"> 4 CMLR 112</w:t>
      </w:r>
      <w:r>
        <w:t xml:space="preserve"> (‘</w:t>
      </w:r>
      <w:r w:rsidRPr="00B15309">
        <w:rPr>
          <w:i/>
          <w:iCs/>
        </w:rPr>
        <w:t>Oscar Bronner</w:t>
      </w:r>
      <w:r>
        <w:t xml:space="preserve"> judgement’)</w:t>
      </w:r>
      <w:r w:rsidRPr="002125BD">
        <w:t>.</w:t>
      </w:r>
    </w:p>
  </w:footnote>
  <w:footnote w:id="480">
    <w:p w14:paraId="4CFCF42E" w14:textId="4DC886B3"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034651">
        <w:t xml:space="preserve">Ibid, </w:t>
      </w:r>
      <w:r>
        <w:t>para</w:t>
      </w:r>
      <w:r w:rsidRPr="002125BD">
        <w:t xml:space="preserve"> 41.</w:t>
      </w:r>
    </w:p>
  </w:footnote>
  <w:footnote w:id="481">
    <w:p w14:paraId="1F3061BA" w14:textId="36BAD3EF" w:rsidR="005C0DC6" w:rsidRPr="002125BD" w:rsidRDefault="005C0DC6" w:rsidP="00A70042">
      <w:pPr>
        <w:pStyle w:val="FootnoteText"/>
        <w:ind w:left="426" w:hanging="426"/>
        <w:jc w:val="both"/>
      </w:pPr>
      <w:r w:rsidRPr="002125BD">
        <w:rPr>
          <w:rStyle w:val="FootnoteReference"/>
        </w:rPr>
        <w:footnoteRef/>
      </w:r>
      <w:r>
        <w:t xml:space="preserve"> </w:t>
      </w:r>
      <w:r>
        <w:tab/>
      </w:r>
      <w:r w:rsidRPr="002125BD">
        <w:t>Eagles and Longdin</w:t>
      </w:r>
      <w:r>
        <w:t xml:space="preserve"> (n 266) </w:t>
      </w:r>
      <w:r w:rsidRPr="002125BD">
        <w:t>169.</w:t>
      </w:r>
    </w:p>
  </w:footnote>
  <w:footnote w:id="482">
    <w:p w14:paraId="1E21EE52" w14:textId="71EC5A6C" w:rsidR="005C0DC6" w:rsidRPr="002125BD" w:rsidRDefault="005C0DC6" w:rsidP="00A70042">
      <w:pPr>
        <w:pStyle w:val="FootnoteText"/>
        <w:ind w:left="426" w:hanging="426"/>
        <w:jc w:val="both"/>
        <w:rPr>
          <w:color w:val="000000"/>
          <w:lang w:val="en-US"/>
        </w:rPr>
      </w:pPr>
      <w:r w:rsidRPr="002125BD">
        <w:rPr>
          <w:rStyle w:val="FootnoteReference"/>
        </w:rPr>
        <w:footnoteRef/>
      </w:r>
      <w:r w:rsidRPr="002125BD">
        <w:rPr>
          <w:lang w:val="en-US"/>
        </w:rPr>
        <w:t xml:space="preserve"> </w:t>
      </w:r>
      <w:r>
        <w:rPr>
          <w:lang w:val="en-US"/>
        </w:rPr>
        <w:tab/>
      </w:r>
      <w:r w:rsidRPr="002125BD">
        <w:rPr>
          <w:color w:val="000000"/>
          <w:lang w:val="en-US"/>
        </w:rPr>
        <w:t>In</w:t>
      </w:r>
      <w:r>
        <w:rPr>
          <w:color w:val="000000"/>
          <w:lang w:val="en-US"/>
        </w:rPr>
        <w:t xml:space="preserve"> the</w:t>
      </w:r>
      <w:r w:rsidRPr="002125BD">
        <w:rPr>
          <w:color w:val="000000"/>
          <w:lang w:val="en-US"/>
        </w:rPr>
        <w:t xml:space="preserve"> </w:t>
      </w:r>
      <w:r w:rsidRPr="002125BD">
        <w:rPr>
          <w:i/>
          <w:iCs/>
          <w:color w:val="000000"/>
          <w:lang w:val="en-US"/>
        </w:rPr>
        <w:t xml:space="preserve">IMS Health </w:t>
      </w:r>
      <w:r w:rsidRPr="002125BD">
        <w:rPr>
          <w:color w:val="000000"/>
          <w:lang w:val="en-US"/>
        </w:rPr>
        <w:t>judgment</w:t>
      </w:r>
      <w:r w:rsidRPr="002125BD">
        <w:rPr>
          <w:lang w:val="en-US"/>
        </w:rPr>
        <w:t xml:space="preserve">, </w:t>
      </w:r>
      <w:r w:rsidRPr="002125BD">
        <w:rPr>
          <w:color w:val="000000"/>
          <w:lang w:val="en-US"/>
        </w:rPr>
        <w:t>the C</w:t>
      </w:r>
      <w:r>
        <w:rPr>
          <w:color w:val="000000"/>
          <w:lang w:val="en-US"/>
        </w:rPr>
        <w:t>o</w:t>
      </w:r>
      <w:r w:rsidRPr="002125BD">
        <w:rPr>
          <w:color w:val="000000"/>
          <w:lang w:val="en-US"/>
        </w:rPr>
        <w:t xml:space="preserve">J held: </w:t>
      </w:r>
    </w:p>
    <w:p w14:paraId="16C079C9" w14:textId="7ECD0C90" w:rsidR="005C0DC6" w:rsidRPr="002125BD" w:rsidRDefault="005C0DC6" w:rsidP="00F808C8">
      <w:pPr>
        <w:pStyle w:val="FootnoteText"/>
        <w:ind w:left="992" w:right="567"/>
        <w:jc w:val="both"/>
        <w:rPr>
          <w:color w:val="000000"/>
          <w:lang w:val="en-US"/>
        </w:rPr>
      </w:pPr>
      <w:r w:rsidRPr="002125BD">
        <w:rPr>
          <w:color w:val="000000"/>
          <w:lang w:val="en-US"/>
        </w:rPr>
        <w:t>According to settled case-law, the exclusive right of reproduction forms part of the owner’s rights, so that the refusal to grant a licence, even if it is the act of an undertaking holding a dominant position, cannot in itself constitute an abuse of a dominant position</w:t>
      </w:r>
      <w:r w:rsidRPr="002125BD">
        <w:rPr>
          <w:lang w:val="en-US"/>
        </w:rPr>
        <w:t xml:space="preserve"> (</w:t>
      </w:r>
      <w:r w:rsidRPr="002125BD">
        <w:rPr>
          <w:i/>
          <w:lang w:val="en-US"/>
        </w:rPr>
        <w:t>IMS Health</w:t>
      </w:r>
      <w:r w:rsidRPr="002125BD">
        <w:rPr>
          <w:lang w:val="en-US"/>
        </w:rPr>
        <w:t xml:space="preserve"> judgment, </w:t>
      </w:r>
      <w:r>
        <w:rPr>
          <w:lang w:val="en-US"/>
        </w:rPr>
        <w:t>para</w:t>
      </w:r>
      <w:r w:rsidRPr="002125BD">
        <w:rPr>
          <w:lang w:val="en-US"/>
        </w:rPr>
        <w:t xml:space="preserve"> 34)</w:t>
      </w:r>
      <w:r w:rsidRPr="002125BD">
        <w:rPr>
          <w:color w:val="000000"/>
          <w:lang w:val="en-US"/>
        </w:rPr>
        <w:t>.</w:t>
      </w:r>
    </w:p>
    <w:p w14:paraId="54B01821" w14:textId="386154A9" w:rsidR="005C0DC6" w:rsidRDefault="005C0DC6" w:rsidP="00B24620">
      <w:pPr>
        <w:pStyle w:val="FootnoteText"/>
        <w:ind w:left="426"/>
        <w:jc w:val="both"/>
        <w:rPr>
          <w:lang w:val="en-US"/>
        </w:rPr>
      </w:pPr>
      <w:r w:rsidRPr="002125BD">
        <w:rPr>
          <w:lang w:val="en-US"/>
        </w:rPr>
        <w:t>For similar findings under US antitrust law, see Leslie</w:t>
      </w:r>
      <w:r>
        <w:rPr>
          <w:lang w:val="en-US"/>
        </w:rPr>
        <w:t>’s</w:t>
      </w:r>
      <w:r w:rsidRPr="002125BD">
        <w:rPr>
          <w:lang w:val="en-US"/>
        </w:rPr>
        <w:t xml:space="preserve"> (n</w:t>
      </w:r>
      <w:r>
        <w:rPr>
          <w:lang w:val="en-US"/>
        </w:rPr>
        <w:t xml:space="preserve"> 435</w:t>
      </w:r>
      <w:r w:rsidRPr="002125BD">
        <w:rPr>
          <w:lang w:val="en-US"/>
        </w:rPr>
        <w:t>) 167-176, reading</w:t>
      </w:r>
      <w:r>
        <w:rPr>
          <w:lang w:val="en-US"/>
        </w:rPr>
        <w:t>;</w:t>
      </w:r>
    </w:p>
    <w:p w14:paraId="710CDE1F" w14:textId="08F9B343" w:rsidR="005C0DC6" w:rsidRPr="002125BD" w:rsidRDefault="005C0DC6" w:rsidP="00F808C8">
      <w:pPr>
        <w:pStyle w:val="FootnoteText"/>
        <w:ind w:left="992" w:right="567"/>
        <w:jc w:val="both"/>
        <w:rPr>
          <w:lang w:val="en-US"/>
        </w:rPr>
      </w:pPr>
      <w:r>
        <w:rPr>
          <w:lang w:val="en-US"/>
        </w:rPr>
        <w:t>W</w:t>
      </w:r>
      <w:r w:rsidRPr="002125BD">
        <w:rPr>
          <w:lang w:val="en-US"/>
        </w:rPr>
        <w:t xml:space="preserve">hile exclusionary conduct can include a monopolist’s unilateral refusal to license a copyright, an author’s desire to exclude others from use of </w:t>
      </w:r>
      <w:r>
        <w:rPr>
          <w:lang w:val="en-US"/>
        </w:rPr>
        <w:t xml:space="preserve">their </w:t>
      </w:r>
      <w:r w:rsidRPr="002125BD">
        <w:rPr>
          <w:lang w:val="en-US"/>
        </w:rPr>
        <w:t>copyrighted work is a presumptively valid business justification for any immediate harm to consumers (Leslie (n</w:t>
      </w:r>
      <w:r>
        <w:rPr>
          <w:lang w:val="en-US"/>
        </w:rPr>
        <w:t xml:space="preserve"> 435</w:t>
      </w:r>
      <w:r w:rsidRPr="002125BD">
        <w:rPr>
          <w:lang w:val="en-US"/>
        </w:rPr>
        <w:t>)</w:t>
      </w:r>
      <w:r>
        <w:rPr>
          <w:lang w:val="en-US"/>
        </w:rPr>
        <w:t xml:space="preserve"> 175). </w:t>
      </w:r>
      <w:r w:rsidRPr="002125BD">
        <w:rPr>
          <w:lang w:val="en-US"/>
        </w:rPr>
        <w:t xml:space="preserve">As well, this fact is upheld both in </w:t>
      </w:r>
      <w:r>
        <w:rPr>
          <w:lang w:val="en-US"/>
        </w:rPr>
        <w:t xml:space="preserve">the </w:t>
      </w:r>
      <w:r w:rsidRPr="002125BD">
        <w:rPr>
          <w:i/>
          <w:lang w:val="en-US"/>
        </w:rPr>
        <w:t>Magill</w:t>
      </w:r>
      <w:r w:rsidRPr="002125BD">
        <w:rPr>
          <w:lang w:val="en-US"/>
        </w:rPr>
        <w:t xml:space="preserve"> and </w:t>
      </w:r>
      <w:r w:rsidRPr="002125BD">
        <w:rPr>
          <w:i/>
          <w:lang w:val="en-US"/>
        </w:rPr>
        <w:t>Volvo</w:t>
      </w:r>
      <w:r w:rsidRPr="002125BD">
        <w:rPr>
          <w:lang w:val="en-US"/>
        </w:rPr>
        <w:t xml:space="preserve"> judgments (</w:t>
      </w:r>
      <w:r w:rsidRPr="002125BD">
        <w:rPr>
          <w:i/>
          <w:lang w:val="en-US"/>
        </w:rPr>
        <w:t>Magill</w:t>
      </w:r>
      <w:r w:rsidRPr="002125BD">
        <w:rPr>
          <w:lang w:val="en-US"/>
        </w:rPr>
        <w:t xml:space="preserve"> judgment, </w:t>
      </w:r>
      <w:r>
        <w:rPr>
          <w:lang w:val="en-US"/>
        </w:rPr>
        <w:t>para</w:t>
      </w:r>
      <w:r w:rsidRPr="002125BD">
        <w:rPr>
          <w:lang w:val="en-US"/>
        </w:rPr>
        <w:t xml:space="preserve"> 49; </w:t>
      </w:r>
      <w:r w:rsidRPr="002125BD">
        <w:rPr>
          <w:i/>
        </w:rPr>
        <w:t>Volvo</w:t>
      </w:r>
      <w:r w:rsidRPr="002125BD">
        <w:t xml:space="preserve"> judgment</w:t>
      </w:r>
      <w:r w:rsidRPr="002125BD">
        <w:rPr>
          <w:lang w:val="en-US"/>
        </w:rPr>
        <w:t xml:space="preserve">, </w:t>
      </w:r>
      <w:r>
        <w:rPr>
          <w:lang w:val="en-US"/>
        </w:rPr>
        <w:t>para</w:t>
      </w:r>
      <w:r w:rsidRPr="002125BD">
        <w:rPr>
          <w:lang w:val="en-US"/>
        </w:rPr>
        <w:t xml:space="preserve"> 8). </w:t>
      </w:r>
      <w:r w:rsidRPr="002125BD">
        <w:rPr>
          <w:color w:val="000000"/>
          <w:lang w:val="en-US"/>
        </w:rPr>
        <w:t xml:space="preserve"> </w:t>
      </w:r>
      <w:r w:rsidRPr="002125BD">
        <w:rPr>
          <w:color w:val="000000"/>
        </w:rPr>
        <w:t xml:space="preserve"> </w:t>
      </w:r>
      <w:r w:rsidRPr="002125BD">
        <w:t xml:space="preserve"> </w:t>
      </w:r>
      <w:r w:rsidRPr="002125BD">
        <w:rPr>
          <w:color w:val="000000"/>
        </w:rPr>
        <w:t xml:space="preserve"> </w:t>
      </w:r>
      <w:r w:rsidRPr="002125BD">
        <w:t xml:space="preserve"> </w:t>
      </w:r>
    </w:p>
  </w:footnote>
  <w:footnote w:id="483">
    <w:p w14:paraId="15B23DC1" w14:textId="6E5EB8F9"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Eagles and Longdin</w:t>
      </w:r>
      <w:r>
        <w:t xml:space="preserve"> (n 266)</w:t>
      </w:r>
      <w:r w:rsidRPr="002125BD">
        <w:t xml:space="preserve"> 161.</w:t>
      </w:r>
    </w:p>
  </w:footnote>
  <w:footnote w:id="484">
    <w:p w14:paraId="71F7DD91" w14:textId="5305073F"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Magill </w:t>
      </w:r>
      <w:r w:rsidRPr="002125BD">
        <w:rPr>
          <w:i/>
        </w:rPr>
        <w:t>judgement</w:t>
      </w:r>
      <w:r w:rsidRPr="002125BD">
        <w:t xml:space="preserve">, </w:t>
      </w:r>
      <w:r>
        <w:t>paras</w:t>
      </w:r>
      <w:r w:rsidRPr="002125BD">
        <w:t xml:space="preserve"> 54-56.</w:t>
      </w:r>
      <w:r w:rsidRPr="002125BD">
        <w:rPr>
          <w:lang w:val="tr-TR"/>
        </w:rPr>
        <w:t xml:space="preserve"> It is argued that by approving the holding of the </w:t>
      </w:r>
      <w:r>
        <w:rPr>
          <w:lang w:val="tr-TR"/>
        </w:rPr>
        <w:t xml:space="preserve">GC </w:t>
      </w:r>
      <w:r w:rsidRPr="002125BD">
        <w:rPr>
          <w:lang w:val="tr-TR"/>
        </w:rPr>
        <w:t xml:space="preserve">on this point, </w:t>
      </w:r>
      <w:r>
        <w:rPr>
          <w:lang w:val="tr-TR"/>
        </w:rPr>
        <w:t xml:space="preserve">the </w:t>
      </w:r>
      <w:r w:rsidRPr="002125BD">
        <w:rPr>
          <w:lang w:val="tr-TR"/>
        </w:rPr>
        <w:t>C</w:t>
      </w:r>
      <w:r>
        <w:rPr>
          <w:lang w:val="tr-TR"/>
        </w:rPr>
        <w:t>o</w:t>
      </w:r>
      <w:r w:rsidRPr="002125BD">
        <w:rPr>
          <w:lang w:val="tr-TR"/>
        </w:rPr>
        <w:t xml:space="preserve">J has effectively endorsed the basis of the ‘essential facilities’ doctrine promoted by the Commission, albeit under certain conditions (Anderman </w:t>
      </w:r>
      <w:r>
        <w:rPr>
          <w:lang w:val="tr-TR"/>
        </w:rPr>
        <w:t xml:space="preserve">and Schmidt </w:t>
      </w:r>
      <w:r w:rsidRPr="002125BD">
        <w:rPr>
          <w:lang w:val="tr-TR"/>
        </w:rPr>
        <w:t xml:space="preserve">(n </w:t>
      </w:r>
      <w:r>
        <w:rPr>
          <w:lang w:val="tr-TR"/>
        </w:rPr>
        <w:t>426</w:t>
      </w:r>
      <w:r w:rsidRPr="002125BD">
        <w:rPr>
          <w:lang w:val="tr-TR"/>
        </w:rPr>
        <w:t>) 209).</w:t>
      </w:r>
    </w:p>
  </w:footnote>
  <w:footnote w:id="485">
    <w:p w14:paraId="4CFBF651" w14:textId="561EE826"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The last reason in</w:t>
      </w:r>
      <w:r>
        <w:t xml:space="preserve"> the</w:t>
      </w:r>
      <w:r w:rsidRPr="002125BD">
        <w:t xml:space="preserve"> </w:t>
      </w:r>
      <w:r w:rsidRPr="002125BD">
        <w:rPr>
          <w:i/>
        </w:rPr>
        <w:t>Magill</w:t>
      </w:r>
      <w:r w:rsidRPr="002125BD">
        <w:t xml:space="preserve"> ruling not only underlines ‘elimination of all competition’ in the downstream market but also points out that in order for a ‘refusal to license’ to be considered abusive, the IPR-protected facility to which access was denied should be an ‘indispensable’ input for carrying out an activity in the downstream market.</w:t>
      </w:r>
    </w:p>
  </w:footnote>
  <w:footnote w:id="486">
    <w:p w14:paraId="792557F7" w14:textId="7ABCEF8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iCs/>
        </w:rPr>
        <w:t xml:space="preserve">Tiercé Ladbroke </w:t>
      </w:r>
      <w:r>
        <w:t xml:space="preserve">judgement, para </w:t>
      </w:r>
      <w:r w:rsidRPr="002125BD">
        <w:t>309.</w:t>
      </w:r>
    </w:p>
  </w:footnote>
  <w:footnote w:id="487">
    <w:p w14:paraId="28AC9711" w14:textId="3D3D8281"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t xml:space="preserve">Such </w:t>
      </w:r>
      <w:r>
        <w:t xml:space="preserve">a </w:t>
      </w:r>
      <w:r w:rsidRPr="002125BD">
        <w:t xml:space="preserve">database was </w:t>
      </w:r>
      <w:r w:rsidRPr="002125BD">
        <w:rPr>
          <w:lang w:val="tr-TR"/>
        </w:rPr>
        <w:t xml:space="preserve">called </w:t>
      </w:r>
      <w:r>
        <w:rPr>
          <w:lang w:val="tr-TR"/>
        </w:rPr>
        <w:t xml:space="preserve">an </w:t>
      </w:r>
      <w:r w:rsidRPr="002125BD">
        <w:rPr>
          <w:lang w:val="tr-TR"/>
        </w:rPr>
        <w:t xml:space="preserve">1860 ‘brick structure’ containing information gathered from pharmacies located in 1860 different geographical areas all over Germany. </w:t>
      </w:r>
    </w:p>
  </w:footnote>
  <w:footnote w:id="488">
    <w:p w14:paraId="002C363B" w14:textId="7BC469E6"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In finding abuse, </w:t>
      </w:r>
      <w:r>
        <w:t xml:space="preserve">the </w:t>
      </w:r>
      <w:r w:rsidRPr="002125BD">
        <w:t xml:space="preserve">Commission interpreted the ‘exceptional circumstances’ of </w:t>
      </w:r>
      <w:r w:rsidRPr="002125BD">
        <w:rPr>
          <w:i/>
        </w:rPr>
        <w:t>Magill</w:t>
      </w:r>
      <w:r w:rsidRPr="002125BD">
        <w:t xml:space="preserve"> as </w:t>
      </w:r>
      <w:r w:rsidRPr="002125BD">
        <w:rPr>
          <w:i/>
        </w:rPr>
        <w:t>alternative</w:t>
      </w:r>
      <w:r w:rsidRPr="002125BD">
        <w:t xml:space="preserve"> (not cumulative) sets of conditions (Commission Decision 2002/165/EC, 2002 O.J. (L 59) 18 relating to a proceeding pursuant to Article 82 of the EC Treaty (Case COMP D3/38.044-NDC Health/IMS: Interim Measure, para 180)</w:t>
      </w:r>
      <w:r>
        <w:t>)</w:t>
      </w:r>
      <w:r w:rsidRPr="002125BD">
        <w:t>.</w:t>
      </w:r>
    </w:p>
  </w:footnote>
  <w:footnote w:id="489">
    <w:p w14:paraId="3B291AC0" w14:textId="391F90FE"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Case C-184/01 R, </w:t>
      </w:r>
      <w:r w:rsidRPr="002125BD">
        <w:rPr>
          <w:i/>
        </w:rPr>
        <w:t xml:space="preserve">IMS Health </w:t>
      </w:r>
      <w:r w:rsidRPr="002125BD">
        <w:t>v.</w:t>
      </w:r>
      <w:r w:rsidRPr="002125BD">
        <w:rPr>
          <w:i/>
        </w:rPr>
        <w:t xml:space="preserve"> Commission</w:t>
      </w:r>
      <w:r w:rsidRPr="002125BD">
        <w:t xml:space="preserve"> </w:t>
      </w:r>
      <w:r w:rsidRPr="002125BD">
        <w:sym w:font="Symbol" w:char="F05B"/>
      </w:r>
      <w:r w:rsidRPr="002125BD">
        <w:t>2001</w:t>
      </w:r>
      <w:r w:rsidRPr="002125BD">
        <w:sym w:font="Symbol" w:char="F05D"/>
      </w:r>
      <w:r w:rsidRPr="002125BD">
        <w:t xml:space="preserve"> ECR II-3193, </w:t>
      </w:r>
      <w:r w:rsidRPr="002125BD">
        <w:sym w:font="Symbol" w:char="F05B"/>
      </w:r>
      <w:r w:rsidRPr="002125BD">
        <w:t>2002</w:t>
      </w:r>
      <w:r w:rsidRPr="002125BD">
        <w:sym w:font="Symbol" w:char="F05D"/>
      </w:r>
      <w:r w:rsidRPr="002125BD">
        <w:t xml:space="preserve"> 4 CMLR 58 (</w:t>
      </w:r>
      <w:smartTag w:uri="urn:schemas-microsoft-com:office:smarttags" w:element="date">
        <w:smartTagPr>
          <w:attr w:name="Month" w:val="10"/>
          <w:attr w:name="Day" w:val="26"/>
          <w:attr w:name="Year" w:val="2001"/>
        </w:smartTagPr>
        <w:r w:rsidRPr="002125BD">
          <w:t>26 October 2001</w:t>
        </w:r>
      </w:smartTag>
      <w:r w:rsidRPr="002125BD">
        <w:t xml:space="preserve">). On </w:t>
      </w:r>
      <w:r>
        <w:t>a</w:t>
      </w:r>
      <w:r w:rsidRPr="002125BD">
        <w:t xml:space="preserve">ppeal, </w:t>
      </w:r>
      <w:r>
        <w:t xml:space="preserve">the </w:t>
      </w:r>
      <w:r w:rsidRPr="002125BD">
        <w:t>C</w:t>
      </w:r>
      <w:r>
        <w:t>o</w:t>
      </w:r>
      <w:r w:rsidRPr="002125BD">
        <w:t xml:space="preserve">J upheld the suspension of </w:t>
      </w:r>
      <w:r>
        <w:t>the GC</w:t>
      </w:r>
      <w:r w:rsidRPr="002125BD">
        <w:t xml:space="preserve"> (See Case C-481/01 P(R), </w:t>
      </w:r>
      <w:r w:rsidRPr="002125BD">
        <w:rPr>
          <w:i/>
        </w:rPr>
        <w:t xml:space="preserve">IMS Health </w:t>
      </w:r>
      <w:r w:rsidRPr="002125BD">
        <w:t>v.</w:t>
      </w:r>
      <w:r w:rsidRPr="002125BD">
        <w:rPr>
          <w:i/>
        </w:rPr>
        <w:t xml:space="preserve"> Commission</w:t>
      </w:r>
      <w:r w:rsidRPr="002125BD">
        <w:t xml:space="preserve"> </w:t>
      </w:r>
      <w:r w:rsidRPr="002125BD">
        <w:sym w:font="Symbol" w:char="F05B"/>
      </w:r>
      <w:r w:rsidRPr="002125BD">
        <w:t>2002</w:t>
      </w:r>
      <w:r w:rsidRPr="002125BD">
        <w:sym w:font="Symbol" w:char="F05D"/>
      </w:r>
      <w:r w:rsidRPr="002125BD">
        <w:t xml:space="preserve"> ECR I-3401, </w:t>
      </w:r>
      <w:r w:rsidRPr="002125BD">
        <w:sym w:font="Symbol" w:char="F05B"/>
      </w:r>
      <w:r w:rsidRPr="002125BD">
        <w:t>2002</w:t>
      </w:r>
      <w:r w:rsidRPr="002125BD">
        <w:sym w:font="Symbol" w:char="F05D"/>
      </w:r>
      <w:r w:rsidRPr="002125BD">
        <w:t xml:space="preserve"> 5 CMLR 44</w:t>
      </w:r>
      <w:r>
        <w:t>)</w:t>
      </w:r>
      <w:r w:rsidRPr="002125BD">
        <w:t xml:space="preserve"> (</w:t>
      </w:r>
      <w:smartTag w:uri="urn:schemas-microsoft-com:office:smarttags" w:element="date">
        <w:smartTagPr>
          <w:attr w:name="Month" w:val="4"/>
          <w:attr w:name="Day" w:val="11"/>
          <w:attr w:name="Year" w:val="2002"/>
        </w:smartTagPr>
        <w:r w:rsidRPr="002125BD">
          <w:t>11 April 2002</w:t>
        </w:r>
      </w:smartTag>
      <w:r w:rsidRPr="002125BD">
        <w:t>).</w:t>
      </w:r>
    </w:p>
  </w:footnote>
  <w:footnote w:id="490">
    <w:p w14:paraId="32F3FCC3" w14:textId="0B0A449B"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IMS Health</w:t>
      </w:r>
      <w:r w:rsidRPr="002125BD">
        <w:t xml:space="preserve"> judgement, </w:t>
      </w:r>
      <w:r>
        <w:t>para</w:t>
      </w:r>
      <w:r w:rsidRPr="002125BD">
        <w:t xml:space="preserve"> 52.</w:t>
      </w:r>
    </w:p>
  </w:footnote>
  <w:footnote w:id="491">
    <w:p w14:paraId="553491DD" w14:textId="23F6AA1A"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rPr>
          <w:i/>
        </w:rPr>
        <w:t>IMS Health</w:t>
      </w:r>
      <w:r w:rsidRPr="002125BD">
        <w:t xml:space="preserve"> judgement, </w:t>
      </w:r>
      <w:r>
        <w:t>para</w:t>
      </w:r>
      <w:r w:rsidRPr="002125BD">
        <w:t xml:space="preserve"> 38.</w:t>
      </w:r>
    </w:p>
  </w:footnote>
  <w:footnote w:id="492">
    <w:p w14:paraId="5CCCC0FF" w14:textId="6B253308"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t xml:space="preserve">Steve D. </w:t>
      </w:r>
      <w:r w:rsidRPr="002125BD">
        <w:rPr>
          <w:lang w:val="tr-TR"/>
        </w:rPr>
        <w:t>Anderman</w:t>
      </w:r>
      <w:r>
        <w:rPr>
          <w:lang w:val="tr-TR"/>
        </w:rPr>
        <w:t xml:space="preserve"> </w:t>
      </w:r>
      <w:r w:rsidRPr="002125BD">
        <w:rPr>
          <w:lang w:val="tr-TR"/>
        </w:rPr>
        <w:t xml:space="preserve">and </w:t>
      </w:r>
      <w:r>
        <w:rPr>
          <w:lang w:val="tr-TR"/>
        </w:rPr>
        <w:t>John Kallaugher</w:t>
      </w:r>
      <w:r w:rsidRPr="002125BD">
        <w:rPr>
          <w:lang w:val="tr-TR"/>
        </w:rPr>
        <w:t xml:space="preserve">, </w:t>
      </w:r>
      <w:r w:rsidRPr="002125BD">
        <w:rPr>
          <w:i/>
          <w:lang w:val="tr-TR"/>
        </w:rPr>
        <w:t>Techonol</w:t>
      </w:r>
      <w:r>
        <w:rPr>
          <w:i/>
          <w:lang w:val="tr-TR"/>
        </w:rPr>
        <w:t>o</w:t>
      </w:r>
      <w:r w:rsidRPr="002125BD">
        <w:rPr>
          <w:i/>
          <w:lang w:val="tr-TR"/>
        </w:rPr>
        <w:t>gy Transfer and The New EU Competition Rules</w:t>
      </w:r>
      <w:r>
        <w:rPr>
          <w:i/>
          <w:lang w:val="tr-TR"/>
        </w:rPr>
        <w:t xml:space="preserve"> </w:t>
      </w:r>
      <w:r w:rsidRPr="002125BD">
        <w:rPr>
          <w:i/>
          <w:lang w:val="tr-TR"/>
        </w:rPr>
        <w:t>-</w:t>
      </w:r>
      <w:r>
        <w:rPr>
          <w:i/>
          <w:lang w:val="tr-TR"/>
        </w:rPr>
        <w:t xml:space="preserve"> </w:t>
      </w:r>
      <w:r w:rsidRPr="002125BD">
        <w:rPr>
          <w:i/>
          <w:lang w:val="tr-TR"/>
        </w:rPr>
        <w:t>Intellectual Property Licensing after Modernisation</w:t>
      </w:r>
      <w:r w:rsidRPr="002125BD">
        <w:rPr>
          <w:lang w:val="tr-TR"/>
        </w:rPr>
        <w:t xml:space="preserve"> (OUP 2006) 286.</w:t>
      </w:r>
    </w:p>
  </w:footnote>
  <w:footnote w:id="493">
    <w:p w14:paraId="3614DE30" w14:textId="354E519C" w:rsidR="005C0DC6" w:rsidRDefault="005C0DC6" w:rsidP="00A70042">
      <w:pPr>
        <w:pStyle w:val="FootnoteText"/>
        <w:ind w:left="426" w:hanging="426"/>
        <w:jc w:val="both"/>
      </w:pPr>
      <w:r>
        <w:rPr>
          <w:rStyle w:val="FootnoteReference"/>
        </w:rPr>
        <w:footnoteRef/>
      </w:r>
      <w:r>
        <w:t xml:space="preserve"> </w:t>
      </w:r>
      <w:r>
        <w:tab/>
      </w:r>
      <w:r w:rsidRPr="00675E24">
        <w:t>Notably, the CoJ establishes that, “… for the purposes of the application of the earlier case-law, it is sufficient that</w:t>
      </w:r>
      <w:r>
        <w:t xml:space="preserve"> a potential market, or even hypothetical market, can be identified” (</w:t>
      </w:r>
      <w:r w:rsidRPr="000144B7">
        <w:rPr>
          <w:i/>
          <w:iCs/>
        </w:rPr>
        <w:t>IMS Health</w:t>
      </w:r>
      <w:r>
        <w:t xml:space="preserve"> </w:t>
      </w:r>
      <w:r w:rsidRPr="000144B7">
        <w:t xml:space="preserve">judgement, </w:t>
      </w:r>
      <w:r>
        <w:t>para</w:t>
      </w:r>
      <w:r w:rsidRPr="000144B7">
        <w:t xml:space="preserve"> 44</w:t>
      </w:r>
      <w:r>
        <w:t>).</w:t>
      </w:r>
    </w:p>
  </w:footnote>
  <w:footnote w:id="494">
    <w:p w14:paraId="599CB253" w14:textId="2B745ADA"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Case No IV/29.479 – IBM [1984].</w:t>
      </w:r>
    </w:p>
  </w:footnote>
  <w:footnote w:id="495">
    <w:p w14:paraId="6B7200A7" w14:textId="29CE35C3" w:rsidR="005C0DC6" w:rsidRPr="002125BD" w:rsidRDefault="005C0DC6" w:rsidP="00A70042">
      <w:pPr>
        <w:pStyle w:val="FootnoteText"/>
        <w:ind w:left="426" w:hanging="426"/>
        <w:jc w:val="both"/>
      </w:pPr>
      <w:r w:rsidRPr="002125BD">
        <w:rPr>
          <w:rStyle w:val="FootnoteReference"/>
        </w:rPr>
        <w:footnoteRef/>
      </w:r>
      <w:r w:rsidRPr="002125BD">
        <w:t xml:space="preserve"> </w:t>
      </w:r>
      <w:r>
        <w:tab/>
        <w:t xml:space="preserve">The </w:t>
      </w:r>
      <w:r w:rsidRPr="002125BD">
        <w:t>Commission alleged that IBM held a dominant position in the Member States at that time for the supply of the key products for its most powerful range of computers, the IBM System/370, and had abused that position contrary to Article 86 (ex-102), which in addition to the refusal to supply interface information</w:t>
      </w:r>
      <w:r>
        <w:t>,</w:t>
      </w:r>
      <w:r w:rsidRPr="002125BD">
        <w:t xml:space="preserve"> consisted of the following:</w:t>
      </w:r>
    </w:p>
    <w:p w14:paraId="0F8FF318" w14:textId="77777777" w:rsidR="005C0DC6" w:rsidRPr="002125BD" w:rsidRDefault="005C0DC6" w:rsidP="00A70042">
      <w:pPr>
        <w:pStyle w:val="FootnoteText"/>
        <w:numPr>
          <w:ilvl w:val="0"/>
          <w:numId w:val="11"/>
        </w:numPr>
        <w:ind w:left="851" w:hanging="426"/>
        <w:jc w:val="both"/>
      </w:pPr>
      <w:r w:rsidRPr="002125BD">
        <w:t>not offering System/370 central processing units (“CPUs”) without a capacity f</w:t>
      </w:r>
      <w:r>
        <w:t>or</w:t>
      </w:r>
      <w:r w:rsidRPr="002125BD">
        <w:t xml:space="preserve"> main memory included in the price (“memory bundling”)</w:t>
      </w:r>
    </w:p>
    <w:p w14:paraId="206D8CE7" w14:textId="77777777" w:rsidR="005C0DC6" w:rsidRPr="002125BD" w:rsidRDefault="005C0DC6" w:rsidP="00A70042">
      <w:pPr>
        <w:pStyle w:val="FootnoteText"/>
        <w:numPr>
          <w:ilvl w:val="0"/>
          <w:numId w:val="11"/>
        </w:numPr>
        <w:ind w:left="851" w:hanging="426"/>
        <w:jc w:val="both"/>
      </w:pPr>
      <w:r w:rsidRPr="002125BD">
        <w:t>not offering System/370 CPUs without the basic software included in the price (“software bundling”), and</w:t>
      </w:r>
    </w:p>
    <w:p w14:paraId="25C341B4" w14:textId="02F3DBA6" w:rsidR="005C0DC6" w:rsidRPr="002125BD" w:rsidRDefault="005C0DC6" w:rsidP="00A70042">
      <w:pPr>
        <w:pStyle w:val="FootnoteText"/>
        <w:numPr>
          <w:ilvl w:val="0"/>
          <w:numId w:val="11"/>
        </w:numPr>
        <w:ind w:left="851" w:hanging="426"/>
        <w:jc w:val="both"/>
      </w:pPr>
      <w:r w:rsidRPr="002125BD">
        <w:t>discriminating between users of IBM software in refusing to supply certain software installation services (“Installation Productivity Options” = IPOs) to users of non-IBM CPUs. (</w:t>
      </w:r>
      <w:r>
        <w:t>See</w:t>
      </w:r>
      <w:r w:rsidRPr="002125BD">
        <w:t xml:space="preserve"> </w:t>
      </w:r>
      <w:r>
        <w:t>EC Competition Policy Newsletter, 1998, No. 3, ˂</w:t>
      </w:r>
      <w:r w:rsidRPr="00FD7EFB">
        <w:t>http://ec.europa.eu./competition/publications/cpn/cpn19983.pdf</w:t>
      </w:r>
      <w:r>
        <w:t>˃ accessed 9 October 2020</w:t>
      </w:r>
      <w:r w:rsidRPr="002125BD">
        <w:t>)</w:t>
      </w:r>
      <w:r>
        <w:t>.</w:t>
      </w:r>
    </w:p>
  </w:footnote>
  <w:footnote w:id="496">
    <w:p w14:paraId="4EBC4A51" w14:textId="2E13D129"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Ibid.</w:t>
      </w:r>
    </w:p>
  </w:footnote>
  <w:footnote w:id="497">
    <w:p w14:paraId="287BDA8C" w14:textId="4D50C712"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Ibid.</w:t>
      </w:r>
    </w:p>
  </w:footnote>
  <w:footnote w:id="498">
    <w:p w14:paraId="327BED86" w14:textId="2EF1D37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While both Microsoft’s refusal to supply interoperability information and tying</w:t>
      </w:r>
      <w:r>
        <w:t xml:space="preserve"> the</w:t>
      </w:r>
      <w:r w:rsidRPr="002125BD">
        <w:t xml:space="preserve"> purchase of Windows OS with that of Windows Media Player was at issue, this </w:t>
      </w:r>
      <w:r>
        <w:t xml:space="preserve">thesis </w:t>
      </w:r>
      <w:r w:rsidRPr="002125BD">
        <w:t>focuses on the former practice within the meaning of Article 102.</w:t>
      </w:r>
    </w:p>
  </w:footnote>
  <w:footnote w:id="499">
    <w:p w14:paraId="5753FE27" w14:textId="63E8B9A6" w:rsidR="005C0DC6" w:rsidRPr="002125BD" w:rsidRDefault="005C0DC6" w:rsidP="00A70042">
      <w:pPr>
        <w:pStyle w:val="FootnoteText"/>
        <w:ind w:left="426" w:hanging="426"/>
        <w:jc w:val="both"/>
      </w:pPr>
      <w:r w:rsidRPr="002125BD">
        <w:rPr>
          <w:rStyle w:val="FootnoteReference"/>
        </w:rPr>
        <w:footnoteRef/>
      </w:r>
      <w:r w:rsidRPr="002125BD">
        <w:t xml:space="preserve"> </w:t>
      </w:r>
      <w:r>
        <w:tab/>
        <w:t>See supra note 15</w:t>
      </w:r>
      <w:r w:rsidRPr="002125BD">
        <w:t>.</w:t>
      </w:r>
    </w:p>
  </w:footnote>
  <w:footnote w:id="500">
    <w:p w14:paraId="4C49FB27" w14:textId="6DCAC2B8"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While the direct network effects relate to the number of Windows based PC users and the value attributed to the network itself, the indirect network effects relate to the indirectly generated benefits via using the Windows OS, e.g. increase of software developers to write applications for the Microsoft Windows OS. </w:t>
      </w:r>
      <w:r>
        <w:rPr>
          <w:lang w:val="en-US"/>
        </w:rPr>
        <w:t xml:space="preserve">The </w:t>
      </w:r>
      <w:r w:rsidRPr="002125BD">
        <w:t>Commission explains the importance of the latter as follows:</w:t>
      </w:r>
    </w:p>
    <w:p w14:paraId="4D34F0F7" w14:textId="618DEB16" w:rsidR="005C0DC6" w:rsidRPr="002125BD" w:rsidRDefault="005C0DC6" w:rsidP="002759C3">
      <w:pPr>
        <w:pStyle w:val="FootnoteText"/>
        <w:ind w:left="992" w:right="567"/>
        <w:jc w:val="both"/>
        <w:rPr>
          <w:lang w:val="en-US"/>
        </w:rPr>
      </w:pPr>
      <w:r w:rsidRPr="002125BD">
        <w:rPr>
          <w:lang w:val="tr-TR"/>
        </w:rPr>
        <w:t xml:space="preserve">In essence, the dynamic between the Windows client PC operating system and the large body of applications that </w:t>
      </w:r>
      <w:r>
        <w:rPr>
          <w:lang w:val="tr-TR"/>
        </w:rPr>
        <w:t xml:space="preserve">are </w:t>
      </w:r>
      <w:r w:rsidRPr="002125BD">
        <w:rPr>
          <w:lang w:val="tr-TR"/>
        </w:rPr>
        <w:t xml:space="preserve">written to it </w:t>
      </w:r>
      <w:r>
        <w:rPr>
          <w:lang w:val="tr-TR"/>
        </w:rPr>
        <w:t xml:space="preserve">are </w:t>
      </w:r>
      <w:r w:rsidRPr="002125BD">
        <w:rPr>
          <w:i/>
          <w:lang w:val="tr-TR"/>
        </w:rPr>
        <w:t>self-reinforcing</w:t>
      </w:r>
      <w:r w:rsidRPr="002125BD">
        <w:rPr>
          <w:lang w:val="tr-TR"/>
        </w:rPr>
        <w:t xml:space="preserve">. In other words, applications developers have a </w:t>
      </w:r>
      <w:r w:rsidRPr="002125BD">
        <w:rPr>
          <w:i/>
          <w:lang w:val="tr-TR"/>
        </w:rPr>
        <w:t>compelling economic incentive</w:t>
      </w:r>
      <w:r w:rsidRPr="002125BD">
        <w:rPr>
          <w:lang w:val="tr-TR"/>
        </w:rPr>
        <w:t xml:space="preserve"> to continue writing applications for the dominant client PC operating system platform (that is to say, Windows) because they know that the potential market will be larger </w:t>
      </w:r>
      <w:r w:rsidRPr="002125BD">
        <w:rPr>
          <w:lang w:val="en-US"/>
        </w:rPr>
        <w:t xml:space="preserve">(Commission’s </w:t>
      </w:r>
      <w:r w:rsidRPr="002125BD">
        <w:rPr>
          <w:i/>
          <w:lang w:val="en-US"/>
        </w:rPr>
        <w:t>Microsoft</w:t>
      </w:r>
      <w:r w:rsidRPr="002125BD">
        <w:rPr>
          <w:lang w:val="en-US"/>
        </w:rPr>
        <w:t xml:space="preserve"> decision, </w:t>
      </w:r>
      <w:r>
        <w:rPr>
          <w:lang w:val="en-US"/>
        </w:rPr>
        <w:t>para</w:t>
      </w:r>
      <w:r w:rsidRPr="002125BD">
        <w:rPr>
          <w:lang w:val="en-US"/>
        </w:rPr>
        <w:t xml:space="preserve"> 458)</w:t>
      </w:r>
      <w:r w:rsidRPr="002125BD">
        <w:t>.</w:t>
      </w:r>
    </w:p>
  </w:footnote>
  <w:footnote w:id="501">
    <w:p w14:paraId="030D1FDB" w14:textId="169CEDF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McMahon describes </w:t>
      </w:r>
      <w:r>
        <w:t xml:space="preserve">the </w:t>
      </w:r>
      <w:r w:rsidRPr="002125BD">
        <w:t xml:space="preserve">Commission’s approach as a </w:t>
      </w:r>
      <w:r w:rsidRPr="002125BD">
        <w:rPr>
          <w:i/>
        </w:rPr>
        <w:t>structural</w:t>
      </w:r>
      <w:r w:rsidRPr="002125BD">
        <w:t xml:space="preserve"> one</w:t>
      </w:r>
      <w:r>
        <w:t>, underlining accompanying unpredictable consequences</w:t>
      </w:r>
      <w:r w:rsidRPr="002125BD">
        <w:t>. She enunciates her view as follows:</w:t>
      </w:r>
    </w:p>
    <w:p w14:paraId="298BCC28" w14:textId="603E2806" w:rsidR="005C0DC6" w:rsidRPr="002125BD" w:rsidRDefault="005C0DC6" w:rsidP="00A70042">
      <w:pPr>
        <w:pStyle w:val="FootnoteText"/>
        <w:ind w:left="851" w:right="720"/>
        <w:jc w:val="both"/>
        <w:rPr>
          <w:lang w:val="en-US"/>
        </w:rPr>
      </w:pPr>
      <w:r w:rsidRPr="002125BD">
        <w:rPr>
          <w:lang w:val="tr-TR"/>
        </w:rPr>
        <w:t>W</w:t>
      </w:r>
      <w:r w:rsidRPr="002125BD">
        <w:t>hile structure can clearly affect outcomes, a focus on this issue alone without a closer examination of the impact of conduct on consumer welfare (and efficiency) is problematic in network environments and in competition law more generally (McMahon</w:t>
      </w:r>
      <w:r>
        <w:t xml:space="preserve"> (n 16)</w:t>
      </w:r>
      <w:r w:rsidRPr="002125BD">
        <w:t xml:space="preserve"> 143).</w:t>
      </w:r>
      <w:r>
        <w:t xml:space="preserve"> </w:t>
      </w:r>
    </w:p>
  </w:footnote>
  <w:footnote w:id="502">
    <w:p w14:paraId="7323EBD4" w14:textId="1D616CB4" w:rsidR="005C0DC6" w:rsidRPr="002125BD" w:rsidRDefault="005C0DC6" w:rsidP="00A70042">
      <w:pPr>
        <w:pStyle w:val="FootnoteText"/>
        <w:ind w:left="426" w:hanging="426"/>
        <w:jc w:val="both"/>
        <w:rPr>
          <w:lang w:val="en-US"/>
        </w:rPr>
      </w:pPr>
      <w:r w:rsidRPr="002125BD">
        <w:rPr>
          <w:rStyle w:val="FootnoteReference"/>
        </w:rPr>
        <w:footnoteRef/>
      </w:r>
      <w:r w:rsidRPr="002125BD">
        <w:rPr>
          <w:lang w:val="en-US"/>
        </w:rPr>
        <w:t xml:space="preserve"> </w:t>
      </w:r>
      <w:r>
        <w:rPr>
          <w:lang w:val="en-US"/>
        </w:rPr>
        <w:tab/>
      </w:r>
      <w:r w:rsidRPr="002125BD">
        <w:rPr>
          <w:lang w:val="en-US"/>
        </w:rPr>
        <w:t>See</w:t>
      </w:r>
      <w:r>
        <w:rPr>
          <w:lang w:val="en-US"/>
        </w:rPr>
        <w:t xml:space="preserve"> the</w:t>
      </w:r>
      <w:r w:rsidRPr="002125BD">
        <w:rPr>
          <w:lang w:val="en-US"/>
        </w:rPr>
        <w:t xml:space="preserve"> Commission’s </w:t>
      </w:r>
      <w:r w:rsidRPr="002125BD">
        <w:rPr>
          <w:i/>
          <w:lang w:val="en-US"/>
        </w:rPr>
        <w:t>Microsoft</w:t>
      </w:r>
      <w:r w:rsidRPr="002125BD">
        <w:rPr>
          <w:lang w:val="en-US"/>
        </w:rPr>
        <w:t xml:space="preserve"> decision</w:t>
      </w:r>
      <w:r w:rsidRPr="002125BD">
        <w:rPr>
          <w:lang w:val="tr-TR"/>
        </w:rPr>
        <w:t xml:space="preserve">, para 524. </w:t>
      </w:r>
    </w:p>
  </w:footnote>
  <w:footnote w:id="503">
    <w:p w14:paraId="441B17EE" w14:textId="3D93FEAC"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See </w:t>
      </w:r>
      <w:r>
        <w:t xml:space="preserve">the </w:t>
      </w:r>
      <w:r w:rsidRPr="002125BD">
        <w:rPr>
          <w:lang w:val="en-US"/>
        </w:rPr>
        <w:t xml:space="preserve">Commission’s </w:t>
      </w:r>
      <w:r w:rsidRPr="002125BD">
        <w:rPr>
          <w:i/>
          <w:lang w:val="en-US"/>
        </w:rPr>
        <w:t>Microsoft</w:t>
      </w:r>
      <w:r w:rsidRPr="002125BD">
        <w:rPr>
          <w:lang w:val="en-US"/>
        </w:rPr>
        <w:t xml:space="preserve"> decision, </w:t>
      </w:r>
      <w:r>
        <w:rPr>
          <w:lang w:val="tr-TR"/>
        </w:rPr>
        <w:t>para</w:t>
      </w:r>
      <w:r w:rsidRPr="002125BD">
        <w:rPr>
          <w:lang w:val="tr-TR"/>
        </w:rPr>
        <w:t xml:space="preserve"> 546.</w:t>
      </w:r>
    </w:p>
  </w:footnote>
  <w:footnote w:id="504">
    <w:p w14:paraId="5E71DF4C" w14:textId="547F91BC"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More explicitly, Microsoft’s denial of access to the interface information was characterised as </w:t>
      </w:r>
      <w:r>
        <w:t>‘</w:t>
      </w:r>
      <w:r w:rsidRPr="002125BD">
        <w:rPr>
          <w:i/>
        </w:rPr>
        <w:t>limit[ing] the prospect for such competitors to successfully market their innovation and […] discouraging them from developing new products</w:t>
      </w:r>
      <w:r w:rsidRPr="002125BD">
        <w:rPr>
          <w:rStyle w:val="FootnoteAnchor"/>
          <w:rFonts w:eastAsiaTheme="majorEastAsia"/>
          <w:i/>
        </w:rPr>
        <w:t xml:space="preserve"> </w:t>
      </w:r>
      <w:r w:rsidRPr="002125BD">
        <w:t xml:space="preserve">and therefore </w:t>
      </w:r>
      <w:r w:rsidRPr="002125BD">
        <w:rPr>
          <w:i/>
        </w:rPr>
        <w:t>limit[ing]</w:t>
      </w:r>
      <w:r w:rsidRPr="002125BD">
        <w:t xml:space="preserve"> </w:t>
      </w:r>
      <w:r w:rsidRPr="002125BD">
        <w:rPr>
          <w:i/>
        </w:rPr>
        <w:t>technical development to the prejudice of consumers</w:t>
      </w:r>
      <w:r>
        <w:t>’.</w:t>
      </w:r>
      <w:r w:rsidRPr="002125BD">
        <w:t xml:space="preserve"> In fact, </w:t>
      </w:r>
      <w:r>
        <w:t xml:space="preserve">the </w:t>
      </w:r>
      <w:r w:rsidRPr="002125BD">
        <w:t xml:space="preserve">Commission’s analytical approach that </w:t>
      </w:r>
      <w:r>
        <w:t>radi</w:t>
      </w:r>
      <w:r w:rsidRPr="002125BD">
        <w:t>ates with establishing eliminatory risks on competitive structure</w:t>
      </w:r>
      <w:r>
        <w:t>s</w:t>
      </w:r>
      <w:r w:rsidRPr="002125BD">
        <w:t xml:space="preserve"> and focuses on their indirect effects </w:t>
      </w:r>
      <w:r>
        <w:t xml:space="preserve">regarding </w:t>
      </w:r>
      <w:r w:rsidRPr="002125BD">
        <w:t>future innovations</w:t>
      </w:r>
      <w:r>
        <w:t>,</w:t>
      </w:r>
      <w:r w:rsidRPr="002125BD">
        <w:t xml:space="preserve"> is linked to </w:t>
      </w:r>
      <w:r w:rsidRPr="002125BD">
        <w:rPr>
          <w:i/>
        </w:rPr>
        <w:t>limiting</w:t>
      </w:r>
      <w:r w:rsidRPr="002125BD">
        <w:t xml:space="preserve"> </w:t>
      </w:r>
      <w:r w:rsidRPr="002125BD">
        <w:rPr>
          <w:i/>
        </w:rPr>
        <w:t xml:space="preserve">technical development to the prejudice of consumers </w:t>
      </w:r>
      <w:r w:rsidRPr="002125BD">
        <w:t>(within the meaning of Art</w:t>
      </w:r>
      <w:r>
        <w:t>icle</w:t>
      </w:r>
      <w:r w:rsidRPr="002125BD">
        <w:t xml:space="preserve"> 102(b) </w:t>
      </w:r>
      <w:r>
        <w:t xml:space="preserve">of the </w:t>
      </w:r>
      <w:r w:rsidRPr="002125BD">
        <w:t>TFEU).</w:t>
      </w:r>
    </w:p>
  </w:footnote>
  <w:footnote w:id="505">
    <w:p w14:paraId="51905EA5" w14:textId="4F8EA75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This point of view is divulged by </w:t>
      </w:r>
      <w:r>
        <w:t xml:space="preserve">the </w:t>
      </w:r>
      <w:r w:rsidRPr="002125BD">
        <w:t>Commission as follows:</w:t>
      </w:r>
    </w:p>
    <w:p w14:paraId="2A8BB955" w14:textId="21F4D9DE" w:rsidR="005C0DC6" w:rsidRPr="002125BD" w:rsidRDefault="005C0DC6" w:rsidP="002759C3">
      <w:pPr>
        <w:pStyle w:val="FootnoteText"/>
        <w:tabs>
          <w:tab w:val="left" w:pos="7920"/>
        </w:tabs>
        <w:ind w:left="992" w:right="567"/>
        <w:jc w:val="both"/>
      </w:pPr>
      <w:r w:rsidRPr="002125BD">
        <w:rPr>
          <w:lang w:val="tr-TR"/>
        </w:rPr>
        <w:t>F</w:t>
      </w:r>
      <w:r w:rsidRPr="002125BD">
        <w:t xml:space="preserve">urthermore, it is established </w:t>
      </w:r>
      <w:r>
        <w:t xml:space="preserve">in </w:t>
      </w:r>
      <w:r w:rsidRPr="002125BD">
        <w:t>case</w:t>
      </w:r>
      <w:r>
        <w:t xml:space="preserve"> </w:t>
      </w:r>
      <w:r w:rsidRPr="002125BD">
        <w:t xml:space="preserve">law that Article 82 of the Treaty </w:t>
      </w:r>
      <w:r w:rsidRPr="002125BD">
        <w:rPr>
          <w:iCs/>
        </w:rPr>
        <w:t xml:space="preserve">covers not only abuse which may directly prejudice consumers but also abuse which </w:t>
      </w:r>
      <w:r w:rsidRPr="002125BD">
        <w:rPr>
          <w:i/>
          <w:iCs/>
        </w:rPr>
        <w:t>indirectly</w:t>
      </w:r>
      <w:r w:rsidRPr="002125BD">
        <w:rPr>
          <w:iCs/>
        </w:rPr>
        <w:t xml:space="preserve"> prejudices them by impairing the effective competitive structure as envisaged by Article 3 (f) of the Treaty</w:t>
      </w:r>
      <w:r w:rsidRPr="002125BD">
        <w:rPr>
          <w:i/>
          <w:iCs/>
        </w:rPr>
        <w:t xml:space="preserve"> </w:t>
      </w:r>
      <w:r w:rsidRPr="002125BD">
        <w:t xml:space="preserve">(Commission’s </w:t>
      </w:r>
      <w:r w:rsidRPr="002125BD">
        <w:rPr>
          <w:i/>
        </w:rPr>
        <w:t>Microsoft</w:t>
      </w:r>
      <w:r w:rsidRPr="002125BD">
        <w:t xml:space="preserve"> decision, </w:t>
      </w:r>
      <w:r>
        <w:t>para</w:t>
      </w:r>
      <w:r w:rsidRPr="002125BD">
        <w:t xml:space="preserve"> 704). </w:t>
      </w:r>
    </w:p>
    <w:p w14:paraId="4D51C01B" w14:textId="55832368" w:rsidR="005C0DC6" w:rsidRPr="002125BD" w:rsidRDefault="005C0DC6" w:rsidP="00A70042">
      <w:pPr>
        <w:spacing w:line="240" w:lineRule="auto"/>
        <w:ind w:left="426"/>
        <w:jc w:val="both"/>
        <w:rPr>
          <w:rFonts w:ascii="Times New Roman" w:hAnsi="Times New Roman" w:cs="Times New Roman"/>
          <w:sz w:val="20"/>
          <w:szCs w:val="20"/>
        </w:rPr>
      </w:pPr>
      <w:r w:rsidRPr="002125BD">
        <w:rPr>
          <w:rFonts w:ascii="Times New Roman" w:hAnsi="Times New Roman" w:cs="Times New Roman"/>
          <w:sz w:val="20"/>
          <w:szCs w:val="20"/>
        </w:rPr>
        <w:t xml:space="preserve">Also see </w:t>
      </w:r>
      <w:r>
        <w:rPr>
          <w:rFonts w:ascii="Times New Roman" w:hAnsi="Times New Roman" w:cs="Times New Roman"/>
          <w:sz w:val="20"/>
          <w:szCs w:val="20"/>
        </w:rPr>
        <w:t xml:space="preserve">the </w:t>
      </w:r>
      <w:r w:rsidRPr="002125BD">
        <w:rPr>
          <w:rFonts w:ascii="Times New Roman" w:hAnsi="Times New Roman" w:cs="Times New Roman"/>
          <w:sz w:val="20"/>
          <w:szCs w:val="20"/>
        </w:rPr>
        <w:t xml:space="preserve">GC’s </w:t>
      </w:r>
      <w:r w:rsidRPr="002125BD">
        <w:rPr>
          <w:rFonts w:ascii="Times New Roman" w:hAnsi="Times New Roman" w:cs="Times New Roman"/>
          <w:i/>
          <w:sz w:val="20"/>
          <w:szCs w:val="20"/>
        </w:rPr>
        <w:t>Microsoft</w:t>
      </w:r>
      <w:r w:rsidRPr="002125BD">
        <w:rPr>
          <w:rFonts w:ascii="Times New Roman" w:hAnsi="Times New Roman" w:cs="Times New Roman"/>
          <w:sz w:val="20"/>
          <w:szCs w:val="20"/>
        </w:rPr>
        <w:t xml:space="preserve"> judgment, </w:t>
      </w:r>
      <w:r>
        <w:rPr>
          <w:rFonts w:ascii="Times New Roman" w:hAnsi="Times New Roman" w:cs="Times New Roman"/>
          <w:sz w:val="20"/>
          <w:szCs w:val="20"/>
        </w:rPr>
        <w:t>para</w:t>
      </w:r>
      <w:r w:rsidRPr="002125BD">
        <w:rPr>
          <w:rFonts w:ascii="Times New Roman" w:hAnsi="Times New Roman" w:cs="Times New Roman"/>
          <w:sz w:val="20"/>
          <w:szCs w:val="20"/>
        </w:rPr>
        <w:t xml:space="preserve"> 643.</w:t>
      </w:r>
    </w:p>
  </w:footnote>
  <w:footnote w:id="506">
    <w:p w14:paraId="5443978F" w14:textId="04F5F320"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This approach is more visible in the abandonment of </w:t>
      </w:r>
      <w:r>
        <w:t xml:space="preserve">the </w:t>
      </w:r>
      <w:r w:rsidRPr="002125BD">
        <w:t>‘new product test’</w:t>
      </w:r>
      <w:r>
        <w:t>,</w:t>
      </w:r>
      <w:r w:rsidRPr="002125BD">
        <w:t xml:space="preserve"> if not fully</w:t>
      </w:r>
      <w:r>
        <w:t>,</w:t>
      </w:r>
      <w:r w:rsidRPr="002125BD">
        <w:t xml:space="preserve"> but within the context of </w:t>
      </w:r>
      <w:r w:rsidRPr="002125BD">
        <w:rPr>
          <w:i/>
        </w:rPr>
        <w:t>Microsoft</w:t>
      </w:r>
      <w:r w:rsidRPr="002125BD">
        <w:t>. According to the Commission</w:t>
      </w:r>
      <w:r>
        <w:t>;</w:t>
      </w:r>
    </w:p>
    <w:p w14:paraId="401A3B4A" w14:textId="63E96E22" w:rsidR="005C0DC6" w:rsidRPr="002125BD" w:rsidRDefault="005C0DC6" w:rsidP="002759C3">
      <w:pPr>
        <w:pStyle w:val="FootnoteText"/>
        <w:tabs>
          <w:tab w:val="left" w:pos="7920"/>
        </w:tabs>
        <w:ind w:left="992" w:right="567"/>
        <w:jc w:val="both"/>
      </w:pPr>
      <w:r>
        <w:t>A</w:t>
      </w:r>
      <w:r w:rsidRPr="002125BD">
        <w:t xml:space="preserve"> detailed examination of the scope of the disclosure at stake leads to the </w:t>
      </w:r>
      <w:r w:rsidRPr="00173254">
        <w:rPr>
          <w:lang w:val="tr-TR"/>
        </w:rPr>
        <w:t>conclusion</w:t>
      </w:r>
      <w:r w:rsidRPr="002125BD">
        <w:t xml:space="preserve"> that, on balance, </w:t>
      </w:r>
      <w:r w:rsidRPr="002125BD">
        <w:rPr>
          <w:i/>
        </w:rPr>
        <w:t>the possible negative impact of an order to supply on Microsoft’s incentives to innovate is outweighed by its positive impact on the level of innovation of the whole industry (including Microsoft)</w:t>
      </w:r>
      <w:r w:rsidRPr="002125BD">
        <w:t xml:space="preserve">. As such, the need to protect Microsoft’s incentives to innovate cannot constitute an </w:t>
      </w:r>
      <w:r w:rsidRPr="002125BD">
        <w:rPr>
          <w:i/>
        </w:rPr>
        <w:t>objective justification</w:t>
      </w:r>
      <w:r w:rsidRPr="002125BD">
        <w:t xml:space="preserve"> so as to offset the exceptional circumstances identified (</w:t>
      </w:r>
      <w:r w:rsidRPr="002125BD">
        <w:rPr>
          <w:lang w:val="fr-FR"/>
        </w:rPr>
        <w:t xml:space="preserve">Commission’s </w:t>
      </w:r>
      <w:r w:rsidRPr="002125BD">
        <w:rPr>
          <w:i/>
          <w:lang w:val="fr-FR"/>
        </w:rPr>
        <w:t>Microsoft</w:t>
      </w:r>
      <w:r w:rsidRPr="002125BD">
        <w:rPr>
          <w:lang w:val="fr-FR"/>
        </w:rPr>
        <w:t xml:space="preserve"> decision, </w:t>
      </w:r>
      <w:r>
        <w:rPr>
          <w:lang w:val="fr-FR"/>
        </w:rPr>
        <w:t>para</w:t>
      </w:r>
      <w:r w:rsidRPr="002125BD">
        <w:rPr>
          <w:lang w:val="fr-FR"/>
        </w:rPr>
        <w:t xml:space="preserve"> </w:t>
      </w:r>
      <w:r w:rsidRPr="002125BD">
        <w:t>783).</w:t>
      </w:r>
    </w:p>
  </w:footnote>
  <w:footnote w:id="507">
    <w:p w14:paraId="496166C4" w14:textId="6A7CB2FE"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The Commission’s view on to what extent the established rules of case</w:t>
      </w:r>
      <w:r>
        <w:t xml:space="preserve"> </w:t>
      </w:r>
      <w:r w:rsidRPr="002125BD">
        <w:t xml:space="preserve">law must be taken into account in </w:t>
      </w:r>
      <w:r>
        <w:t xml:space="preserve">the </w:t>
      </w:r>
      <w:r w:rsidRPr="002125BD">
        <w:t>decision making process could be seen in its following prescription:</w:t>
      </w:r>
    </w:p>
    <w:p w14:paraId="38B041B9" w14:textId="5AFD394C" w:rsidR="005C0DC6" w:rsidRPr="002125BD" w:rsidRDefault="005C0DC6" w:rsidP="002759C3">
      <w:pPr>
        <w:pStyle w:val="FootnoteText"/>
        <w:tabs>
          <w:tab w:val="left" w:pos="7920"/>
        </w:tabs>
        <w:ind w:left="992" w:right="567"/>
        <w:jc w:val="both"/>
      </w:pPr>
      <w:r w:rsidRPr="002125BD">
        <w:t xml:space="preserve">On a general note, there is no persuasiveness to an approach that would </w:t>
      </w:r>
      <w:r w:rsidRPr="00173254">
        <w:rPr>
          <w:lang w:val="tr-TR"/>
        </w:rPr>
        <w:t>advocate</w:t>
      </w:r>
      <w:r w:rsidRPr="002125BD">
        <w:t xml:space="preserve"> the existence of an exhaustive checklist of </w:t>
      </w:r>
      <w:r w:rsidRPr="002125BD">
        <w:rPr>
          <w:i/>
        </w:rPr>
        <w:t>exceptional circumstances</w:t>
      </w:r>
      <w:r w:rsidRPr="002125BD">
        <w:t xml:space="preserve"> and would have the Commission disregard a </w:t>
      </w:r>
      <w:r w:rsidRPr="002125BD">
        <w:rPr>
          <w:i/>
        </w:rPr>
        <w:t>limine</w:t>
      </w:r>
      <w:r w:rsidRPr="002125BD">
        <w:t xml:space="preserve"> </w:t>
      </w:r>
      <w:r>
        <w:t xml:space="preserve">and </w:t>
      </w:r>
      <w:r w:rsidRPr="002125BD">
        <w:t xml:space="preserve">other circumstances of exceptional character that may deserve to be taken into account when assessing a refusal to supply (Commission’s </w:t>
      </w:r>
      <w:r w:rsidRPr="002125BD">
        <w:rPr>
          <w:i/>
        </w:rPr>
        <w:t>Microsoft</w:t>
      </w:r>
      <w:r w:rsidRPr="002125BD">
        <w:t xml:space="preserve"> decision, </w:t>
      </w:r>
      <w:r>
        <w:t>para</w:t>
      </w:r>
      <w:r w:rsidRPr="002125BD">
        <w:t xml:space="preserve"> 555).</w:t>
      </w:r>
    </w:p>
  </w:footnote>
  <w:footnote w:id="508">
    <w:p w14:paraId="5CD62BD9" w14:textId="4CEBA618"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Commission’s </w:t>
      </w:r>
      <w:r w:rsidRPr="002125BD">
        <w:rPr>
          <w:i/>
        </w:rPr>
        <w:t>Microsoft</w:t>
      </w:r>
      <w:r w:rsidRPr="002125BD">
        <w:t xml:space="preserve"> decision,</w:t>
      </w:r>
      <w:r w:rsidRPr="002125BD">
        <w:rPr>
          <w:i/>
        </w:rPr>
        <w:t xml:space="preserve"> </w:t>
      </w:r>
      <w:r>
        <w:t>para</w:t>
      </w:r>
      <w:r w:rsidRPr="002125BD">
        <w:t xml:space="preserve"> 558. See also </w:t>
      </w:r>
      <w:r>
        <w:t xml:space="preserve">the </w:t>
      </w:r>
      <w:r w:rsidRPr="002125BD">
        <w:rPr>
          <w:lang w:val="en-US"/>
        </w:rPr>
        <w:t xml:space="preserve">GC’s </w:t>
      </w:r>
      <w:r w:rsidRPr="002125BD">
        <w:rPr>
          <w:i/>
          <w:lang w:val="en-US"/>
        </w:rPr>
        <w:t>Microsoft</w:t>
      </w:r>
      <w:r w:rsidRPr="002125BD">
        <w:rPr>
          <w:lang w:val="en-US"/>
        </w:rPr>
        <w:t xml:space="preserve"> judgment, </w:t>
      </w:r>
      <w:r>
        <w:rPr>
          <w:lang w:val="en-US"/>
        </w:rPr>
        <w:t>paras</w:t>
      </w:r>
      <w:r w:rsidRPr="002125BD">
        <w:rPr>
          <w:lang w:val="en-US"/>
        </w:rPr>
        <w:t xml:space="preserve"> </w:t>
      </w:r>
      <w:r w:rsidRPr="002125BD">
        <w:t>312-336.</w:t>
      </w:r>
    </w:p>
  </w:footnote>
  <w:footnote w:id="509">
    <w:p w14:paraId="1F5D1547" w14:textId="3629CDEF"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For similar views see Christian Ahlborn, David S. Evans and A. Jorge Padilla, </w:t>
      </w:r>
      <w:r>
        <w:t>‘</w:t>
      </w:r>
      <w:r w:rsidRPr="002125BD">
        <w:t>The Logic &amp; Limits of the “Exceptional Circumstances Test” in Magill and IMS Health</w:t>
      </w:r>
      <w:r>
        <w:t>’</w:t>
      </w:r>
      <w:r w:rsidRPr="002125BD">
        <w:t xml:space="preserve"> [2005] </w:t>
      </w:r>
      <w:r>
        <w:t xml:space="preserve">28 </w:t>
      </w:r>
      <w:r w:rsidRPr="001B2413">
        <w:t>Fordham International Law Journal</w:t>
      </w:r>
      <w:r>
        <w:t xml:space="preserve"> 1009,</w:t>
      </w:r>
      <w:r w:rsidRPr="002125BD">
        <w:t xml:space="preserve"> 1110. </w:t>
      </w:r>
    </w:p>
  </w:footnote>
  <w:footnote w:id="510">
    <w:p w14:paraId="5105F86B" w14:textId="7CCE1965"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rPr>
          <w:lang w:val="tr-TR"/>
        </w:rPr>
        <w:t xml:space="preserve">See </w:t>
      </w:r>
      <w:r>
        <w:rPr>
          <w:lang w:val="tr-TR"/>
        </w:rPr>
        <w:t xml:space="preserve">the </w:t>
      </w:r>
      <w:r w:rsidRPr="002125BD">
        <w:t xml:space="preserve">Commission’s </w:t>
      </w:r>
      <w:r w:rsidRPr="002125BD">
        <w:rPr>
          <w:i/>
        </w:rPr>
        <w:t>Microsoft</w:t>
      </w:r>
      <w:r w:rsidRPr="002125BD">
        <w:t xml:space="preserve"> decision,</w:t>
      </w:r>
      <w:r w:rsidRPr="002125BD">
        <w:rPr>
          <w:i/>
          <w:lang w:val="tr-TR"/>
        </w:rPr>
        <w:t xml:space="preserve"> </w:t>
      </w:r>
      <w:r>
        <w:t>paras</w:t>
      </w:r>
      <w:r w:rsidRPr="002125BD">
        <w:t xml:space="preserve"> </w:t>
      </w:r>
      <w:r w:rsidRPr="002125BD">
        <w:rPr>
          <w:lang w:val="en-US"/>
        </w:rPr>
        <w:t xml:space="preserve">667-691. </w:t>
      </w:r>
    </w:p>
  </w:footnote>
  <w:footnote w:id="511">
    <w:p w14:paraId="6D18007A" w14:textId="3F8BF479" w:rsidR="005C0DC6" w:rsidRPr="002125BD" w:rsidRDefault="005C0DC6" w:rsidP="00A70042">
      <w:pPr>
        <w:pStyle w:val="FootnoteText"/>
        <w:ind w:left="426" w:hanging="426"/>
        <w:jc w:val="both"/>
        <w:rPr>
          <w:lang w:val="tr-TR"/>
        </w:rPr>
      </w:pPr>
      <w:r w:rsidRPr="002125BD">
        <w:rPr>
          <w:rStyle w:val="FootnoteReference"/>
        </w:rPr>
        <w:footnoteRef/>
      </w:r>
      <w:r w:rsidRPr="002125BD">
        <w:rPr>
          <w:lang w:val="tr-TR" w:eastAsia="tr-TR"/>
        </w:rPr>
        <w:t xml:space="preserve"> </w:t>
      </w:r>
      <w:r>
        <w:rPr>
          <w:lang w:val="tr-TR" w:eastAsia="tr-TR"/>
        </w:rPr>
        <w:tab/>
      </w:r>
      <w:r w:rsidRPr="002125BD">
        <w:rPr>
          <w:lang w:val="en-US"/>
        </w:rPr>
        <w:t xml:space="preserve">GC’s </w:t>
      </w:r>
      <w:r w:rsidRPr="002125BD">
        <w:rPr>
          <w:i/>
          <w:lang w:val="en-US"/>
        </w:rPr>
        <w:t>Microsoft</w:t>
      </w:r>
      <w:r w:rsidRPr="002125BD">
        <w:rPr>
          <w:lang w:val="en-US"/>
        </w:rPr>
        <w:t xml:space="preserve"> judgment, </w:t>
      </w:r>
      <w:r>
        <w:rPr>
          <w:lang w:val="en-US"/>
        </w:rPr>
        <w:t>para</w:t>
      </w:r>
      <w:r w:rsidRPr="002125BD">
        <w:rPr>
          <w:lang w:val="en-US"/>
        </w:rPr>
        <w:t xml:space="preserve"> 390</w:t>
      </w:r>
      <w:r w:rsidRPr="002125BD">
        <w:rPr>
          <w:lang w:val="tr-TR" w:eastAsia="tr-TR"/>
        </w:rPr>
        <w:t xml:space="preserve">. </w:t>
      </w:r>
    </w:p>
  </w:footnote>
  <w:footnote w:id="512">
    <w:p w14:paraId="4CD73FD5" w14:textId="7B284551"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rPr>
          <w:lang w:val="tr-TR"/>
        </w:rPr>
        <w:t>Guidance on the Commission’s enforcement priorities in applying Article 82 of the EC Treaty to abusive exclusionary conduct by dominant undertakings, C(2009) 864 final,</w:t>
      </w:r>
      <w:r>
        <w:rPr>
          <w:lang w:val="tr-TR"/>
        </w:rPr>
        <w:t xml:space="preserve"> </w:t>
      </w:r>
      <w:r w:rsidRPr="000559DB">
        <w:rPr>
          <w:lang w:val="tr-TR"/>
        </w:rPr>
        <w:t>OJ C 45</w:t>
      </w:r>
      <w:r>
        <w:rPr>
          <w:lang w:val="tr-TR"/>
        </w:rPr>
        <w:t xml:space="preserve"> </w:t>
      </w:r>
      <w:r w:rsidRPr="002125BD">
        <w:rPr>
          <w:lang w:val="tr-TR"/>
        </w:rPr>
        <w:t>(</w:t>
      </w:r>
      <w:r>
        <w:rPr>
          <w:lang w:val="tr-TR"/>
        </w:rPr>
        <w:t>‘</w:t>
      </w:r>
      <w:r w:rsidRPr="002125BD">
        <w:rPr>
          <w:lang w:val="tr-TR"/>
        </w:rPr>
        <w:t>Commission Guidance</w:t>
      </w:r>
      <w:r>
        <w:rPr>
          <w:lang w:val="tr-TR"/>
        </w:rPr>
        <w:t>’</w:t>
      </w:r>
      <w:r w:rsidRPr="002125BD">
        <w:rPr>
          <w:lang w:val="tr-TR"/>
        </w:rPr>
        <w:t xml:space="preserve">).  </w:t>
      </w:r>
    </w:p>
  </w:footnote>
  <w:footnote w:id="513">
    <w:p w14:paraId="78B89D6D" w14:textId="4B925B47"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Eagles and Longdin (n </w:t>
      </w:r>
      <w:r>
        <w:t>266</w:t>
      </w:r>
      <w:r w:rsidRPr="002125BD">
        <w:t>) 177-178</w:t>
      </w:r>
      <w:r>
        <w:t xml:space="preserve">. </w:t>
      </w:r>
      <w:r w:rsidRPr="002125BD">
        <w:t>There are two type</w:t>
      </w:r>
      <w:r>
        <w:t>s of</w:t>
      </w:r>
      <w:r w:rsidRPr="002125BD">
        <w:t xml:space="preserve"> errors</w:t>
      </w:r>
      <w:r>
        <w:t>,</w:t>
      </w:r>
      <w:r w:rsidRPr="002125BD">
        <w:t xml:space="preserve"> false positives or negatives</w:t>
      </w:r>
      <w:r>
        <w:t>,</w:t>
      </w:r>
      <w:r w:rsidRPr="002125BD">
        <w:t xml:space="preserve"> mainly characterised by form-based approaches</w:t>
      </w:r>
      <w:r>
        <w:t>.</w:t>
      </w:r>
      <w:r w:rsidRPr="002125BD">
        <w:t xml:space="preserve"> </w:t>
      </w:r>
      <w:r>
        <w:t>T</w:t>
      </w:r>
      <w:r w:rsidRPr="002125BD">
        <w:t>ype 1 errors (false positive) and type 2 (false negative), representing over and early</w:t>
      </w:r>
      <w:r>
        <w:t>,</w:t>
      </w:r>
      <w:r w:rsidRPr="002125BD">
        <w:t xml:space="preserve"> or pre-mature</w:t>
      </w:r>
      <w:r>
        <w:t>,</w:t>
      </w:r>
      <w:r w:rsidRPr="002125BD">
        <w:t xml:space="preserve"> enforcement. Either situation (type errors) has potential to give way to social harms. While there might be instances of type 2 errors, where competition law fails to intervene despite the fact that consumer harm is very likely or has happened, the likeliness and would-be harms of type 1 errors </w:t>
      </w:r>
      <w:r>
        <w:t xml:space="preserve">are </w:t>
      </w:r>
      <w:r w:rsidRPr="002125BD">
        <w:t>found more critical in general (See P</w:t>
      </w:r>
      <w:r>
        <w:t>eter</w:t>
      </w:r>
      <w:r w:rsidRPr="002125BD">
        <w:t xml:space="preserve"> Alexiadis, ‘Forging a European Competition Policy Response to Online Platforms’ </w:t>
      </w:r>
      <w:r>
        <w:t>[</w:t>
      </w:r>
      <w:r w:rsidRPr="002125BD">
        <w:t>2017</w:t>
      </w:r>
      <w:r>
        <w:t>] 18(2)</w:t>
      </w:r>
      <w:r w:rsidRPr="002125BD">
        <w:t xml:space="preserve"> Business Law International 91, 94). </w:t>
      </w:r>
    </w:p>
  </w:footnote>
  <w:footnote w:id="514">
    <w:p w14:paraId="5D7C50A3" w14:textId="116BFAD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w:t>
      </w:r>
      <w:r>
        <w:t xml:space="preserve">the </w:t>
      </w:r>
      <w:r w:rsidRPr="002125BD">
        <w:t xml:space="preserve">Commission Guidance, </w:t>
      </w:r>
      <w:r>
        <w:t>para</w:t>
      </w:r>
      <w:r w:rsidRPr="002125BD">
        <w:t xml:space="preserve"> 23, reading as follows:</w:t>
      </w:r>
    </w:p>
    <w:p w14:paraId="052E68BE" w14:textId="2A702964" w:rsidR="005C0DC6" w:rsidRPr="002125BD" w:rsidRDefault="005C0DC6" w:rsidP="002759C3">
      <w:pPr>
        <w:pStyle w:val="FootnoteText"/>
        <w:ind w:left="992" w:right="567"/>
        <w:jc w:val="both"/>
      </w:pPr>
      <w:r w:rsidRPr="002125BD">
        <w:t>With a view to preventing anticompetitive foreclosure, the Commission will normally only intervene where the conduct concerned has already been</w:t>
      </w:r>
      <w:r>
        <w:t>,</w:t>
      </w:r>
      <w:r w:rsidRPr="002125BD">
        <w:t xml:space="preserve"> or is capable of</w:t>
      </w:r>
      <w:r>
        <w:t>,</w:t>
      </w:r>
      <w:r w:rsidRPr="002125BD">
        <w:t xml:space="preserve"> hampering competition from competitors which are considered to be as efficient as the dominant undertaking.</w:t>
      </w:r>
    </w:p>
  </w:footnote>
  <w:footnote w:id="515">
    <w:p w14:paraId="6074E73C" w14:textId="42D86DAC"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Commission Guidance, </w:t>
      </w:r>
      <w:r>
        <w:t>para</w:t>
      </w:r>
      <w:r w:rsidRPr="002125BD">
        <w:t xml:space="preserve"> 30. </w:t>
      </w:r>
    </w:p>
  </w:footnote>
  <w:footnote w:id="516">
    <w:p w14:paraId="7FD7DB0F" w14:textId="03F44278"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The paragraph </w:t>
      </w:r>
      <w:r>
        <w:t xml:space="preserve">below </w:t>
      </w:r>
      <w:r w:rsidRPr="002125BD">
        <w:t>of the Guidance illustrates to what degree the Commission will take into account efficiency-based arguments, while considering the exclusionary conducts towards inefficient</w:t>
      </w:r>
      <w:r>
        <w:t>,</w:t>
      </w:r>
      <w:r w:rsidRPr="002125BD">
        <w:t xml:space="preserve"> or less efficient</w:t>
      </w:r>
      <w:r>
        <w:t>,</w:t>
      </w:r>
      <w:r w:rsidRPr="002125BD">
        <w:t xml:space="preserve"> competitors</w:t>
      </w:r>
      <w:r>
        <w:t>:</w:t>
      </w:r>
    </w:p>
    <w:p w14:paraId="16FBCEBB" w14:textId="48FF23B2" w:rsidR="005C0DC6" w:rsidRPr="002125BD" w:rsidRDefault="005C0DC6" w:rsidP="002759C3">
      <w:pPr>
        <w:pStyle w:val="FootnoteText"/>
        <w:ind w:left="992" w:right="567"/>
        <w:jc w:val="both"/>
      </w:pPr>
      <w:r w:rsidRPr="002125BD">
        <w:t xml:space="preserve">However, the Commission recognises that in certain circumstances a less efficient competitor may also exert a constraint which should be taken into account when considering whether particular price-based conduct leads to anticompetitive foreclosure (Commission Guidance, </w:t>
      </w:r>
      <w:r>
        <w:t>para</w:t>
      </w:r>
      <w:r w:rsidRPr="002125BD">
        <w:t xml:space="preserve"> 24).</w:t>
      </w:r>
    </w:p>
    <w:p w14:paraId="55368E36" w14:textId="53B6B647" w:rsidR="005C0DC6" w:rsidRPr="002125BD" w:rsidRDefault="005C0DC6" w:rsidP="00A70042">
      <w:pPr>
        <w:pStyle w:val="FootnoteText"/>
        <w:ind w:left="426"/>
        <w:jc w:val="both"/>
        <w:rPr>
          <w:lang w:val="en-US"/>
        </w:rPr>
      </w:pPr>
      <w:r w:rsidRPr="002125BD">
        <w:t xml:space="preserve">It is argued that the Commission Guidance seeks to blur this distinction between efficient and inefficient competitors by suggesting that the assessment of inefficiency is a dynamic concept, and that a rival firm that appears inefficient today might expect to become as efficient as its dominant rival over time (Derek Ridyard, </w:t>
      </w:r>
      <w:r>
        <w:t>‘</w:t>
      </w:r>
      <w:r w:rsidRPr="002125BD">
        <w:t>The Commission’s Article 82 Guidelines: some reflections on the economic issues</w:t>
      </w:r>
      <w:r>
        <w:t>’</w:t>
      </w:r>
      <w:r w:rsidRPr="002125BD">
        <w:t xml:space="preserve"> [2009] </w:t>
      </w:r>
      <w:r>
        <w:t xml:space="preserve">30(5) </w:t>
      </w:r>
      <w:r w:rsidRPr="002125BD">
        <w:t>European Competition Law Review</w:t>
      </w:r>
      <w:r>
        <w:t xml:space="preserve"> 230</w:t>
      </w:r>
      <w:r w:rsidRPr="008939F2">
        <w:rPr>
          <w:iCs/>
        </w:rPr>
        <w:t>,</w:t>
      </w:r>
      <w:r w:rsidRPr="002125BD">
        <w:t xml:space="preserve"> 232).</w:t>
      </w:r>
    </w:p>
  </w:footnote>
  <w:footnote w:id="517">
    <w:p w14:paraId="28FA82E3" w14:textId="4CA6A70C"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t xml:space="preserve">Commission Guidance, </w:t>
      </w:r>
      <w:r>
        <w:t>paras</w:t>
      </w:r>
      <w:r w:rsidRPr="002125BD">
        <w:t xml:space="preserve"> 87-88.  </w:t>
      </w:r>
    </w:p>
  </w:footnote>
  <w:footnote w:id="518">
    <w:p w14:paraId="2D7C0D11" w14:textId="30634CB4"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t xml:space="preserve">Commission Guidance, </w:t>
      </w:r>
      <w:r>
        <w:t>para</w:t>
      </w:r>
      <w:r w:rsidRPr="002125BD">
        <w:t xml:space="preserve"> 85.  </w:t>
      </w:r>
    </w:p>
  </w:footnote>
  <w:footnote w:id="519">
    <w:p w14:paraId="0B0E0D69" w14:textId="6C826AF5"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t xml:space="preserve">See </w:t>
      </w:r>
      <w:r>
        <w:t xml:space="preserve">the </w:t>
      </w:r>
      <w:r w:rsidRPr="002125BD">
        <w:t xml:space="preserve">Commission Guidance, </w:t>
      </w:r>
      <w:r>
        <w:t>para</w:t>
      </w:r>
      <w:r w:rsidRPr="002125BD">
        <w:t xml:space="preserve"> 81. </w:t>
      </w:r>
    </w:p>
  </w:footnote>
  <w:footnote w:id="520">
    <w:p w14:paraId="35252C84" w14:textId="624E237A"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t xml:space="preserve">Commission Guidance, </w:t>
      </w:r>
      <w:r>
        <w:t>para</w:t>
      </w:r>
      <w:r w:rsidRPr="002125BD">
        <w:t xml:space="preserve"> 83.  </w:t>
      </w:r>
    </w:p>
  </w:footnote>
  <w:footnote w:id="521">
    <w:p w14:paraId="6E29A6B5" w14:textId="6AB3DD81"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t xml:space="preserve">Commission Guidance, </w:t>
      </w:r>
      <w:r>
        <w:t>para</w:t>
      </w:r>
      <w:r w:rsidRPr="002125BD">
        <w:t xml:space="preserve"> 85.  </w:t>
      </w:r>
    </w:p>
  </w:footnote>
  <w:footnote w:id="522">
    <w:p w14:paraId="4EED5707" w14:textId="11458412"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t xml:space="preserve">Commission Guidance, </w:t>
      </w:r>
      <w:r>
        <w:t>para</w:t>
      </w:r>
      <w:r w:rsidRPr="002125BD">
        <w:t xml:space="preserve"> 87.  </w:t>
      </w:r>
    </w:p>
  </w:footnote>
  <w:footnote w:id="523">
    <w:p w14:paraId="0D251FB2" w14:textId="32E850BA" w:rsidR="005C0DC6"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GC’s </w:t>
      </w:r>
      <w:r w:rsidRPr="002125BD">
        <w:rPr>
          <w:i/>
        </w:rPr>
        <w:t>Microsoft</w:t>
      </w:r>
      <w:r w:rsidRPr="002125BD">
        <w:t xml:space="preserve"> </w:t>
      </w:r>
      <w:r>
        <w:t>j</w:t>
      </w:r>
      <w:r w:rsidRPr="002125BD">
        <w:t xml:space="preserve">udgement, </w:t>
      </w:r>
      <w:r>
        <w:t>paras</w:t>
      </w:r>
      <w:r w:rsidRPr="002125BD">
        <w:t xml:space="preserve"> 696-7, reading as follows</w:t>
      </w:r>
      <w:r>
        <w:t>:</w:t>
      </w:r>
    </w:p>
    <w:p w14:paraId="02308954" w14:textId="7A0A0AFE" w:rsidR="005C0DC6" w:rsidRPr="002125BD" w:rsidRDefault="005C0DC6" w:rsidP="002759C3">
      <w:pPr>
        <w:pStyle w:val="FootnoteText"/>
        <w:ind w:left="992" w:right="567"/>
        <w:jc w:val="both"/>
      </w:pPr>
      <w:r w:rsidRPr="002125BD">
        <w:t xml:space="preserve">The Court finds that, as the Commission correctly submits, Microsoft, which bore the initial burden of proof, did not sufficiently establish that if it were required to disclose the interoperability information that </w:t>
      </w:r>
      <w:r>
        <w:t xml:space="preserve">this </w:t>
      </w:r>
      <w:r w:rsidRPr="002125BD">
        <w:t>would have a significant negative impact on its incentives to innovate</w:t>
      </w:r>
      <w:r>
        <w:t>.</w:t>
      </w:r>
    </w:p>
  </w:footnote>
  <w:footnote w:id="524">
    <w:p w14:paraId="1B111091" w14:textId="7651C54B"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w:t>
      </w:r>
      <w:r>
        <w:t xml:space="preserve">the </w:t>
      </w:r>
      <w:r w:rsidRPr="002125BD">
        <w:t xml:space="preserve">Commission Guidance, </w:t>
      </w:r>
      <w:r>
        <w:t>para</w:t>
      </w:r>
      <w:r w:rsidRPr="002125BD">
        <w:t xml:space="preserve"> 90, reading</w:t>
      </w:r>
      <w:r>
        <w:t>;</w:t>
      </w:r>
      <w:r w:rsidRPr="002125BD">
        <w:t xml:space="preserve"> “In particular, it falls on the dominant undertaking to demonstrate any negative impact which an obligation to supply is likely to have on its own level of innovation”. See also Philip Marsden, </w:t>
      </w:r>
      <w:r>
        <w:t>‘</w:t>
      </w:r>
      <w:r w:rsidRPr="002125BD">
        <w:t xml:space="preserve">Some Outstanding Issues from the European Commission’s Guidance on Article 102 </w:t>
      </w:r>
      <w:r>
        <w:t xml:space="preserve">of the </w:t>
      </w:r>
      <w:r w:rsidRPr="002125BD">
        <w:t>TFEU: Not-so-faint Echoes of Ordoliberalism</w:t>
      </w:r>
      <w:r>
        <w:t>’</w:t>
      </w:r>
      <w:r w:rsidRPr="002125BD">
        <w:t xml:space="preserve"> </w:t>
      </w:r>
      <w:bookmarkStart w:id="421" w:name="_Hlk502878968"/>
      <w:r w:rsidRPr="002125BD">
        <w:t xml:space="preserve">in </w:t>
      </w:r>
      <w:r w:rsidRPr="00D31D55">
        <w:t>Federico Etro and Ioannis</w:t>
      </w:r>
      <w:r>
        <w:t xml:space="preserve"> </w:t>
      </w:r>
      <w:r w:rsidRPr="002125BD">
        <w:t>Kokkoris</w:t>
      </w:r>
      <w:r>
        <w:t xml:space="preserve"> (eds)</w:t>
      </w:r>
      <w:r w:rsidRPr="002125BD">
        <w:t xml:space="preserve">, </w:t>
      </w:r>
      <w:r w:rsidRPr="00DD7B90">
        <w:rPr>
          <w:i/>
          <w:iCs/>
        </w:rPr>
        <w:t>Competition Law and the Enforcement of Article 102</w:t>
      </w:r>
      <w:r w:rsidRPr="002125BD">
        <w:t xml:space="preserve"> (OUP 2010) </w:t>
      </w:r>
      <w:bookmarkEnd w:id="421"/>
      <w:r w:rsidRPr="002125BD">
        <w:t>69.</w:t>
      </w:r>
    </w:p>
  </w:footnote>
  <w:footnote w:id="525">
    <w:p w14:paraId="78B5553B" w14:textId="2B98E393"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See also Yannis Katsoulacos and David Ulph, Optimal Enforcement and Decision Structures for Competition Policy: Economic Considerations in</w:t>
      </w:r>
      <w:r>
        <w:t xml:space="preserve"> </w:t>
      </w:r>
      <w:r w:rsidRPr="00DD7B90">
        <w:t>Federico Etro and Ioannis</w:t>
      </w:r>
      <w:r>
        <w:t xml:space="preserve"> </w:t>
      </w:r>
      <w:r w:rsidRPr="002125BD">
        <w:t xml:space="preserve">Kokkoris, </w:t>
      </w:r>
      <w:r w:rsidRPr="007E7882">
        <w:rPr>
          <w:i/>
          <w:iCs/>
        </w:rPr>
        <w:t>Competition Law and the Enforcement of Article 102</w:t>
      </w:r>
      <w:r w:rsidRPr="002125BD">
        <w:t xml:space="preserve"> (OUP 2010) 77.</w:t>
      </w:r>
    </w:p>
  </w:footnote>
  <w:footnote w:id="526">
    <w:p w14:paraId="1C3E581A" w14:textId="37B88FFF"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Broadly </w:t>
      </w:r>
      <w:r>
        <w:t>speak</w:t>
      </w:r>
      <w:r w:rsidRPr="002125BD">
        <w:t xml:space="preserve">ing, </w:t>
      </w:r>
      <w:r w:rsidRPr="002125BD">
        <w:rPr>
          <w:lang w:val="en-US"/>
        </w:rPr>
        <w:t xml:space="preserve">while horizontal mergers would potentially have anti-competitive effects when they lead to concentration through </w:t>
      </w:r>
      <w:r>
        <w:rPr>
          <w:lang w:val="en-US"/>
        </w:rPr>
        <w:t xml:space="preserve">a </w:t>
      </w:r>
      <w:r w:rsidRPr="002125BD">
        <w:rPr>
          <w:lang w:val="en-US"/>
        </w:rPr>
        <w:t xml:space="preserve">lessened number of players and reduced competition between them; the vertical mergers may raise competition concerns should there be a risk of foreclosing downstream competitors. For detailed </w:t>
      </w:r>
      <w:r>
        <w:rPr>
          <w:lang w:val="en-US"/>
        </w:rPr>
        <w:t xml:space="preserve">legal and economic analysis through case-law </w:t>
      </w:r>
      <w:r w:rsidRPr="002125BD">
        <w:rPr>
          <w:lang w:val="en-US"/>
        </w:rPr>
        <w:t xml:space="preserve">see </w:t>
      </w:r>
      <w:r>
        <w:t>Nicolas Petit, ‘Innovation, Competition, Unilateral Effects and Merger Control Policy’ (</w:t>
      </w:r>
      <w:r w:rsidRPr="00541255">
        <w:rPr>
          <w:i/>
          <w:iCs/>
        </w:rPr>
        <w:t>SSRN</w:t>
      </w:r>
      <w:r>
        <w:t>, 29 January 2018) &lt;</w:t>
      </w:r>
      <w:r w:rsidRPr="004727E8">
        <w:t>https://ssrn.com/abstract=3113077</w:t>
      </w:r>
      <w:r>
        <w:t>&gt; accessed 9 October 2020</w:t>
      </w:r>
      <w:r>
        <w:rPr>
          <w:lang w:val="en-US"/>
        </w:rPr>
        <w:t>; Mrudul Dadhich, ‘Regulation of vertical mergers under European Union Law: Lessons to be Learnt by Other Jurisdictions’ (2015), Europea Colleg Hamburg, Study Paper No. 3/15 &lt;</w:t>
      </w:r>
      <w:r w:rsidRPr="007E7882">
        <w:rPr>
          <w:lang w:val="en-US"/>
        </w:rPr>
        <w:t>https://europa-kolleg-hamburg.de/wp-content/uploads/2015/11/Study-Paper_Dadhich.pdf</w:t>
      </w:r>
      <w:r>
        <w:rPr>
          <w:lang w:val="en-US"/>
        </w:rPr>
        <w:t>&gt; accessed 9 October 2020.</w:t>
      </w:r>
    </w:p>
  </w:footnote>
  <w:footnote w:id="527">
    <w:p w14:paraId="3D480331" w14:textId="18D51636"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Council Regulation (EEC) No 4064/89 of 21 December 1989 on the control of concentrations between undertakings, OJ L 395, 30/12/1989</w:t>
      </w:r>
      <w:r>
        <w:rPr>
          <w:lang w:val="en-US"/>
        </w:rPr>
        <w:t xml:space="preserve"> (‘Merger Control Regulation’ or ‘MCR’)</w:t>
      </w:r>
      <w:r w:rsidRPr="002125BD">
        <w:rPr>
          <w:lang w:val="en-US"/>
        </w:rPr>
        <w:t>.</w:t>
      </w:r>
    </w:p>
  </w:footnote>
  <w:footnote w:id="528">
    <w:p w14:paraId="0EAF451F" w14:textId="41C1D24F"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A concentration is considered to have a Community dimension where;</w:t>
      </w:r>
    </w:p>
    <w:p w14:paraId="74FB7353" w14:textId="276C6D62" w:rsidR="005C0DC6" w:rsidRPr="002125BD" w:rsidRDefault="005C0DC6" w:rsidP="00A70042">
      <w:pPr>
        <w:pStyle w:val="FootnoteText"/>
        <w:numPr>
          <w:ilvl w:val="0"/>
          <w:numId w:val="38"/>
        </w:numPr>
        <w:ind w:left="1208" w:right="720" w:hanging="357"/>
        <w:jc w:val="both"/>
      </w:pPr>
      <w:r w:rsidRPr="002125BD">
        <w:t>the aggregate worldwide turnover of all the undertakings concerned is more than ECU 5000 million, and</w:t>
      </w:r>
    </w:p>
    <w:p w14:paraId="6D8438C7" w14:textId="3C2C2488" w:rsidR="005C0DC6" w:rsidRPr="002125BD" w:rsidRDefault="005C0DC6" w:rsidP="00A70042">
      <w:pPr>
        <w:pStyle w:val="FootnoteText"/>
        <w:numPr>
          <w:ilvl w:val="0"/>
          <w:numId w:val="38"/>
        </w:numPr>
        <w:ind w:left="1208" w:right="720" w:hanging="357"/>
        <w:jc w:val="both"/>
      </w:pPr>
      <w:r w:rsidRPr="002125BD">
        <w:t xml:space="preserve">the aggregate Community-wide turnover of each of at least two of the undertakings concerned is more than ECU 250 million, unless each of the undertakings concerned achieves more than two-thirds of its aggregate Community-wide turnover within one and the same Member State (MCR, </w:t>
      </w:r>
      <w:r>
        <w:t>art</w:t>
      </w:r>
      <w:r w:rsidRPr="002125BD">
        <w:t xml:space="preserve"> 1(2)).</w:t>
      </w:r>
    </w:p>
  </w:footnote>
  <w:footnote w:id="529">
    <w:p w14:paraId="600C1137" w14:textId="3BB8D740" w:rsidR="005C0DC6" w:rsidRDefault="005C0DC6" w:rsidP="00A70042">
      <w:pPr>
        <w:pStyle w:val="FootnoteText"/>
        <w:ind w:left="426" w:hanging="426"/>
      </w:pPr>
      <w:r>
        <w:rPr>
          <w:rStyle w:val="FootnoteReference"/>
        </w:rPr>
        <w:footnoteRef/>
      </w:r>
      <w:r>
        <w:t xml:space="preserve"> </w:t>
      </w:r>
      <w:r>
        <w:tab/>
        <w:t>Under MCR it was set out as follows:</w:t>
      </w:r>
    </w:p>
    <w:p w14:paraId="49FD5CA5" w14:textId="4AAA8F60" w:rsidR="005C0DC6" w:rsidRDefault="005C0DC6" w:rsidP="002759C3">
      <w:pPr>
        <w:pStyle w:val="FootnoteText"/>
        <w:ind w:left="992" w:right="567"/>
        <w:jc w:val="both"/>
      </w:pPr>
      <w:r w:rsidRPr="00DE4A33">
        <w:t>A concentration which creates or strengthens a dominant position as a result of which effective competition would be significantly impeded in the common market, or in a substantial part of it, shall be declared incompatible with the common market</w:t>
      </w:r>
      <w:r>
        <w:t xml:space="preserve"> (MCR, art</w:t>
      </w:r>
      <w:r w:rsidRPr="00C84059">
        <w:t xml:space="preserve"> 2(3)</w:t>
      </w:r>
      <w:r>
        <w:t>).</w:t>
      </w:r>
    </w:p>
  </w:footnote>
  <w:footnote w:id="530">
    <w:p w14:paraId="3A42F5A6" w14:textId="51F9D8BD" w:rsidR="005C0DC6" w:rsidRPr="002125BD" w:rsidRDefault="005C0DC6" w:rsidP="00A70042">
      <w:pPr>
        <w:pStyle w:val="FootnoteText"/>
        <w:ind w:left="426" w:hanging="426"/>
        <w:jc w:val="both"/>
      </w:pPr>
      <w:r w:rsidRPr="002125BD">
        <w:rPr>
          <w:rStyle w:val="FootnoteReference"/>
        </w:rPr>
        <w:footnoteRef/>
      </w:r>
      <w:r w:rsidRPr="002125BD">
        <w:t xml:space="preserve"> </w:t>
      </w:r>
      <w:r>
        <w:tab/>
        <w:t xml:space="preserve">See supra note </w:t>
      </w:r>
      <w:r w:rsidRPr="00173254">
        <w:t>223</w:t>
      </w:r>
      <w:r>
        <w:t>.</w:t>
      </w:r>
    </w:p>
  </w:footnote>
  <w:footnote w:id="531">
    <w:p w14:paraId="07D4D482" w14:textId="08C837D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EU</w:t>
      </w:r>
      <w:r>
        <w:t xml:space="preserve"> </w:t>
      </w:r>
      <w:r w:rsidRPr="002125BD">
        <w:t>M</w:t>
      </w:r>
      <w:r>
        <w:t xml:space="preserve">erger </w:t>
      </w:r>
      <w:r w:rsidRPr="002125BD">
        <w:t>R</w:t>
      </w:r>
      <w:r>
        <w:t>egulation</w:t>
      </w:r>
      <w:r w:rsidRPr="002125BD">
        <w:t xml:space="preserve">, </w:t>
      </w:r>
      <w:r>
        <w:t>a</w:t>
      </w:r>
      <w:r w:rsidRPr="002125BD">
        <w:t>rt 2(3).</w:t>
      </w:r>
    </w:p>
  </w:footnote>
  <w:footnote w:id="532">
    <w:p w14:paraId="463B27AF" w14:textId="3E790C3E" w:rsidR="005C0DC6" w:rsidRDefault="005C0DC6" w:rsidP="00A70042">
      <w:pPr>
        <w:pStyle w:val="FootnoteText"/>
        <w:ind w:left="426" w:hanging="426"/>
        <w:jc w:val="both"/>
      </w:pPr>
      <w:r>
        <w:rPr>
          <w:rStyle w:val="FootnoteReference"/>
        </w:rPr>
        <w:footnoteRef/>
      </w:r>
      <w:r>
        <w:t xml:space="preserve"> </w:t>
      </w:r>
      <w:r>
        <w:tab/>
      </w:r>
      <w:r w:rsidRPr="001F5392">
        <w:t xml:space="preserve">Regarding the details of this new test (SIEC), see Petit </w:t>
      </w:r>
      <w:r>
        <w:t>(n 526).</w:t>
      </w:r>
    </w:p>
  </w:footnote>
  <w:footnote w:id="533">
    <w:p w14:paraId="4AF50040" w14:textId="1A9DBEE0" w:rsidR="005C0DC6" w:rsidRPr="000966B2" w:rsidRDefault="005C0DC6" w:rsidP="00A70042">
      <w:pPr>
        <w:pStyle w:val="FootnoteText"/>
        <w:ind w:left="426" w:hanging="426"/>
        <w:jc w:val="both"/>
      </w:pPr>
      <w:r>
        <w:rPr>
          <w:rStyle w:val="FootnoteReference"/>
        </w:rPr>
        <w:footnoteRef/>
      </w:r>
      <w:r>
        <w:t xml:space="preserve"> </w:t>
      </w:r>
      <w:r>
        <w:tab/>
        <w:t>Competition Policy International, ‘</w:t>
      </w:r>
      <w:r w:rsidRPr="00517B6A">
        <w:t>The Counterfactual Analysis in EU Merger Control</w:t>
      </w:r>
      <w:r>
        <w:t>’</w:t>
      </w:r>
      <w:r w:rsidRPr="00517B6A">
        <w:t xml:space="preserve"> </w:t>
      </w:r>
      <w:r>
        <w:t xml:space="preserve">(21 </w:t>
      </w:r>
      <w:r w:rsidRPr="00517B6A">
        <w:t>November 2013</w:t>
      </w:r>
      <w:r>
        <w:t>) &lt;</w:t>
      </w:r>
      <w:hyperlink r:id="rId12" w:history="1">
        <w:r w:rsidRPr="000966B2">
          <w:t>https://www.competitionpolicyinternational.com/the-counterfactual-analysis-in-eu-merger-control/</w:t>
        </w:r>
      </w:hyperlink>
      <w:r w:rsidRPr="000966B2">
        <w:t>&gt;</w:t>
      </w:r>
      <w:r>
        <w:t xml:space="preserve"> accessed 9 October 2020</w:t>
      </w:r>
      <w:r w:rsidRPr="000966B2">
        <w:t>.</w:t>
      </w:r>
    </w:p>
  </w:footnote>
  <w:footnote w:id="534">
    <w:p w14:paraId="341765A0" w14:textId="736BE93F" w:rsidR="005C0DC6" w:rsidRPr="000966B2" w:rsidRDefault="005C0DC6" w:rsidP="00A70042">
      <w:pPr>
        <w:pStyle w:val="FootnoteText"/>
        <w:ind w:left="426" w:hanging="426"/>
      </w:pPr>
      <w:r w:rsidRPr="000966B2">
        <w:rPr>
          <w:rStyle w:val="FootnoteReference"/>
        </w:rPr>
        <w:footnoteRef/>
      </w:r>
      <w:r w:rsidRPr="000966B2">
        <w:t xml:space="preserve"> </w:t>
      </w:r>
      <w:r>
        <w:tab/>
      </w:r>
      <w:r w:rsidRPr="000966B2">
        <w:t xml:space="preserve">See </w:t>
      </w:r>
      <w:r>
        <w:t xml:space="preserve">also </w:t>
      </w:r>
      <w:r w:rsidRPr="000966B2">
        <w:t xml:space="preserve">supra note </w:t>
      </w:r>
      <w:r w:rsidRPr="00642141">
        <w:t>526</w:t>
      </w:r>
      <w:r w:rsidRPr="000966B2">
        <w:t>.</w:t>
      </w:r>
    </w:p>
  </w:footnote>
  <w:footnote w:id="535">
    <w:p w14:paraId="00A284D1" w14:textId="30B044B5" w:rsidR="005C0DC6" w:rsidRPr="002125BD" w:rsidRDefault="005C0DC6" w:rsidP="00A70042">
      <w:pPr>
        <w:pStyle w:val="FootnoteText"/>
        <w:ind w:left="426" w:hanging="426"/>
        <w:jc w:val="both"/>
        <w:rPr>
          <w:lang w:val="en-US"/>
        </w:rPr>
      </w:pPr>
      <w:r w:rsidRPr="000966B2">
        <w:rPr>
          <w:rStyle w:val="FootnoteReference"/>
        </w:rPr>
        <w:footnoteRef/>
      </w:r>
      <w:r w:rsidRPr="000966B2">
        <w:t xml:space="preserve"> </w:t>
      </w:r>
      <w:r>
        <w:tab/>
        <w:t>See Competition Policy International (n 533)</w:t>
      </w:r>
      <w:r w:rsidRPr="000966B2">
        <w:rPr>
          <w:lang w:val="en-US"/>
        </w:rPr>
        <w:t>.</w:t>
      </w:r>
    </w:p>
  </w:footnote>
  <w:footnote w:id="536">
    <w:p w14:paraId="75CE09A8" w14:textId="2FC8AF57"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Case COMP/M.5669 - </w:t>
      </w:r>
      <w:r w:rsidRPr="002125BD">
        <w:rPr>
          <w:i/>
        </w:rPr>
        <w:t>Cisco/Tandberg</w:t>
      </w:r>
      <w:r w:rsidRPr="002125BD">
        <w:t xml:space="preserve"> [2010]</w:t>
      </w:r>
      <w:r>
        <w:t xml:space="preserve"> (‘</w:t>
      </w:r>
      <w:r w:rsidRPr="008F524E">
        <w:rPr>
          <w:i/>
          <w:iCs/>
        </w:rPr>
        <w:t>Cisco/Tandberg</w:t>
      </w:r>
      <w:r>
        <w:t xml:space="preserve"> decision’).</w:t>
      </w:r>
    </w:p>
  </w:footnote>
  <w:footnote w:id="537">
    <w:p w14:paraId="7B3DFBC4" w14:textId="40FB7AA4"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i/>
        </w:rPr>
        <w:t>Cisco/Tandberg</w:t>
      </w:r>
      <w:r w:rsidRPr="002125BD">
        <w:t xml:space="preserve"> </w:t>
      </w:r>
      <w:r>
        <w:t>decision, paras 114 and 124.</w:t>
      </w:r>
    </w:p>
  </w:footnote>
  <w:footnote w:id="538">
    <w:p w14:paraId="08F36CFA" w14:textId="4ED5823E" w:rsidR="005C0DC6" w:rsidRDefault="005C0DC6" w:rsidP="00A70042">
      <w:pPr>
        <w:pStyle w:val="FootnoteText"/>
        <w:ind w:left="426" w:hanging="426"/>
        <w:jc w:val="both"/>
      </w:pPr>
      <w:r>
        <w:rPr>
          <w:rStyle w:val="FootnoteReference"/>
        </w:rPr>
        <w:footnoteRef/>
      </w:r>
      <w:r>
        <w:t xml:space="preserve"> </w:t>
      </w:r>
      <w:r>
        <w:tab/>
      </w:r>
      <w:r w:rsidRPr="002125BD">
        <w:rPr>
          <w:i/>
        </w:rPr>
        <w:t>Cisco/Tandberg</w:t>
      </w:r>
      <w:r w:rsidRPr="002125BD">
        <w:t xml:space="preserve"> </w:t>
      </w:r>
      <w:r>
        <w:t>decision, para</w:t>
      </w:r>
      <w:r w:rsidRPr="0037758C">
        <w:t xml:space="preserve"> 53</w:t>
      </w:r>
      <w:r>
        <w:t>. According to Commission, “interoperability for VCS can refer both to the possibility for different endpoints (different brands or models belonging to different segments) to communicate with each other, and to the possibility for an endpoint to function correctly on a given network infrastructure” (</w:t>
      </w:r>
      <w:r w:rsidRPr="002125BD">
        <w:rPr>
          <w:i/>
        </w:rPr>
        <w:t>Cisco/Tandberg</w:t>
      </w:r>
      <w:r w:rsidRPr="002125BD">
        <w:t xml:space="preserve"> </w:t>
      </w:r>
      <w:r>
        <w:t>decision, para 55).</w:t>
      </w:r>
    </w:p>
  </w:footnote>
  <w:footnote w:id="539">
    <w:p w14:paraId="1DE2369F" w14:textId="3A2BE042"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i/>
        </w:rPr>
        <w:t>Cisco/Tandberg</w:t>
      </w:r>
      <w:r w:rsidRPr="002125BD">
        <w:t xml:space="preserve"> </w:t>
      </w:r>
      <w:r>
        <w:t>decision, para 147.</w:t>
      </w:r>
    </w:p>
  </w:footnote>
  <w:footnote w:id="540">
    <w:p w14:paraId="48D73093" w14:textId="4047272F"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i/>
        </w:rPr>
        <w:t>Cisco/Tandberg</w:t>
      </w:r>
      <w:r w:rsidRPr="002125BD">
        <w:t xml:space="preserve"> </w:t>
      </w:r>
      <w:r>
        <w:t>decision, para 147.</w:t>
      </w:r>
    </w:p>
  </w:footnote>
  <w:footnote w:id="541">
    <w:p w14:paraId="7C557A06" w14:textId="04B6FC70" w:rsidR="005C0DC6" w:rsidRPr="002125BD" w:rsidRDefault="005C0DC6" w:rsidP="00A70042">
      <w:pPr>
        <w:pStyle w:val="FootnoteText"/>
        <w:ind w:left="426" w:hanging="426"/>
        <w:jc w:val="both"/>
        <w:rPr>
          <w:lang w:val="en-US"/>
        </w:rPr>
      </w:pPr>
      <w:r w:rsidRPr="002125BD">
        <w:rPr>
          <w:rStyle w:val="FootnoteReference"/>
        </w:rPr>
        <w:footnoteRef/>
      </w:r>
      <w:r w:rsidRPr="002125BD">
        <w:rPr>
          <w:lang w:val="en-US"/>
        </w:rPr>
        <w:t xml:space="preserve"> </w:t>
      </w:r>
      <w:r>
        <w:rPr>
          <w:lang w:val="en-US"/>
        </w:rPr>
        <w:tab/>
        <w:t xml:space="preserve">See </w:t>
      </w:r>
      <w:r w:rsidRPr="002125BD">
        <w:rPr>
          <w:lang w:val="en-US"/>
        </w:rPr>
        <w:t>T</w:t>
      </w:r>
      <w:r>
        <w:rPr>
          <w:lang w:val="en-US"/>
        </w:rPr>
        <w:t>homas</w:t>
      </w:r>
      <w:r w:rsidRPr="002125BD">
        <w:rPr>
          <w:lang w:val="en-US"/>
        </w:rPr>
        <w:t xml:space="preserve"> Hoehn and A</w:t>
      </w:r>
      <w:r>
        <w:rPr>
          <w:lang w:val="en-US"/>
        </w:rPr>
        <w:t>lex</w:t>
      </w:r>
      <w:r w:rsidRPr="002125BD">
        <w:rPr>
          <w:lang w:val="en-US"/>
        </w:rPr>
        <w:t xml:space="preserve"> Lewis, ‘Interoperability Remedies, FRAND Licensing and Innovation: A Review of Recent Case Law’ (2013) 34(2) European Competition Law Review 101, 109.</w:t>
      </w:r>
    </w:p>
  </w:footnote>
  <w:footnote w:id="542">
    <w:p w14:paraId="763737A1" w14:textId="7AFEF74D"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Case COMP/M.5984 - </w:t>
      </w:r>
      <w:r w:rsidRPr="002125BD">
        <w:rPr>
          <w:i/>
        </w:rPr>
        <w:t>Intel/McAfee</w:t>
      </w:r>
      <w:r w:rsidRPr="002125BD">
        <w:t xml:space="preserve"> [2011]</w:t>
      </w:r>
      <w:r>
        <w:t xml:space="preserve"> (‘</w:t>
      </w:r>
      <w:r w:rsidRPr="002125BD">
        <w:rPr>
          <w:i/>
        </w:rPr>
        <w:t>Intel/McAfee</w:t>
      </w:r>
      <w:r w:rsidRPr="002125BD">
        <w:t xml:space="preserve"> </w:t>
      </w:r>
      <w:r>
        <w:t>decision’).</w:t>
      </w:r>
    </w:p>
  </w:footnote>
  <w:footnote w:id="543">
    <w:p w14:paraId="5BDE33B4" w14:textId="22624208"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Intel/McAfee</w:t>
      </w:r>
      <w:r w:rsidRPr="002125BD">
        <w:t xml:space="preserve"> </w:t>
      </w:r>
      <w:r>
        <w:t>decision, paras 69-82.</w:t>
      </w:r>
    </w:p>
  </w:footnote>
  <w:footnote w:id="544">
    <w:p w14:paraId="28CB823B" w14:textId="433FC33F" w:rsidR="005C0DC6" w:rsidRDefault="005C0DC6" w:rsidP="00A70042">
      <w:pPr>
        <w:pStyle w:val="FootnoteText"/>
        <w:ind w:left="426" w:hanging="426"/>
        <w:jc w:val="both"/>
      </w:pPr>
      <w:r>
        <w:rPr>
          <w:rStyle w:val="FootnoteReference"/>
        </w:rPr>
        <w:footnoteRef/>
      </w:r>
      <w:r>
        <w:t xml:space="preserve"> </w:t>
      </w:r>
      <w:r>
        <w:tab/>
        <w:t xml:space="preserve">Commission particularised that “Intel could optimise the APIs between its chipsets/CPUs and McAfee’s security solutions, its compilers or its software development kits </w:t>
      </w:r>
      <w:r w:rsidRPr="00830313">
        <w:t xml:space="preserve">(“SDKs”) </w:t>
      </w:r>
      <w:r>
        <w:t>according to McAfee’s design preferences, while the integration with the solutions of competing SSVs would be altered. This would result in McAfee’s security solutions running better on Intel’s CPUs than the endpoint security of the other vendors” (</w:t>
      </w:r>
      <w:r w:rsidRPr="002125BD">
        <w:rPr>
          <w:i/>
        </w:rPr>
        <w:t>Intel/McAfee</w:t>
      </w:r>
      <w:r w:rsidRPr="002125BD">
        <w:t xml:space="preserve"> </w:t>
      </w:r>
      <w:r>
        <w:t>decision, para 131).</w:t>
      </w:r>
    </w:p>
  </w:footnote>
  <w:footnote w:id="545">
    <w:p w14:paraId="34CBF589" w14:textId="481796AB" w:rsidR="005C0DC6" w:rsidRDefault="005C0DC6" w:rsidP="00A70042">
      <w:pPr>
        <w:pStyle w:val="FootnoteText"/>
        <w:ind w:left="426" w:hanging="426"/>
      </w:pPr>
      <w:r>
        <w:rPr>
          <w:rStyle w:val="FootnoteReference"/>
        </w:rPr>
        <w:footnoteRef/>
      </w:r>
      <w:r>
        <w:t xml:space="preserve"> </w:t>
      </w:r>
      <w:r>
        <w:tab/>
      </w:r>
      <w:r w:rsidRPr="002125BD">
        <w:rPr>
          <w:i/>
        </w:rPr>
        <w:t>Intel/McAfee</w:t>
      </w:r>
      <w:r w:rsidRPr="002125BD">
        <w:t xml:space="preserve"> </w:t>
      </w:r>
      <w:r>
        <w:t>decision, para 298.</w:t>
      </w:r>
    </w:p>
  </w:footnote>
  <w:footnote w:id="546">
    <w:p w14:paraId="141396F1" w14:textId="4BFBFEDA" w:rsidR="005C0DC6" w:rsidRDefault="005C0DC6" w:rsidP="00A70042">
      <w:pPr>
        <w:pStyle w:val="FootnoteText"/>
        <w:ind w:left="426" w:hanging="426"/>
      </w:pPr>
      <w:r>
        <w:rPr>
          <w:rStyle w:val="FootnoteReference"/>
        </w:rPr>
        <w:footnoteRef/>
      </w:r>
      <w:r>
        <w:t xml:space="preserve"> </w:t>
      </w:r>
      <w:r>
        <w:tab/>
      </w:r>
      <w:r w:rsidRPr="002125BD">
        <w:rPr>
          <w:i/>
        </w:rPr>
        <w:t>Intel/McAfee</w:t>
      </w:r>
      <w:r w:rsidRPr="002125BD">
        <w:t xml:space="preserve"> </w:t>
      </w:r>
      <w:r>
        <w:t>decision, para 300.</w:t>
      </w:r>
    </w:p>
  </w:footnote>
  <w:footnote w:id="547">
    <w:p w14:paraId="1FEFB52E" w14:textId="1D6CDE25" w:rsidR="005C0DC6" w:rsidRDefault="005C0DC6" w:rsidP="00A70042">
      <w:pPr>
        <w:pStyle w:val="FootnoteText"/>
        <w:ind w:left="426" w:hanging="426"/>
      </w:pPr>
      <w:r>
        <w:rPr>
          <w:rStyle w:val="FootnoteReference"/>
        </w:rPr>
        <w:footnoteRef/>
      </w:r>
      <w:r>
        <w:t xml:space="preserve"> </w:t>
      </w:r>
      <w:r>
        <w:tab/>
      </w:r>
      <w:r w:rsidRPr="002125BD">
        <w:rPr>
          <w:i/>
        </w:rPr>
        <w:t>Intel/McAfee</w:t>
      </w:r>
      <w:r w:rsidRPr="002125BD">
        <w:t xml:space="preserve"> </w:t>
      </w:r>
      <w:r>
        <w:t>decision, para 301.</w:t>
      </w:r>
    </w:p>
  </w:footnote>
  <w:footnote w:id="548">
    <w:p w14:paraId="3F5E1AA4" w14:textId="7492E8F6" w:rsidR="005C0DC6" w:rsidRDefault="005C0DC6" w:rsidP="00A70042">
      <w:pPr>
        <w:pStyle w:val="FootnoteText"/>
        <w:ind w:left="426" w:hanging="426"/>
      </w:pPr>
      <w:r>
        <w:rPr>
          <w:rStyle w:val="FootnoteReference"/>
        </w:rPr>
        <w:footnoteRef/>
      </w:r>
      <w:r>
        <w:t xml:space="preserve"> </w:t>
      </w:r>
      <w:r>
        <w:tab/>
      </w:r>
      <w:r w:rsidRPr="002125BD">
        <w:rPr>
          <w:i/>
        </w:rPr>
        <w:t>Intel/McAfee</w:t>
      </w:r>
      <w:r w:rsidRPr="002125BD">
        <w:t xml:space="preserve"> </w:t>
      </w:r>
      <w:r>
        <w:t>decision, para 341.</w:t>
      </w:r>
    </w:p>
  </w:footnote>
  <w:footnote w:id="549">
    <w:p w14:paraId="1830E8DC" w14:textId="7F9A5900"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Hoehn and Lewis (n </w:t>
      </w:r>
      <w:r>
        <w:rPr>
          <w:lang w:val="en-US"/>
        </w:rPr>
        <w:t>541</w:t>
      </w:r>
      <w:r w:rsidRPr="002125BD">
        <w:rPr>
          <w:lang w:val="en-US"/>
        </w:rPr>
        <w:t>) 110.</w:t>
      </w:r>
    </w:p>
  </w:footnote>
  <w:footnote w:id="550">
    <w:p w14:paraId="27620D40" w14:textId="755B1E7A"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See Case COMP/M.2876,</w:t>
      </w:r>
      <w:r w:rsidRPr="002125BD">
        <w:rPr>
          <w:i/>
        </w:rPr>
        <w:t xml:space="preserve"> Newscorp/Telepiù</w:t>
      </w:r>
      <w:r w:rsidRPr="002125BD">
        <w:t xml:space="preserve">, Commission decision of </w:t>
      </w:r>
      <w:smartTag w:uri="urn:schemas-microsoft-com:office:smarttags" w:element="date">
        <w:smartTagPr>
          <w:attr w:name="Year" w:val="2003"/>
          <w:attr w:name="Day" w:val="2"/>
          <w:attr w:name="Month" w:val="4"/>
        </w:smartTagPr>
        <w:r w:rsidRPr="002125BD">
          <w:t>2 April 2003</w:t>
        </w:r>
      </w:smartTag>
      <w:r w:rsidRPr="002125BD">
        <w:t xml:space="preserve">, OJ L 110 of </w:t>
      </w:r>
      <w:smartTag w:uri="urn:schemas-microsoft-com:office:smarttags" w:element="date">
        <w:smartTagPr>
          <w:attr w:name="Year" w:val="2004"/>
          <w:attr w:name="Day" w:val="16"/>
          <w:attr w:name="Month" w:val="4"/>
        </w:smartTagPr>
        <w:r w:rsidRPr="002125BD">
          <w:t>16 April 2004</w:t>
        </w:r>
      </w:smartTag>
      <w:r w:rsidRPr="002125BD">
        <w:t xml:space="preserve">; Case No.IV/M.2050, </w:t>
      </w:r>
      <w:r w:rsidRPr="002125BD">
        <w:rPr>
          <w:i/>
        </w:rPr>
        <w:t>Vivendi/Canal+Seagram</w:t>
      </w:r>
      <w:r w:rsidRPr="002125BD">
        <w:t xml:space="preserve">, Commission decision of </w:t>
      </w:r>
      <w:smartTag w:uri="urn:schemas-microsoft-com:office:smarttags" w:element="date">
        <w:smartTagPr>
          <w:attr w:name="Month" w:val="10"/>
          <w:attr w:name="Day" w:val="13"/>
          <w:attr w:name="Year" w:val="2000"/>
        </w:smartTagPr>
        <w:r w:rsidRPr="002125BD">
          <w:rPr>
            <w:rStyle w:val="documentbody"/>
            <w:rFonts w:eastAsiaTheme="majorEastAsia"/>
          </w:rPr>
          <w:t>13 October 2000</w:t>
        </w:r>
      </w:smartTag>
      <w:r w:rsidRPr="002125BD">
        <w:rPr>
          <w:rStyle w:val="documentbody"/>
          <w:rFonts w:eastAsiaTheme="majorEastAsia"/>
        </w:rPr>
        <w:t xml:space="preserve">, OJ C311/3; </w:t>
      </w:r>
      <w:r w:rsidRPr="002125BD">
        <w:t xml:space="preserve">Case IV/M. 0037, </w:t>
      </w:r>
      <w:r w:rsidRPr="002125BD">
        <w:rPr>
          <w:i/>
        </w:rPr>
        <w:t>BSkyB/KirchPayTV</w:t>
      </w:r>
      <w:r w:rsidRPr="002125BD">
        <w:t xml:space="preserve">, Commission decision of </w:t>
      </w:r>
      <w:smartTag w:uri="urn:schemas-microsoft-com:office:smarttags" w:element="date">
        <w:smartTagPr>
          <w:attr w:name="Month" w:val="3"/>
          <w:attr w:name="Day" w:val="21"/>
          <w:attr w:name="Year" w:val="2000"/>
        </w:smartTagPr>
        <w:r w:rsidRPr="002125BD">
          <w:t>21 March 2000</w:t>
        </w:r>
      </w:smartTag>
      <w:r w:rsidRPr="002125BD">
        <w:t xml:space="preserve">, OJ C 100, </w:t>
      </w:r>
      <w:smartTag w:uri="urn:schemas-microsoft-com:office:smarttags" w:element="date">
        <w:smartTagPr>
          <w:attr w:name="Month" w:val="4"/>
          <w:attr w:name="Day" w:val="15"/>
          <w:attr w:name="Year" w:val="2000"/>
        </w:smartTagPr>
        <w:r w:rsidRPr="002125BD">
          <w:t xml:space="preserve">15 April 2000; </w:t>
        </w:r>
      </w:smartTag>
      <w:r w:rsidRPr="002125BD">
        <w:t xml:space="preserve">Case IV/M.0048, </w:t>
      </w:r>
      <w:r w:rsidRPr="002125BD">
        <w:rPr>
          <w:i/>
        </w:rPr>
        <w:t>Vodafone/Vivendi/Canal+</w:t>
      </w:r>
      <w:r w:rsidRPr="002125BD">
        <w:t>,</w:t>
      </w:r>
      <w:r w:rsidRPr="002125BD">
        <w:rPr>
          <w:i/>
        </w:rPr>
        <w:t xml:space="preserve"> </w:t>
      </w:r>
      <w:r w:rsidRPr="002125BD">
        <w:rPr>
          <w:lang w:eastAsia="tr-TR"/>
        </w:rPr>
        <w:t>Commission decision of</w:t>
      </w:r>
      <w:r w:rsidRPr="002125BD">
        <w:t xml:space="preserve"> 20 July 2000, OJJ C 11, 20 May 2003</w:t>
      </w:r>
      <w:r w:rsidRPr="002125BD">
        <w:rPr>
          <w:lang w:eastAsia="tr-TR"/>
        </w:rPr>
        <w:t xml:space="preserve">; </w:t>
      </w:r>
      <w:r w:rsidRPr="002125BD">
        <w:t xml:space="preserve">Case IV/M. 993, </w:t>
      </w:r>
      <w:r w:rsidRPr="002125BD">
        <w:rPr>
          <w:i/>
        </w:rPr>
        <w:t>Bertelsman/Kirch/Premiere</w:t>
      </w:r>
      <w:r w:rsidRPr="002125BD">
        <w:t xml:space="preserve">, Commission decision of </w:t>
      </w:r>
      <w:smartTag w:uri="urn:schemas-microsoft-com:office:smarttags" w:element="date">
        <w:smartTagPr>
          <w:attr w:name="Month" w:val="5"/>
          <w:attr w:name="Day" w:val="27"/>
          <w:attr w:name="Year" w:val="1998"/>
        </w:smartTagPr>
        <w:r w:rsidRPr="002125BD">
          <w:t>27 May 1998</w:t>
        </w:r>
      </w:smartTag>
      <w:r w:rsidRPr="002125BD">
        <w:t xml:space="preserve">, OJ L 53, </w:t>
      </w:r>
      <w:smartTag w:uri="urn:schemas-microsoft-com:office:smarttags" w:element="date">
        <w:smartTagPr>
          <w:attr w:name="Month" w:val="2"/>
          <w:attr w:name="Day" w:val="27"/>
          <w:attr w:name="Year" w:val="1999"/>
        </w:smartTagPr>
        <w:r w:rsidRPr="002125BD">
          <w:t xml:space="preserve">27 February 1999; </w:t>
        </w:r>
      </w:smartTag>
      <w:r w:rsidRPr="002125BD">
        <w:t xml:space="preserve">Case IV/M. 1027, </w:t>
      </w:r>
      <w:r w:rsidRPr="002125BD">
        <w:rPr>
          <w:i/>
        </w:rPr>
        <w:t>Deutsche Telekom/Beta Research</w:t>
      </w:r>
      <w:r w:rsidRPr="002125BD">
        <w:t xml:space="preserve">, Commission decision of </w:t>
      </w:r>
      <w:smartTag w:uri="urn:schemas-microsoft-com:office:smarttags" w:element="date">
        <w:smartTagPr>
          <w:attr w:name="Month" w:val="5"/>
          <w:attr w:name="Day" w:val="27"/>
          <w:attr w:name="Year" w:val="1998"/>
        </w:smartTagPr>
        <w:r w:rsidRPr="002125BD">
          <w:t>27 May 1998</w:t>
        </w:r>
      </w:smartTag>
      <w:r w:rsidRPr="002125BD">
        <w:t xml:space="preserve">, OJ L 53, </w:t>
      </w:r>
      <w:smartTag w:uri="urn:schemas-microsoft-com:office:smarttags" w:element="date">
        <w:smartTagPr>
          <w:attr w:name="Month" w:val="2"/>
          <w:attr w:name="Day" w:val="27"/>
          <w:attr w:name="Year" w:val="1999"/>
        </w:smartTagPr>
        <w:r w:rsidRPr="002125BD">
          <w:t>27 February 1999</w:t>
        </w:r>
        <w:r w:rsidRPr="002125BD">
          <w:rPr>
            <w:lang w:val="en-US"/>
          </w:rPr>
          <w:t xml:space="preserve">; </w:t>
        </w:r>
      </w:smartTag>
      <w:r w:rsidRPr="002125BD">
        <w:t xml:space="preserve">Case IV/M. 469, </w:t>
      </w:r>
      <w:r w:rsidRPr="002125BD">
        <w:rPr>
          <w:i/>
        </w:rPr>
        <w:t>MSG Media Service,</w:t>
      </w:r>
      <w:r w:rsidRPr="002125BD">
        <w:t xml:space="preserve"> Commission Decision of </w:t>
      </w:r>
      <w:smartTag w:uri="urn:schemas-microsoft-com:office:smarttags" w:element="date">
        <w:smartTagPr>
          <w:attr w:name="Month" w:val="11"/>
          <w:attr w:name="Day" w:val="9"/>
          <w:attr w:name="Year" w:val="1994"/>
        </w:smartTagPr>
        <w:r w:rsidRPr="002125BD">
          <w:t>9 November 1994</w:t>
        </w:r>
      </w:smartTag>
      <w:r w:rsidRPr="002125BD">
        <w:t xml:space="preserve">, OJ L 364, </w:t>
      </w:r>
      <w:smartTag w:uri="urn:schemas-microsoft-com:office:smarttags" w:element="date">
        <w:smartTagPr>
          <w:attr w:name="Month" w:val="12"/>
          <w:attr w:name="Day" w:val="31"/>
          <w:attr w:name="Year" w:val="1994"/>
        </w:smartTagPr>
        <w:r w:rsidRPr="002125BD">
          <w:t>31 December 1994.</w:t>
        </w:r>
      </w:smartTag>
    </w:p>
  </w:footnote>
  <w:footnote w:id="551">
    <w:p w14:paraId="77A3151B" w14:textId="5F55514E"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rPr>
          <w:lang w:val="tr-TR"/>
        </w:rPr>
        <w:t xml:space="preserve">Rights holders try to extract maximum value </w:t>
      </w:r>
      <w:r>
        <w:rPr>
          <w:lang w:val="tr-TR"/>
        </w:rPr>
        <w:t xml:space="preserve">from </w:t>
      </w:r>
      <w:r w:rsidRPr="002125BD">
        <w:rPr>
          <w:lang w:val="tr-TR"/>
        </w:rPr>
        <w:t xml:space="preserve">their programming rights by a variety of commercial practices. One of the referred practices is selling movies several times, being called </w:t>
      </w:r>
      <w:r>
        <w:rPr>
          <w:lang w:val="tr-TR"/>
        </w:rPr>
        <w:t xml:space="preserve">the </w:t>
      </w:r>
      <w:r w:rsidRPr="002125BD">
        <w:rPr>
          <w:lang w:val="tr-TR"/>
        </w:rPr>
        <w:t xml:space="preserve">‘windows system’ in common business language (See </w:t>
      </w:r>
      <w:r w:rsidRPr="002125BD">
        <w:t>Geradin and Layne-Farrar</w:t>
      </w:r>
      <w:r>
        <w:rPr>
          <w:lang w:val="tr-TR"/>
        </w:rPr>
        <w:t xml:space="preserve"> (n</w:t>
      </w:r>
      <w:r w:rsidRPr="002125BD">
        <w:rPr>
          <w:lang w:val="tr-TR"/>
        </w:rPr>
        <w:t xml:space="preserve"> </w:t>
      </w:r>
      <w:r>
        <w:rPr>
          <w:lang w:val="tr-TR"/>
        </w:rPr>
        <w:t>91)</w:t>
      </w:r>
      <w:r w:rsidRPr="002125BD">
        <w:rPr>
          <w:lang w:val="tr-TR"/>
        </w:rPr>
        <w:t xml:space="preserve"> 70).</w:t>
      </w:r>
    </w:p>
  </w:footnote>
  <w:footnote w:id="552">
    <w:p w14:paraId="466DAA3D" w14:textId="67292DA0"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See </w:t>
      </w:r>
      <w:r>
        <w:t xml:space="preserve">the section </w:t>
      </w:r>
      <w:r w:rsidRPr="002125BD">
        <w:t>‘6.2.1.2.</w:t>
      </w:r>
      <w:r w:rsidRPr="002125BD">
        <w:rPr>
          <w:rFonts w:eastAsiaTheme="minorEastAsia"/>
        </w:rPr>
        <w:t xml:space="preserve"> </w:t>
      </w:r>
      <w:r w:rsidRPr="002125BD">
        <w:t>Conditional access obligation</w:t>
      </w:r>
      <w:r>
        <w:t>s</w:t>
      </w:r>
      <w:r w:rsidRPr="002125BD">
        <w:t>’.</w:t>
      </w:r>
    </w:p>
  </w:footnote>
  <w:footnote w:id="553">
    <w:p w14:paraId="7828C2B2" w14:textId="31C85341"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Case COMP/M.6281 - </w:t>
      </w:r>
      <w:r w:rsidRPr="002125BD">
        <w:rPr>
          <w:i/>
        </w:rPr>
        <w:t>Microsoft/Skype</w:t>
      </w:r>
      <w:r w:rsidRPr="002125BD">
        <w:t xml:space="preserve"> [2011] (‘</w:t>
      </w:r>
      <w:r w:rsidRPr="002125BD">
        <w:rPr>
          <w:i/>
        </w:rPr>
        <w:t>Microsoft/Skype</w:t>
      </w:r>
      <w:r w:rsidRPr="002125BD">
        <w:t xml:space="preserve"> decision’).</w:t>
      </w:r>
    </w:p>
  </w:footnote>
  <w:footnote w:id="554">
    <w:p w14:paraId="4EC20D04" w14:textId="6D2EAF50"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Case No COMP/M.7217 - </w:t>
      </w:r>
      <w:r w:rsidRPr="002125BD">
        <w:rPr>
          <w:i/>
          <w:lang w:val="en-US"/>
        </w:rPr>
        <w:t>Facebook/WhatsApp</w:t>
      </w:r>
      <w:r w:rsidRPr="002125BD">
        <w:rPr>
          <w:lang w:val="en-US"/>
        </w:rPr>
        <w:t xml:space="preserve"> [2014] (</w:t>
      </w:r>
      <w:r>
        <w:rPr>
          <w:lang w:val="en-US"/>
        </w:rPr>
        <w:t>‘</w:t>
      </w:r>
      <w:r w:rsidRPr="002125BD">
        <w:rPr>
          <w:i/>
          <w:lang w:val="en-US"/>
        </w:rPr>
        <w:t>Facebook/WhatsApp</w:t>
      </w:r>
      <w:r w:rsidRPr="002125BD">
        <w:rPr>
          <w:lang w:val="en-US"/>
        </w:rPr>
        <w:t xml:space="preserve"> decision</w:t>
      </w:r>
      <w:r>
        <w:rPr>
          <w:lang w:val="en-US"/>
        </w:rPr>
        <w:t>’</w:t>
      </w:r>
      <w:r w:rsidRPr="002125BD">
        <w:rPr>
          <w:lang w:val="en-US"/>
        </w:rPr>
        <w:t>).</w:t>
      </w:r>
    </w:p>
  </w:footnote>
  <w:footnote w:id="555">
    <w:p w14:paraId="057A3117" w14:textId="7C2FB1BA" w:rsidR="005C0DC6" w:rsidRPr="002125BD" w:rsidRDefault="005C0DC6" w:rsidP="00A70042">
      <w:pPr>
        <w:pStyle w:val="FootnoteText"/>
        <w:ind w:left="426" w:hanging="426"/>
        <w:jc w:val="both"/>
      </w:pPr>
      <w:r w:rsidRPr="002125BD">
        <w:rPr>
          <w:rStyle w:val="FootnoteReference"/>
        </w:rPr>
        <w:footnoteRef/>
      </w:r>
      <w:r w:rsidRPr="002125BD">
        <w:t xml:space="preserve"> </w:t>
      </w:r>
      <w:r>
        <w:tab/>
        <w:t>The Commission concluded that,</w:t>
      </w:r>
      <w:r w:rsidRPr="002125BD">
        <w:t xml:space="preserve"> </w:t>
      </w:r>
      <w:r>
        <w:t>a</w:t>
      </w:r>
      <w:r w:rsidRPr="002125BD">
        <w:t>l</w:t>
      </w:r>
      <w:r>
        <w:t>beit with</w:t>
      </w:r>
      <w:r w:rsidRPr="002125BD">
        <w:t xml:space="preserve"> a large market share (80-90%) in the scenario of the </w:t>
      </w:r>
      <w:r>
        <w:t>narrow</w:t>
      </w:r>
      <w:r w:rsidRPr="002125BD">
        <w:t>est market definition, namely in the Windows based PC market,</w:t>
      </w:r>
      <w:r>
        <w:t xml:space="preserve"> </w:t>
      </w:r>
      <w:r w:rsidRPr="002125BD">
        <w:t xml:space="preserve">different scenarios in case of </w:t>
      </w:r>
      <w:r>
        <w:t>broad</w:t>
      </w:r>
      <w:r w:rsidRPr="002125BD">
        <w:t>er markets would not affect the ultimate assessment</w:t>
      </w:r>
      <w:r>
        <w:t xml:space="preserve"> </w:t>
      </w:r>
      <w:r w:rsidRPr="002125BD">
        <w:rPr>
          <w:lang w:val="en-US"/>
        </w:rPr>
        <w:t>(</w:t>
      </w:r>
      <w:r>
        <w:rPr>
          <w:lang w:val="en-US"/>
        </w:rPr>
        <w:t xml:space="preserve">See </w:t>
      </w:r>
      <w:r w:rsidRPr="002125BD">
        <w:rPr>
          <w:i/>
          <w:lang w:val="en-US"/>
        </w:rPr>
        <w:t>Facebook/WhatsApp</w:t>
      </w:r>
      <w:r w:rsidRPr="002125BD">
        <w:rPr>
          <w:lang w:val="en-US"/>
        </w:rPr>
        <w:t xml:space="preserve"> decision</w:t>
      </w:r>
      <w:r>
        <w:rPr>
          <w:lang w:val="en-US"/>
        </w:rPr>
        <w:t>, para 110)</w:t>
      </w:r>
      <w:r w:rsidRPr="002125BD">
        <w:t xml:space="preserve">. </w:t>
      </w:r>
    </w:p>
  </w:footnote>
  <w:footnote w:id="556">
    <w:p w14:paraId="3BBA02A4" w14:textId="6B202C09"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Microsoft/Skype</w:t>
      </w:r>
      <w:r w:rsidRPr="002125BD">
        <w:t xml:space="preserve"> decision, </w:t>
      </w:r>
      <w:r>
        <w:t>para</w:t>
      </w:r>
      <w:r w:rsidRPr="002125BD">
        <w:t xml:space="preserve"> 78. </w:t>
      </w:r>
    </w:p>
  </w:footnote>
  <w:footnote w:id="557">
    <w:p w14:paraId="6A042BC3" w14:textId="4C464AE8"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Microsoft/Skype</w:t>
      </w:r>
      <w:r w:rsidRPr="002125BD">
        <w:t xml:space="preserve"> decision, </w:t>
      </w:r>
      <w:r>
        <w:t>paras</w:t>
      </w:r>
      <w:r w:rsidRPr="002125BD">
        <w:t xml:space="preserve"> 121-122. </w:t>
      </w:r>
    </w:p>
  </w:footnote>
  <w:footnote w:id="558">
    <w:p w14:paraId="3D0FBE0B" w14:textId="3FB4870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Microsoft/Skype</w:t>
      </w:r>
      <w:r w:rsidRPr="002125BD">
        <w:t xml:space="preserve"> decision, </w:t>
      </w:r>
      <w:r>
        <w:t>paras</w:t>
      </w:r>
      <w:r w:rsidRPr="002125BD">
        <w:t xml:space="preserve"> 215-216. </w:t>
      </w:r>
    </w:p>
  </w:footnote>
  <w:footnote w:id="559">
    <w:p w14:paraId="1FFA7C8C" w14:textId="0BAC6B0A"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Microsoft/Skype</w:t>
      </w:r>
      <w:r w:rsidRPr="002125BD">
        <w:t xml:space="preserve"> decision, </w:t>
      </w:r>
      <w:r>
        <w:t>para</w:t>
      </w:r>
      <w:r w:rsidRPr="002125BD">
        <w:t xml:space="preserve"> 221. </w:t>
      </w:r>
    </w:p>
  </w:footnote>
  <w:footnote w:id="560">
    <w:p w14:paraId="6788C473" w14:textId="3E18B2A2"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According to the Commission, “</w:t>
      </w:r>
      <w:r w:rsidRPr="002125BD">
        <w:rPr>
          <w:lang w:val="en-US"/>
        </w:rPr>
        <w:t>Consumer communications apps are a fast-moving sector, where customers’ switching costs and barriers to entry/expansion are low. In this market any leading market position even if assisted by network effects is unlikely to be incontestable. (…) Also, competing consumer communications apps are able to grow despite network effects, both over time and following disruptions in the market (</w:t>
      </w:r>
      <w:r w:rsidRPr="002125BD">
        <w:rPr>
          <w:i/>
        </w:rPr>
        <w:t>Facebook/WhatsApp</w:t>
      </w:r>
      <w:r>
        <w:t xml:space="preserve"> decision,</w:t>
      </w:r>
      <w:r w:rsidRPr="002125BD">
        <w:t xml:space="preserve"> </w:t>
      </w:r>
      <w:r>
        <w:t>para</w:t>
      </w:r>
      <w:r w:rsidRPr="002125BD">
        <w:t xml:space="preserve"> 132)</w:t>
      </w:r>
      <w:r w:rsidRPr="002125BD">
        <w:rPr>
          <w:lang w:val="en-US"/>
        </w:rPr>
        <w:t>.</w:t>
      </w:r>
    </w:p>
  </w:footnote>
  <w:footnote w:id="561">
    <w:p w14:paraId="04E55575" w14:textId="19A93358"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w:t>
      </w:r>
      <w:r w:rsidRPr="002125BD">
        <w:rPr>
          <w:lang w:val="en-US"/>
        </w:rPr>
        <w:t>T]his means that, when customer try new consumer communications apps, users do not generally stop using the consumer communications apps they were previously using (</w:t>
      </w:r>
      <w:r w:rsidRPr="002125BD">
        <w:rPr>
          <w:i/>
        </w:rPr>
        <w:t>Facebook/WhatsApp</w:t>
      </w:r>
      <w:r w:rsidRPr="002125BD">
        <w:t xml:space="preserve"> decision, </w:t>
      </w:r>
      <w:r>
        <w:t>para</w:t>
      </w:r>
      <w:r w:rsidRPr="002125BD">
        <w:t xml:space="preserve"> 110). In other words, “</w:t>
      </w:r>
      <w:r w:rsidRPr="002125BD">
        <w:rPr>
          <w:lang w:val="en-US"/>
        </w:rPr>
        <w:t>the use of one consumer communications app (for example, of the merged entity) does not exclude the use of competing consumer communications apps by the same user (</w:t>
      </w:r>
      <w:r w:rsidRPr="002125BD">
        <w:rPr>
          <w:i/>
        </w:rPr>
        <w:t xml:space="preserve">Facebook/WhatsApp </w:t>
      </w:r>
      <w:r w:rsidRPr="002125BD">
        <w:t xml:space="preserve">decision, </w:t>
      </w:r>
      <w:r>
        <w:t>para</w:t>
      </w:r>
      <w:r w:rsidRPr="002125BD">
        <w:t xml:space="preserve"> 133)</w:t>
      </w:r>
      <w:r w:rsidRPr="002125BD">
        <w:rPr>
          <w:lang w:val="en-US"/>
        </w:rPr>
        <w:t>.</w:t>
      </w:r>
    </w:p>
  </w:footnote>
  <w:footnote w:id="562">
    <w:p w14:paraId="6D0C2FA2" w14:textId="6CC805C5"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[M]ulti-homing is facilitated by the ease of downloading a consumer communications app, which is generally free, easy to access and does not take up much capacity on a smartphone </w:t>
      </w:r>
      <w:r w:rsidRPr="002125BD">
        <w:rPr>
          <w:lang w:val="en-US"/>
        </w:rPr>
        <w:t>(</w:t>
      </w:r>
      <w:r w:rsidRPr="002125BD">
        <w:rPr>
          <w:i/>
        </w:rPr>
        <w:t xml:space="preserve">Facebook/WhatsApp </w:t>
      </w:r>
      <w:r w:rsidRPr="002125BD">
        <w:t xml:space="preserve">decision, </w:t>
      </w:r>
      <w:r>
        <w:t>para</w:t>
      </w:r>
      <w:r w:rsidRPr="002125BD">
        <w:t xml:space="preserve"> 133).</w:t>
      </w:r>
    </w:p>
  </w:footnote>
  <w:footnote w:id="563">
    <w:p w14:paraId="078C5AA8" w14:textId="5E5F6118"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Facebook/WhatsApp </w:t>
      </w:r>
      <w:r w:rsidRPr="002125BD">
        <w:t xml:space="preserve">decision, </w:t>
      </w:r>
      <w:r>
        <w:t>para</w:t>
      </w:r>
      <w:r w:rsidRPr="002125BD">
        <w:t xml:space="preserve"> 158.</w:t>
      </w:r>
    </w:p>
  </w:footnote>
  <w:footnote w:id="564">
    <w:p w14:paraId="2E7E9BCD" w14:textId="0C1CC97D"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Facebook/WhatsApp </w:t>
      </w:r>
      <w:r w:rsidRPr="002125BD">
        <w:t xml:space="preserve">decision, </w:t>
      </w:r>
      <w:r>
        <w:t>para</w:t>
      </w:r>
      <w:r w:rsidRPr="002125BD">
        <w:t xml:space="preserve"> 165.</w:t>
      </w:r>
    </w:p>
  </w:footnote>
  <w:footnote w:id="565">
    <w:p w14:paraId="4A2BC6DD" w14:textId="161F478F"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w:t>
      </w:r>
      <w:r w:rsidRPr="002125BD">
        <w:rPr>
          <w:i/>
        </w:rPr>
        <w:t xml:space="preserve">Facebook/WhatsApp </w:t>
      </w:r>
      <w:r w:rsidRPr="002125BD">
        <w:t xml:space="preserve">decision, </w:t>
      </w:r>
      <w:r>
        <w:t>para</w:t>
      </w:r>
      <w:r w:rsidRPr="002125BD">
        <w:t xml:space="preserve"> 189, reading</w:t>
      </w:r>
      <w:r>
        <w:t>;</w:t>
      </w:r>
      <w:r w:rsidRPr="002125BD">
        <w:t xml:space="preserve"> “</w:t>
      </w:r>
      <w:r>
        <w:t xml:space="preserve">The </w:t>
      </w:r>
      <w:r w:rsidRPr="002125BD">
        <w:t>Commission notes that, regardless of whether the merged entity will start using WhatsApp user data to improve targeted advertising on Facebook’s social network, there will continue to be a large amount of Internet user data that</w:t>
      </w:r>
      <w:r>
        <w:t xml:space="preserve"> is</w:t>
      </w:r>
      <w:r w:rsidRPr="002125BD">
        <w:t xml:space="preserve"> valuable for advertising purposes and that are not within Facebook’s exclusive control</w:t>
      </w:r>
      <w:r>
        <w:t>.”</w:t>
      </w:r>
    </w:p>
  </w:footnote>
  <w:footnote w:id="566">
    <w:p w14:paraId="0C78D964" w14:textId="2525411E"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Facebook/WhatsApp </w:t>
      </w:r>
      <w:r w:rsidRPr="002125BD">
        <w:t xml:space="preserve">decision, </w:t>
      </w:r>
      <w:r>
        <w:t>para</w:t>
      </w:r>
      <w:r w:rsidRPr="002125BD">
        <w:t xml:space="preserve"> 122.</w:t>
      </w:r>
    </w:p>
  </w:footnote>
  <w:footnote w:id="567">
    <w:p w14:paraId="13388149" w14:textId="49090646"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w:t>
      </w:r>
      <w:r w:rsidRPr="002125BD">
        <w:rPr>
          <w:i/>
        </w:rPr>
        <w:t xml:space="preserve">Facebook/WhatsApp </w:t>
      </w:r>
      <w:r w:rsidRPr="002125BD">
        <w:t xml:space="preserve">decision, </w:t>
      </w:r>
      <w:r>
        <w:t>para</w:t>
      </w:r>
      <w:r w:rsidRPr="002125BD">
        <w:t xml:space="preserve"> 123.</w:t>
      </w:r>
    </w:p>
  </w:footnote>
  <w:footnote w:id="568">
    <w:p w14:paraId="79C48A95" w14:textId="4A0AA4F6"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w:t>
      </w:r>
      <w:r w:rsidRPr="002125BD">
        <w:rPr>
          <w:i/>
        </w:rPr>
        <w:t xml:space="preserve">Facebook/WhatsApp </w:t>
      </w:r>
      <w:r w:rsidRPr="002125BD">
        <w:t xml:space="preserve">decision, </w:t>
      </w:r>
      <w:r>
        <w:t>paras</w:t>
      </w:r>
      <w:r w:rsidRPr="002125BD">
        <w:t xml:space="preserve"> 159-162. See also Vicente Bagnoli, </w:t>
      </w:r>
      <w:r>
        <w:t>‘</w:t>
      </w:r>
      <w:r w:rsidRPr="002125BD">
        <w:t>The big data relevant market as a tool: For a case by case analysis at the digital market</w:t>
      </w:r>
      <w:r>
        <w:t>’</w:t>
      </w:r>
      <w:r w:rsidRPr="002125BD">
        <w:t xml:space="preserve"> </w:t>
      </w:r>
      <w:r>
        <w:t>(</w:t>
      </w:r>
      <w:r w:rsidRPr="002125BD">
        <w:t>12</w:t>
      </w:r>
      <w:r w:rsidRPr="002125BD">
        <w:rPr>
          <w:vertAlign w:val="superscript"/>
        </w:rPr>
        <w:t>th</w:t>
      </w:r>
      <w:r w:rsidRPr="002125BD">
        <w:t xml:space="preserve"> Ascola Conference (Competiti</w:t>
      </w:r>
      <w:r>
        <w:t>on Law for the Digital Economy) 12 June 2017)</w:t>
      </w:r>
      <w:r w:rsidRPr="002125BD">
        <w:t>, 29-34 ˂</w:t>
      </w:r>
      <w:hyperlink r:id="rId13" w:history="1">
        <w:r w:rsidRPr="00084D3F">
          <w:t>https://ssrn.com/abstract=3064795</w:t>
        </w:r>
      </w:hyperlink>
      <w:r w:rsidRPr="002125BD">
        <w:t xml:space="preserve">˃ accessed </w:t>
      </w:r>
      <w:r>
        <w:t>9 October 2020</w:t>
      </w:r>
      <w:r w:rsidRPr="002125BD">
        <w:t>.</w:t>
      </w:r>
    </w:p>
  </w:footnote>
  <w:footnote w:id="569">
    <w:p w14:paraId="040577C2" w14:textId="39214661"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European Commission, Press Release, </w:t>
      </w:r>
      <w:r>
        <w:rPr>
          <w:lang w:val="en-US"/>
        </w:rPr>
        <w:t>‘</w:t>
      </w:r>
      <w:r w:rsidRPr="002125BD">
        <w:rPr>
          <w:lang w:val="en-US"/>
        </w:rPr>
        <w:t>Mergers: Commission fines Facebook €110 million for providing misleading information about WhatsApp takeover</w:t>
      </w:r>
      <w:r>
        <w:rPr>
          <w:lang w:val="en-US"/>
        </w:rPr>
        <w:t>’</w:t>
      </w:r>
      <w:r w:rsidRPr="002125BD">
        <w:rPr>
          <w:lang w:val="en-US"/>
        </w:rPr>
        <w:t>, 18 May 2017</w:t>
      </w:r>
      <w:r>
        <w:rPr>
          <w:lang w:val="en-US"/>
        </w:rPr>
        <w:t xml:space="preserve"> &lt;</w:t>
      </w:r>
      <w:r w:rsidRPr="00084D3F">
        <w:rPr>
          <w:lang w:val="en-US"/>
        </w:rPr>
        <w:t>https://europa.eu/rapid/press-release_IP-17-1369_en.htm</w:t>
      </w:r>
      <w:r>
        <w:rPr>
          <w:lang w:val="en-US"/>
        </w:rPr>
        <w:t>&gt; accessed 9 October 2020.</w:t>
      </w:r>
      <w:r w:rsidRPr="002125BD">
        <w:rPr>
          <w:lang w:val="en-US"/>
        </w:rPr>
        <w:t xml:space="preserve"> </w:t>
      </w:r>
    </w:p>
  </w:footnote>
  <w:footnote w:id="570">
    <w:p w14:paraId="60D00A3E" w14:textId="077B6B69"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Ibid.</w:t>
      </w:r>
    </w:p>
  </w:footnote>
  <w:footnote w:id="571">
    <w:p w14:paraId="2825D247" w14:textId="24D451FE"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Ibid.</w:t>
      </w:r>
    </w:p>
  </w:footnote>
  <w:footnote w:id="572">
    <w:p w14:paraId="4E00BAE5" w14:textId="005A559E"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Since the closure of </w:t>
      </w:r>
      <w:r>
        <w:t xml:space="preserve">the </w:t>
      </w:r>
      <w:r w:rsidRPr="002125BD">
        <w:rPr>
          <w:i/>
        </w:rPr>
        <w:t>Facebook/WhatsApp</w:t>
      </w:r>
      <w:r w:rsidRPr="002125BD">
        <w:t xml:space="preserve"> case with unconditional approval, the relationship between competition law and data protection re-emerged in three cases at the national level. In Italy the Autoria Grante della Concorrenza e del Mercato (AGCM) in May 2017 considered WhatsApp guilty for having forced its users to share their personal data with Facebook</w:t>
      </w:r>
      <w:r>
        <w:t>.</w:t>
      </w:r>
      <w:r w:rsidRPr="002125BD">
        <w:t xml:space="preserve"> </w:t>
      </w:r>
      <w:r>
        <w:t>W</w:t>
      </w:r>
      <w:r w:rsidRPr="002125BD">
        <w:t>hereas in Germany, Bundeskartellamt, after an investigation launched in March 2016, found that Facebook abused its dominant position in the social networks market, infringing data protection legislation via imposition of unfair unlawful terms and conditi</w:t>
      </w:r>
      <w:r>
        <w:t xml:space="preserve">ons towards users (Bagnoli (n 501) </w:t>
      </w:r>
      <w:r w:rsidRPr="002125BD">
        <w:t>30</w:t>
      </w:r>
      <w:r>
        <w:t>)</w:t>
      </w:r>
      <w:r w:rsidRPr="002125BD">
        <w:t xml:space="preserve">.    </w:t>
      </w:r>
    </w:p>
  </w:footnote>
  <w:footnote w:id="573">
    <w:p w14:paraId="0D0EB983" w14:textId="59532C2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See also Zhang (n 1</w:t>
      </w:r>
      <w:r>
        <w:t>48</w:t>
      </w:r>
      <w:r w:rsidRPr="002125BD">
        <w:t>) 92, reading</w:t>
      </w:r>
      <w:r>
        <w:t>;</w:t>
      </w:r>
      <w:r w:rsidRPr="002125BD">
        <w:t xml:space="preserve"> </w:t>
      </w:r>
      <w:r>
        <w:t>“</w:t>
      </w:r>
      <w:r w:rsidRPr="002125BD">
        <w:t>A real distinguishing feature the Commission could have focused on is that due to the rapidly changing nature of technology enabled markets, the way that consumers use personal computing technology has changed from what it was when WMP and IE were being considered”. As rightfully said by the author, consumers are increasingly using their tablets and smartphones and Windows is not the dominant operating systems on tablets and phones, that market instead belongs to Android and iOS, so even if Microsoft were incentivised to tie Skype to Windows and with the action of network effects, the competitive effect of this tie may be different to the tying of WMP and IE to Windows (Zhang (n 1</w:t>
      </w:r>
      <w:r>
        <w:t>48</w:t>
      </w:r>
      <w:r w:rsidRPr="002125BD">
        <w:t>) 92).</w:t>
      </w:r>
    </w:p>
  </w:footnote>
  <w:footnote w:id="574">
    <w:p w14:paraId="08EF93A9" w14:textId="551B3E12"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Case M.8124 - </w:t>
      </w:r>
      <w:r w:rsidRPr="002125BD">
        <w:rPr>
          <w:i/>
        </w:rPr>
        <w:t xml:space="preserve">Microsoft/LinkedIn </w:t>
      </w:r>
      <w:r w:rsidRPr="002125BD">
        <w:t xml:space="preserve">[2016] </w:t>
      </w:r>
      <w:r w:rsidRPr="002125BD">
        <w:rPr>
          <w:lang w:val="en-US"/>
        </w:rPr>
        <w:t>(</w:t>
      </w:r>
      <w:r>
        <w:rPr>
          <w:lang w:val="en-US"/>
        </w:rPr>
        <w:t>‘</w:t>
      </w:r>
      <w:r w:rsidRPr="002125BD">
        <w:rPr>
          <w:i/>
        </w:rPr>
        <w:t xml:space="preserve">Microsoft/LinkedIn </w:t>
      </w:r>
      <w:r w:rsidRPr="002125BD">
        <w:t>decision</w:t>
      </w:r>
      <w:r>
        <w:t>’</w:t>
      </w:r>
      <w:r w:rsidRPr="002125BD">
        <w:rPr>
          <w:lang w:val="en-US"/>
        </w:rPr>
        <w:t>).</w:t>
      </w:r>
    </w:p>
  </w:footnote>
  <w:footnote w:id="575">
    <w:p w14:paraId="6A006F4B" w14:textId="112909EA"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Microsoft/LinkedIn </w:t>
      </w:r>
      <w:r w:rsidRPr="002125BD">
        <w:t xml:space="preserve">decision, </w:t>
      </w:r>
      <w:r>
        <w:t>paras</w:t>
      </w:r>
      <w:r w:rsidRPr="002125BD">
        <w:t xml:space="preserve"> 179-180 and 192-193. </w:t>
      </w:r>
    </w:p>
  </w:footnote>
  <w:footnote w:id="576">
    <w:p w14:paraId="2DBA733A" w14:textId="6E6E1385"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Microsoft/LinkedIn </w:t>
      </w:r>
      <w:r w:rsidRPr="002125BD">
        <w:t>decision, para 302.</w:t>
      </w:r>
    </w:p>
  </w:footnote>
  <w:footnote w:id="577">
    <w:p w14:paraId="64E34FE2" w14:textId="0FEFDA6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Microsoft/LinkedIn </w:t>
      </w:r>
      <w:r w:rsidRPr="002125BD">
        <w:t xml:space="preserve">decision, </w:t>
      </w:r>
      <w:r>
        <w:t>para</w:t>
      </w:r>
      <w:r w:rsidRPr="002125BD">
        <w:t xml:space="preserve"> 304.   </w:t>
      </w:r>
    </w:p>
  </w:footnote>
  <w:footnote w:id="578">
    <w:p w14:paraId="7F7C8CCE" w14:textId="7F99F894"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Microsoft/LinkedIn </w:t>
      </w:r>
      <w:r w:rsidRPr="002125BD">
        <w:t xml:space="preserve">decision, </w:t>
      </w:r>
      <w:r>
        <w:t>paras</w:t>
      </w:r>
      <w:r w:rsidRPr="002125BD">
        <w:t xml:space="preserve"> 315-316.   </w:t>
      </w:r>
    </w:p>
  </w:footnote>
  <w:footnote w:id="579">
    <w:p w14:paraId="6832B6C4" w14:textId="50E24631"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Microsoft/LinkedIn </w:t>
      </w:r>
      <w:r w:rsidRPr="002125BD">
        <w:t xml:space="preserve">decision, </w:t>
      </w:r>
      <w:r>
        <w:t>para</w:t>
      </w:r>
      <w:r w:rsidRPr="002125BD">
        <w:t xml:space="preserve"> 320.   </w:t>
      </w:r>
    </w:p>
  </w:footnote>
  <w:footnote w:id="580">
    <w:p w14:paraId="7C9A67D3" w14:textId="23FB4496"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See </w:t>
      </w:r>
      <w:r w:rsidRPr="002125BD">
        <w:rPr>
          <w:i/>
        </w:rPr>
        <w:t xml:space="preserve">Microsoft/LinkedIn </w:t>
      </w:r>
      <w:r w:rsidRPr="002125BD">
        <w:t xml:space="preserve">decision, </w:t>
      </w:r>
      <w:r>
        <w:t>para</w:t>
      </w:r>
      <w:r w:rsidRPr="002125BD">
        <w:t xml:space="preserve"> 320.   </w:t>
      </w:r>
    </w:p>
  </w:footnote>
  <w:footnote w:id="581">
    <w:p w14:paraId="4A8DF5B3" w14:textId="3C069202"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Microsoft/LinkedIn </w:t>
      </w:r>
      <w:r w:rsidRPr="002125BD">
        <w:t xml:space="preserve">decision, </w:t>
      </w:r>
      <w:r>
        <w:t>para</w:t>
      </w:r>
      <w:r w:rsidRPr="002125BD">
        <w:t xml:space="preserve"> 328.   </w:t>
      </w:r>
    </w:p>
  </w:footnote>
  <w:footnote w:id="582">
    <w:p w14:paraId="4317AB2B" w14:textId="631C1DD5"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Microsoft/LinkedIn </w:t>
      </w:r>
      <w:r w:rsidRPr="002125BD">
        <w:t xml:space="preserve">decision, </w:t>
      </w:r>
      <w:r>
        <w:t>para</w:t>
      </w:r>
      <w:r w:rsidRPr="002125BD">
        <w:t xml:space="preserve"> 329.   </w:t>
      </w:r>
    </w:p>
  </w:footnote>
  <w:footnote w:id="583">
    <w:p w14:paraId="7E0E73F9" w14:textId="2F06A30A"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See</w:t>
      </w:r>
      <w:r>
        <w:t xml:space="preserve"> </w:t>
      </w:r>
      <w:r w:rsidRPr="002125BD">
        <w:rPr>
          <w:i/>
        </w:rPr>
        <w:t xml:space="preserve">Microsoft/LinkedIn </w:t>
      </w:r>
      <w:r w:rsidRPr="002125BD">
        <w:t xml:space="preserve">decision, </w:t>
      </w:r>
      <w:r>
        <w:t>para</w:t>
      </w:r>
      <w:r w:rsidRPr="002125BD">
        <w:t xml:space="preserve"> 330.   </w:t>
      </w:r>
    </w:p>
  </w:footnote>
  <w:footnote w:id="584">
    <w:p w14:paraId="0B84121E" w14:textId="573D530E"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Microsoft/LinkedIn </w:t>
      </w:r>
      <w:r w:rsidRPr="002125BD">
        <w:t xml:space="preserve">decision, </w:t>
      </w:r>
      <w:r>
        <w:t>para</w:t>
      </w:r>
      <w:r w:rsidRPr="002125BD">
        <w:t xml:space="preserve"> 345.   </w:t>
      </w:r>
    </w:p>
  </w:footnote>
  <w:footnote w:id="585">
    <w:p w14:paraId="64B7C9B6" w14:textId="66A823BD"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Federico Marini-Balestra and Riccardo Tremolada, </w:t>
      </w:r>
      <w:r>
        <w:t>‘</w:t>
      </w:r>
      <w:r w:rsidRPr="002125BD">
        <w:t xml:space="preserve">Digital markets and merger control: balancing big data and privacy against competition law – a comment on the European Commission’s decision in the </w:t>
      </w:r>
      <w:r w:rsidRPr="007B3DE9">
        <w:rPr>
          <w:i/>
          <w:iCs/>
        </w:rPr>
        <w:t>Microsoft/LinkedIn</w:t>
      </w:r>
      <w:r w:rsidRPr="002125BD">
        <w:t xml:space="preserve"> merger</w:t>
      </w:r>
      <w:r>
        <w:t>’</w:t>
      </w:r>
      <w:r w:rsidRPr="002125BD">
        <w:t xml:space="preserve"> [2017] 38(7)</w:t>
      </w:r>
      <w:r>
        <w:t xml:space="preserve"> </w:t>
      </w:r>
      <w:r w:rsidRPr="002125BD">
        <w:t>European Competition Law Review</w:t>
      </w:r>
      <w:r>
        <w:t xml:space="preserve"> 337,</w:t>
      </w:r>
      <w:r w:rsidRPr="002125BD">
        <w:t xml:space="preserve"> 341. See also </w:t>
      </w:r>
      <w:r w:rsidRPr="002125BD">
        <w:rPr>
          <w:i/>
        </w:rPr>
        <w:t xml:space="preserve">Microsoft/LinkedIn </w:t>
      </w:r>
      <w:r w:rsidRPr="002125BD">
        <w:t>decision, para 343.</w:t>
      </w:r>
    </w:p>
  </w:footnote>
  <w:footnote w:id="586">
    <w:p w14:paraId="7C97F5A4" w14:textId="5F17B4C9"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Microsoft/LinkedIn </w:t>
      </w:r>
      <w:r w:rsidRPr="002125BD">
        <w:t xml:space="preserve">decision, </w:t>
      </w:r>
      <w:r>
        <w:t>paras</w:t>
      </w:r>
      <w:r w:rsidRPr="002125BD">
        <w:t xml:space="preserve"> 414-417, 437.   </w:t>
      </w:r>
    </w:p>
  </w:footnote>
  <w:footnote w:id="587">
    <w:p w14:paraId="28BFF4CA" w14:textId="2B7F66FA"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rPr>
          <w:i/>
        </w:rPr>
        <w:t xml:space="preserve">Microsoft/LinkedIn </w:t>
      </w:r>
      <w:r w:rsidRPr="002125BD">
        <w:t xml:space="preserve">decision, </w:t>
      </w:r>
      <w:r>
        <w:t>paras</w:t>
      </w:r>
      <w:r w:rsidRPr="002125BD">
        <w:t xml:space="preserve"> 419-421, 438.   </w:t>
      </w:r>
    </w:p>
  </w:footnote>
  <w:footnote w:id="588">
    <w:p w14:paraId="671EADA4" w14:textId="66D15152" w:rsidR="005C0DC6" w:rsidRPr="00CF2648"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Michele Giannino, </w:t>
      </w:r>
      <w:r>
        <w:t>‘</w:t>
      </w:r>
      <w:r w:rsidRPr="002125BD">
        <w:t xml:space="preserve">The appraisal of mergers in high technology markets under the EU merger control regulation: from </w:t>
      </w:r>
      <w:r w:rsidRPr="00CF2648">
        <w:rPr>
          <w:i/>
        </w:rPr>
        <w:t xml:space="preserve">Microsoft/Skype </w:t>
      </w:r>
      <w:r w:rsidRPr="00CF2648">
        <w:t>to</w:t>
      </w:r>
      <w:r w:rsidRPr="00CF2648">
        <w:rPr>
          <w:i/>
        </w:rPr>
        <w:t xml:space="preserve"> Facebook/WhatsApp</w:t>
      </w:r>
      <w:r w:rsidRPr="00CF2648">
        <w:rPr>
          <w:lang w:val="en-US"/>
        </w:rPr>
        <w:t>’ (</w:t>
      </w:r>
      <w:r w:rsidRPr="00CF2648">
        <w:rPr>
          <w:i/>
          <w:iCs/>
          <w:lang w:val="en-US"/>
        </w:rPr>
        <w:t>SSRN</w:t>
      </w:r>
      <w:r w:rsidRPr="00CF2648">
        <w:rPr>
          <w:lang w:val="en-US"/>
        </w:rPr>
        <w:t xml:space="preserve">, 12 January 2015) 14-15 ˂https://ssrn.com/abstract=2548560˃ accessed </w:t>
      </w:r>
      <w:r>
        <w:rPr>
          <w:lang w:val="en-US"/>
        </w:rPr>
        <w:t>9 October 2020</w:t>
      </w:r>
      <w:r w:rsidRPr="00CF2648">
        <w:rPr>
          <w:lang w:val="en-US"/>
        </w:rPr>
        <w:t>.</w:t>
      </w:r>
    </w:p>
  </w:footnote>
  <w:footnote w:id="589">
    <w:p w14:paraId="1EF858A1" w14:textId="08E5FA84" w:rsidR="005C0DC6" w:rsidRPr="00CF2648" w:rsidRDefault="005C0DC6" w:rsidP="00A70042">
      <w:pPr>
        <w:pStyle w:val="FootnoteText"/>
        <w:ind w:left="426" w:hanging="426"/>
      </w:pPr>
      <w:r w:rsidRPr="00CF2648">
        <w:rPr>
          <w:rStyle w:val="FootnoteReference"/>
        </w:rPr>
        <w:footnoteRef/>
      </w:r>
      <w:r w:rsidRPr="00CF2648">
        <w:t xml:space="preserve"> </w:t>
      </w:r>
      <w:r>
        <w:tab/>
      </w:r>
      <w:r w:rsidRPr="00CF2648">
        <w:t xml:space="preserve">See supra note </w:t>
      </w:r>
      <w:r w:rsidRPr="00642141">
        <w:t>498</w:t>
      </w:r>
      <w:r w:rsidRPr="00CF2648">
        <w:t>.</w:t>
      </w:r>
    </w:p>
  </w:footnote>
  <w:footnote w:id="590">
    <w:p w14:paraId="386CC91E" w14:textId="46C83745" w:rsidR="005C0DC6" w:rsidRDefault="005C0DC6" w:rsidP="00A70042">
      <w:pPr>
        <w:pStyle w:val="FootnoteText"/>
        <w:ind w:left="426" w:hanging="426"/>
        <w:jc w:val="both"/>
      </w:pPr>
      <w:r w:rsidRPr="00CF2648">
        <w:rPr>
          <w:rStyle w:val="FootnoteReference"/>
        </w:rPr>
        <w:footnoteRef/>
      </w:r>
      <w:r w:rsidRPr="00CF2648">
        <w:t xml:space="preserve"> </w:t>
      </w:r>
      <w:r>
        <w:tab/>
      </w:r>
      <w:r w:rsidRPr="00CF2648">
        <w:t xml:space="preserve">In December 2009, the Commission </w:t>
      </w:r>
      <w:r>
        <w:t>accepted the</w:t>
      </w:r>
      <w:r w:rsidRPr="00CF2648">
        <w:t xml:space="preserve"> commitments</w:t>
      </w:r>
      <w:r>
        <w:t xml:space="preserve"> offered by Microsoft finding them capable </w:t>
      </w:r>
      <w:r w:rsidRPr="00CF2648">
        <w:t xml:space="preserve">to address competition concerns related to the tying of </w:t>
      </w:r>
      <w:r>
        <w:t>its</w:t>
      </w:r>
      <w:r w:rsidRPr="00CF2648">
        <w:t xml:space="preserve"> web browser, </w:t>
      </w:r>
      <w:r>
        <w:t>IE</w:t>
      </w:r>
      <w:r w:rsidRPr="00CF2648">
        <w:t>, to Windows. In this regard, the Comm</w:t>
      </w:r>
      <w:r>
        <w:t xml:space="preserve">ission considered Microsoft’s screen choice acceptable, as opposed to its previous </w:t>
      </w:r>
      <w:r w:rsidRPr="00924FFF">
        <w:t xml:space="preserve">decision in 2004. See Case COMP/39530, </w:t>
      </w:r>
      <w:r w:rsidRPr="00924FFF">
        <w:rPr>
          <w:i/>
          <w:iCs/>
        </w:rPr>
        <w:t>Microsoft</w:t>
      </w:r>
      <w:r w:rsidRPr="00924FFF">
        <w:t xml:space="preserve"> [2009] OJ C 45 (‘</w:t>
      </w:r>
      <w:r w:rsidRPr="00924FFF">
        <w:rPr>
          <w:i/>
          <w:iCs/>
        </w:rPr>
        <w:t>Microsoft Tying</w:t>
      </w:r>
      <w:r w:rsidRPr="00924FFF">
        <w:t>’ decision)</w:t>
      </w:r>
      <w:r>
        <w:t>.</w:t>
      </w:r>
    </w:p>
  </w:footnote>
  <w:footnote w:id="591">
    <w:p w14:paraId="406C5951" w14:textId="09FD3520"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It should however be noted that this scenario </w:t>
      </w:r>
      <w:r>
        <w:t xml:space="preserve">of </w:t>
      </w:r>
      <w:r w:rsidRPr="002125BD">
        <w:t>any impairment or degradability of ‘interoperability’ could hardly realise</w:t>
      </w:r>
      <w:r>
        <w:t>,</w:t>
      </w:r>
      <w:r w:rsidRPr="002125BD">
        <w:t xml:space="preserve"> as a dominant company’s withdrawal of interface information that w</w:t>
      </w:r>
      <w:r>
        <w:t>as</w:t>
      </w:r>
      <w:r w:rsidRPr="002125BD">
        <w:t xml:space="preserve"> already supplied to third parties would easily be challenged by </w:t>
      </w:r>
      <w:r>
        <w:t xml:space="preserve">the </w:t>
      </w:r>
      <w:r w:rsidRPr="002125BD">
        <w:t xml:space="preserve">European Courts as happened previously in </w:t>
      </w:r>
      <w:r>
        <w:t xml:space="preserve">the </w:t>
      </w:r>
      <w:r w:rsidRPr="002125BD">
        <w:rPr>
          <w:i/>
        </w:rPr>
        <w:t>Microsoft</w:t>
      </w:r>
      <w:r w:rsidRPr="002125BD">
        <w:t xml:space="preserve"> </w:t>
      </w:r>
      <w:r>
        <w:rPr>
          <w:i/>
        </w:rPr>
        <w:t>case</w:t>
      </w:r>
      <w:r w:rsidRPr="002125BD">
        <w:t>.</w:t>
      </w:r>
    </w:p>
  </w:footnote>
  <w:footnote w:id="592">
    <w:p w14:paraId="17AB54F7" w14:textId="7FC7C73F"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See Valentine Korah, </w:t>
      </w:r>
      <w:r w:rsidRPr="002C3FE5">
        <w:rPr>
          <w:i/>
          <w:iCs/>
        </w:rPr>
        <w:t>Intellectual Property Rights and the EC Competition Rules</w:t>
      </w:r>
      <w:r w:rsidRPr="002125BD">
        <w:t xml:space="preserve"> </w:t>
      </w:r>
      <w:r>
        <w:t>(</w:t>
      </w:r>
      <w:r w:rsidRPr="0013255C">
        <w:t>Hart Publishing</w:t>
      </w:r>
      <w:r w:rsidRPr="002125BD">
        <w:t xml:space="preserve"> 2006</w:t>
      </w:r>
      <w:r>
        <w:t>)</w:t>
      </w:r>
      <w:r w:rsidRPr="002125BD">
        <w:t xml:space="preserve"> 166, reading</w:t>
      </w:r>
      <w:r>
        <w:t>;</w:t>
      </w:r>
      <w:r w:rsidRPr="002125BD">
        <w:t xml:space="preserve"> “</w:t>
      </w:r>
      <w:r w:rsidRPr="002125BD">
        <w:rPr>
          <w:lang w:val="tr-TR"/>
        </w:rPr>
        <w:t>I</w:t>
      </w:r>
      <w:r w:rsidRPr="002125BD">
        <w:t xml:space="preserve"> would have liked to see a longer discussion of the earlier cases on refusal to supply or license and more economic theory. I would have liked the decision to have been based more clearly on the danger of the adjacent markets tipping in favour of Windows”. For the contrary views see </w:t>
      </w:r>
      <w:bookmarkStart w:id="457" w:name="_Hlk16377500"/>
      <w:r w:rsidRPr="002125BD">
        <w:rPr>
          <w:lang w:val="tr-TR"/>
        </w:rPr>
        <w:t xml:space="preserve">Michele Messina, </w:t>
      </w:r>
      <w:r>
        <w:rPr>
          <w:lang w:val="tr-TR"/>
        </w:rPr>
        <w:t>‘</w:t>
      </w:r>
      <w:r w:rsidRPr="002125BD">
        <w:rPr>
          <w:lang w:val="tr-TR"/>
        </w:rPr>
        <w:t>Article 82 and the New Economy: Need for Modernisation?</w:t>
      </w:r>
      <w:r>
        <w:rPr>
          <w:lang w:val="tr-TR"/>
        </w:rPr>
        <w:t>’</w:t>
      </w:r>
      <w:r w:rsidRPr="002125BD">
        <w:rPr>
          <w:lang w:val="tr-TR"/>
        </w:rPr>
        <w:t xml:space="preserve"> [2006] </w:t>
      </w:r>
      <w:r>
        <w:rPr>
          <w:lang w:val="tr-TR"/>
        </w:rPr>
        <w:t xml:space="preserve">2(2) </w:t>
      </w:r>
      <w:r w:rsidRPr="00D732E9">
        <w:rPr>
          <w:lang w:val="tr-TR"/>
        </w:rPr>
        <w:t>The Competition Law Review</w:t>
      </w:r>
      <w:r>
        <w:rPr>
          <w:lang w:val="tr-TR"/>
        </w:rPr>
        <w:t xml:space="preserve"> 73</w:t>
      </w:r>
      <w:r w:rsidRPr="002125BD">
        <w:rPr>
          <w:lang w:val="tr-TR"/>
        </w:rPr>
        <w:t>, 95.</w:t>
      </w:r>
    </w:p>
    <w:bookmarkEnd w:id="457"/>
  </w:footnote>
  <w:footnote w:id="593">
    <w:p w14:paraId="22E747B9" w14:textId="46D0DC4F"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 xml:space="preserve">For a discussion on how and why ICT firms </w:t>
      </w:r>
      <w:r w:rsidRPr="002125BD">
        <w:rPr>
          <w:rFonts w:eastAsiaTheme="minorHAnsi"/>
          <w:color w:val="000000"/>
        </w:rPr>
        <w:t>participate in standard</w:t>
      </w:r>
      <w:r>
        <w:rPr>
          <w:rFonts w:eastAsiaTheme="minorHAnsi"/>
          <w:color w:val="000000"/>
        </w:rPr>
        <w:t>isation</w:t>
      </w:r>
      <w:r w:rsidRPr="002125BD">
        <w:rPr>
          <w:rFonts w:eastAsiaTheme="minorHAnsi"/>
          <w:color w:val="000000"/>
        </w:rPr>
        <w:t xml:space="preserve"> </w:t>
      </w:r>
      <w:r>
        <w:rPr>
          <w:rFonts w:eastAsiaTheme="minorHAnsi"/>
          <w:color w:val="000000"/>
        </w:rPr>
        <w:t xml:space="preserve">processes </w:t>
      </w:r>
      <w:r w:rsidRPr="002125BD">
        <w:rPr>
          <w:rFonts w:eastAsiaTheme="minorHAnsi"/>
          <w:color w:val="000000"/>
        </w:rPr>
        <w:t xml:space="preserve">and how different </w:t>
      </w:r>
      <w:r>
        <w:rPr>
          <w:rFonts w:eastAsiaTheme="minorHAnsi"/>
          <w:color w:val="000000"/>
        </w:rPr>
        <w:t>standards</w:t>
      </w:r>
      <w:r w:rsidRPr="002125BD">
        <w:rPr>
          <w:rFonts w:eastAsiaTheme="minorHAnsi"/>
          <w:color w:val="000000"/>
        </w:rPr>
        <w:t xml:space="preserve"> </w:t>
      </w:r>
      <w:r>
        <w:rPr>
          <w:rFonts w:eastAsiaTheme="minorHAnsi"/>
          <w:color w:val="000000"/>
        </w:rPr>
        <w:t>are forged based upon various tools and tactical factors pursued by the participants</w:t>
      </w:r>
      <w:r w:rsidRPr="002125BD">
        <w:rPr>
          <w:rFonts w:eastAsiaTheme="minorHAnsi"/>
          <w:color w:val="000000"/>
        </w:rPr>
        <w:t xml:space="preserve">, see </w:t>
      </w:r>
      <w:r w:rsidRPr="002125BD">
        <w:t xml:space="preserve">Kai Jacobs, </w:t>
      </w:r>
      <w:r>
        <w:t>‘</w:t>
      </w:r>
      <w:r w:rsidRPr="002125BD">
        <w:t>Corporate standardization, management and innovation</w:t>
      </w:r>
      <w:r>
        <w:t>’</w:t>
      </w:r>
      <w:r w:rsidRPr="002125BD">
        <w:t xml:space="preserve"> in R</w:t>
      </w:r>
      <w:r>
        <w:t>ichard</w:t>
      </w:r>
      <w:r w:rsidRPr="002125BD">
        <w:t xml:space="preserve"> Hawkins, K</w:t>
      </w:r>
      <w:r>
        <w:t>nut</w:t>
      </w:r>
      <w:r w:rsidRPr="002125BD">
        <w:t xml:space="preserve"> Blind, R</w:t>
      </w:r>
      <w:r>
        <w:t>obert</w:t>
      </w:r>
      <w:r w:rsidRPr="002125BD">
        <w:t xml:space="preserve"> Page (eds), </w:t>
      </w:r>
      <w:r w:rsidRPr="000346B1">
        <w:rPr>
          <w:i/>
          <w:iCs/>
        </w:rPr>
        <w:t>Handbook on Innovation and standards</w:t>
      </w:r>
      <w:r w:rsidRPr="002125BD">
        <w:t xml:space="preserve"> (Edward Elgar 2017) 377-397. </w:t>
      </w:r>
    </w:p>
  </w:footnote>
  <w:footnote w:id="594">
    <w:p w14:paraId="1DB73C55" w14:textId="784EE012" w:rsidR="005C0DC6" w:rsidRPr="000346B1" w:rsidRDefault="005C0DC6" w:rsidP="00A70042">
      <w:pPr>
        <w:pStyle w:val="FootnoteText"/>
        <w:ind w:left="426" w:hanging="426"/>
        <w:jc w:val="both"/>
      </w:pPr>
      <w:r w:rsidRPr="002125BD">
        <w:rPr>
          <w:rStyle w:val="FootnoteReference"/>
        </w:rPr>
        <w:footnoteRef/>
      </w:r>
      <w:r w:rsidRPr="002125BD">
        <w:t xml:space="preserve"> </w:t>
      </w:r>
      <w:r>
        <w:tab/>
      </w:r>
      <w:r w:rsidRPr="000346B1">
        <w:t>See also</w:t>
      </w:r>
      <w:r>
        <w:t xml:space="preserve"> the section ‘7.2.4.2. Interoperability in the IoT ecosystems’</w:t>
      </w:r>
      <w:r w:rsidRPr="000346B1">
        <w:t>.</w:t>
      </w:r>
    </w:p>
  </w:footnote>
  <w:footnote w:id="595">
    <w:p w14:paraId="7C27C590" w14:textId="504BA37F" w:rsidR="005C0DC6" w:rsidRDefault="005C0DC6" w:rsidP="00B24620">
      <w:pPr>
        <w:pStyle w:val="FootnoteText"/>
        <w:ind w:left="426" w:hanging="426"/>
        <w:jc w:val="both"/>
      </w:pPr>
      <w:r>
        <w:rPr>
          <w:rStyle w:val="FootnoteReference"/>
        </w:rPr>
        <w:footnoteRef/>
      </w:r>
      <w:r>
        <w:t xml:space="preserve"> </w:t>
      </w:r>
      <w:r>
        <w:tab/>
        <w:t>Perzanowski (n 40) 113.</w:t>
      </w:r>
    </w:p>
  </w:footnote>
  <w:footnote w:id="596">
    <w:p w14:paraId="3578CCE9" w14:textId="3319FCC7" w:rsidR="005C0DC6" w:rsidRDefault="005C0DC6" w:rsidP="00F957A2">
      <w:pPr>
        <w:pStyle w:val="FootnoteText"/>
        <w:ind w:left="426" w:hanging="426"/>
      </w:pPr>
      <w:r w:rsidRPr="000346B1">
        <w:rPr>
          <w:rStyle w:val="FootnoteReference"/>
        </w:rPr>
        <w:footnoteRef/>
      </w:r>
      <w:r w:rsidRPr="000346B1">
        <w:t xml:space="preserve"> </w:t>
      </w:r>
      <w:r>
        <w:tab/>
      </w:r>
      <w:r w:rsidRPr="000346B1">
        <w:t>See supra</w:t>
      </w:r>
      <w:r>
        <w:t xml:space="preserve"> note </w:t>
      </w:r>
      <w:r w:rsidRPr="00642141">
        <w:t>500</w:t>
      </w:r>
      <w:r w:rsidRPr="000346B1">
        <w:t>.</w:t>
      </w:r>
      <w:r>
        <w:t xml:space="preserve"> </w:t>
      </w:r>
    </w:p>
  </w:footnote>
  <w:footnote w:id="597">
    <w:p w14:paraId="1A6A1D80" w14:textId="3C1DA6D1"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rPr>
          <w:lang w:val="en-US"/>
        </w:rPr>
        <w:t xml:space="preserve">Unver (n </w:t>
      </w:r>
      <w:r>
        <w:rPr>
          <w:lang w:val="en-US"/>
        </w:rPr>
        <w:t>30</w:t>
      </w:r>
      <w:r w:rsidRPr="002125BD">
        <w:rPr>
          <w:lang w:val="en-US"/>
        </w:rPr>
        <w:t>) 113;</w:t>
      </w:r>
      <w:r w:rsidRPr="002125BD">
        <w:t xml:space="preserve"> Weston (n </w:t>
      </w:r>
      <w:r>
        <w:t>13</w:t>
      </w:r>
      <w:r w:rsidRPr="002125BD">
        <w:t>) 189.</w:t>
      </w:r>
    </w:p>
  </w:footnote>
  <w:footnote w:id="598">
    <w:p w14:paraId="73FA7696" w14:textId="589580E2"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2125BD">
        <w:t xml:space="preserve">Hoehn and Lewis (n </w:t>
      </w:r>
      <w:r>
        <w:t>541</w:t>
      </w:r>
      <w:r w:rsidRPr="002125BD">
        <w:t>) 107-9.</w:t>
      </w:r>
    </w:p>
  </w:footnote>
  <w:footnote w:id="599">
    <w:p w14:paraId="6AA45672" w14:textId="39EF4206" w:rsidR="005C0DC6" w:rsidRPr="00762167" w:rsidRDefault="005C0DC6" w:rsidP="00A70042">
      <w:pPr>
        <w:pStyle w:val="FootnoteText"/>
        <w:ind w:left="426" w:hanging="426"/>
        <w:jc w:val="both"/>
      </w:pPr>
      <w:r w:rsidRPr="002125BD">
        <w:rPr>
          <w:rStyle w:val="FootnoteReference"/>
        </w:rPr>
        <w:footnoteRef/>
      </w:r>
      <w:r w:rsidRPr="002125BD">
        <w:t xml:space="preserve"> </w:t>
      </w:r>
      <w:r>
        <w:tab/>
      </w:r>
      <w:r w:rsidRPr="00762167">
        <w:t>This is particularly convincing as structural and behavioural aspects increasingly meet in ICT markets and behavioural solutions tend to have more structural characteristics in effect</w:t>
      </w:r>
      <w:r>
        <w:t xml:space="preserve"> (</w:t>
      </w:r>
      <w:r w:rsidRPr="002125BD">
        <w:rPr>
          <w:lang w:val="en-US"/>
        </w:rPr>
        <w:t xml:space="preserve">See also A. Van Rooijen, </w:t>
      </w:r>
      <w:r>
        <w:rPr>
          <w:lang w:val="en-US"/>
        </w:rPr>
        <w:t>‘</w:t>
      </w:r>
      <w:r w:rsidRPr="002125BD">
        <w:rPr>
          <w:lang w:val="en-US"/>
        </w:rPr>
        <w:t xml:space="preserve">Devising </w:t>
      </w:r>
      <w:r>
        <w:rPr>
          <w:lang w:val="en-US"/>
        </w:rPr>
        <w:t>Ex ante</w:t>
      </w:r>
      <w:r w:rsidRPr="002125BD">
        <w:rPr>
          <w:lang w:val="en-US"/>
        </w:rPr>
        <w:t xml:space="preserve"> Interoperability Rules: Lessons from the Court of First Instance’s Microsoft Judgment</w:t>
      </w:r>
      <w:r>
        <w:rPr>
          <w:lang w:val="en-US"/>
        </w:rPr>
        <w:t>’</w:t>
      </w:r>
      <w:r w:rsidRPr="002125BD">
        <w:rPr>
          <w:lang w:val="en-US"/>
        </w:rPr>
        <w:t xml:space="preserve"> [2011] 14</w:t>
      </w:r>
      <w:r>
        <w:rPr>
          <w:lang w:val="en-US"/>
        </w:rPr>
        <w:t xml:space="preserve"> </w:t>
      </w:r>
      <w:r w:rsidRPr="0013255C">
        <w:rPr>
          <w:lang w:val="en-US"/>
        </w:rPr>
        <w:t>International Journal of Communications Law &amp; Policy</w:t>
      </w:r>
      <w:r>
        <w:rPr>
          <w:lang w:val="en-US"/>
        </w:rPr>
        <w:t xml:space="preserve"> 1</w:t>
      </w:r>
      <w:r w:rsidRPr="002125BD">
        <w:rPr>
          <w:lang w:val="en-US"/>
        </w:rPr>
        <w:t>, 2-3, reading</w:t>
      </w:r>
      <w:r>
        <w:rPr>
          <w:lang w:val="en-US"/>
        </w:rPr>
        <w:t>;</w:t>
      </w:r>
      <w:r w:rsidRPr="002125BD">
        <w:rPr>
          <w:lang w:val="en-US"/>
        </w:rPr>
        <w:t xml:space="preserve"> </w:t>
      </w:r>
      <w:r w:rsidRPr="002125BD">
        <w:t>“Although all the specific facts of a case can be taken into account under Article 102 T</w:t>
      </w:r>
      <w:r>
        <w:t>F</w:t>
      </w:r>
      <w:r w:rsidRPr="002125BD">
        <w:t xml:space="preserve">EU procedure and it is thus very flexible, a more structural regime may be welcome to ensure that the benefits of interoperability are reaped on a broader scale”. </w:t>
      </w:r>
      <w:r w:rsidRPr="002125BD">
        <w:rPr>
          <w:lang w:val="en-US"/>
        </w:rPr>
        <w:t xml:space="preserve"> </w:t>
      </w:r>
    </w:p>
  </w:footnote>
  <w:footnote w:id="600">
    <w:p w14:paraId="3D953A4B" w14:textId="6A322ADE" w:rsidR="005C0DC6" w:rsidRPr="00A762F7" w:rsidRDefault="005C0DC6" w:rsidP="00A70042">
      <w:pPr>
        <w:pStyle w:val="FootnoteText"/>
        <w:ind w:left="426" w:hanging="426"/>
        <w:jc w:val="both"/>
        <w:rPr>
          <w:lang w:val="en-US"/>
        </w:rPr>
      </w:pPr>
      <w:r w:rsidRPr="00A762F7">
        <w:rPr>
          <w:rStyle w:val="FootnoteReference"/>
        </w:rPr>
        <w:footnoteRef/>
      </w:r>
      <w:r w:rsidRPr="00A762F7">
        <w:rPr>
          <w:lang w:val="en-US"/>
        </w:rPr>
        <w:t xml:space="preserve"> </w:t>
      </w:r>
      <w:r>
        <w:rPr>
          <w:lang w:val="en-US"/>
        </w:rPr>
        <w:tab/>
      </w:r>
      <w:r w:rsidRPr="00A762F7">
        <w:rPr>
          <w:lang w:val="en-US"/>
        </w:rPr>
        <w:t>‘Natural monopoly’ means a situation in which any amount of output is always produced more cheaply by a single firm: the cost of production is lowest when one firm serves the entire market (Daniel F. Spulber,</w:t>
      </w:r>
      <w:r>
        <w:rPr>
          <w:lang w:val="en-US"/>
        </w:rPr>
        <w:t xml:space="preserve"> ‘Competition Policy in Telecommunications’</w:t>
      </w:r>
      <w:r w:rsidRPr="00A762F7">
        <w:rPr>
          <w:lang w:val="en-US"/>
        </w:rPr>
        <w:t xml:space="preserve"> </w:t>
      </w:r>
      <w:r>
        <w:rPr>
          <w:lang w:val="en-US"/>
        </w:rPr>
        <w:t xml:space="preserve">in  </w:t>
      </w:r>
      <w:r w:rsidRPr="00A762F7">
        <w:rPr>
          <w:lang w:val="en-US"/>
        </w:rPr>
        <w:t>M. Cave, Sumit K. Majumdar</w:t>
      </w:r>
      <w:r>
        <w:rPr>
          <w:lang w:val="en-US"/>
        </w:rPr>
        <w:t xml:space="preserve"> and</w:t>
      </w:r>
      <w:r w:rsidRPr="00A762F7">
        <w:rPr>
          <w:lang w:val="en-US"/>
        </w:rPr>
        <w:t xml:space="preserve"> I. Vogelsang</w:t>
      </w:r>
      <w:r>
        <w:rPr>
          <w:lang w:val="en-US"/>
        </w:rPr>
        <w:t xml:space="preserve"> </w:t>
      </w:r>
      <w:r w:rsidRPr="00A762F7">
        <w:rPr>
          <w:lang w:val="en-US"/>
        </w:rPr>
        <w:t>(</w:t>
      </w:r>
      <w:r>
        <w:rPr>
          <w:lang w:val="en-US"/>
        </w:rPr>
        <w:t xml:space="preserve">eds), </w:t>
      </w:r>
      <w:r w:rsidRPr="002E7871">
        <w:rPr>
          <w:i/>
          <w:iCs/>
          <w:lang w:val="en-US"/>
        </w:rPr>
        <w:t>Handbook of Telecommunications Economics</w:t>
      </w:r>
      <w:r w:rsidRPr="00A762F7">
        <w:rPr>
          <w:lang w:val="en-US"/>
        </w:rPr>
        <w:t xml:space="preserve"> </w:t>
      </w:r>
      <w:r>
        <w:rPr>
          <w:lang w:val="en-US"/>
        </w:rPr>
        <w:t>(</w:t>
      </w:r>
      <w:r w:rsidRPr="00A762F7">
        <w:rPr>
          <w:lang w:val="en-US"/>
        </w:rPr>
        <w:t>Elsevier Science B. V. 2002</w:t>
      </w:r>
      <w:r>
        <w:rPr>
          <w:lang w:val="en-US"/>
        </w:rPr>
        <w:t>)</w:t>
      </w:r>
      <w:r w:rsidRPr="00A762F7">
        <w:rPr>
          <w:lang w:val="en-US"/>
        </w:rPr>
        <w:t xml:space="preserve"> 486-7). It is acknowledged that in natural monopoly industries that denote scale and scope economies, a firm is presumed to construct and operate the underlying networks more efficiently, e.g. with lower costs, than it would be with more than one </w:t>
      </w:r>
      <w:r>
        <w:rPr>
          <w:lang w:val="en-US"/>
        </w:rPr>
        <w:t>firm</w:t>
      </w:r>
      <w:r w:rsidRPr="00A762F7">
        <w:rPr>
          <w:lang w:val="en-US"/>
        </w:rPr>
        <w:t>.</w:t>
      </w:r>
    </w:p>
  </w:footnote>
  <w:footnote w:id="601">
    <w:p w14:paraId="20EA11C9" w14:textId="21A3722C"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Ibid. </w:t>
      </w:r>
    </w:p>
  </w:footnote>
  <w:footnote w:id="602">
    <w:p w14:paraId="4EB90AE2" w14:textId="629FFF7E"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This fact is enunciated as follows under the </w:t>
      </w:r>
      <w:r>
        <w:t xml:space="preserve">Commission’s </w:t>
      </w:r>
      <w:r w:rsidRPr="00A762F7">
        <w:t>1998 Access Notice:</w:t>
      </w:r>
    </w:p>
    <w:p w14:paraId="42BD20A4" w14:textId="55A8BFF0" w:rsidR="005C0DC6" w:rsidRDefault="005C0DC6" w:rsidP="002759C3">
      <w:pPr>
        <w:pStyle w:val="FootnoteText"/>
        <w:ind w:left="992" w:right="567"/>
        <w:jc w:val="both"/>
      </w:pPr>
      <w:r w:rsidRPr="00A762F7">
        <w:t>The mere ending of legal monopolies does not put an end to dominance. Indeed, notwithstanding the liberalisation Directives, the development of effective competition from alternative network providers with adequate capacity and geographic reach will take time</w:t>
      </w:r>
      <w:r>
        <w:t xml:space="preserve"> (</w:t>
      </w:r>
      <w:r w:rsidRPr="00923EB3">
        <w:t>Commission Notice on Application of Competition Rules to Access Agreements in the Telecommunications Sector [1998] OJ C 265/02</w:t>
      </w:r>
      <w:r>
        <w:t>,</w:t>
      </w:r>
    </w:p>
    <w:p w14:paraId="2BE36927" w14:textId="45D84BDB" w:rsidR="005C0DC6" w:rsidRPr="00A762F7" w:rsidRDefault="005C0DC6" w:rsidP="00A70042">
      <w:pPr>
        <w:pStyle w:val="FootnoteText"/>
        <w:ind w:left="851" w:right="720"/>
        <w:jc w:val="both"/>
      </w:pPr>
      <w:r>
        <w:t>recital 64).</w:t>
      </w:r>
      <w:r w:rsidRPr="00A762F7">
        <w:t xml:space="preserve"> </w:t>
      </w:r>
    </w:p>
  </w:footnote>
  <w:footnote w:id="603">
    <w:p w14:paraId="4E45C9F8" w14:textId="74843636" w:rsidR="005C0DC6" w:rsidRPr="00A762F7" w:rsidRDefault="005C0DC6" w:rsidP="00A70042">
      <w:pPr>
        <w:pStyle w:val="FootnoteText"/>
        <w:ind w:left="426" w:hanging="426"/>
        <w:jc w:val="both"/>
      </w:pPr>
      <w:r w:rsidRPr="00A762F7">
        <w:rPr>
          <w:rStyle w:val="FootnoteReference"/>
        </w:rPr>
        <w:footnoteRef/>
      </w:r>
      <w:r w:rsidRPr="00A762F7">
        <w:t xml:space="preserve"> </w:t>
      </w:r>
      <w:r>
        <w:tab/>
        <w:t xml:space="preserve">European </w:t>
      </w:r>
      <w:r w:rsidRPr="00A762F7">
        <w:t>Commission, Towards a Dynamic European Economy: Green Paper on the development of a Common Market for Telecommunications Services and Equipment</w:t>
      </w:r>
      <w:r>
        <w:t xml:space="preserve"> [1987]</w:t>
      </w:r>
      <w:r w:rsidRPr="00A762F7">
        <w:t xml:space="preserve"> COM</w:t>
      </w:r>
      <w:r>
        <w:t xml:space="preserve"> </w:t>
      </w:r>
      <w:r w:rsidRPr="00A762F7">
        <w:t>(87)290</w:t>
      </w:r>
      <w:r>
        <w:t xml:space="preserve"> (‘</w:t>
      </w:r>
      <w:r w:rsidRPr="00A762F7">
        <w:t>1987 Green Paper</w:t>
      </w:r>
      <w:r>
        <w:t>’)</w:t>
      </w:r>
      <w:r w:rsidRPr="00A762F7">
        <w:t>.</w:t>
      </w:r>
    </w:p>
  </w:footnote>
  <w:footnote w:id="604">
    <w:p w14:paraId="66620FE6" w14:textId="0F20B5E6" w:rsidR="005C0DC6" w:rsidRPr="00A762F7" w:rsidRDefault="005C0DC6" w:rsidP="00A70042">
      <w:pPr>
        <w:pStyle w:val="FootnoteText"/>
        <w:ind w:left="426" w:hanging="426"/>
        <w:jc w:val="both"/>
      </w:pPr>
      <w:r w:rsidRPr="00A762F7">
        <w:rPr>
          <w:rStyle w:val="FootnoteReference"/>
          <w:rFonts w:eastAsiaTheme="majorEastAsia"/>
        </w:rPr>
        <w:footnoteRef/>
      </w:r>
      <w:r w:rsidRPr="00A762F7">
        <w:t xml:space="preserve"> </w:t>
      </w:r>
      <w:r>
        <w:tab/>
      </w:r>
      <w:r w:rsidRPr="00A762F7">
        <w:t xml:space="preserve">Council Resolution of </w:t>
      </w:r>
      <w:smartTag w:uri="urn:schemas-microsoft-com:office:smarttags" w:element="date">
        <w:smartTagPr>
          <w:attr w:name="Month" w:val="6"/>
          <w:attr w:name="Day" w:val="30"/>
          <w:attr w:name="Year" w:val="1988"/>
        </w:smartTagPr>
        <w:r w:rsidRPr="00A762F7">
          <w:t>30 June 1988</w:t>
        </w:r>
      </w:smartTag>
      <w:r w:rsidRPr="00A762F7">
        <w:t xml:space="preserve"> on the development of the common market for telecommunications services and equipment up to 1992 [1988] OJ C 257/1.</w:t>
      </w:r>
    </w:p>
  </w:footnote>
  <w:footnote w:id="605">
    <w:p w14:paraId="5B08DE78" w14:textId="74EEEAD4" w:rsidR="005C0DC6" w:rsidRPr="00A762F7" w:rsidRDefault="005C0DC6" w:rsidP="00A70042">
      <w:pPr>
        <w:pStyle w:val="FootnoteText"/>
        <w:ind w:left="426" w:hanging="426"/>
        <w:jc w:val="both"/>
      </w:pPr>
      <w:r w:rsidRPr="00A762F7">
        <w:rPr>
          <w:rStyle w:val="FootnoteReference"/>
          <w:rFonts w:eastAsiaTheme="majorEastAsia"/>
        </w:rPr>
        <w:footnoteRef/>
      </w:r>
      <w:r w:rsidRPr="00A762F7">
        <w:t xml:space="preserve"> </w:t>
      </w:r>
      <w:r>
        <w:tab/>
        <w:t xml:space="preserve">European Commission, </w:t>
      </w:r>
      <w:r w:rsidRPr="00A762F7">
        <w:t>Commission Directive</w:t>
      </w:r>
      <w:r>
        <w:t xml:space="preserve"> (EU)</w:t>
      </w:r>
      <w:r w:rsidRPr="00A762F7">
        <w:t xml:space="preserve"> 88/301 of </w:t>
      </w:r>
      <w:smartTag w:uri="urn:schemas-microsoft-com:office:smarttags" w:element="date">
        <w:smartTagPr>
          <w:attr w:name="Year" w:val="1988"/>
          <w:attr w:name="Day" w:val="16"/>
          <w:attr w:name="Month" w:val="5"/>
        </w:smartTagPr>
        <w:r w:rsidRPr="00A762F7">
          <w:t>16 May 1988</w:t>
        </w:r>
      </w:smartTag>
      <w:r w:rsidRPr="00A762F7">
        <w:t xml:space="preserve"> on competition in the markets in telecommunications terminal equipment</w:t>
      </w:r>
      <w:r>
        <w:t xml:space="preserve"> [1988]</w:t>
      </w:r>
      <w:r w:rsidRPr="00A762F7">
        <w:t xml:space="preserve"> OJ 1988 L 131/73.</w:t>
      </w:r>
    </w:p>
  </w:footnote>
  <w:footnote w:id="606">
    <w:p w14:paraId="7E4B7B5B" w14:textId="0CB3C2A7" w:rsidR="005C0DC6" w:rsidRPr="00A762F7" w:rsidRDefault="005C0DC6" w:rsidP="00A70042">
      <w:pPr>
        <w:pStyle w:val="FootnoteText"/>
        <w:ind w:left="426" w:hanging="426"/>
        <w:jc w:val="both"/>
      </w:pPr>
      <w:r w:rsidRPr="00A762F7">
        <w:rPr>
          <w:rStyle w:val="FootnoteReference"/>
          <w:rFonts w:eastAsiaTheme="majorEastAsia"/>
        </w:rPr>
        <w:footnoteRef/>
      </w:r>
      <w:r w:rsidRPr="00A762F7">
        <w:t xml:space="preserve"> </w:t>
      </w:r>
      <w:r>
        <w:tab/>
        <w:t xml:space="preserve">European Commission, </w:t>
      </w:r>
      <w:r w:rsidRPr="00A762F7">
        <w:t>Commission Directive</w:t>
      </w:r>
      <w:r>
        <w:t xml:space="preserve"> (EU)</w:t>
      </w:r>
      <w:r w:rsidRPr="00A762F7">
        <w:t xml:space="preserve"> 90/388 of </w:t>
      </w:r>
      <w:smartTag w:uri="urn:schemas-microsoft-com:office:smarttags" w:element="date">
        <w:smartTagPr>
          <w:attr w:name="Year" w:val="1990"/>
          <w:attr w:name="Day" w:val="28"/>
          <w:attr w:name="Month" w:val="6"/>
        </w:smartTagPr>
        <w:r w:rsidRPr="00A762F7">
          <w:t>28 June 1990</w:t>
        </w:r>
      </w:smartTag>
      <w:r w:rsidRPr="00A762F7">
        <w:t xml:space="preserve"> on competition in the markets for telecommunications services</w:t>
      </w:r>
      <w:r>
        <w:t xml:space="preserve"> [1990]</w:t>
      </w:r>
      <w:r w:rsidRPr="00A762F7">
        <w:t xml:space="preserve"> OJ 1990 L 192/10. </w:t>
      </w:r>
    </w:p>
  </w:footnote>
  <w:footnote w:id="607">
    <w:p w14:paraId="30C84320" w14:textId="673F290D"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Court of Justice, Judgement of the Court of 19 March 1991 in </w:t>
      </w:r>
      <w:r w:rsidRPr="00A762F7">
        <w:rPr>
          <w:i/>
        </w:rPr>
        <w:t>Case C-202/88: French Republic v Commission of the European Communities – Competition in the markets in telecommunications terminal equipment</w:t>
      </w:r>
      <w:r w:rsidRPr="00A762F7">
        <w:t>, [1991] ECR-I-01223; Court of Justice, Judgement of the Court o</w:t>
      </w:r>
      <w:r>
        <w:t>n</w:t>
      </w:r>
      <w:r w:rsidRPr="00A762F7">
        <w:t xml:space="preserve"> 17 November 1992 in Joined </w:t>
      </w:r>
      <w:r w:rsidRPr="00A762F7">
        <w:rPr>
          <w:i/>
        </w:rPr>
        <w:t>Cases C-271, C-281/90 and C-289/90: Kingdom of Spain, Kingdom of Belgium and Italian Republic v Commission of the European Communities – Competition in the markets for telecommunications services</w:t>
      </w:r>
      <w:r w:rsidRPr="00A762F7">
        <w:t xml:space="preserve">, [1992] ECR I-05833. </w:t>
      </w:r>
    </w:p>
  </w:footnote>
  <w:footnote w:id="608">
    <w:p w14:paraId="0DC40037" w14:textId="7D16D440" w:rsidR="005C0DC6" w:rsidRPr="00A762F7" w:rsidRDefault="005C0DC6" w:rsidP="00A70042">
      <w:pPr>
        <w:pStyle w:val="FootnoteText"/>
        <w:ind w:left="426" w:hanging="426"/>
        <w:jc w:val="both"/>
      </w:pPr>
      <w:r w:rsidRPr="00A762F7">
        <w:rPr>
          <w:rStyle w:val="FootnoteReference"/>
        </w:rPr>
        <w:footnoteRef/>
      </w:r>
      <w:r>
        <w:t xml:space="preserve"> </w:t>
      </w:r>
      <w:r>
        <w:tab/>
      </w:r>
      <w:r w:rsidRPr="00A762F7">
        <w:t xml:space="preserve">Athanasios Psygkas, </w:t>
      </w:r>
      <w:r w:rsidRPr="00D523A0">
        <w:rPr>
          <w:i/>
          <w:iCs/>
        </w:rPr>
        <w:t>From the “Democratic Deficit” to a “Democratic Surplus”: Constructing Administrative Democracy in Europe</w:t>
      </w:r>
      <w:r w:rsidRPr="00A762F7">
        <w:t xml:space="preserve"> (OUP 2017) 37.</w:t>
      </w:r>
    </w:p>
  </w:footnote>
  <w:footnote w:id="609">
    <w:p w14:paraId="3348EC70" w14:textId="6FD9971B" w:rsidR="005C0DC6" w:rsidRPr="00A762F7" w:rsidRDefault="005C0DC6" w:rsidP="00A70042">
      <w:pPr>
        <w:pStyle w:val="FootnoteText"/>
        <w:ind w:left="426" w:hanging="426"/>
        <w:jc w:val="both"/>
        <w:rPr>
          <w:lang w:eastAsia="tr-TR"/>
        </w:rPr>
      </w:pPr>
      <w:r w:rsidRPr="00A762F7">
        <w:rPr>
          <w:rStyle w:val="FootnoteReference"/>
          <w:rFonts w:eastAsiaTheme="majorEastAsia"/>
        </w:rPr>
        <w:footnoteRef/>
      </w:r>
      <w:r w:rsidRPr="00A762F7">
        <w:t xml:space="preserve"> </w:t>
      </w:r>
      <w:r>
        <w:tab/>
      </w:r>
      <w:r w:rsidRPr="00A762F7">
        <w:t>ONP was defined in the ONP Framework Directive as “the harmonisation of conditions for open and efficient access to and use of public telecommunications networks and, where applicable, public telecommunications services and the efficient use of those networks and services”</w:t>
      </w:r>
      <w:r w:rsidRPr="00A762F7">
        <w:rPr>
          <w:lang w:val="en-US"/>
        </w:rPr>
        <w:t xml:space="preserve"> (Council Directive </w:t>
      </w:r>
      <w:r>
        <w:rPr>
          <w:lang w:val="en-US"/>
        </w:rPr>
        <w:t xml:space="preserve">(EU) </w:t>
      </w:r>
      <w:r w:rsidRPr="00A762F7">
        <w:rPr>
          <w:lang w:val="en-US"/>
        </w:rPr>
        <w:t xml:space="preserve">90/387 of </w:t>
      </w:r>
      <w:smartTag w:uri="urn:schemas-microsoft-com:office:smarttags" w:element="date">
        <w:smartTagPr>
          <w:attr w:name="Year" w:val="1990"/>
          <w:attr w:name="Day" w:val="27"/>
          <w:attr w:name="Month" w:val="6"/>
        </w:smartTagPr>
        <w:r w:rsidRPr="00A762F7">
          <w:rPr>
            <w:lang w:val="en-US"/>
          </w:rPr>
          <w:t>27 June 1990</w:t>
        </w:r>
      </w:smartTag>
      <w:r w:rsidRPr="00A762F7">
        <w:rPr>
          <w:lang w:val="en-US"/>
        </w:rPr>
        <w:t xml:space="preserve"> on the establishment of the internal market for telecommunications services through the implementation of open network provision</w:t>
      </w:r>
      <w:r>
        <w:rPr>
          <w:lang w:val="en-US"/>
        </w:rPr>
        <w:t xml:space="preserve"> [1990]</w:t>
      </w:r>
      <w:r w:rsidRPr="00A762F7">
        <w:rPr>
          <w:lang w:val="en-US"/>
        </w:rPr>
        <w:t xml:space="preserve"> OJ L 192/1, </w:t>
      </w:r>
      <w:r>
        <w:rPr>
          <w:lang w:val="en-US"/>
        </w:rPr>
        <w:t>a</w:t>
      </w:r>
      <w:r w:rsidRPr="00A762F7">
        <w:rPr>
          <w:lang w:val="en-US"/>
        </w:rPr>
        <w:t>rt. 2).</w:t>
      </w:r>
    </w:p>
  </w:footnote>
  <w:footnote w:id="610">
    <w:p w14:paraId="0FA34FD8" w14:textId="15E2D918" w:rsidR="005C0DC6" w:rsidRPr="00A762F7" w:rsidRDefault="005C0DC6" w:rsidP="00A70042">
      <w:pPr>
        <w:pStyle w:val="FootnoteText"/>
        <w:ind w:left="426" w:hanging="426"/>
        <w:jc w:val="both"/>
        <w:rPr>
          <w:lang w:eastAsia="tr-TR"/>
        </w:rPr>
      </w:pPr>
      <w:r w:rsidRPr="00A762F7">
        <w:rPr>
          <w:rStyle w:val="FootnoteReference"/>
          <w:rFonts w:eastAsiaTheme="majorEastAsia"/>
        </w:rPr>
        <w:footnoteRef/>
      </w:r>
      <w:r w:rsidRPr="00A762F7">
        <w:t xml:space="preserve"> </w:t>
      </w:r>
      <w:r>
        <w:tab/>
      </w:r>
      <w:r w:rsidRPr="00A762F7">
        <w:rPr>
          <w:lang w:val="en-US"/>
        </w:rPr>
        <w:t xml:space="preserve">Ian Walden, </w:t>
      </w:r>
      <w:r>
        <w:rPr>
          <w:lang w:val="en-US"/>
        </w:rPr>
        <w:t>‘</w:t>
      </w:r>
      <w:r w:rsidRPr="00A762F7">
        <w:rPr>
          <w:lang w:val="en-US"/>
        </w:rPr>
        <w:t>Access and Interconnection</w:t>
      </w:r>
      <w:r>
        <w:rPr>
          <w:lang w:val="en-US"/>
        </w:rPr>
        <w:t>’</w:t>
      </w:r>
      <w:r w:rsidRPr="00A762F7">
        <w:rPr>
          <w:lang w:val="en-US"/>
        </w:rPr>
        <w:t xml:space="preserve"> in I</w:t>
      </w:r>
      <w:r>
        <w:rPr>
          <w:lang w:val="en-US"/>
        </w:rPr>
        <w:t>an</w:t>
      </w:r>
      <w:r w:rsidRPr="00A762F7">
        <w:rPr>
          <w:lang w:val="en-US"/>
        </w:rPr>
        <w:t xml:space="preserve"> Walden and J</w:t>
      </w:r>
      <w:r>
        <w:rPr>
          <w:lang w:val="en-US"/>
        </w:rPr>
        <w:t>ohn</w:t>
      </w:r>
      <w:r w:rsidRPr="00A762F7">
        <w:rPr>
          <w:lang w:val="en-US"/>
        </w:rPr>
        <w:t xml:space="preserve"> Angel</w:t>
      </w:r>
      <w:r>
        <w:rPr>
          <w:lang w:val="en-US"/>
        </w:rPr>
        <w:t xml:space="preserve"> (eds),</w:t>
      </w:r>
      <w:r w:rsidRPr="00A762F7">
        <w:rPr>
          <w:lang w:val="en-US"/>
        </w:rPr>
        <w:t xml:space="preserve"> </w:t>
      </w:r>
      <w:r w:rsidRPr="00D523A0">
        <w:rPr>
          <w:i/>
          <w:iCs/>
          <w:lang w:val="en-US"/>
        </w:rPr>
        <w:t>Telecommunications Law and Regulation</w:t>
      </w:r>
      <w:r w:rsidRPr="00A762F7">
        <w:rPr>
          <w:lang w:val="en-US"/>
        </w:rPr>
        <w:t xml:space="preserve"> (</w:t>
      </w:r>
      <w:r w:rsidRPr="00A762F7">
        <w:t>2</w:t>
      </w:r>
      <w:r>
        <w:t>nd e</w:t>
      </w:r>
      <w:r w:rsidRPr="00A762F7">
        <w:t>d</w:t>
      </w:r>
      <w:r>
        <w:t>n</w:t>
      </w:r>
      <w:r w:rsidRPr="00A762F7">
        <w:t>,</w:t>
      </w:r>
      <w:r>
        <w:t xml:space="preserve"> </w:t>
      </w:r>
      <w:r w:rsidRPr="00A762F7">
        <w:t xml:space="preserve">OUP </w:t>
      </w:r>
      <w:r w:rsidRPr="00A762F7">
        <w:rPr>
          <w:lang w:val="en-US"/>
        </w:rPr>
        <w:t>2005)</w:t>
      </w:r>
      <w:r w:rsidRPr="00A762F7">
        <w:t xml:space="preserve"> 126.</w:t>
      </w:r>
    </w:p>
  </w:footnote>
  <w:footnote w:id="611">
    <w:p w14:paraId="073ACC11" w14:textId="130F213E"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By this means </w:t>
      </w:r>
      <w:r>
        <w:t xml:space="preserve">of </w:t>
      </w:r>
      <w:r w:rsidRPr="00A762F7">
        <w:t>not incurring capital expenditures for building a new infrastructure, new entrants would be able to compete with the incumbents and reach out to the same customer base. Not only such micro</w:t>
      </w:r>
      <w:r>
        <w:t>,</w:t>
      </w:r>
      <w:r w:rsidRPr="00A762F7">
        <w:t xml:space="preserve"> company level benefits</w:t>
      </w:r>
      <w:r>
        <w:t>,</w:t>
      </w:r>
      <w:r w:rsidRPr="00A762F7">
        <w:t xml:space="preserve"> but also macro</w:t>
      </w:r>
      <w:r>
        <w:t>,</w:t>
      </w:r>
      <w:r w:rsidRPr="00A762F7">
        <w:t xml:space="preserve"> EU-wide benefits</w:t>
      </w:r>
      <w:r>
        <w:t>,</w:t>
      </w:r>
      <w:r w:rsidRPr="00A762F7">
        <w:t xml:space="preserve"> including global competitiveness</w:t>
      </w:r>
      <w:r>
        <w:t>,</w:t>
      </w:r>
      <w:r w:rsidRPr="00A762F7">
        <w:t xml:space="preserve"> had a driving force behind such policies, ending up with local loop unbundling (LLU) in each Member State. </w:t>
      </w:r>
      <w:r>
        <w:t xml:space="preserve">The </w:t>
      </w:r>
      <w:r w:rsidRPr="00A762F7">
        <w:t>Commission, following the Lisbon Summit in 2000, issued a Regulation (2000/2887) mandating LLU across the EU.</w:t>
      </w:r>
    </w:p>
  </w:footnote>
  <w:footnote w:id="612">
    <w:p w14:paraId="75B35D4C" w14:textId="5F825FBB"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Arnold Porter, European Telecommunications Practice Group</w:t>
      </w:r>
      <w:r>
        <w:rPr>
          <w:lang w:val="en-US"/>
        </w:rPr>
        <w:t>, ‘</w:t>
      </w:r>
      <w:r w:rsidRPr="00A762F7">
        <w:rPr>
          <w:lang w:val="en-US"/>
        </w:rPr>
        <w:t>Introduction to the New EU Regulatory Framework for Electronic Communications</w:t>
      </w:r>
      <w:r>
        <w:rPr>
          <w:lang w:val="en-US"/>
        </w:rPr>
        <w:t>’</w:t>
      </w:r>
      <w:r w:rsidRPr="00A762F7">
        <w:rPr>
          <w:lang w:val="en-US"/>
        </w:rPr>
        <w:t xml:space="preserve"> </w:t>
      </w:r>
      <w:r>
        <w:rPr>
          <w:lang w:val="en-US"/>
        </w:rPr>
        <w:t>(</w:t>
      </w:r>
      <w:r w:rsidRPr="00A762F7">
        <w:rPr>
          <w:lang w:val="en-US"/>
        </w:rPr>
        <w:t>2002</w:t>
      </w:r>
      <w:r>
        <w:rPr>
          <w:lang w:val="en-US"/>
        </w:rPr>
        <w:t xml:space="preserve">) </w:t>
      </w:r>
      <w:r w:rsidRPr="00A762F7">
        <w:rPr>
          <w:lang w:val="en-US"/>
        </w:rPr>
        <w:t>6.</w:t>
      </w:r>
    </w:p>
  </w:footnote>
  <w:footnote w:id="613">
    <w:p w14:paraId="7D0F247E" w14:textId="2EEA3C11" w:rsidR="005C0DC6" w:rsidRPr="00A762F7" w:rsidRDefault="005C0DC6" w:rsidP="00A70042">
      <w:pPr>
        <w:pStyle w:val="FootnoteText"/>
        <w:ind w:left="426" w:hanging="426"/>
      </w:pPr>
      <w:r w:rsidRPr="00A762F7">
        <w:rPr>
          <w:rStyle w:val="FootnoteReference"/>
        </w:rPr>
        <w:footnoteRef/>
      </w:r>
      <w:r w:rsidRPr="00A762F7">
        <w:t xml:space="preserve"> </w:t>
      </w:r>
      <w:r>
        <w:tab/>
        <w:t xml:space="preserve">See supra note </w:t>
      </w:r>
      <w:r w:rsidRPr="00296C6B">
        <w:t>239</w:t>
      </w:r>
      <w:r w:rsidRPr="00692824">
        <w:rPr>
          <w:color w:val="FF0000"/>
        </w:rPr>
        <w:t>.</w:t>
      </w:r>
    </w:p>
  </w:footnote>
  <w:footnote w:id="614">
    <w:p w14:paraId="48F7E797" w14:textId="279F7E0C" w:rsidR="005C0DC6" w:rsidRPr="00A762F7" w:rsidRDefault="005C0DC6" w:rsidP="00A70042">
      <w:pPr>
        <w:pStyle w:val="FootnoteText"/>
        <w:ind w:left="426" w:hanging="426"/>
        <w:jc w:val="both"/>
      </w:pPr>
      <w:r w:rsidRPr="00A762F7">
        <w:rPr>
          <w:rStyle w:val="FootnoteReference"/>
          <w:rFonts w:eastAsiaTheme="majorEastAsia"/>
        </w:rPr>
        <w:footnoteRef/>
      </w:r>
      <w:r w:rsidRPr="00A762F7">
        <w:t xml:space="preserve"> </w:t>
      </w:r>
      <w:r>
        <w:tab/>
        <w:t xml:space="preserve">The </w:t>
      </w:r>
      <w:r w:rsidRPr="00A762F7">
        <w:t xml:space="preserve">Digital Single Market traces back to the initiative of </w:t>
      </w:r>
      <w:r>
        <w:t xml:space="preserve">the </w:t>
      </w:r>
      <w:r w:rsidRPr="00A762F7">
        <w:rPr>
          <w:lang w:val="tr-TR"/>
        </w:rPr>
        <w:t>Digital Agenda (</w:t>
      </w:r>
      <w:r w:rsidRPr="0031661D">
        <w:rPr>
          <w:lang w:val="tr-TR"/>
        </w:rPr>
        <w:t>Communication from the Commission to the European Parliament, the Council, the European Economic and Social Committee and the Committee of the Regions, ‘A Digital Agenda for Europe’, COM (2010) 245 final/2</w:t>
      </w:r>
      <w:r>
        <w:rPr>
          <w:lang w:val="tr-TR"/>
        </w:rPr>
        <w:t>)</w:t>
      </w:r>
      <w:r w:rsidRPr="00A762F7">
        <w:t xml:space="preserve">. The so-called Agenda </w:t>
      </w:r>
      <w:r w:rsidRPr="00A762F7">
        <w:rPr>
          <w:lang w:val="tr-TR"/>
        </w:rPr>
        <w:t xml:space="preserve">specified 101 specific policy actions across 7 domains: the digital single market; interoperability and standards; trust and security; fast and ultra-fast internet access; research and innovation; digital literacy, skills and inclusion and ICT-enabled benefits for </w:t>
      </w:r>
      <w:r>
        <w:rPr>
          <w:lang w:val="tr-TR"/>
        </w:rPr>
        <w:t xml:space="preserve">the </w:t>
      </w:r>
      <w:r w:rsidRPr="00A762F7">
        <w:rPr>
          <w:lang w:val="tr-TR"/>
        </w:rPr>
        <w:t xml:space="preserve">EU. </w:t>
      </w:r>
    </w:p>
  </w:footnote>
  <w:footnote w:id="615">
    <w:p w14:paraId="697C6265" w14:textId="1E177FB2" w:rsidR="005C0DC6" w:rsidRPr="00A762F7" w:rsidRDefault="005C0DC6" w:rsidP="00A70042">
      <w:pPr>
        <w:pStyle w:val="FootnoteText"/>
        <w:ind w:left="426" w:hanging="426"/>
        <w:jc w:val="both"/>
        <w:rPr>
          <w:lang w:val="tr-TR"/>
        </w:rPr>
      </w:pPr>
      <w:r w:rsidRPr="00A762F7">
        <w:rPr>
          <w:rStyle w:val="FootnoteReference"/>
          <w:rFonts w:eastAsiaTheme="majorEastAsia"/>
        </w:rPr>
        <w:footnoteRef/>
      </w:r>
      <w:r w:rsidRPr="00A762F7">
        <w:t xml:space="preserve"> </w:t>
      </w:r>
      <w:r>
        <w:tab/>
        <w:t>European</w:t>
      </w:r>
      <w:r w:rsidRPr="00A762F7">
        <w:t xml:space="preserve"> Commission, </w:t>
      </w:r>
      <w:r>
        <w:t>‘</w:t>
      </w:r>
      <w:r w:rsidRPr="00A762F7">
        <w:rPr>
          <w:lang w:val="tr-TR"/>
        </w:rPr>
        <w:t>Digital Single Market</w:t>
      </w:r>
      <w:r>
        <w:rPr>
          <w:lang w:val="tr-TR"/>
        </w:rPr>
        <w:t xml:space="preserve">: </w:t>
      </w:r>
      <w:r w:rsidRPr="00316D66">
        <w:rPr>
          <w:lang w:val="tr-TR"/>
        </w:rPr>
        <w:t>Bringing down barriers to unlock online opportunities</w:t>
      </w:r>
      <w:r>
        <w:rPr>
          <w:lang w:val="tr-TR"/>
        </w:rPr>
        <w:t>’</w:t>
      </w:r>
      <w:r w:rsidRPr="00A762F7">
        <w:rPr>
          <w:lang w:val="tr-TR"/>
        </w:rPr>
        <w:t xml:space="preserve"> </w:t>
      </w:r>
      <w:r w:rsidRPr="00A762F7">
        <w:t>˂</w:t>
      </w:r>
      <w:r w:rsidRPr="00A762F7">
        <w:rPr>
          <w:lang w:val="tr-TR"/>
        </w:rPr>
        <w:t xml:space="preserve">http://ec.europa.eu/priorities/digital-single-market_en˃ accessed </w:t>
      </w:r>
      <w:r>
        <w:rPr>
          <w:lang w:val="tr-TR"/>
        </w:rPr>
        <w:t>9 October 2020</w:t>
      </w:r>
      <w:r w:rsidRPr="00A762F7">
        <w:rPr>
          <w:lang w:val="tr-TR"/>
        </w:rPr>
        <w:t xml:space="preserve">. </w:t>
      </w:r>
    </w:p>
  </w:footnote>
  <w:footnote w:id="616">
    <w:p w14:paraId="63D7B506" w14:textId="3DB64F42" w:rsidR="005C0DC6"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It was </w:t>
      </w:r>
      <w:r>
        <w:rPr>
          <w:lang w:val="en-US"/>
        </w:rPr>
        <w:t>set out</w:t>
      </w:r>
      <w:r w:rsidRPr="00A762F7">
        <w:rPr>
          <w:lang w:val="en-US"/>
        </w:rPr>
        <w:t xml:space="preserve"> </w:t>
      </w:r>
      <w:r>
        <w:rPr>
          <w:lang w:val="en-US"/>
        </w:rPr>
        <w:t>by the Commission that</w:t>
      </w:r>
      <w:r w:rsidRPr="00A762F7">
        <w:rPr>
          <w:lang w:val="en-US"/>
        </w:rPr>
        <w:t xml:space="preserve"> the </w:t>
      </w:r>
      <w:r>
        <w:rPr>
          <w:lang w:val="en-US"/>
        </w:rPr>
        <w:t xml:space="preserve">review of </w:t>
      </w:r>
      <w:r w:rsidRPr="00A762F7">
        <w:rPr>
          <w:lang w:val="en-US"/>
        </w:rPr>
        <w:t>ECRF</w:t>
      </w:r>
      <w:r>
        <w:rPr>
          <w:lang w:val="en-US"/>
        </w:rPr>
        <w:t xml:space="preserve"> would</w:t>
      </w:r>
      <w:r w:rsidRPr="00A762F7">
        <w:rPr>
          <w:lang w:val="en-US"/>
        </w:rPr>
        <w:t xml:space="preserve"> focus on</w:t>
      </w:r>
      <w:r>
        <w:rPr>
          <w:lang w:val="en-US"/>
        </w:rPr>
        <w:t xml:space="preserve"> measures that aim to;</w:t>
      </w:r>
    </w:p>
    <w:p w14:paraId="05923EE8" w14:textId="77777777" w:rsidR="005C0DC6" w:rsidRDefault="005C0DC6" w:rsidP="00A70042">
      <w:pPr>
        <w:pStyle w:val="FootnoteText"/>
        <w:numPr>
          <w:ilvl w:val="0"/>
          <w:numId w:val="26"/>
        </w:numPr>
        <w:ind w:left="709" w:hanging="284"/>
        <w:jc w:val="both"/>
        <w:rPr>
          <w:lang w:val="en-US"/>
        </w:rPr>
      </w:pPr>
      <w:r w:rsidRPr="00671D24">
        <w:rPr>
          <w:lang w:val="en-US"/>
        </w:rPr>
        <w:t>provide incentives for investment in high-speed broadband networks,</w:t>
      </w:r>
    </w:p>
    <w:p w14:paraId="5D6CCFD5" w14:textId="77777777" w:rsidR="005C0DC6" w:rsidRDefault="005C0DC6" w:rsidP="00A70042">
      <w:pPr>
        <w:pStyle w:val="FootnoteText"/>
        <w:numPr>
          <w:ilvl w:val="0"/>
          <w:numId w:val="26"/>
        </w:numPr>
        <w:ind w:left="709" w:hanging="284"/>
        <w:jc w:val="both"/>
        <w:rPr>
          <w:lang w:val="en-US"/>
        </w:rPr>
      </w:pPr>
      <w:r w:rsidRPr="00671D24">
        <w:rPr>
          <w:lang w:val="en-US"/>
        </w:rPr>
        <w:t>bring a more consistent internal market approach to radio spectrum</w:t>
      </w:r>
      <w:r>
        <w:rPr>
          <w:lang w:val="en-US"/>
        </w:rPr>
        <w:t xml:space="preserve"> </w:t>
      </w:r>
      <w:r w:rsidRPr="00671D24">
        <w:rPr>
          <w:lang w:val="en-US"/>
        </w:rPr>
        <w:t>policy and management,</w:t>
      </w:r>
    </w:p>
    <w:p w14:paraId="61C66E02" w14:textId="77777777" w:rsidR="005C0DC6" w:rsidRDefault="005C0DC6" w:rsidP="00A70042">
      <w:pPr>
        <w:pStyle w:val="FootnoteText"/>
        <w:numPr>
          <w:ilvl w:val="0"/>
          <w:numId w:val="26"/>
        </w:numPr>
        <w:ind w:left="709" w:hanging="284"/>
        <w:jc w:val="both"/>
        <w:rPr>
          <w:lang w:val="en-US"/>
        </w:rPr>
      </w:pPr>
      <w:r w:rsidRPr="00671D24">
        <w:rPr>
          <w:lang w:val="en-US"/>
        </w:rPr>
        <w:t>deliver conditions for a true internal market by tackling regulatory fragmentation,</w:t>
      </w:r>
    </w:p>
    <w:p w14:paraId="7E299476" w14:textId="77777777" w:rsidR="005C0DC6" w:rsidRDefault="005C0DC6" w:rsidP="00A70042">
      <w:pPr>
        <w:pStyle w:val="FootnoteText"/>
        <w:numPr>
          <w:ilvl w:val="0"/>
          <w:numId w:val="26"/>
        </w:numPr>
        <w:ind w:left="709" w:hanging="284"/>
        <w:jc w:val="both"/>
        <w:rPr>
          <w:lang w:val="en-US"/>
        </w:rPr>
      </w:pPr>
      <w:r w:rsidRPr="00671D24">
        <w:rPr>
          <w:lang w:val="en-US"/>
        </w:rPr>
        <w:t>ensure effective protection of consumers, a level playing field for all market players and consistent application of the rules,</w:t>
      </w:r>
      <w:r>
        <w:rPr>
          <w:lang w:val="en-US"/>
        </w:rPr>
        <w:t xml:space="preserve"> </w:t>
      </w:r>
      <w:r w:rsidRPr="00671D24">
        <w:rPr>
          <w:lang w:val="en-US"/>
        </w:rPr>
        <w:t>as well as</w:t>
      </w:r>
    </w:p>
    <w:p w14:paraId="397A238D" w14:textId="491DB5E2" w:rsidR="005C0DC6" w:rsidRPr="00671D24" w:rsidRDefault="005C0DC6" w:rsidP="00A70042">
      <w:pPr>
        <w:pStyle w:val="FootnoteText"/>
        <w:numPr>
          <w:ilvl w:val="0"/>
          <w:numId w:val="26"/>
        </w:numPr>
        <w:ind w:left="709" w:hanging="284"/>
        <w:jc w:val="both"/>
        <w:rPr>
          <w:lang w:val="en-US"/>
        </w:rPr>
      </w:pPr>
      <w:r w:rsidRPr="00671D24">
        <w:rPr>
          <w:lang w:val="en-US"/>
        </w:rPr>
        <w:t>provide a more effective regulatory institutional framework (EECC Directive, recital 3).</w:t>
      </w:r>
    </w:p>
  </w:footnote>
  <w:footnote w:id="617">
    <w:p w14:paraId="65489C71" w14:textId="64E27B0F" w:rsidR="005C0DC6" w:rsidRPr="00671D24"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t xml:space="preserve">For more detailed </w:t>
      </w:r>
      <w:r w:rsidRPr="00671D24">
        <w:rPr>
          <w:lang w:val="tr-TR"/>
        </w:rPr>
        <w:t>information see</w:t>
      </w:r>
      <w:r>
        <w:rPr>
          <w:lang w:val="tr-TR"/>
        </w:rPr>
        <w:t xml:space="preserve"> </w:t>
      </w:r>
      <w:r w:rsidRPr="00C003B5">
        <w:rPr>
          <w:lang w:val="tr-TR"/>
        </w:rPr>
        <w:t>European Commission, ‘Digital Single Market: Electronic Communications Laws’</w:t>
      </w:r>
      <w:r>
        <w:rPr>
          <w:lang w:val="tr-TR"/>
        </w:rPr>
        <w:t xml:space="preserve"> </w:t>
      </w:r>
      <w:r w:rsidRPr="00671D24">
        <w:rPr>
          <w:lang w:val="tr-TR"/>
        </w:rPr>
        <w:t>&lt;</w:t>
      </w:r>
      <w:hyperlink r:id="rId14" w:history="1">
        <w:r w:rsidRPr="00671D24">
          <w:rPr>
            <w:lang w:val="tr-TR"/>
          </w:rPr>
          <w:t>https://ec.europa.eu/digital-single-market/en/telecoms-rules</w:t>
        </w:r>
      </w:hyperlink>
      <w:r w:rsidRPr="00671D24">
        <w:rPr>
          <w:lang w:val="tr-TR"/>
        </w:rPr>
        <w:t xml:space="preserve">&gt; accessed </w:t>
      </w:r>
      <w:r>
        <w:rPr>
          <w:lang w:val="tr-TR"/>
        </w:rPr>
        <w:t>9 October 2020</w:t>
      </w:r>
      <w:r w:rsidRPr="00671D24">
        <w:rPr>
          <w:lang w:val="tr-TR"/>
        </w:rPr>
        <w:t xml:space="preserve">. </w:t>
      </w:r>
    </w:p>
  </w:footnote>
  <w:footnote w:id="618">
    <w:p w14:paraId="2DA67F28" w14:textId="0410C73F"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rPr>
          <w:lang w:val="tr-TR"/>
        </w:rPr>
        <w:t>Amended by the Better Regulation Directive (2009/140/EC) OJ L 337, 18.12.2009</w:t>
      </w:r>
      <w:r>
        <w:rPr>
          <w:lang w:val="tr-TR"/>
        </w:rPr>
        <w:t xml:space="preserve">; repealed by the EECC Directive (2018/1972) OJ L 321, </w:t>
      </w:r>
      <w:r w:rsidRPr="00E161A3">
        <w:rPr>
          <w:lang w:val="tr-TR"/>
        </w:rPr>
        <w:t>17.12.2018</w:t>
      </w:r>
      <w:r>
        <w:rPr>
          <w:lang w:val="tr-TR"/>
        </w:rPr>
        <w:t>.</w:t>
      </w:r>
    </w:p>
  </w:footnote>
  <w:footnote w:id="619">
    <w:p w14:paraId="6768EEC8" w14:textId="12B86853"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rPr>
          <w:lang w:val="tr-TR"/>
        </w:rPr>
        <w:t>Amended by the Better Regulation Directive (2009/140/EC) OJ L 337, 18.12.2009</w:t>
      </w:r>
      <w:r>
        <w:rPr>
          <w:lang w:val="tr-TR"/>
        </w:rPr>
        <w:t xml:space="preserve">; repealed by the EECC Directive (2018/1972) OJ L 321, </w:t>
      </w:r>
      <w:r w:rsidRPr="00E161A3">
        <w:rPr>
          <w:lang w:val="tr-TR"/>
        </w:rPr>
        <w:t>17.12.2018</w:t>
      </w:r>
      <w:r>
        <w:rPr>
          <w:lang w:val="tr-TR"/>
        </w:rPr>
        <w:t xml:space="preserve">. </w:t>
      </w:r>
    </w:p>
  </w:footnote>
  <w:footnote w:id="620">
    <w:p w14:paraId="3F9D52E9" w14:textId="4786EC1C"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rPr>
          <w:lang w:val="tr-TR"/>
        </w:rPr>
        <w:t>Amended by the Better Regulation Directive (2009/140/EC) OJ L 337, 18.12.2009</w:t>
      </w:r>
      <w:r>
        <w:rPr>
          <w:lang w:val="tr-TR"/>
        </w:rPr>
        <w:t xml:space="preserve">; repealed by the EECC Directive (2018/1972) OJ L 321, </w:t>
      </w:r>
      <w:r w:rsidRPr="00E161A3">
        <w:rPr>
          <w:lang w:val="tr-TR"/>
        </w:rPr>
        <w:t>17.12.2018</w:t>
      </w:r>
      <w:r>
        <w:rPr>
          <w:lang w:val="tr-TR"/>
        </w:rPr>
        <w:t>.</w:t>
      </w:r>
    </w:p>
  </w:footnote>
  <w:footnote w:id="621">
    <w:p w14:paraId="11828FD6" w14:textId="1E1CD256"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rPr>
          <w:lang w:val="tr-TR"/>
        </w:rPr>
        <w:t>Amended by the Citizens’ Rights Directive (2009/136/EC) OJ L 337, 18.12.2009</w:t>
      </w:r>
      <w:r>
        <w:rPr>
          <w:lang w:val="tr-TR"/>
        </w:rPr>
        <w:t xml:space="preserve">; repealed by the EECC Directive (2018/1972) OJ L 321, </w:t>
      </w:r>
      <w:r w:rsidRPr="00E161A3">
        <w:rPr>
          <w:lang w:val="tr-TR"/>
        </w:rPr>
        <w:t>17.12.2018</w:t>
      </w:r>
      <w:r>
        <w:rPr>
          <w:lang w:val="tr-TR"/>
        </w:rPr>
        <w:t>.</w:t>
      </w:r>
    </w:p>
  </w:footnote>
  <w:footnote w:id="622">
    <w:p w14:paraId="58D4BA64" w14:textId="52BDE2F7" w:rsidR="005C0DC6" w:rsidRPr="002125BD" w:rsidRDefault="005C0DC6" w:rsidP="00A70042">
      <w:pPr>
        <w:pStyle w:val="FootnoteText"/>
        <w:ind w:left="426" w:hanging="426"/>
        <w:jc w:val="both"/>
        <w:rPr>
          <w:lang w:val="tr-TR"/>
        </w:rPr>
      </w:pPr>
      <w:r w:rsidRPr="002125BD">
        <w:rPr>
          <w:rStyle w:val="FootnoteReference"/>
        </w:rPr>
        <w:footnoteRef/>
      </w:r>
      <w:r w:rsidRPr="002125BD">
        <w:t xml:space="preserve"> </w:t>
      </w:r>
      <w:r>
        <w:tab/>
      </w:r>
      <w:r w:rsidRPr="002125BD">
        <w:rPr>
          <w:lang w:val="tr-TR"/>
        </w:rPr>
        <w:t>Amended by the Citizens’ Rights Directive (2009/136/EC) OJ L 337, 18.12.2009</w:t>
      </w:r>
      <w:r>
        <w:rPr>
          <w:lang w:val="tr-TR"/>
        </w:rPr>
        <w:t xml:space="preserve">; repealed by the EECC Directive (2018/1972) OJ L 321, </w:t>
      </w:r>
      <w:r w:rsidRPr="00E161A3">
        <w:rPr>
          <w:lang w:val="tr-TR"/>
        </w:rPr>
        <w:t>17.12.2018</w:t>
      </w:r>
      <w:r>
        <w:rPr>
          <w:lang w:val="tr-TR"/>
        </w:rPr>
        <w:t>.</w:t>
      </w:r>
    </w:p>
  </w:footnote>
  <w:footnote w:id="623">
    <w:p w14:paraId="73FF6A43" w14:textId="08F54FD0" w:rsidR="005C0DC6" w:rsidRPr="00A762F7" w:rsidRDefault="005C0DC6" w:rsidP="00A70042">
      <w:pPr>
        <w:pStyle w:val="FootnoteText"/>
        <w:ind w:left="426" w:hanging="426"/>
      </w:pPr>
      <w:r w:rsidRPr="00A762F7">
        <w:rPr>
          <w:rStyle w:val="FootnoteReference"/>
        </w:rPr>
        <w:footnoteRef/>
      </w:r>
      <w:r w:rsidRPr="00A762F7">
        <w:t xml:space="preserve"> </w:t>
      </w:r>
      <w:r>
        <w:tab/>
      </w:r>
      <w:r w:rsidRPr="00A762F7">
        <w:t xml:space="preserve">See </w:t>
      </w:r>
      <w:r>
        <w:t xml:space="preserve">the </w:t>
      </w:r>
      <w:r w:rsidRPr="00A762F7">
        <w:t xml:space="preserve">European Parliament, </w:t>
      </w:r>
      <w:r>
        <w:t>‘</w:t>
      </w:r>
      <w:r w:rsidRPr="00A762F7">
        <w:t>Review of the ePrivacy Directive</w:t>
      </w:r>
      <w:r>
        <w:t xml:space="preserve">’ (Think Tank, </w:t>
      </w:r>
      <w:r w:rsidRPr="00A762F7">
        <w:t>03</w:t>
      </w:r>
      <w:r>
        <w:t>/</w:t>
      </w:r>
      <w:r w:rsidRPr="00A762F7">
        <w:t>02</w:t>
      </w:r>
      <w:r>
        <w:t>/</w:t>
      </w:r>
      <w:r w:rsidRPr="00A762F7">
        <w:t>2017</w:t>
      </w:r>
      <w:r>
        <w:t>)</w:t>
      </w:r>
      <w:r w:rsidRPr="00A762F7">
        <w:t xml:space="preserve">, &lt;http://www.europarl.europa.eu/thinktank/en/document.html?reference=EPRS_BRI(2017)587347&gt; accessed </w:t>
      </w:r>
      <w:r>
        <w:t>9 October 2020</w:t>
      </w:r>
      <w:r w:rsidRPr="00A762F7">
        <w:t>.</w:t>
      </w:r>
    </w:p>
  </w:footnote>
  <w:footnote w:id="624">
    <w:p w14:paraId="289C87AC" w14:textId="295A3E10"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However, the EU Regulations constitute an exception to this rule as they are directly applicable in the Member States with no requirement for transposition.  </w:t>
      </w:r>
    </w:p>
  </w:footnote>
  <w:footnote w:id="625">
    <w:p w14:paraId="180DAABA" w14:textId="14FD392A"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See also Psygkas (n </w:t>
      </w:r>
      <w:r>
        <w:t>608</w:t>
      </w:r>
      <w:r w:rsidRPr="00A762F7">
        <w:t>) 38.</w:t>
      </w:r>
    </w:p>
  </w:footnote>
  <w:footnote w:id="626">
    <w:p w14:paraId="5F5B61DB" w14:textId="0C9C09FD"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For detailed information regarding the check and balances between the NRAs and the Commission, particularly under the market review process, see </w:t>
      </w:r>
      <w:r w:rsidRPr="00A762F7">
        <w:t>the section ‘</w:t>
      </w:r>
      <w:r w:rsidRPr="00A762F7">
        <w:rPr>
          <w:lang w:val="en-US"/>
        </w:rPr>
        <w:t>6.1.3.</w:t>
      </w:r>
      <w:r>
        <w:rPr>
          <w:lang w:val="en-US"/>
        </w:rPr>
        <w:t xml:space="preserve"> </w:t>
      </w:r>
      <w:r w:rsidRPr="00A762F7">
        <w:rPr>
          <w:lang w:val="en-US"/>
        </w:rPr>
        <w:t xml:space="preserve">SMP </w:t>
      </w:r>
      <w:r>
        <w:rPr>
          <w:lang w:val="en-US"/>
        </w:rPr>
        <w:t>r</w:t>
      </w:r>
      <w:r w:rsidRPr="00A762F7">
        <w:rPr>
          <w:lang w:val="en-US"/>
        </w:rPr>
        <w:t>egime and market remedies’.</w:t>
      </w:r>
    </w:p>
  </w:footnote>
  <w:footnote w:id="627">
    <w:p w14:paraId="4FC608EA" w14:textId="5937F68A"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See </w:t>
      </w:r>
      <w:r>
        <w:t xml:space="preserve">the </w:t>
      </w:r>
      <w:r w:rsidRPr="00A762F7">
        <w:t xml:space="preserve">2002 Guidelines; </w:t>
      </w:r>
      <w:r w:rsidRPr="00A762F7">
        <w:rPr>
          <w:lang w:val="tr-TR"/>
        </w:rPr>
        <w:t xml:space="preserve">Commission Recommendations on relevant product and service markets within the electronic communications sector susceptible to </w:t>
      </w:r>
      <w:r>
        <w:rPr>
          <w:lang w:val="tr-TR"/>
        </w:rPr>
        <w:t>ex ante</w:t>
      </w:r>
      <w:r w:rsidRPr="00A762F7">
        <w:rPr>
          <w:lang w:val="tr-TR"/>
        </w:rPr>
        <w:t xml:space="preserve"> regulation in accordance with Directive 2002/21/EC</w:t>
      </w:r>
      <w:r w:rsidRPr="00A762F7">
        <w:t>.</w:t>
      </w:r>
    </w:p>
  </w:footnote>
  <w:footnote w:id="628">
    <w:p w14:paraId="7B50EA99" w14:textId="52F9FED9"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See </w:t>
      </w:r>
      <w:r>
        <w:t xml:space="preserve">the </w:t>
      </w:r>
      <w:r w:rsidRPr="00A762F7">
        <w:t>EECC Directive, recital 7.</w:t>
      </w:r>
    </w:p>
  </w:footnote>
  <w:footnote w:id="629">
    <w:p w14:paraId="6A44D781" w14:textId="5BB2A831"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Johannes M. </w:t>
      </w:r>
      <w:r w:rsidRPr="00A762F7">
        <w:rPr>
          <w:lang w:val="en-US"/>
        </w:rPr>
        <w:t xml:space="preserve">Bauer, </w:t>
      </w:r>
      <w:r>
        <w:rPr>
          <w:lang w:val="en-US"/>
        </w:rPr>
        <w:t>‘</w:t>
      </w:r>
      <w:r w:rsidRPr="00A762F7">
        <w:rPr>
          <w:lang w:val="en-US"/>
        </w:rPr>
        <w:t>The Evolution of the European Regulatory Framework for Electronic Communications</w:t>
      </w:r>
      <w:r>
        <w:rPr>
          <w:lang w:val="en-US"/>
        </w:rPr>
        <w:t>’ (2013)</w:t>
      </w:r>
      <w:r w:rsidRPr="00A762F7">
        <w:rPr>
          <w:lang w:val="en-US"/>
        </w:rPr>
        <w:t xml:space="preserve"> IBEI Working Papers Telefonica Chair Series, 2013/41, 14.</w:t>
      </w:r>
    </w:p>
  </w:footnote>
  <w:footnote w:id="630">
    <w:p w14:paraId="6E0C6DAA" w14:textId="3B479B54"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Porter </w:t>
      </w:r>
      <w:r w:rsidRPr="00A762F7">
        <w:t xml:space="preserve">(n </w:t>
      </w:r>
      <w:r>
        <w:t>612</w:t>
      </w:r>
      <w:r w:rsidRPr="00A762F7">
        <w:t>)</w:t>
      </w:r>
      <w:r w:rsidRPr="00A762F7">
        <w:rPr>
          <w:lang w:val="en-US"/>
        </w:rPr>
        <w:t xml:space="preserve"> 11. </w:t>
      </w:r>
    </w:p>
  </w:footnote>
  <w:footnote w:id="631">
    <w:p w14:paraId="6DD811FC" w14:textId="2FEC44C8"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Framework Directive, </w:t>
      </w:r>
      <w:r>
        <w:rPr>
          <w:lang w:val="en-US"/>
        </w:rPr>
        <w:t>a</w:t>
      </w:r>
      <w:r w:rsidRPr="00A762F7">
        <w:rPr>
          <w:lang w:val="en-US"/>
        </w:rPr>
        <w:t>rt 2(c).</w:t>
      </w:r>
    </w:p>
  </w:footnote>
  <w:footnote w:id="632">
    <w:p w14:paraId="1536DAE0" w14:textId="16178C7E"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E</w:t>
      </w:r>
      <w:r w:rsidRPr="00A762F7">
        <w:rPr>
          <w:lang w:val="en-US"/>
        </w:rPr>
        <w:t xml:space="preserve">ECC Directive, </w:t>
      </w:r>
      <w:r>
        <w:rPr>
          <w:lang w:val="en-US"/>
        </w:rPr>
        <w:t>a</w:t>
      </w:r>
      <w:r w:rsidRPr="00A762F7">
        <w:rPr>
          <w:lang w:val="en-US"/>
        </w:rPr>
        <w:t xml:space="preserve">rt 2(4). ‘Electronic communications networks’ is also a related key concept in implementation of the ECRF. Under </w:t>
      </w:r>
      <w:r>
        <w:rPr>
          <w:lang w:val="en-US"/>
        </w:rPr>
        <w:t xml:space="preserve">the </w:t>
      </w:r>
      <w:r w:rsidRPr="00A762F7">
        <w:rPr>
          <w:lang w:val="en-US"/>
        </w:rPr>
        <w:t>EECC</w:t>
      </w:r>
      <w:r>
        <w:rPr>
          <w:lang w:val="en-US"/>
        </w:rPr>
        <w:t>,</w:t>
      </w:r>
      <w:r w:rsidRPr="00A762F7">
        <w:rPr>
          <w:lang w:val="en-US"/>
        </w:rPr>
        <w:t xml:space="preserve"> ‘</w:t>
      </w:r>
      <w:r>
        <w:rPr>
          <w:lang w:val="en-US"/>
        </w:rPr>
        <w:t>e</w:t>
      </w:r>
      <w:r w:rsidRPr="00A762F7">
        <w:rPr>
          <w:lang w:val="en-US"/>
        </w:rPr>
        <w:t xml:space="preserve">lectronic  communications  network’ is defined as “transmission  systems,  whether or not based on a  permanent infrastructure or centralised administration capacity,  and, where applicable, switching  or routing equipment and other resources, including network elements which are not active, which permit the conveyance of signals by wire, radio, optical or other electromagnetic means, including  satellite networks, fixed (circuit and packet-switched, including </w:t>
      </w:r>
      <w:r>
        <w:rPr>
          <w:lang w:val="en-US"/>
        </w:rPr>
        <w:t xml:space="preserve">the </w:t>
      </w:r>
      <w:r w:rsidRPr="00A762F7">
        <w:rPr>
          <w:lang w:val="en-US"/>
        </w:rPr>
        <w:t>internet) and mobile networks, electricity cable systems, to the extent that they are used for the purpose of transmitting signals, networks used for radio and television broadcasting, and cable television networks, irrespective of the type of information conveyed</w:t>
      </w:r>
      <w:r>
        <w:rPr>
          <w:lang w:val="en-US"/>
        </w:rPr>
        <w:t>.</w:t>
      </w:r>
      <w:r w:rsidRPr="00A762F7">
        <w:rPr>
          <w:lang w:val="en-US"/>
        </w:rPr>
        <w:t xml:space="preserve">” (EECC Directive, </w:t>
      </w:r>
      <w:r>
        <w:rPr>
          <w:lang w:val="en-US"/>
        </w:rPr>
        <w:t>a</w:t>
      </w:r>
      <w:r w:rsidRPr="00A762F7">
        <w:rPr>
          <w:lang w:val="en-US"/>
        </w:rPr>
        <w:t>rt 2(1))</w:t>
      </w:r>
      <w:r>
        <w:rPr>
          <w:lang w:val="en-US"/>
        </w:rPr>
        <w:t>.</w:t>
      </w:r>
    </w:p>
  </w:footnote>
  <w:footnote w:id="633">
    <w:p w14:paraId="74776D42" w14:textId="20757D77" w:rsidR="005C0DC6" w:rsidRPr="00A762F7" w:rsidRDefault="005C0DC6" w:rsidP="00A70042">
      <w:pPr>
        <w:pStyle w:val="FootnoteText"/>
        <w:ind w:left="426" w:hanging="426"/>
      </w:pPr>
      <w:r w:rsidRPr="00A762F7">
        <w:rPr>
          <w:rStyle w:val="FootnoteReference"/>
        </w:rPr>
        <w:footnoteRef/>
      </w:r>
      <w:r w:rsidRPr="00A762F7">
        <w:t xml:space="preserve"> </w:t>
      </w:r>
      <w:r>
        <w:tab/>
      </w:r>
      <w:r w:rsidRPr="00A06440">
        <w:t>See the section the section ‘</w:t>
      </w:r>
      <w:r>
        <w:t>6</w:t>
      </w:r>
      <w:r w:rsidRPr="00A06440">
        <w:t>.2.2.2. Introduction of new ECS categories’.</w:t>
      </w:r>
    </w:p>
  </w:footnote>
  <w:footnote w:id="634">
    <w:p w14:paraId="24A76B6C" w14:textId="565B00D7" w:rsidR="005C0DC6" w:rsidRDefault="005C0DC6" w:rsidP="00A70042">
      <w:pPr>
        <w:pStyle w:val="FootnoteText"/>
        <w:ind w:left="426" w:hanging="426"/>
      </w:pPr>
      <w:r>
        <w:rPr>
          <w:rStyle w:val="FootnoteReference"/>
        </w:rPr>
        <w:footnoteRef/>
      </w:r>
      <w:r>
        <w:t xml:space="preserve"> </w:t>
      </w:r>
      <w:r>
        <w:tab/>
        <w:t>E</w:t>
      </w:r>
      <w:r w:rsidRPr="002125BD">
        <w:rPr>
          <w:lang w:val="en-US"/>
        </w:rPr>
        <w:t>ECC</w:t>
      </w:r>
      <w:r>
        <w:rPr>
          <w:lang w:val="en-US"/>
        </w:rPr>
        <w:t xml:space="preserve"> Directive</w:t>
      </w:r>
      <w:r w:rsidRPr="002125BD">
        <w:rPr>
          <w:lang w:val="en-US"/>
        </w:rPr>
        <w:t xml:space="preserve">, </w:t>
      </w:r>
      <w:r>
        <w:rPr>
          <w:lang w:val="en-US"/>
        </w:rPr>
        <w:t>a</w:t>
      </w:r>
      <w:r w:rsidRPr="002125BD">
        <w:rPr>
          <w:lang w:val="en-US"/>
        </w:rPr>
        <w:t>rt</w:t>
      </w:r>
      <w:r>
        <w:rPr>
          <w:lang w:val="en-US"/>
        </w:rPr>
        <w:t xml:space="preserve"> 3(2).</w:t>
      </w:r>
    </w:p>
  </w:footnote>
  <w:footnote w:id="635">
    <w:p w14:paraId="45D0DE2F" w14:textId="7C3C244C" w:rsidR="005C0DC6" w:rsidRPr="00A762F7" w:rsidRDefault="005C0DC6" w:rsidP="00A70042">
      <w:pPr>
        <w:pStyle w:val="FootnoteText"/>
        <w:ind w:left="426" w:hanging="426"/>
      </w:pPr>
      <w:r w:rsidRPr="00A762F7">
        <w:rPr>
          <w:rStyle w:val="FootnoteReference"/>
        </w:rPr>
        <w:footnoteRef/>
      </w:r>
      <w:r w:rsidRPr="00A762F7">
        <w:t xml:space="preserve"> </w:t>
      </w:r>
      <w:r>
        <w:tab/>
      </w:r>
      <w:r w:rsidRPr="00A762F7">
        <w:t xml:space="preserve">EECC Directive, Part II, Title II (Access), </w:t>
      </w:r>
      <w:r>
        <w:t>a</w:t>
      </w:r>
      <w:r w:rsidRPr="00A762F7">
        <w:t>rt 59-83.</w:t>
      </w:r>
    </w:p>
  </w:footnote>
  <w:footnote w:id="636">
    <w:p w14:paraId="78E883A4" w14:textId="0328E347" w:rsidR="005C0DC6" w:rsidRPr="00A762F7" w:rsidRDefault="005C0DC6" w:rsidP="00A70042">
      <w:pPr>
        <w:pStyle w:val="FootnoteText"/>
        <w:ind w:left="426" w:hanging="426"/>
        <w:jc w:val="both"/>
        <w:rPr>
          <w:lang w:val="en-US"/>
        </w:rPr>
      </w:pPr>
      <w:r w:rsidRPr="00A762F7">
        <w:rPr>
          <w:rStyle w:val="FootnoteReference"/>
        </w:rPr>
        <w:footnoteRef/>
      </w:r>
      <w:r w:rsidRPr="00A762F7">
        <w:rPr>
          <w:lang w:val="en-US"/>
        </w:rPr>
        <w:t xml:space="preserve"> </w:t>
      </w:r>
      <w:r>
        <w:rPr>
          <w:lang w:val="en-US"/>
        </w:rPr>
        <w:tab/>
      </w:r>
      <w:r w:rsidRPr="00A762F7">
        <w:t xml:space="preserve">Arguably, regulatory authorities have wider control rights than competition authorities, because competition law rules challenge the lawfulness of conduct, while regulatory authorities engage in detailed regulation of wholesale and retail prices, profit sharing, investments, etc. (Jean-Jacques Laffont and Jean Tirole, </w:t>
      </w:r>
      <w:r w:rsidRPr="00902851">
        <w:rPr>
          <w:i/>
          <w:iCs/>
        </w:rPr>
        <w:t>Competition in Telecommunications</w:t>
      </w:r>
      <w:r w:rsidRPr="00A762F7">
        <w:t xml:space="preserve"> (4</w:t>
      </w:r>
      <w:r>
        <w:t>th e</w:t>
      </w:r>
      <w:r w:rsidRPr="00A762F7">
        <w:t>d</w:t>
      </w:r>
      <w:r>
        <w:t xml:space="preserve">n, </w:t>
      </w:r>
      <w:r w:rsidRPr="00A762F7">
        <w:t>The MIT Press 2002</w:t>
      </w:r>
      <w:r>
        <w:t>)</w:t>
      </w:r>
      <w:r w:rsidRPr="00A762F7">
        <w:t xml:space="preserve"> 277).</w:t>
      </w:r>
    </w:p>
  </w:footnote>
  <w:footnote w:id="637">
    <w:p w14:paraId="0B0F313A" w14:textId="612FA52B" w:rsidR="005C0DC6" w:rsidRPr="00A762F7" w:rsidRDefault="005C0DC6" w:rsidP="00A70042">
      <w:pPr>
        <w:pStyle w:val="FootnoteText"/>
        <w:ind w:left="426" w:hanging="426"/>
        <w:jc w:val="both"/>
      </w:pPr>
      <w:r w:rsidRPr="00A762F7">
        <w:rPr>
          <w:rStyle w:val="FootnoteReference"/>
          <w:rFonts w:eastAsiaTheme="majorEastAsia"/>
        </w:rPr>
        <w:footnoteRef/>
      </w:r>
      <w:r w:rsidRPr="00A762F7">
        <w:t xml:space="preserve"> </w:t>
      </w:r>
      <w:r>
        <w:tab/>
      </w:r>
      <w:r w:rsidRPr="00A762F7">
        <w:t xml:space="preserve">See Judgment of the Court of Justice of 14 October 2010 in case C-280/08 </w:t>
      </w:r>
      <w:r w:rsidRPr="00A762F7">
        <w:rPr>
          <w:i/>
        </w:rPr>
        <w:t>Deutsche Telekom v Commission.</w:t>
      </w:r>
      <w:r w:rsidRPr="00A762F7">
        <w:t xml:space="preserve"> Deutsche Telekom (DT) judgment concerns DT’s leaving a disproportionate margin between wholesale charges and retail charges for access to the local network. Although wholesale and retail prices were subject to sector-specific regulation, DT has had the commercial discretion allowing </w:t>
      </w:r>
      <w:r>
        <w:t>it</w:t>
      </w:r>
      <w:r w:rsidRPr="00A762F7">
        <w:t xml:space="preserve">self to restructure the tariffs by reducing the so-called margin. Considering this fact, </w:t>
      </w:r>
      <w:r>
        <w:t xml:space="preserve">the </w:t>
      </w:r>
      <w:r w:rsidRPr="00A762F7">
        <w:t>Commission concluded that Deutsche Telekom has abused its dominant position in the market for the provision of local access to fixed telecommunications networks via margin squeeze between the wholesale local access (LLU) prices and retail access prices</w:t>
      </w:r>
      <w:r>
        <w:t>,</w:t>
      </w:r>
      <w:r w:rsidRPr="00A762F7">
        <w:t xml:space="preserve"> with the unfair selling prices within the meaning </w:t>
      </w:r>
      <w:r>
        <w:t xml:space="preserve">of </w:t>
      </w:r>
      <w:r w:rsidRPr="00A762F7">
        <w:t>Article 102(a) of the Treaty. The C</w:t>
      </w:r>
      <w:r>
        <w:t>o</w:t>
      </w:r>
      <w:r w:rsidRPr="00A762F7">
        <w:t>J upheld the Commission’s decision, affirming that such conducts might be subject both to the competition rules and to national or European sector-specific measures (co-existence principle).</w:t>
      </w:r>
    </w:p>
  </w:footnote>
  <w:footnote w:id="638">
    <w:p w14:paraId="60E04148" w14:textId="451EA847"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Regarding the similarities and differences between the two legal bodies of EU law, see</w:t>
      </w:r>
      <w:r>
        <w:t xml:space="preserve"> </w:t>
      </w:r>
      <w:r w:rsidRPr="006B6D7C">
        <w:t>Alexiadis</w:t>
      </w:r>
      <w:r w:rsidRPr="00A762F7">
        <w:t xml:space="preserve"> </w:t>
      </w:r>
      <w:r w:rsidRPr="00571C82">
        <w:t>(n 237)</w:t>
      </w:r>
      <w:r w:rsidRPr="00A762F7">
        <w:t>.</w:t>
      </w:r>
    </w:p>
  </w:footnote>
  <w:footnote w:id="639">
    <w:p w14:paraId="036178E0" w14:textId="660BDA90" w:rsidR="005C0DC6" w:rsidRPr="001A1AD3" w:rsidRDefault="005C0DC6" w:rsidP="00A70042">
      <w:pPr>
        <w:pStyle w:val="FootnoteText"/>
        <w:ind w:left="426" w:hanging="426"/>
        <w:jc w:val="both"/>
        <w:rPr>
          <w:lang w:val="tr-TR"/>
        </w:rPr>
      </w:pPr>
      <w:r w:rsidRPr="00A762F7">
        <w:rPr>
          <w:rStyle w:val="FootnoteReference"/>
        </w:rPr>
        <w:footnoteRef/>
      </w:r>
      <w:r w:rsidRPr="00A762F7">
        <w:t xml:space="preserve"> </w:t>
      </w:r>
      <w:r>
        <w:tab/>
      </w:r>
      <w:r w:rsidRPr="00A762F7">
        <w:t xml:space="preserve">Alexandre De Streel, ‘The Relationship between Competition Law and Sector Specific Regulation: The case of electronic communications’ </w:t>
      </w:r>
      <w:r>
        <w:t xml:space="preserve">[2008] 1 </w:t>
      </w:r>
      <w:r w:rsidRPr="00A762F7">
        <w:t>Reflets et perspectives de la vie économique</w:t>
      </w:r>
      <w:r>
        <w:t xml:space="preserve"> 53</w:t>
      </w:r>
      <w:r w:rsidRPr="00A762F7">
        <w:t>, 56</w:t>
      </w:r>
      <w:r>
        <w:rPr>
          <w:lang w:val="tr-TR"/>
        </w:rPr>
        <w:t>.</w:t>
      </w:r>
    </w:p>
  </w:footnote>
  <w:footnote w:id="640">
    <w:p w14:paraId="6FB20DD5" w14:textId="30705A82" w:rsidR="005C0DC6" w:rsidRDefault="005C0DC6" w:rsidP="00A70042">
      <w:pPr>
        <w:pStyle w:val="FootnoteText"/>
        <w:ind w:left="426" w:hanging="426"/>
      </w:pPr>
      <w:r>
        <w:rPr>
          <w:rStyle w:val="FootnoteReference"/>
        </w:rPr>
        <w:footnoteRef/>
      </w:r>
      <w:r>
        <w:t xml:space="preserve"> </w:t>
      </w:r>
      <w:r>
        <w:tab/>
        <w:t xml:space="preserve">See also infra note </w:t>
      </w:r>
      <w:r w:rsidRPr="00757D38">
        <w:t>651</w:t>
      </w:r>
      <w:r>
        <w:t>.</w:t>
      </w:r>
    </w:p>
  </w:footnote>
  <w:footnote w:id="641">
    <w:p w14:paraId="7C415DE9" w14:textId="187F05F6" w:rsidR="005C0DC6" w:rsidRPr="002125BD" w:rsidRDefault="005C0DC6" w:rsidP="00A70042">
      <w:pPr>
        <w:pStyle w:val="FootnoteText"/>
        <w:ind w:left="426" w:hanging="426"/>
        <w:jc w:val="both"/>
      </w:pPr>
      <w:r w:rsidRPr="002125BD">
        <w:rPr>
          <w:rStyle w:val="FootnoteReference"/>
        </w:rPr>
        <w:footnoteRef/>
      </w:r>
      <w:r w:rsidRPr="002125BD">
        <w:t xml:space="preserve"> </w:t>
      </w:r>
      <w:r>
        <w:tab/>
        <w:t>EECC</w:t>
      </w:r>
      <w:r w:rsidRPr="002125BD">
        <w:t xml:space="preserve"> Directive, recital 2</w:t>
      </w:r>
      <w:r>
        <w:t>9</w:t>
      </w:r>
      <w:r w:rsidRPr="002125BD">
        <w:t>. See also</w:t>
      </w:r>
      <w:r w:rsidRPr="002125BD">
        <w:rPr>
          <w:lang w:val="en-US"/>
        </w:rPr>
        <w:t xml:space="preserve"> </w:t>
      </w:r>
      <w:r>
        <w:rPr>
          <w:lang w:val="en-US"/>
        </w:rPr>
        <w:t>EECC</w:t>
      </w:r>
      <w:r w:rsidRPr="002125BD">
        <w:rPr>
          <w:lang w:val="en-US"/>
        </w:rPr>
        <w:t xml:space="preserve"> Directive, </w:t>
      </w:r>
      <w:r>
        <w:rPr>
          <w:lang w:val="en-US"/>
        </w:rPr>
        <w:t>art</w:t>
      </w:r>
      <w:r w:rsidRPr="002125BD">
        <w:rPr>
          <w:lang w:val="en-US"/>
        </w:rPr>
        <w:t xml:space="preserve"> </w:t>
      </w:r>
      <w:r>
        <w:rPr>
          <w:lang w:val="en-US"/>
        </w:rPr>
        <w:t>3</w:t>
      </w:r>
      <w:r w:rsidRPr="002125BD">
        <w:rPr>
          <w:lang w:val="en-US"/>
        </w:rPr>
        <w:t>/</w:t>
      </w:r>
      <w:r>
        <w:rPr>
          <w:lang w:val="en-US"/>
        </w:rPr>
        <w:t>4</w:t>
      </w:r>
      <w:r w:rsidRPr="002125BD">
        <w:rPr>
          <w:lang w:val="en-US"/>
        </w:rPr>
        <w:t>(f).</w:t>
      </w:r>
    </w:p>
  </w:footnote>
  <w:footnote w:id="642">
    <w:p w14:paraId="72BCC17B" w14:textId="5C147F37"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Framework Directive, recital 27. See also</w:t>
      </w:r>
      <w:r w:rsidRPr="00A762F7">
        <w:rPr>
          <w:lang w:val="en-US"/>
        </w:rPr>
        <w:t xml:space="preserve"> </w:t>
      </w:r>
      <w:r>
        <w:rPr>
          <w:lang w:val="en-US"/>
        </w:rPr>
        <w:t xml:space="preserve">the </w:t>
      </w:r>
      <w:r w:rsidRPr="00A762F7">
        <w:rPr>
          <w:lang w:val="en-US"/>
        </w:rPr>
        <w:t xml:space="preserve">Framework Directive, </w:t>
      </w:r>
      <w:r>
        <w:rPr>
          <w:lang w:val="en-US"/>
        </w:rPr>
        <w:t>a</w:t>
      </w:r>
      <w:r w:rsidRPr="00A762F7">
        <w:rPr>
          <w:lang w:val="en-US"/>
        </w:rPr>
        <w:t>rt 8/5(f).</w:t>
      </w:r>
    </w:p>
  </w:footnote>
  <w:footnote w:id="643">
    <w:p w14:paraId="4E57860A" w14:textId="52A3D6A9" w:rsidR="005C0DC6" w:rsidRPr="00A762F7" w:rsidRDefault="005C0DC6" w:rsidP="00A70042">
      <w:pPr>
        <w:pStyle w:val="FootnoteText"/>
        <w:ind w:left="426" w:hanging="426"/>
      </w:pPr>
      <w:r w:rsidRPr="00A762F7">
        <w:rPr>
          <w:rStyle w:val="FootnoteReference"/>
        </w:rPr>
        <w:footnoteRef/>
      </w:r>
      <w:r w:rsidRPr="00A762F7">
        <w:t xml:space="preserve"> </w:t>
      </w:r>
      <w:r>
        <w:tab/>
      </w:r>
      <w:r w:rsidRPr="00A762F7">
        <w:t xml:space="preserve">See </w:t>
      </w:r>
      <w:r>
        <w:t xml:space="preserve">the </w:t>
      </w:r>
      <w:r w:rsidRPr="00A762F7">
        <w:t>EECC Directive, recital 163</w:t>
      </w:r>
      <w:r>
        <w:t xml:space="preserve"> and</w:t>
      </w:r>
      <w:r w:rsidRPr="00A762F7">
        <w:t xml:space="preserve"> </w:t>
      </w:r>
      <w:r>
        <w:t>art</w:t>
      </w:r>
      <w:r w:rsidRPr="00A762F7">
        <w:t xml:space="preserve"> 67-68.</w:t>
      </w:r>
    </w:p>
  </w:footnote>
  <w:footnote w:id="644">
    <w:p w14:paraId="0EBE1F4D" w14:textId="420BFC9C"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2002 Guidelines</w:t>
      </w:r>
      <w:r w:rsidRPr="00A762F7">
        <w:t xml:space="preserve">, </w:t>
      </w:r>
      <w:r>
        <w:t>para</w:t>
      </w:r>
      <w:r w:rsidRPr="00A762F7">
        <w:t xml:space="preserve"> 78.</w:t>
      </w:r>
    </w:p>
  </w:footnote>
  <w:footnote w:id="645">
    <w:p w14:paraId="2EC39581" w14:textId="60E6B44D"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See </w:t>
      </w:r>
      <w:r>
        <w:t xml:space="preserve">the </w:t>
      </w:r>
      <w:r w:rsidRPr="00A762F7">
        <w:t xml:space="preserve">EECC Directive, recital 161. See also </w:t>
      </w:r>
      <w:r>
        <w:t xml:space="preserve">the </w:t>
      </w:r>
      <w:r w:rsidRPr="00A762F7">
        <w:t xml:space="preserve">EECC Directive, </w:t>
      </w:r>
      <w:r>
        <w:t>art</w:t>
      </w:r>
      <w:r w:rsidRPr="00A762F7">
        <w:t xml:space="preserve"> 63(1) reading as follows:</w:t>
      </w:r>
    </w:p>
    <w:p w14:paraId="204B491C" w14:textId="203AB9F5" w:rsidR="005C0DC6" w:rsidRPr="00A762F7" w:rsidRDefault="005C0DC6" w:rsidP="002759C3">
      <w:pPr>
        <w:pStyle w:val="FootnoteText"/>
        <w:ind w:left="992" w:right="567"/>
        <w:jc w:val="both"/>
      </w:pPr>
      <w:r w:rsidRPr="00A762F7">
        <w:t>An undertaking shall be deemed to have significant market power if, either individually or jointly with others, it enjoys a position equivalent to dominance, namely a position of economic strength affording it the power to behave to an appreciable extent independently of competitors, customers and ultimately consumers.</w:t>
      </w:r>
    </w:p>
  </w:footnote>
  <w:footnote w:id="646">
    <w:p w14:paraId="03408972" w14:textId="0D9FE0B1" w:rsidR="005C0DC6" w:rsidRPr="00A762F7" w:rsidRDefault="005C0DC6" w:rsidP="00A70042">
      <w:pPr>
        <w:pStyle w:val="FootnoteText"/>
        <w:ind w:left="426" w:hanging="426"/>
        <w:jc w:val="both"/>
        <w:rPr>
          <w:lang w:val="tr-TR"/>
        </w:rPr>
      </w:pPr>
      <w:r w:rsidRPr="00A762F7">
        <w:rPr>
          <w:rStyle w:val="FootnoteReference"/>
          <w:rFonts w:eastAsiaTheme="majorEastAsia"/>
        </w:rPr>
        <w:footnoteRef/>
      </w:r>
      <w:r w:rsidRPr="00A762F7">
        <w:t xml:space="preserve"> </w:t>
      </w:r>
      <w:r>
        <w:tab/>
      </w:r>
      <w:r w:rsidRPr="00A762F7">
        <w:rPr>
          <w:lang w:val="tr-TR"/>
        </w:rPr>
        <w:t>Alexandre De Streel, ‘The New Concept of “Significant Market Power” in Electronic Communications: The Hybridisation of the Sectoral Regulation by Competition Law’ [2003] 24(10)</w:t>
      </w:r>
      <w:r>
        <w:rPr>
          <w:lang w:val="tr-TR"/>
        </w:rPr>
        <w:t xml:space="preserve"> </w:t>
      </w:r>
      <w:r w:rsidRPr="00A762F7">
        <w:rPr>
          <w:lang w:val="tr-TR"/>
        </w:rPr>
        <w:t>European Competition Law Review</w:t>
      </w:r>
      <w:r>
        <w:rPr>
          <w:lang w:val="tr-TR"/>
        </w:rPr>
        <w:t xml:space="preserve"> 535</w:t>
      </w:r>
      <w:r w:rsidRPr="00A762F7">
        <w:rPr>
          <w:lang w:val="tr-TR"/>
        </w:rPr>
        <w:t>, 542.</w:t>
      </w:r>
    </w:p>
  </w:footnote>
  <w:footnote w:id="647">
    <w:p w14:paraId="5DE59ED2" w14:textId="25CEA5FC" w:rsidR="005C0DC6" w:rsidRPr="00A762F7" w:rsidRDefault="005C0DC6" w:rsidP="00A70042">
      <w:pPr>
        <w:pStyle w:val="FootnoteText"/>
        <w:ind w:left="426" w:hanging="426"/>
        <w:jc w:val="both"/>
        <w:rPr>
          <w:lang w:val="tr-TR"/>
        </w:rPr>
      </w:pPr>
      <w:r w:rsidRPr="00A762F7">
        <w:rPr>
          <w:rStyle w:val="FootnoteReference"/>
          <w:rFonts w:eastAsiaTheme="majorEastAsia"/>
        </w:rPr>
        <w:footnoteRef/>
      </w:r>
      <w:r w:rsidRPr="00A762F7">
        <w:t xml:space="preserve"> </w:t>
      </w:r>
      <w:r>
        <w:tab/>
      </w:r>
      <w:r w:rsidRPr="00A762F7">
        <w:rPr>
          <w:lang w:val="tr-TR"/>
        </w:rPr>
        <w:t>Ibid.</w:t>
      </w:r>
    </w:p>
  </w:footnote>
  <w:footnote w:id="648">
    <w:p w14:paraId="4D0AD846" w14:textId="03C26E05" w:rsidR="005C0DC6" w:rsidRPr="00A762F7" w:rsidRDefault="005C0DC6" w:rsidP="00A70042">
      <w:pPr>
        <w:pStyle w:val="FootnoteText"/>
        <w:ind w:left="426" w:hanging="426"/>
        <w:jc w:val="both"/>
      </w:pPr>
      <w:r w:rsidRPr="00A762F7">
        <w:rPr>
          <w:rStyle w:val="FootnoteReference"/>
          <w:rFonts w:eastAsiaTheme="majorEastAsia"/>
        </w:rPr>
        <w:footnoteRef/>
      </w:r>
      <w:r w:rsidRPr="00A762F7">
        <w:rPr>
          <w:bCs/>
        </w:rPr>
        <w:t xml:space="preserve"> </w:t>
      </w:r>
      <w:r>
        <w:rPr>
          <w:bCs/>
        </w:rPr>
        <w:tab/>
      </w:r>
      <w:r w:rsidRPr="00A762F7">
        <w:rPr>
          <w:bCs/>
        </w:rPr>
        <w:t>See</w:t>
      </w:r>
      <w:r>
        <w:rPr>
          <w:bCs/>
        </w:rPr>
        <w:t xml:space="preserve"> the</w:t>
      </w:r>
      <w:r w:rsidRPr="00A762F7">
        <w:rPr>
          <w:bCs/>
        </w:rPr>
        <w:t xml:space="preserve"> </w:t>
      </w:r>
      <w:r w:rsidRPr="00A762F7">
        <w:t>Framework Directive, recital 25.</w:t>
      </w:r>
    </w:p>
  </w:footnote>
  <w:footnote w:id="649">
    <w:p w14:paraId="3417DB2F" w14:textId="2D6C9400"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See De Streel (n </w:t>
      </w:r>
      <w:r>
        <w:t>646</w:t>
      </w:r>
      <w:r w:rsidRPr="00A762F7">
        <w:t xml:space="preserve">) </w:t>
      </w:r>
      <w:r>
        <w:t>537</w:t>
      </w:r>
      <w:r w:rsidRPr="00A762F7">
        <w:t>.</w:t>
      </w:r>
    </w:p>
  </w:footnote>
  <w:footnote w:id="650">
    <w:p w14:paraId="1240672E" w14:textId="3D58E0A0" w:rsidR="005C0DC6" w:rsidRPr="00A762F7" w:rsidRDefault="005C0DC6" w:rsidP="00A70042">
      <w:pPr>
        <w:pStyle w:val="FootnoteText"/>
        <w:ind w:left="426" w:hanging="426"/>
      </w:pPr>
      <w:r w:rsidRPr="00A762F7">
        <w:rPr>
          <w:rStyle w:val="FootnoteReference"/>
        </w:rPr>
        <w:footnoteRef/>
      </w:r>
      <w:r w:rsidRPr="00A762F7">
        <w:t xml:space="preserve"> </w:t>
      </w:r>
      <w:r>
        <w:tab/>
      </w:r>
      <w:r w:rsidRPr="00A762F7">
        <w:t xml:space="preserve">EECC Directive, </w:t>
      </w:r>
      <w:r>
        <w:t>a</w:t>
      </w:r>
      <w:r w:rsidRPr="00A762F7">
        <w:t>rt</w:t>
      </w:r>
      <w:r>
        <w:t xml:space="preserve"> </w:t>
      </w:r>
      <w:r w:rsidRPr="00A762F7">
        <w:t>68-74 and 76-81.</w:t>
      </w:r>
    </w:p>
  </w:footnote>
  <w:footnote w:id="651">
    <w:p w14:paraId="5C9EADFB" w14:textId="15AE38EA"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Commission Recommendation of 9 October 2014 on relevant product and service markets within the electronic communications sector susceptible to </w:t>
      </w:r>
      <w:r>
        <w:t>ex ante</w:t>
      </w:r>
      <w:r w:rsidRPr="00A762F7">
        <w:t xml:space="preserve"> regulation in accordance with Directive 2002/21/EC of the European Parliament and of the Council on a common regulatory framework for electronic communications networks and services (2014/710/EU)</w:t>
      </w:r>
      <w:r>
        <w:t xml:space="preserve"> [2014] </w:t>
      </w:r>
      <w:r w:rsidRPr="003A208D">
        <w:t>OJ L 295</w:t>
      </w:r>
      <w:r w:rsidRPr="00A762F7">
        <w:rPr>
          <w:lang w:val="tr-TR"/>
        </w:rPr>
        <w:t xml:space="preserve">; Commission Recommendation of 17 December 2007 on relevant product and service markets within the electronic communications sector susceptible to </w:t>
      </w:r>
      <w:r>
        <w:rPr>
          <w:lang w:val="tr-TR"/>
        </w:rPr>
        <w:t>ex ante</w:t>
      </w:r>
      <w:r w:rsidRPr="00A762F7">
        <w:rPr>
          <w:lang w:val="tr-TR"/>
        </w:rPr>
        <w:t xml:space="preserve"> regulation in accordance with Directive 2002/21/EC of the European Parliament and of the Council on a common regulatory framework for electronic communications networks and services</w:t>
      </w:r>
      <w:r>
        <w:rPr>
          <w:lang w:val="tr-TR"/>
        </w:rPr>
        <w:t xml:space="preserve"> (</w:t>
      </w:r>
      <w:r w:rsidRPr="00A762F7">
        <w:rPr>
          <w:lang w:val="tr-TR"/>
        </w:rPr>
        <w:t>2007/879/EC</w:t>
      </w:r>
      <w:r>
        <w:rPr>
          <w:lang w:val="tr-TR"/>
        </w:rPr>
        <w:t>)</w:t>
      </w:r>
      <w:r w:rsidRPr="00A762F7">
        <w:rPr>
          <w:lang w:val="tr-TR"/>
        </w:rPr>
        <w:t xml:space="preserve"> </w:t>
      </w:r>
      <w:r>
        <w:rPr>
          <w:lang w:val="tr-TR"/>
        </w:rPr>
        <w:t>[2007]</w:t>
      </w:r>
      <w:r w:rsidRPr="00A762F7">
        <w:rPr>
          <w:lang w:val="tr-TR"/>
        </w:rPr>
        <w:t xml:space="preserve"> </w:t>
      </w:r>
      <w:r w:rsidRPr="005E2AFA">
        <w:rPr>
          <w:lang w:val="tr-TR"/>
        </w:rPr>
        <w:t>OJ L 344</w:t>
      </w:r>
      <w:r w:rsidRPr="00A762F7">
        <w:t xml:space="preserve">; Commission Recommendation of </w:t>
      </w:r>
      <w:smartTag w:uri="urn:schemas-microsoft-com:office:smarttags" w:element="date">
        <w:smartTagPr>
          <w:attr w:name="Year" w:val="2003"/>
          <w:attr w:name="Day" w:val="11"/>
          <w:attr w:name="Month" w:val="2"/>
        </w:smartTagPr>
        <w:r w:rsidRPr="00A762F7">
          <w:t>11 February 2003</w:t>
        </w:r>
      </w:smartTag>
      <w:r w:rsidRPr="00A762F7">
        <w:t xml:space="preserve"> on relevant product and service markets within the electronic communications sector susceptible to </w:t>
      </w:r>
      <w:r>
        <w:t>ex ante</w:t>
      </w:r>
      <w:r w:rsidRPr="00A762F7">
        <w:t xml:space="preserve"> regulation in accordance with Directive 2002/21/EC of the European Parliament and of the Council on a common regulatory framework for electronic communications networks and services</w:t>
      </w:r>
      <w:r>
        <w:t xml:space="preserve"> </w:t>
      </w:r>
      <w:r w:rsidRPr="00784419">
        <w:t>(2003/311/EC)</w:t>
      </w:r>
      <w:r>
        <w:t xml:space="preserve"> </w:t>
      </w:r>
      <w:r>
        <w:rPr>
          <w:lang w:val="tr-TR"/>
        </w:rPr>
        <w:t>[2003]</w:t>
      </w:r>
      <w:r w:rsidRPr="00A762F7">
        <w:t xml:space="preserve"> </w:t>
      </w:r>
      <w:r w:rsidRPr="005E2AFA">
        <w:rPr>
          <w:lang w:val="en-US"/>
        </w:rPr>
        <w:t>OJ L 114</w:t>
      </w:r>
      <w:r>
        <w:rPr>
          <w:lang w:val="en-US"/>
        </w:rPr>
        <w:t>.</w:t>
      </w:r>
    </w:p>
  </w:footnote>
  <w:footnote w:id="652">
    <w:p w14:paraId="12D70031" w14:textId="57CA13DE" w:rsidR="005C0DC6" w:rsidRPr="00A762F7" w:rsidRDefault="005C0DC6" w:rsidP="00A70042">
      <w:pPr>
        <w:pStyle w:val="FootnoteText"/>
        <w:ind w:left="426" w:hanging="426"/>
      </w:pPr>
      <w:r w:rsidRPr="00A762F7">
        <w:rPr>
          <w:rStyle w:val="FootnoteReference"/>
        </w:rPr>
        <w:footnoteRef/>
      </w:r>
      <w:r w:rsidRPr="00A762F7">
        <w:t xml:space="preserve"> </w:t>
      </w:r>
      <w:r>
        <w:tab/>
      </w:r>
      <w:r w:rsidRPr="00A762F7">
        <w:t>See</w:t>
      </w:r>
      <w:r>
        <w:t xml:space="preserve"> the</w:t>
      </w:r>
      <w:r w:rsidRPr="00A762F7">
        <w:t xml:space="preserve"> EECC Directive, </w:t>
      </w:r>
      <w:r>
        <w:t>art</w:t>
      </w:r>
      <w:r w:rsidRPr="00A762F7">
        <w:t xml:space="preserve"> 67(1).</w:t>
      </w:r>
    </w:p>
  </w:footnote>
  <w:footnote w:id="653">
    <w:p w14:paraId="5D2F0CB3" w14:textId="7E690196"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Ibid. T</w:t>
      </w:r>
      <w:r>
        <w:t>he t</w:t>
      </w:r>
      <w:r w:rsidRPr="00A762F7">
        <w:t>hree-criteria test being met simply gives way to an NRA imposing a number of remedies</w:t>
      </w:r>
      <w:r>
        <w:t xml:space="preserve"> on</w:t>
      </w:r>
      <w:r w:rsidRPr="00A762F7">
        <w:t xml:space="preserve"> the SMP undertaking(s), including modification and/or withdrawal of the remedies already imposed. However,</w:t>
      </w:r>
      <w:r>
        <w:t xml:space="preserve"> the </w:t>
      </w:r>
      <w:r w:rsidRPr="00A762F7">
        <w:t xml:space="preserve">three criteria test does not directly conclude with this result, but allows the NRA to carry out the market analysis with the next step(s), namely designation of </w:t>
      </w:r>
      <w:r>
        <w:t xml:space="preserve">the </w:t>
      </w:r>
      <w:r w:rsidRPr="00A762F7">
        <w:t>SMP undertakings and the appropriate remedies.</w:t>
      </w:r>
    </w:p>
  </w:footnote>
  <w:footnote w:id="654">
    <w:p w14:paraId="71071201" w14:textId="1D6EE4CF"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Regarding details of</w:t>
      </w:r>
      <w:r>
        <w:t xml:space="preserve"> the</w:t>
      </w:r>
      <w:r w:rsidRPr="00A762F7">
        <w:t xml:space="preserve"> hypotethical monopol</w:t>
      </w:r>
      <w:r>
        <w:t>ist</w:t>
      </w:r>
      <w:r w:rsidRPr="00A762F7">
        <w:t xml:space="preserve"> test</w:t>
      </w:r>
      <w:r>
        <w:t>,</w:t>
      </w:r>
      <w:r w:rsidRPr="00A762F7">
        <w:t xml:space="preserve"> see </w:t>
      </w:r>
      <w:r>
        <w:t xml:space="preserve">the section </w:t>
      </w:r>
      <w:r w:rsidRPr="00A762F7">
        <w:t>‘5.1. Market Definition’.</w:t>
      </w:r>
    </w:p>
  </w:footnote>
  <w:footnote w:id="655">
    <w:p w14:paraId="374AAE8B" w14:textId="424CA2DB"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According to the ECRF rules, NRAs are required to carry out analyses of the relevant markets at least every five years (See</w:t>
      </w:r>
      <w:r w:rsidRPr="00A762F7">
        <w:rPr>
          <w:lang w:val="en-US"/>
        </w:rPr>
        <w:t xml:space="preserve"> </w:t>
      </w:r>
      <w:r>
        <w:rPr>
          <w:lang w:val="en-US"/>
        </w:rPr>
        <w:t xml:space="preserve">the </w:t>
      </w:r>
      <w:r w:rsidRPr="00A762F7">
        <w:rPr>
          <w:lang w:val="en-US"/>
        </w:rPr>
        <w:t>EECC Directive, Article 67(5/a))</w:t>
      </w:r>
      <w:r w:rsidRPr="00A762F7">
        <w:t>.</w:t>
      </w:r>
    </w:p>
  </w:footnote>
  <w:footnote w:id="656">
    <w:p w14:paraId="4716DFD7" w14:textId="1110743E"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2002 </w:t>
      </w:r>
      <w:r w:rsidRPr="00A762F7">
        <w:rPr>
          <w:lang w:val="en-US"/>
        </w:rPr>
        <w:t xml:space="preserve">Guidelines, </w:t>
      </w:r>
      <w:r>
        <w:t>para</w:t>
      </w:r>
      <w:r w:rsidRPr="00A762F7">
        <w:rPr>
          <w:lang w:val="en-US"/>
        </w:rPr>
        <w:t xml:space="preserve"> 27.</w:t>
      </w:r>
    </w:p>
  </w:footnote>
  <w:footnote w:id="657">
    <w:p w14:paraId="539610AC" w14:textId="3F482958"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NRAs should determine whether the market is prospectively competitive, and thus whether any lack of effective competition is durable, by taking into account expected or foreseeable market developments over the course of a reasonable period (2002 </w:t>
      </w:r>
      <w:r w:rsidRPr="00A762F7">
        <w:rPr>
          <w:lang w:val="en-US"/>
        </w:rPr>
        <w:t xml:space="preserve">Guidelines, </w:t>
      </w:r>
      <w:r>
        <w:rPr>
          <w:lang w:val="en-US"/>
        </w:rPr>
        <w:t>para</w:t>
      </w:r>
      <w:r w:rsidRPr="00A762F7">
        <w:rPr>
          <w:lang w:val="en-US"/>
        </w:rPr>
        <w:t xml:space="preserve"> 20).</w:t>
      </w:r>
    </w:p>
  </w:footnote>
  <w:footnote w:id="658">
    <w:p w14:paraId="3F0A80F5" w14:textId="4E66DEFF"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According to the 2002 Guidelines, single dominance concerns normally arise in the case of undertakings with market shares of over 40%, although very large market shares - in excess of 50% - are in themselves, save in exceptional circumstances, evidence of the existence of a dominant position (</w:t>
      </w:r>
      <w:r w:rsidRPr="00A762F7">
        <w:t xml:space="preserve">2002 </w:t>
      </w:r>
      <w:r w:rsidRPr="00A762F7">
        <w:rPr>
          <w:lang w:val="en-US"/>
        </w:rPr>
        <w:t xml:space="preserve">Guidelines, </w:t>
      </w:r>
      <w:r>
        <w:rPr>
          <w:lang w:val="en-US"/>
        </w:rPr>
        <w:t>para</w:t>
      </w:r>
      <w:r w:rsidRPr="00A762F7">
        <w:rPr>
          <w:lang w:val="en-US"/>
        </w:rPr>
        <w:t xml:space="preserve"> 75).</w:t>
      </w:r>
    </w:p>
  </w:footnote>
  <w:footnote w:id="659">
    <w:p w14:paraId="1102151E" w14:textId="4901E5F6"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2002 Guidelines, </w:t>
      </w:r>
      <w:r>
        <w:t>para</w:t>
      </w:r>
      <w:r w:rsidRPr="00A762F7">
        <w:t xml:space="preserve"> 78.</w:t>
      </w:r>
    </w:p>
  </w:footnote>
  <w:footnote w:id="660">
    <w:p w14:paraId="17F0D8C6" w14:textId="68DFE2F6" w:rsidR="005C0DC6" w:rsidRPr="00A762F7" w:rsidRDefault="005C0DC6" w:rsidP="00A70042">
      <w:pPr>
        <w:pStyle w:val="FootnoteText"/>
        <w:ind w:left="426" w:hanging="426"/>
      </w:pPr>
      <w:r w:rsidRPr="00A762F7">
        <w:rPr>
          <w:rStyle w:val="FootnoteReference"/>
        </w:rPr>
        <w:footnoteRef/>
      </w:r>
      <w:r w:rsidRPr="00A762F7">
        <w:t xml:space="preserve"> </w:t>
      </w:r>
      <w:r>
        <w:tab/>
      </w:r>
      <w:r w:rsidRPr="00A762F7">
        <w:t xml:space="preserve">EECC Directive, </w:t>
      </w:r>
      <w:r>
        <w:t>art</w:t>
      </w:r>
      <w:r w:rsidRPr="00A762F7">
        <w:t xml:space="preserve"> 68(4).</w:t>
      </w:r>
    </w:p>
  </w:footnote>
  <w:footnote w:id="661">
    <w:p w14:paraId="0DB8D23D" w14:textId="7012D3FA" w:rsidR="005C0DC6" w:rsidRPr="00A762F7" w:rsidRDefault="005C0DC6" w:rsidP="00A70042">
      <w:pPr>
        <w:pStyle w:val="FootnoteText"/>
        <w:ind w:left="426" w:hanging="426"/>
      </w:pPr>
      <w:r w:rsidRPr="00A762F7">
        <w:rPr>
          <w:rStyle w:val="FootnoteReference"/>
        </w:rPr>
        <w:footnoteRef/>
      </w:r>
      <w:r w:rsidRPr="00A762F7">
        <w:t xml:space="preserve"> </w:t>
      </w:r>
      <w:r>
        <w:tab/>
      </w:r>
      <w:r w:rsidRPr="00A762F7">
        <w:t xml:space="preserve">EECC Directive, </w:t>
      </w:r>
      <w:r>
        <w:t>art</w:t>
      </w:r>
      <w:r w:rsidRPr="00A762F7">
        <w:t xml:space="preserve"> 73(1). </w:t>
      </w:r>
    </w:p>
  </w:footnote>
  <w:footnote w:id="662">
    <w:p w14:paraId="06662B61" w14:textId="1D5B0B25"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When interconnection is at stake, the notion of ‘sunk costs’ is by and large replaced with the notion of ‘network externalities’, which is considered to be harmful unless mitigated by an interconnection obligation. Indeed, </w:t>
      </w:r>
      <w:r>
        <w:rPr>
          <w:lang w:val="en-US"/>
        </w:rPr>
        <w:t xml:space="preserve">the </w:t>
      </w:r>
      <w:r w:rsidRPr="00A762F7">
        <w:rPr>
          <w:lang w:val="en-US"/>
        </w:rPr>
        <w:t xml:space="preserve">presence of an externality may lead to under-consumption in </w:t>
      </w:r>
      <w:r>
        <w:rPr>
          <w:lang w:val="en-US"/>
        </w:rPr>
        <w:t xml:space="preserve">the </w:t>
      </w:r>
      <w:r w:rsidRPr="00A762F7">
        <w:rPr>
          <w:lang w:val="en-US"/>
        </w:rPr>
        <w:t xml:space="preserve">case of </w:t>
      </w:r>
      <w:r>
        <w:rPr>
          <w:lang w:val="en-US"/>
        </w:rPr>
        <w:t xml:space="preserve">a </w:t>
      </w:r>
      <w:r w:rsidRPr="00A762F7">
        <w:rPr>
          <w:lang w:val="en-US"/>
        </w:rPr>
        <w:t>positive externality and over-consumption in</w:t>
      </w:r>
      <w:r>
        <w:rPr>
          <w:lang w:val="en-US"/>
        </w:rPr>
        <w:t xml:space="preserve"> the</w:t>
      </w:r>
      <w:r w:rsidRPr="00A762F7">
        <w:rPr>
          <w:lang w:val="en-US"/>
        </w:rPr>
        <w:t xml:space="preserve"> case of </w:t>
      </w:r>
      <w:r>
        <w:rPr>
          <w:lang w:val="en-US"/>
        </w:rPr>
        <w:t xml:space="preserve">a </w:t>
      </w:r>
      <w:r w:rsidRPr="00A762F7">
        <w:rPr>
          <w:lang w:val="en-US"/>
        </w:rPr>
        <w:t>negative externality (De Streel (n 5</w:t>
      </w:r>
      <w:r>
        <w:rPr>
          <w:lang w:val="en-US"/>
        </w:rPr>
        <w:t>71</w:t>
      </w:r>
      <w:r w:rsidRPr="00A762F7">
        <w:rPr>
          <w:lang w:val="en-US"/>
        </w:rPr>
        <w:t xml:space="preserve">) 66). For instance, less than the optimal number of customers may decide to join a network if new customers are not compensated, when joining the network, for the increase of welfare they create to the already existing customers (Ibid). </w:t>
      </w:r>
    </w:p>
  </w:footnote>
  <w:footnote w:id="663">
    <w:p w14:paraId="189AEB14" w14:textId="48C73E84"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William H. Melody, </w:t>
      </w:r>
      <w:r w:rsidRPr="001428A6">
        <w:rPr>
          <w:i/>
          <w:iCs/>
        </w:rPr>
        <w:t>Telecom Reform: Principles, Policies and Regulatory Practices</w:t>
      </w:r>
      <w:r w:rsidRPr="00A762F7">
        <w:t xml:space="preserve">, </w:t>
      </w:r>
      <w:r>
        <w:t>(</w:t>
      </w:r>
      <w:r w:rsidRPr="00A762F7">
        <w:t>Private Ingeniørfond, Technical University of Denmark 1997) 114.</w:t>
      </w:r>
    </w:p>
  </w:footnote>
  <w:footnote w:id="664">
    <w:p w14:paraId="0A3912A5" w14:textId="397691ED"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See also Unver (n </w:t>
      </w:r>
      <w:r>
        <w:t>100</w:t>
      </w:r>
      <w:r w:rsidRPr="00A762F7">
        <w:t>) 74.</w:t>
      </w:r>
    </w:p>
  </w:footnote>
  <w:footnote w:id="665">
    <w:p w14:paraId="4A8CF625" w14:textId="4E82F883"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Remarkably, since the decline of the Structure-Conduct-Performance paradigm in industrial economics, it is now recognized that non-strategic and strategic market failures are closely linked together and that structure influences conduct as much as conduct influence</w:t>
      </w:r>
      <w:r>
        <w:rPr>
          <w:lang w:val="en-US"/>
        </w:rPr>
        <w:t>s</w:t>
      </w:r>
      <w:r w:rsidRPr="00A762F7">
        <w:rPr>
          <w:lang w:val="en-US"/>
        </w:rPr>
        <w:t xml:space="preserve"> structure (</w:t>
      </w:r>
      <w:bookmarkStart w:id="503" w:name="_Hlk13792781"/>
      <w:r w:rsidRPr="00A762F7">
        <w:t>Alexandre De Streel, ‘</w:t>
      </w:r>
      <w:r w:rsidRPr="00A762F7">
        <w:rPr>
          <w:lang w:val="tr-TR"/>
        </w:rPr>
        <w:t>Efficient Regulation of Dynamic Telecommunications Markets and the New Regulatory Framework in Europe’ in R</w:t>
      </w:r>
      <w:r>
        <w:rPr>
          <w:lang w:val="tr-TR"/>
        </w:rPr>
        <w:t>alf</w:t>
      </w:r>
      <w:r w:rsidRPr="00A762F7">
        <w:rPr>
          <w:lang w:val="tr-TR"/>
        </w:rPr>
        <w:t xml:space="preserve"> Dewenter and J</w:t>
      </w:r>
      <w:r>
        <w:rPr>
          <w:lang w:val="tr-TR"/>
        </w:rPr>
        <w:t>ustus</w:t>
      </w:r>
      <w:r w:rsidRPr="00A762F7">
        <w:rPr>
          <w:lang w:val="tr-TR"/>
        </w:rPr>
        <w:t xml:space="preserve"> Haucap (eds), </w:t>
      </w:r>
      <w:r w:rsidRPr="00A762F7">
        <w:rPr>
          <w:i/>
          <w:lang w:val="tr-TR"/>
        </w:rPr>
        <w:t>Access Pricing: Theory and Practice</w:t>
      </w:r>
      <w:r w:rsidRPr="00A762F7">
        <w:rPr>
          <w:lang w:val="tr-TR"/>
        </w:rPr>
        <w:t xml:space="preserve"> (Elsevier B.V 2007) 359).</w:t>
      </w:r>
      <w:bookmarkEnd w:id="503"/>
    </w:p>
  </w:footnote>
  <w:footnote w:id="666">
    <w:p w14:paraId="1CCBB7BE" w14:textId="14C90758" w:rsidR="005C0DC6" w:rsidRPr="00A762F7" w:rsidRDefault="005C0DC6" w:rsidP="00A70042">
      <w:pPr>
        <w:pStyle w:val="FootnoteText"/>
        <w:ind w:left="426" w:hanging="426"/>
        <w:jc w:val="both"/>
        <w:rPr>
          <w:lang w:eastAsia="tr-TR"/>
        </w:rPr>
      </w:pPr>
      <w:r w:rsidRPr="00A762F7">
        <w:rPr>
          <w:rStyle w:val="FootnoteReference"/>
          <w:rFonts w:eastAsiaTheme="majorEastAsia"/>
        </w:rPr>
        <w:footnoteRef/>
      </w:r>
      <w:r w:rsidRPr="00A762F7">
        <w:t xml:space="preserve"> </w:t>
      </w:r>
      <w:r>
        <w:tab/>
      </w:r>
      <w:r w:rsidRPr="00A762F7">
        <w:t>Larouche (</w:t>
      </w:r>
      <w:r>
        <w:t>n 475</w:t>
      </w:r>
      <w:r w:rsidRPr="00A762F7">
        <w:t>) Introduction.</w:t>
      </w:r>
    </w:p>
  </w:footnote>
  <w:footnote w:id="667">
    <w:p w14:paraId="4E54C6BE" w14:textId="24CE2382" w:rsidR="005C0DC6" w:rsidRPr="00A762F7" w:rsidRDefault="005C0DC6" w:rsidP="00A70042">
      <w:pPr>
        <w:pStyle w:val="FootnoteText"/>
        <w:ind w:left="426" w:hanging="426"/>
      </w:pPr>
      <w:r w:rsidRPr="00A762F7">
        <w:rPr>
          <w:rStyle w:val="FootnoteReference"/>
        </w:rPr>
        <w:footnoteRef/>
      </w:r>
      <w:r w:rsidRPr="00A762F7">
        <w:t xml:space="preserve"> </w:t>
      </w:r>
      <w:r>
        <w:tab/>
      </w:r>
      <w:r w:rsidRPr="00A762F7">
        <w:t>See Mehmet Bilal Unver, ‘Is a fine-tuning approach sufficient for EU NGA policy? A global review around the long-lasting debate’ [2015] 11(39) Telecommunications Policy 957,</w:t>
      </w:r>
      <w:r>
        <w:t xml:space="preserve"> </w:t>
      </w:r>
      <w:r w:rsidRPr="00A762F7">
        <w:t>970-972.</w:t>
      </w:r>
    </w:p>
  </w:footnote>
  <w:footnote w:id="668">
    <w:p w14:paraId="2559553F" w14:textId="1334F2D1"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Regarding </w:t>
      </w:r>
      <w:r>
        <w:t xml:space="preserve">the </w:t>
      </w:r>
      <w:r w:rsidRPr="00A762F7">
        <w:t xml:space="preserve">technical and economic </w:t>
      </w:r>
      <w:r>
        <w:t xml:space="preserve">characteristics </w:t>
      </w:r>
      <w:r w:rsidRPr="00A762F7">
        <w:t>of cloud computing and IoT services,</w:t>
      </w:r>
      <w:r>
        <w:t xml:space="preserve"> </w:t>
      </w:r>
      <w:r w:rsidRPr="00FF098A">
        <w:t>see the section ‘7. Case studies: Internet of Things and Cloud Computing’.</w:t>
      </w:r>
    </w:p>
  </w:footnote>
  <w:footnote w:id="669">
    <w:p w14:paraId="6F280CC7" w14:textId="7154056E" w:rsidR="005C0DC6" w:rsidRPr="00A762F7" w:rsidRDefault="005C0DC6" w:rsidP="00A70042">
      <w:pPr>
        <w:pStyle w:val="FootnoteText"/>
        <w:ind w:left="426" w:hanging="426"/>
        <w:jc w:val="both"/>
      </w:pPr>
      <w:r w:rsidRPr="00A762F7">
        <w:rPr>
          <w:rStyle w:val="FootnoteReference"/>
        </w:rPr>
        <w:footnoteRef/>
      </w:r>
      <w:r w:rsidRPr="00A762F7">
        <w:t xml:space="preserve"> </w:t>
      </w:r>
      <w:r>
        <w:tab/>
        <w:t xml:space="preserve">Jean-Christophe Plantin, Carl Lagoze, Paul N. Edwards and Christian Sandvig, ‘Infrastructure studies meet platform studies in the age of Google and Facebook’, [2018] 20(1) New media &amp; society 293, </w:t>
      </w:r>
      <w:r w:rsidRPr="00A762F7">
        <w:t xml:space="preserve">301, </w:t>
      </w:r>
      <w:r>
        <w:t>referr</w:t>
      </w:r>
      <w:r w:rsidRPr="00A762F7">
        <w:t xml:space="preserve">ing </w:t>
      </w:r>
      <w:r>
        <w:t xml:space="preserve">to </w:t>
      </w:r>
      <w:r w:rsidRPr="00CD478C">
        <w:t>M</w:t>
      </w:r>
      <w:r>
        <w:t>anuel</w:t>
      </w:r>
      <w:r w:rsidRPr="00CD478C">
        <w:t xml:space="preserve"> Castells, </w:t>
      </w:r>
      <w:r w:rsidRPr="00CD478C">
        <w:rPr>
          <w:i/>
          <w:iCs/>
        </w:rPr>
        <w:t>The Rise of the Network Society</w:t>
      </w:r>
      <w:r w:rsidRPr="00CD478C">
        <w:t xml:space="preserve"> </w:t>
      </w:r>
      <w:r>
        <w:t>(</w:t>
      </w:r>
      <w:r w:rsidRPr="00CD478C">
        <w:t>Blackwell Publisher</w:t>
      </w:r>
      <w:r>
        <w:t xml:space="preserve"> 2000).</w:t>
      </w:r>
      <w:r w:rsidRPr="00A762F7">
        <w:t xml:space="preserve"> </w:t>
      </w:r>
    </w:p>
  </w:footnote>
  <w:footnote w:id="670">
    <w:p w14:paraId="6E7F25A7" w14:textId="409D788F"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De Streel (n </w:t>
      </w:r>
      <w:r>
        <w:t>639</w:t>
      </w:r>
      <w:r w:rsidRPr="00A762F7">
        <w:t>) 68.</w:t>
      </w:r>
    </w:p>
  </w:footnote>
  <w:footnote w:id="671">
    <w:p w14:paraId="1ED45F25" w14:textId="6A706278" w:rsidR="005C0DC6" w:rsidRPr="00A762F7" w:rsidRDefault="005C0DC6" w:rsidP="00A70042">
      <w:pPr>
        <w:pStyle w:val="FootnoteText"/>
        <w:ind w:left="426" w:hanging="426"/>
        <w:jc w:val="both"/>
        <w:rPr>
          <w:lang w:val="en-US"/>
        </w:rPr>
      </w:pPr>
      <w:r w:rsidRPr="00A762F7">
        <w:rPr>
          <w:rStyle w:val="FootnoteReference"/>
        </w:rPr>
        <w:footnoteRef/>
      </w:r>
      <w:r w:rsidRPr="00A762F7">
        <w:rPr>
          <w:lang w:val="en-US"/>
        </w:rPr>
        <w:t xml:space="preserve"> </w:t>
      </w:r>
      <w:r>
        <w:rPr>
          <w:lang w:val="en-US"/>
        </w:rPr>
        <w:tab/>
      </w:r>
      <w:r w:rsidRPr="00A762F7">
        <w:rPr>
          <w:lang w:val="en-US"/>
        </w:rPr>
        <w:t xml:space="preserve">While </w:t>
      </w:r>
      <w:r>
        <w:rPr>
          <w:lang w:val="en-US"/>
        </w:rPr>
        <w:t xml:space="preserve">the </w:t>
      </w:r>
      <w:r w:rsidRPr="00A762F7">
        <w:rPr>
          <w:lang w:val="en-US"/>
        </w:rPr>
        <w:t xml:space="preserve">EECC gives some hints on this i.e. through </w:t>
      </w:r>
      <w:r>
        <w:rPr>
          <w:lang w:val="en-US"/>
        </w:rPr>
        <w:t xml:space="preserve">a </w:t>
      </w:r>
      <w:r w:rsidRPr="00A762F7">
        <w:rPr>
          <w:lang w:val="en-US"/>
        </w:rPr>
        <w:t xml:space="preserve">double lock system as envisaged under Article 33(5/c) regarding inconsistent market remedies, </w:t>
      </w:r>
      <w:r>
        <w:rPr>
          <w:lang w:val="en-US"/>
        </w:rPr>
        <w:t xml:space="preserve">the </w:t>
      </w:r>
      <w:r w:rsidRPr="00A762F7">
        <w:rPr>
          <w:lang w:val="en-US"/>
        </w:rPr>
        <w:t>Commission’s 2013 Proposal for the Telecom Single Market (TSM) Regulation in its original draft was far more overbearing. Under the TSM Proposal was placed a number of new issues</w:t>
      </w:r>
      <w:r>
        <w:rPr>
          <w:lang w:val="en-US"/>
        </w:rPr>
        <w:t>,</w:t>
      </w:r>
      <w:r w:rsidRPr="00A762F7">
        <w:rPr>
          <w:lang w:val="en-US"/>
        </w:rPr>
        <w:t xml:space="preserve"> such as veto power on spectrum management decisions</w:t>
      </w:r>
      <w:r>
        <w:rPr>
          <w:lang w:val="en-US"/>
        </w:rPr>
        <w:t>,</w:t>
      </w:r>
      <w:r w:rsidRPr="00A762F7">
        <w:rPr>
          <w:lang w:val="en-US"/>
        </w:rPr>
        <w:t xml:space="preserve"> as well as market remedies, single authorization</w:t>
      </w:r>
      <w:r>
        <w:rPr>
          <w:lang w:val="en-US"/>
        </w:rPr>
        <w:t xml:space="preserve"> and</w:t>
      </w:r>
      <w:r w:rsidRPr="00A762F7">
        <w:rPr>
          <w:lang w:val="en-US"/>
        </w:rPr>
        <w:t xml:space="preserve"> mandatory virtual broadband access, which all denoted a more centralized yet less substantiated decision-making process at the EU level (See </w:t>
      </w:r>
      <w:r>
        <w:rPr>
          <w:lang w:val="en-US"/>
        </w:rPr>
        <w:t>Commission, ‘</w:t>
      </w:r>
      <w:r w:rsidRPr="00A762F7">
        <w:rPr>
          <w:lang w:val="en-US"/>
        </w:rPr>
        <w:t>Proposal for a Regulation of the European Parliament and of the Council laying down measures concerning the European single market for electronic communications and to achieve a Connected Continent</w:t>
      </w:r>
      <w:r>
        <w:rPr>
          <w:lang w:val="en-US"/>
        </w:rPr>
        <w:t>’</w:t>
      </w:r>
      <w:r w:rsidRPr="00A762F7">
        <w:rPr>
          <w:lang w:val="en-US"/>
        </w:rPr>
        <w:t xml:space="preserve">, COM(2013) 627 final, (COD) &lt;https://ec.europa.eu/digital-agenda/en/news/regulation-european-parliament-and-council-laying-down-measures-concerning-european-single&gt; accessed </w:t>
      </w:r>
      <w:r>
        <w:rPr>
          <w:lang w:val="en-US"/>
        </w:rPr>
        <w:t>9 October 2020</w:t>
      </w:r>
      <w:r w:rsidRPr="00A762F7">
        <w:rPr>
          <w:lang w:val="en-US"/>
        </w:rPr>
        <w:t>.</w:t>
      </w:r>
    </w:p>
  </w:footnote>
  <w:footnote w:id="672">
    <w:p w14:paraId="5452E26F" w14:textId="362611B7"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Bauer (n </w:t>
      </w:r>
      <w:r>
        <w:rPr>
          <w:lang w:val="en-US"/>
        </w:rPr>
        <w:t>629</w:t>
      </w:r>
      <w:r w:rsidRPr="00A762F7">
        <w:rPr>
          <w:lang w:val="en-US"/>
        </w:rPr>
        <w:t>) 15.</w:t>
      </w:r>
    </w:p>
  </w:footnote>
  <w:footnote w:id="673">
    <w:p w14:paraId="0AC5ADEB" w14:textId="4889CA22"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Johannes M. Bauer, ‘Governing the Mobile Broadband Ecosystem’ [2015] 22(2)</w:t>
      </w:r>
      <w:r>
        <w:t xml:space="preserve"> </w:t>
      </w:r>
      <w:r w:rsidRPr="00A762F7">
        <w:t>International Telecommunications Policy Review</w:t>
      </w:r>
      <w:r>
        <w:t xml:space="preserve"> 1,</w:t>
      </w:r>
      <w:r w:rsidRPr="00A762F7">
        <w:t xml:space="preserve"> 16.  </w:t>
      </w:r>
    </w:p>
  </w:footnote>
  <w:footnote w:id="674">
    <w:p w14:paraId="5CADD1EF" w14:textId="6D826920" w:rsidR="005C0DC6" w:rsidRPr="002125BD" w:rsidRDefault="005C0DC6" w:rsidP="00A70042">
      <w:pPr>
        <w:pStyle w:val="FootnoteText"/>
        <w:ind w:left="426" w:hanging="426"/>
        <w:jc w:val="both"/>
        <w:rPr>
          <w:lang w:val="en-US"/>
        </w:rPr>
      </w:pPr>
      <w:r w:rsidRPr="002125BD">
        <w:rPr>
          <w:rStyle w:val="FootnoteReference"/>
        </w:rPr>
        <w:footnoteRef/>
      </w:r>
      <w:r w:rsidRPr="002125BD">
        <w:t xml:space="preserve"> </w:t>
      </w:r>
      <w:r>
        <w:tab/>
      </w:r>
      <w:r w:rsidRPr="00B50F7A">
        <w:rPr>
          <w:lang w:val="en-US"/>
        </w:rPr>
        <w:t xml:space="preserve">EECC Directive, </w:t>
      </w:r>
      <w:r>
        <w:rPr>
          <w:lang w:val="en-US"/>
        </w:rPr>
        <w:t>art</w:t>
      </w:r>
      <w:r w:rsidRPr="00B50F7A">
        <w:rPr>
          <w:lang w:val="en-US"/>
        </w:rPr>
        <w:t xml:space="preserve"> 2(</w:t>
      </w:r>
      <w:r>
        <w:rPr>
          <w:lang w:val="en-US"/>
        </w:rPr>
        <w:t>28</w:t>
      </w:r>
      <w:r w:rsidRPr="00B50F7A">
        <w:rPr>
          <w:lang w:val="en-US"/>
        </w:rPr>
        <w:t xml:space="preserve">). For detailed information regarding definition, types and functioning of interconnection (agreements), including </w:t>
      </w:r>
      <w:r>
        <w:rPr>
          <w:lang w:val="en-US"/>
        </w:rPr>
        <w:t xml:space="preserve">related </w:t>
      </w:r>
      <w:r w:rsidRPr="00B50F7A">
        <w:rPr>
          <w:lang w:val="en-US"/>
        </w:rPr>
        <w:t>competition law precedents and sector specific rules, see Kariyawasam</w:t>
      </w:r>
      <w:r w:rsidRPr="002125BD">
        <w:rPr>
          <w:lang w:val="en-US"/>
        </w:rPr>
        <w:t xml:space="preserve"> (n </w:t>
      </w:r>
      <w:r>
        <w:rPr>
          <w:lang w:val="en-US"/>
        </w:rPr>
        <w:t>131</w:t>
      </w:r>
      <w:r w:rsidRPr="002125BD">
        <w:rPr>
          <w:lang w:val="en-US"/>
        </w:rPr>
        <w:t xml:space="preserve">) 136-223. </w:t>
      </w:r>
    </w:p>
  </w:footnote>
  <w:footnote w:id="675">
    <w:p w14:paraId="135B9532" w14:textId="07E2B05F"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Network externalities represent direct network effects, in that consumer utility directly depends on the market size, independently of </w:t>
      </w:r>
      <w:r>
        <w:t xml:space="preserve">the </w:t>
      </w:r>
      <w:r w:rsidRPr="00A762F7">
        <w:t xml:space="preserve">price system (John-Hee Hahn, </w:t>
      </w:r>
      <w:r>
        <w:t>‘</w:t>
      </w:r>
      <w:r w:rsidRPr="00A762F7">
        <w:t>Nonlinear Pricing of Telecom</w:t>
      </w:r>
      <w:r>
        <w:t>m</w:t>
      </w:r>
      <w:r w:rsidRPr="00A762F7">
        <w:t>unications with Call and Network Externalities</w:t>
      </w:r>
      <w:r>
        <w:t>’</w:t>
      </w:r>
      <w:r w:rsidRPr="00A762F7">
        <w:t xml:space="preserve"> </w:t>
      </w:r>
      <w:r>
        <w:t>(</w:t>
      </w:r>
      <w:r w:rsidRPr="00A762F7">
        <w:t>200</w:t>
      </w:r>
      <w:r>
        <w:t>2)</w:t>
      </w:r>
      <w:r w:rsidRPr="00A762F7">
        <w:t xml:space="preserve"> 2 ˂</w:t>
      </w:r>
      <w:hyperlink r:id="rId15" w:history="1">
        <w:r w:rsidRPr="00921AA7">
          <w:t>https://krannert.purdue.edu/centers/ijio/Accepted/1720.pdf</w:t>
        </w:r>
      </w:hyperlink>
      <w:r w:rsidRPr="00A762F7">
        <w:t xml:space="preserve">˃ accessed </w:t>
      </w:r>
      <w:r>
        <w:t>9 October 2020</w:t>
      </w:r>
      <w:r w:rsidRPr="00A762F7">
        <w:t xml:space="preserve">). </w:t>
      </w:r>
    </w:p>
  </w:footnote>
  <w:footnote w:id="676">
    <w:p w14:paraId="3B774AB3" w14:textId="5FB516B3"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bookmarkStart w:id="516" w:name="_Hlk13792674"/>
      <w:r>
        <w:tab/>
      </w:r>
      <w:r w:rsidRPr="00A762F7">
        <w:rPr>
          <w:lang w:val="en-US"/>
        </w:rPr>
        <w:t>G</w:t>
      </w:r>
      <w:r>
        <w:rPr>
          <w:lang w:val="en-US"/>
        </w:rPr>
        <w:t>erald</w:t>
      </w:r>
      <w:r w:rsidRPr="00A762F7">
        <w:rPr>
          <w:lang w:val="en-US"/>
        </w:rPr>
        <w:t xml:space="preserve"> R. Faulhaber, ‘Access ≠ Access1 + Access2’ [2002] 3 Law Review of Michigan State University</w:t>
      </w:r>
      <w:r>
        <w:rPr>
          <w:lang w:val="en-US"/>
        </w:rPr>
        <w:t>,</w:t>
      </w:r>
      <w:r w:rsidRPr="00A762F7">
        <w:rPr>
          <w:lang w:val="en-US"/>
        </w:rPr>
        <w:t xml:space="preserve"> Detroit College of Law 677</w:t>
      </w:r>
      <w:r>
        <w:rPr>
          <w:lang w:val="en-US"/>
        </w:rPr>
        <w:t>,</w:t>
      </w:r>
      <w:r w:rsidRPr="00A762F7">
        <w:rPr>
          <w:lang w:val="en-US"/>
        </w:rPr>
        <w:t xml:space="preserve"> 689.</w:t>
      </w:r>
      <w:bookmarkEnd w:id="516"/>
    </w:p>
  </w:footnote>
  <w:footnote w:id="677">
    <w:p w14:paraId="6A797CF5" w14:textId="4134C1A5"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See </w:t>
      </w:r>
      <w:r>
        <w:rPr>
          <w:lang w:val="en-US"/>
        </w:rPr>
        <w:t xml:space="preserve">the </w:t>
      </w:r>
      <w:r w:rsidRPr="00A762F7">
        <w:rPr>
          <w:lang w:val="en-US"/>
        </w:rPr>
        <w:t xml:space="preserve">EECC Directive, </w:t>
      </w:r>
      <w:r>
        <w:rPr>
          <w:lang w:val="en-US"/>
        </w:rPr>
        <w:t>art</w:t>
      </w:r>
      <w:r w:rsidRPr="00A762F7">
        <w:rPr>
          <w:lang w:val="en-US"/>
        </w:rPr>
        <w:t xml:space="preserve"> 73(1/i).</w:t>
      </w:r>
    </w:p>
  </w:footnote>
  <w:footnote w:id="678">
    <w:p w14:paraId="51BBAB3A" w14:textId="1FF5B102" w:rsidR="005C0DC6" w:rsidRPr="00A762F7" w:rsidRDefault="005C0DC6" w:rsidP="00A70042">
      <w:pPr>
        <w:pStyle w:val="FootnoteText"/>
        <w:ind w:left="426" w:hanging="426"/>
        <w:jc w:val="both"/>
      </w:pPr>
      <w:r w:rsidRPr="00A762F7">
        <w:rPr>
          <w:rStyle w:val="FootnoteReference"/>
          <w:rFonts w:eastAsiaTheme="majorEastAsia"/>
        </w:rPr>
        <w:footnoteRef/>
      </w:r>
      <w:r w:rsidRPr="00A762F7">
        <w:t xml:space="preserve"> </w:t>
      </w:r>
      <w:r>
        <w:tab/>
      </w:r>
      <w:r w:rsidRPr="00A762F7">
        <w:t xml:space="preserve">EECC Directive, </w:t>
      </w:r>
      <w:r>
        <w:t>art</w:t>
      </w:r>
      <w:r w:rsidRPr="00A762F7">
        <w:t xml:space="preserve"> 60(1).</w:t>
      </w:r>
    </w:p>
  </w:footnote>
  <w:footnote w:id="679">
    <w:p w14:paraId="27A4C350" w14:textId="709DAE97" w:rsidR="005C0DC6" w:rsidRPr="002125BD" w:rsidRDefault="005C0DC6" w:rsidP="00A70042">
      <w:pPr>
        <w:pStyle w:val="FootnoteText"/>
        <w:ind w:left="426" w:hanging="426"/>
        <w:jc w:val="both"/>
      </w:pPr>
      <w:r w:rsidRPr="002125BD">
        <w:rPr>
          <w:rStyle w:val="FootnoteReference"/>
        </w:rPr>
        <w:footnoteRef/>
      </w:r>
      <w:r w:rsidRPr="002125BD">
        <w:t xml:space="preserve"> </w:t>
      </w:r>
      <w:r>
        <w:tab/>
        <w:t>EECC</w:t>
      </w:r>
      <w:r w:rsidRPr="002125BD">
        <w:t xml:space="preserve"> Directive, </w:t>
      </w:r>
      <w:r>
        <w:t>art</w:t>
      </w:r>
      <w:r w:rsidRPr="002125BD">
        <w:t xml:space="preserve"> </w:t>
      </w:r>
      <w:r>
        <w:t>60</w:t>
      </w:r>
      <w:r w:rsidRPr="002125BD">
        <w:t>(1). According to the</w:t>
      </w:r>
      <w:r>
        <w:t xml:space="preserve"> EECC</w:t>
      </w:r>
      <w:r w:rsidRPr="002125BD">
        <w:t xml:space="preserve"> Directive, </w:t>
      </w:r>
      <w:r>
        <w:t>c</w:t>
      </w:r>
      <w:r w:rsidRPr="002125BD">
        <w:t>ontrol of means of access may entail ownership or control of the physical link to the end-user (either fixed or mobile), and/or the ability to change or withdraw the national number or numbers needed to access an end-user</w:t>
      </w:r>
      <w:r>
        <w:t>’</w:t>
      </w:r>
      <w:r w:rsidRPr="002125BD">
        <w:t xml:space="preserve">s network termination point. This would be the case for example if network operators were to restrict unreasonably end-user choice for access to </w:t>
      </w:r>
      <w:r>
        <w:t>i</w:t>
      </w:r>
      <w:r w:rsidRPr="002125BD">
        <w:t>nternet portals and services” (</w:t>
      </w:r>
      <w:r>
        <w:t>EECC</w:t>
      </w:r>
      <w:r w:rsidRPr="002125BD">
        <w:t xml:space="preserve"> Directive, recital </w:t>
      </w:r>
      <w:r>
        <w:t>144</w:t>
      </w:r>
      <w:r w:rsidRPr="002125BD">
        <w:t>).</w:t>
      </w:r>
    </w:p>
  </w:footnote>
  <w:footnote w:id="680">
    <w:p w14:paraId="730089CF" w14:textId="694B3F93"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bookmarkStart w:id="519" w:name="_Hlk16627219"/>
      <w:r>
        <w:tab/>
      </w:r>
      <w:r w:rsidRPr="00A762F7">
        <w:rPr>
          <w:lang w:val="en-US"/>
        </w:rPr>
        <w:t>Nikos Ni</w:t>
      </w:r>
      <w:r>
        <w:rPr>
          <w:lang w:val="en-US"/>
        </w:rPr>
        <w:t>k</w:t>
      </w:r>
      <w:r w:rsidRPr="00A762F7">
        <w:rPr>
          <w:lang w:val="en-US"/>
        </w:rPr>
        <w:t>olinakos ‘The New Legal Framework for Digital Gateways</w:t>
      </w:r>
      <w:r>
        <w:rPr>
          <w:lang w:val="en-US"/>
        </w:rPr>
        <w:t xml:space="preserve"> </w:t>
      </w:r>
      <w:r w:rsidRPr="00A762F7">
        <w:rPr>
          <w:lang w:val="en-US"/>
        </w:rPr>
        <w:t>-</w:t>
      </w:r>
      <w:r>
        <w:rPr>
          <w:lang w:val="en-US"/>
        </w:rPr>
        <w:t xml:space="preserve"> </w:t>
      </w:r>
      <w:r w:rsidRPr="00A762F7">
        <w:rPr>
          <w:lang w:val="en-US"/>
        </w:rPr>
        <w:t>The Complementary Nature of Competition Law and Sector-Specific Regulation’ [2000] 9 European Competition Law Review 408</w:t>
      </w:r>
      <w:r>
        <w:rPr>
          <w:lang w:val="en-US"/>
        </w:rPr>
        <w:t>, 409.</w:t>
      </w:r>
      <w:bookmarkEnd w:id="519"/>
    </w:p>
  </w:footnote>
  <w:footnote w:id="681">
    <w:p w14:paraId="60A432C0" w14:textId="6C3FD901" w:rsidR="005C0DC6" w:rsidRPr="00A762F7" w:rsidRDefault="005C0DC6" w:rsidP="00A70042">
      <w:pPr>
        <w:pStyle w:val="FootnoteText"/>
        <w:ind w:left="426" w:hanging="426"/>
        <w:jc w:val="both"/>
      </w:pPr>
      <w:r w:rsidRPr="00A762F7">
        <w:rPr>
          <w:rStyle w:val="FootnoteReference"/>
          <w:rFonts w:eastAsiaTheme="majorEastAsia"/>
        </w:rPr>
        <w:footnoteRef/>
      </w:r>
      <w:r w:rsidRPr="00A762F7">
        <w:t xml:space="preserve"> </w:t>
      </w:r>
      <w:r>
        <w:tab/>
      </w:r>
      <w:r w:rsidRPr="00A762F7">
        <w:t xml:space="preserve">Natali Helberger, </w:t>
      </w:r>
      <w:r>
        <w:t>‘</w:t>
      </w:r>
      <w:r w:rsidRPr="00A762F7">
        <w:t>Access to technical bottleneck facilities: the new European approach</w:t>
      </w:r>
      <w:r>
        <w:t>’</w:t>
      </w:r>
      <w:r w:rsidRPr="00A762F7">
        <w:t xml:space="preserve"> [2002]</w:t>
      </w:r>
      <w:r>
        <w:t xml:space="preserve"> </w:t>
      </w:r>
      <w:r w:rsidRPr="00A762F7">
        <w:t>46</w:t>
      </w:r>
      <w:r>
        <w:t xml:space="preserve"> 2nd Q</w:t>
      </w:r>
      <w:r w:rsidRPr="00A762F7">
        <w:t xml:space="preserve"> Communications &amp; Strategies </w:t>
      </w:r>
      <w:r>
        <w:t xml:space="preserve">33, </w:t>
      </w:r>
      <w:r w:rsidRPr="00A762F7">
        <w:t>34.</w:t>
      </w:r>
      <w:r>
        <w:t xml:space="preserve"> </w:t>
      </w:r>
    </w:p>
  </w:footnote>
  <w:footnote w:id="682">
    <w:p w14:paraId="163BC9E4" w14:textId="6874E8D5"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See </w:t>
      </w:r>
      <w:r>
        <w:t xml:space="preserve">the </w:t>
      </w:r>
      <w:r w:rsidRPr="00A762F7">
        <w:t xml:space="preserve">EECC Directive, </w:t>
      </w:r>
      <w:r>
        <w:t>art</w:t>
      </w:r>
      <w:r w:rsidRPr="00A762F7">
        <w:t xml:space="preserve"> 62(1), with reference to Annex II, Part I of the Directive which requires “all undertakings providing conditional access services” to</w:t>
      </w:r>
      <w:r>
        <w:t>:</w:t>
      </w:r>
    </w:p>
    <w:p w14:paraId="0EBCF703" w14:textId="0CD695EE" w:rsidR="005C0DC6" w:rsidRPr="00A762F7" w:rsidRDefault="005C0DC6" w:rsidP="002759C3">
      <w:pPr>
        <w:pStyle w:val="FootnoteText"/>
        <w:ind w:left="992" w:right="567"/>
        <w:jc w:val="both"/>
      </w:pPr>
      <w:r>
        <w:t>(</w:t>
      </w:r>
      <w:r w:rsidRPr="00A762F7">
        <w:t>…</w:t>
      </w:r>
      <w:r>
        <w:t>)</w:t>
      </w:r>
      <w:r w:rsidRPr="00A762F7">
        <w:t xml:space="preserve"> </w:t>
      </w:r>
      <w:r w:rsidRPr="00A762F7">
        <w:rPr>
          <w:lang w:val="en-US"/>
        </w:rPr>
        <w:t>offer to all broadcasters, on a fair, reasonable and non-discriminatory basis compatible with Union competition law, technical services enabling the broadcasters’ digitally-transmitted services to be received by viewers or listeners authorised by means of decoders administered by the service operators, and comply with Union competition law (</w:t>
      </w:r>
      <w:r w:rsidRPr="00A762F7">
        <w:t>EECC Directive, Annex II, Part I).</w:t>
      </w:r>
    </w:p>
  </w:footnote>
  <w:footnote w:id="683">
    <w:p w14:paraId="025CF700" w14:textId="1AB8D701"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See also Natali Helberger, </w:t>
      </w:r>
      <w:r w:rsidRPr="00A11B1A">
        <w:rPr>
          <w:i/>
          <w:iCs/>
          <w:lang w:val="en-US"/>
        </w:rPr>
        <w:t>Controlling Access to Content - Regulating Conditional Access in Digital Broadcasting</w:t>
      </w:r>
      <w:r w:rsidRPr="00A762F7">
        <w:rPr>
          <w:lang w:val="en-US"/>
        </w:rPr>
        <w:t xml:space="preserve"> </w:t>
      </w:r>
      <w:r>
        <w:rPr>
          <w:lang w:val="en-US"/>
        </w:rPr>
        <w:t>(</w:t>
      </w:r>
      <w:r w:rsidRPr="00A762F7">
        <w:rPr>
          <w:lang w:val="en-US"/>
        </w:rPr>
        <w:t>Kluwer Law International 2005</w:t>
      </w:r>
      <w:r>
        <w:rPr>
          <w:lang w:val="en-US"/>
        </w:rPr>
        <w:t>)</w:t>
      </w:r>
      <w:r w:rsidRPr="00A762F7">
        <w:rPr>
          <w:lang w:val="en-US"/>
        </w:rPr>
        <w:t xml:space="preserve"> 153.</w:t>
      </w:r>
    </w:p>
  </w:footnote>
  <w:footnote w:id="684">
    <w:p w14:paraId="437C645C" w14:textId="78A167B7"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See supra note </w:t>
      </w:r>
      <w:r w:rsidRPr="00CB60D3">
        <w:t>550</w:t>
      </w:r>
      <w:r w:rsidRPr="00A762F7">
        <w:t>.</w:t>
      </w:r>
    </w:p>
  </w:footnote>
  <w:footnote w:id="685">
    <w:p w14:paraId="16230175" w14:textId="17D46C96" w:rsidR="005C0DC6" w:rsidRPr="00A762F7" w:rsidRDefault="005C0DC6" w:rsidP="00A70042">
      <w:pPr>
        <w:pStyle w:val="FootnoteText"/>
        <w:ind w:left="426" w:hanging="426"/>
        <w:jc w:val="both"/>
      </w:pPr>
      <w:r w:rsidRPr="00A762F7">
        <w:rPr>
          <w:rStyle w:val="FootnoteReference"/>
          <w:rFonts w:eastAsiaTheme="majorEastAsia"/>
        </w:rPr>
        <w:footnoteRef/>
      </w:r>
      <w:r w:rsidRPr="00A762F7">
        <w:t xml:space="preserve"> </w:t>
      </w:r>
      <w:r>
        <w:tab/>
      </w:r>
      <w:r w:rsidRPr="00A762F7">
        <w:t xml:space="preserve">Non-SMP operators being covered by this obligation signifies the key role attributed to the CASs under </w:t>
      </w:r>
      <w:r>
        <w:t xml:space="preserve">the </w:t>
      </w:r>
      <w:r w:rsidRPr="00A762F7">
        <w:t>EECC, which explicitly acknowledges “Competition rules alone may not be sufficient to ensure cultural diversity and media pluralism in the area of digital television” (EECC Directive, recital 159).</w:t>
      </w:r>
    </w:p>
  </w:footnote>
  <w:footnote w:id="686">
    <w:p w14:paraId="57FB9C6D" w14:textId="4B566399"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On the other hand, it is remarkable that the envisaged obligations are limited to </w:t>
      </w:r>
      <w:r>
        <w:t xml:space="preserve">the </w:t>
      </w:r>
      <w:r w:rsidRPr="00A762F7">
        <w:t>CAS technical platforms</w:t>
      </w:r>
      <w:r>
        <w:t>,</w:t>
      </w:r>
      <w:r w:rsidRPr="00A762F7">
        <w:t xml:space="preserve"> but not to other interactive service applications, devices and platforms.</w:t>
      </w:r>
    </w:p>
  </w:footnote>
  <w:footnote w:id="687">
    <w:p w14:paraId="6AACE0E7" w14:textId="4C37CBC2"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According to Article 61(2/d) of </w:t>
      </w:r>
      <w:r>
        <w:t xml:space="preserve">the </w:t>
      </w:r>
      <w:r w:rsidRPr="00A762F7">
        <w:t>EECC Directive [with reference to Annex II, Part II of the Directive], NRAs shall be able to impose obligations on CAS providers to provide access to APIs and EPGs on fair, reasonable and non-discriminatory terms “to the extent necessary to ensure accessibility for end-users to digital radio and television broadcasting and related complementary services specified by the Member State”.</w:t>
      </w:r>
    </w:p>
  </w:footnote>
  <w:footnote w:id="688">
    <w:p w14:paraId="053CFFEC" w14:textId="1E94DC3E"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Unver (n </w:t>
      </w:r>
      <w:r>
        <w:rPr>
          <w:lang w:val="en-US"/>
        </w:rPr>
        <w:t>27</w:t>
      </w:r>
      <w:r w:rsidRPr="00A762F7">
        <w:rPr>
          <w:lang w:val="en-US"/>
        </w:rPr>
        <w:t xml:space="preserve">) </w:t>
      </w:r>
      <w:r>
        <w:rPr>
          <w:lang w:val="en-US"/>
        </w:rPr>
        <w:t>166</w:t>
      </w:r>
      <w:r w:rsidRPr="00A762F7">
        <w:rPr>
          <w:lang w:val="en-US"/>
        </w:rPr>
        <w:t xml:space="preserve">. </w:t>
      </w:r>
    </w:p>
  </w:footnote>
  <w:footnote w:id="689">
    <w:p w14:paraId="1032B9D5" w14:textId="30B86C36"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It is note-worthy that this remedy addresses all “undertakings that control access to end-users” regardless of the market power of the undertakings </w:t>
      </w:r>
      <w:r>
        <w:t xml:space="preserve">in </w:t>
      </w:r>
      <w:r w:rsidRPr="00A762F7">
        <w:t>question.</w:t>
      </w:r>
    </w:p>
  </w:footnote>
  <w:footnote w:id="690">
    <w:p w14:paraId="050FE398" w14:textId="2E1C17CE" w:rsidR="005C0DC6" w:rsidRDefault="005C0DC6" w:rsidP="00A70042">
      <w:pPr>
        <w:pStyle w:val="FootnoteText"/>
        <w:ind w:left="426" w:hanging="426"/>
      </w:pPr>
      <w:r>
        <w:rPr>
          <w:rStyle w:val="FootnoteReference"/>
        </w:rPr>
        <w:footnoteRef/>
      </w:r>
      <w:r>
        <w:t xml:space="preserve"> </w:t>
      </w:r>
      <w:r>
        <w:tab/>
        <w:t>EECC Proposal, art 71(1/f).</w:t>
      </w:r>
    </w:p>
  </w:footnote>
  <w:footnote w:id="691">
    <w:p w14:paraId="4D9AEF12" w14:textId="471884FC"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See Reichl and Ruhle (n 1</w:t>
      </w:r>
      <w:r>
        <w:t>43</w:t>
      </w:r>
      <w:r w:rsidRPr="00A762F7">
        <w:t>) 50.</w:t>
      </w:r>
    </w:p>
  </w:footnote>
  <w:footnote w:id="692">
    <w:p w14:paraId="4BD26FDD" w14:textId="58AA0CE7" w:rsidR="005C0DC6" w:rsidRPr="00A762F7" w:rsidRDefault="005C0DC6" w:rsidP="00A70042">
      <w:pPr>
        <w:pStyle w:val="FootnoteText"/>
        <w:ind w:left="426" w:hanging="426"/>
        <w:jc w:val="both"/>
        <w:rPr>
          <w:lang w:val="tr-TR"/>
        </w:rPr>
      </w:pPr>
      <w:r w:rsidRPr="00A762F7">
        <w:rPr>
          <w:rStyle w:val="FootnoteReference"/>
        </w:rPr>
        <w:footnoteRef/>
      </w:r>
      <w:r w:rsidRPr="00A762F7">
        <w:t xml:space="preserve"> </w:t>
      </w:r>
      <w:r>
        <w:tab/>
      </w:r>
      <w:r w:rsidRPr="00A762F7">
        <w:t xml:space="preserve">See </w:t>
      </w:r>
      <w:r>
        <w:t xml:space="preserve">the </w:t>
      </w:r>
      <w:r w:rsidRPr="00A762F7">
        <w:t>ERG</w:t>
      </w:r>
      <w:r>
        <w:t>,</w:t>
      </w:r>
      <w:r w:rsidRPr="00A762F7">
        <w:t xml:space="preserve"> Final Report on IP Interconnection, Project Team on IP</w:t>
      </w:r>
      <w:r>
        <w:t xml:space="preserve"> </w:t>
      </w:r>
      <w:r w:rsidRPr="00A762F7">
        <w:t>-</w:t>
      </w:r>
      <w:r>
        <w:t xml:space="preserve"> </w:t>
      </w:r>
      <w:r w:rsidRPr="00A762F7">
        <w:t xml:space="preserve">Interconnection and NGN, </w:t>
      </w:r>
      <w:r>
        <w:t>(</w:t>
      </w:r>
      <w:r w:rsidRPr="00A762F7">
        <w:t>2007</w:t>
      </w:r>
      <w:r>
        <w:t>)</w:t>
      </w:r>
      <w:r w:rsidRPr="00A762F7">
        <w:t xml:space="preserve"> ERG (07) 09, 23-25, ˂</w:t>
      </w:r>
      <w:r w:rsidRPr="00A762F7">
        <w:rPr>
          <w:lang w:val="tr-TR"/>
        </w:rPr>
        <w:t>https://www.berec.europa.eu/doc/publications/erg_07_09_rept_on_</w:t>
      </w:r>
      <w:r>
        <w:rPr>
          <w:lang w:val="tr-TR"/>
        </w:rPr>
        <w:t xml:space="preserve"> </w:t>
      </w:r>
      <w:r w:rsidRPr="00A762F7">
        <w:rPr>
          <w:lang w:val="tr-TR"/>
        </w:rPr>
        <w:t xml:space="preserve">ip_interconn.pdf˃ accessed </w:t>
      </w:r>
      <w:r>
        <w:rPr>
          <w:lang w:val="tr-TR"/>
        </w:rPr>
        <w:t>9 October 2020</w:t>
      </w:r>
      <w:r w:rsidRPr="00A762F7">
        <w:rPr>
          <w:lang w:val="tr-TR"/>
        </w:rPr>
        <w:t>.</w:t>
      </w:r>
    </w:p>
  </w:footnote>
  <w:footnote w:id="693">
    <w:p w14:paraId="631A4175" w14:textId="1C27AA18"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EECC Directive, recital 305</w:t>
      </w:r>
      <w:r w:rsidRPr="00A762F7">
        <w:rPr>
          <w:lang w:val="tr-TR"/>
        </w:rPr>
        <w:t>.</w:t>
      </w:r>
    </w:p>
  </w:footnote>
  <w:footnote w:id="694">
    <w:p w14:paraId="014E0CFC" w14:textId="067938A6" w:rsidR="005C0DC6" w:rsidRPr="002E510B" w:rsidRDefault="005C0DC6" w:rsidP="00A70042">
      <w:pPr>
        <w:pStyle w:val="FootnoteText"/>
        <w:ind w:left="426" w:hanging="426"/>
        <w:jc w:val="both"/>
      </w:pPr>
      <w:r w:rsidRPr="00A762F7">
        <w:rPr>
          <w:rStyle w:val="FootnoteReference"/>
        </w:rPr>
        <w:footnoteRef/>
      </w:r>
      <w:r w:rsidRPr="00A762F7">
        <w:t xml:space="preserve"> </w:t>
      </w:r>
      <w:r>
        <w:tab/>
      </w:r>
      <w:r w:rsidRPr="00A762F7">
        <w:rPr>
          <w:lang w:val="tr-TR"/>
        </w:rPr>
        <w:t xml:space="preserve">OTT refers to “video, voice and other services provided over the Internet rather than solely over the provider’s own managed network” (OECD, </w:t>
      </w:r>
      <w:r w:rsidRPr="002E510B">
        <w:rPr>
          <w:i/>
          <w:iCs/>
          <w:lang w:val="tr-TR"/>
        </w:rPr>
        <w:t>Communications Outlook 2013</w:t>
      </w:r>
      <w:r w:rsidRPr="00A762F7">
        <w:rPr>
          <w:lang w:val="tr-TR"/>
        </w:rPr>
        <w:t xml:space="preserve"> </w:t>
      </w:r>
      <w:r>
        <w:rPr>
          <w:lang w:val="tr-TR"/>
        </w:rPr>
        <w:t>(</w:t>
      </w:r>
      <w:r w:rsidRPr="00A762F7">
        <w:rPr>
          <w:lang w:val="tr-TR"/>
        </w:rPr>
        <w:t>2013</w:t>
      </w:r>
      <w:r>
        <w:rPr>
          <w:lang w:val="tr-TR"/>
        </w:rPr>
        <w:t>)</w:t>
      </w:r>
      <w:r w:rsidRPr="00A762F7">
        <w:rPr>
          <w:lang w:val="tr-TR"/>
        </w:rPr>
        <w:t xml:space="preserve"> </w:t>
      </w:r>
      <w:r w:rsidRPr="00A762F7">
        <w:t>˂</w:t>
      </w:r>
      <w:r w:rsidRPr="002E510B">
        <w:t>http://www.oecd.org/sti/broadband/oecd-communications-outlook-19991460.htm</w:t>
      </w:r>
      <w:r w:rsidRPr="00A762F7">
        <w:rPr>
          <w:lang w:val="tr-TR"/>
        </w:rPr>
        <w:t xml:space="preserve">˃ accessed </w:t>
      </w:r>
      <w:r>
        <w:rPr>
          <w:lang w:val="tr-TR"/>
        </w:rPr>
        <w:t>9 October 2020</w:t>
      </w:r>
      <w:r w:rsidRPr="00A762F7">
        <w:t>).</w:t>
      </w:r>
    </w:p>
  </w:footnote>
  <w:footnote w:id="695">
    <w:p w14:paraId="2A54CD1B" w14:textId="737EFB70"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Communication services by OTTs may partly replace services by traditional providers of electronic communications, but also offer new and differentiated services such as voice calls, which are not part of the conventional package of services offered by traditional providers (Peitz and Valletti (n </w:t>
      </w:r>
      <w:r>
        <w:rPr>
          <w:lang w:val="en-US"/>
        </w:rPr>
        <w:t>94</w:t>
      </w:r>
      <w:r w:rsidRPr="00A762F7">
        <w:rPr>
          <w:lang w:val="en-US"/>
        </w:rPr>
        <w:t xml:space="preserve">) </w:t>
      </w:r>
      <w:r>
        <w:rPr>
          <w:lang w:val="en-US"/>
        </w:rPr>
        <w:t>899</w:t>
      </w:r>
      <w:r w:rsidRPr="00A762F7">
        <w:rPr>
          <w:lang w:val="en-US"/>
        </w:rPr>
        <w:t xml:space="preserve">).  </w:t>
      </w:r>
    </w:p>
  </w:footnote>
  <w:footnote w:id="696">
    <w:p w14:paraId="124D4913" w14:textId="6980EE4C"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Real-time entertainment by OTTs contains on-demand entertainment </w:t>
      </w:r>
      <w:r>
        <w:t xml:space="preserve">involving </w:t>
      </w:r>
      <w:r w:rsidRPr="00A762F7">
        <w:t xml:space="preserve">viewing or listening, whereby audio and video may be streamed or buffered </w:t>
      </w:r>
      <w:r w:rsidRPr="00A762F7">
        <w:rPr>
          <w:lang w:val="en-US"/>
        </w:rPr>
        <w:t xml:space="preserve">(Peitz and Valletti (n </w:t>
      </w:r>
      <w:r>
        <w:rPr>
          <w:lang w:val="en-US"/>
        </w:rPr>
        <w:t>94</w:t>
      </w:r>
      <w:r w:rsidRPr="00A762F7">
        <w:rPr>
          <w:lang w:val="en-US"/>
        </w:rPr>
        <w:t xml:space="preserve">) </w:t>
      </w:r>
      <w:r>
        <w:rPr>
          <w:lang w:val="en-US"/>
        </w:rPr>
        <w:t>899</w:t>
      </w:r>
      <w:r w:rsidRPr="00A762F7">
        <w:rPr>
          <w:lang w:val="en-US"/>
        </w:rPr>
        <w:t xml:space="preserve">).  </w:t>
      </w:r>
    </w:p>
  </w:footnote>
  <w:footnote w:id="697">
    <w:p w14:paraId="39F908B9" w14:textId="119EEC84" w:rsidR="005C0DC6" w:rsidRPr="00A762F7" w:rsidRDefault="005C0DC6" w:rsidP="00A70042">
      <w:pPr>
        <w:pStyle w:val="FootnoteText"/>
        <w:ind w:left="426" w:hanging="426"/>
        <w:jc w:val="both"/>
        <w:rPr>
          <w:lang w:val="tr-TR" w:eastAsia="tr-TR"/>
        </w:rPr>
      </w:pPr>
      <w:r w:rsidRPr="00A762F7">
        <w:rPr>
          <w:rStyle w:val="FootnoteReference"/>
          <w:rFonts w:eastAsiaTheme="majorEastAsia"/>
        </w:rPr>
        <w:footnoteRef/>
      </w:r>
      <w:r w:rsidRPr="00A762F7">
        <w:t xml:space="preserve"> </w:t>
      </w:r>
      <w:r>
        <w:tab/>
      </w:r>
      <w:r w:rsidRPr="00A762F7">
        <w:rPr>
          <w:lang w:val="tr-TR"/>
        </w:rPr>
        <w:t>R</w:t>
      </w:r>
      <w:r>
        <w:rPr>
          <w:lang w:val="tr-TR"/>
        </w:rPr>
        <w:t>ichard</w:t>
      </w:r>
      <w:r w:rsidRPr="00A762F7">
        <w:rPr>
          <w:lang w:val="tr-TR"/>
        </w:rPr>
        <w:t xml:space="preserve"> Feasey, </w:t>
      </w:r>
      <w:r>
        <w:rPr>
          <w:lang w:val="tr-TR"/>
        </w:rPr>
        <w:t>‘</w:t>
      </w:r>
      <w:r w:rsidRPr="00A762F7">
        <w:rPr>
          <w:lang w:val="tr-TR"/>
        </w:rPr>
        <w:t>Confusion, denial and anger: The response of the telecommunications industry to the challenge of the Internet</w:t>
      </w:r>
      <w:r>
        <w:rPr>
          <w:lang w:val="tr-TR"/>
        </w:rPr>
        <w:t>’</w:t>
      </w:r>
      <w:r w:rsidRPr="00A762F7">
        <w:rPr>
          <w:lang w:val="tr-TR"/>
        </w:rPr>
        <w:t xml:space="preserve"> [2015] 39</w:t>
      </w:r>
      <w:r>
        <w:rPr>
          <w:lang w:val="tr-TR"/>
        </w:rPr>
        <w:t>(6)</w:t>
      </w:r>
      <w:r w:rsidRPr="00A762F7">
        <w:rPr>
          <w:lang w:val="tr-TR"/>
        </w:rPr>
        <w:t xml:space="preserve"> </w:t>
      </w:r>
      <w:r w:rsidRPr="00A762F7">
        <w:rPr>
          <w:i/>
          <w:lang w:val="tr-TR"/>
        </w:rPr>
        <w:t>Telecommunications Policy</w:t>
      </w:r>
      <w:r w:rsidRPr="00A762F7">
        <w:rPr>
          <w:lang w:val="tr-TR"/>
        </w:rPr>
        <w:t xml:space="preserve"> </w:t>
      </w:r>
      <w:r>
        <w:rPr>
          <w:lang w:val="tr-TR"/>
        </w:rPr>
        <w:t xml:space="preserve">444, </w:t>
      </w:r>
      <w:r w:rsidRPr="00A762F7">
        <w:rPr>
          <w:lang w:val="tr-TR"/>
        </w:rPr>
        <w:t xml:space="preserve">445.   </w:t>
      </w:r>
    </w:p>
  </w:footnote>
  <w:footnote w:id="698">
    <w:p w14:paraId="21D086D9" w14:textId="270470C2"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Peitz and Valletti (n </w:t>
      </w:r>
      <w:r>
        <w:rPr>
          <w:lang w:val="en-US"/>
        </w:rPr>
        <w:t>94</w:t>
      </w:r>
      <w:r w:rsidRPr="00A762F7">
        <w:rPr>
          <w:lang w:val="en-US"/>
        </w:rPr>
        <w:t xml:space="preserve">) </w:t>
      </w:r>
      <w:r>
        <w:rPr>
          <w:lang w:val="en-US"/>
        </w:rPr>
        <w:t>901</w:t>
      </w:r>
      <w:r w:rsidRPr="00A762F7">
        <w:rPr>
          <w:lang w:val="en-US"/>
        </w:rPr>
        <w:t xml:space="preserve">. A recent study produced for incumbent telecommunication operators suggests that, for example, cashflow within the European telecommunications industry will almost halve, falling from €44bn to €23bn by 2020 (Feasey (n </w:t>
      </w:r>
      <w:r>
        <w:rPr>
          <w:lang w:val="en-US"/>
        </w:rPr>
        <w:t>697</w:t>
      </w:r>
      <w:r w:rsidRPr="00A762F7">
        <w:rPr>
          <w:lang w:val="en-US"/>
        </w:rPr>
        <w:t xml:space="preserve">) 446).   </w:t>
      </w:r>
    </w:p>
  </w:footnote>
  <w:footnote w:id="699">
    <w:p w14:paraId="57D208B3" w14:textId="706682FD"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Peitz and Valletti (n </w:t>
      </w:r>
      <w:r>
        <w:rPr>
          <w:lang w:val="en-US"/>
        </w:rPr>
        <w:t>94</w:t>
      </w:r>
      <w:r w:rsidRPr="00A762F7">
        <w:rPr>
          <w:lang w:val="en-US"/>
        </w:rPr>
        <w:t xml:space="preserve">) </w:t>
      </w:r>
      <w:r>
        <w:rPr>
          <w:lang w:val="en-US"/>
        </w:rPr>
        <w:t>907</w:t>
      </w:r>
      <w:r w:rsidRPr="00A762F7">
        <w:rPr>
          <w:lang w:val="en-US"/>
        </w:rPr>
        <w:t>.</w:t>
      </w:r>
    </w:p>
  </w:footnote>
  <w:footnote w:id="700">
    <w:p w14:paraId="02ED05E1" w14:textId="7444466D" w:rsidR="005C0DC6" w:rsidRPr="000A78EC"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These reflections could be found in </w:t>
      </w:r>
      <w:r>
        <w:t>several</w:t>
      </w:r>
      <w:r w:rsidRPr="00A762F7">
        <w:t xml:space="preserve"> </w:t>
      </w:r>
      <w:r>
        <w:t xml:space="preserve">recent </w:t>
      </w:r>
      <w:r w:rsidRPr="00A762F7">
        <w:t>report</w:t>
      </w:r>
      <w:r>
        <w:t xml:space="preserve">s. See ECORYS and TNO, </w:t>
      </w:r>
      <w:r w:rsidRPr="00D137C2">
        <w:rPr>
          <w:i/>
          <w:iCs/>
          <w:lang w:val="en-US"/>
        </w:rPr>
        <w:t>A study on future trends and business models in communication services</w:t>
      </w:r>
      <w:r w:rsidRPr="00A762F7">
        <w:rPr>
          <w:lang w:val="en-US"/>
        </w:rPr>
        <w:t xml:space="preserve"> (Final Report: A Study prepared for the European Commission DG Communications Networks, Content &amp; Technology</w:t>
      </w:r>
      <w:r>
        <w:rPr>
          <w:lang w:val="en-US"/>
        </w:rPr>
        <w:t xml:space="preserve">, </w:t>
      </w:r>
      <w:r w:rsidRPr="00A762F7">
        <w:rPr>
          <w:lang w:val="en-US"/>
        </w:rPr>
        <w:t>2016</w:t>
      </w:r>
      <w:r>
        <w:rPr>
          <w:lang w:val="en-US"/>
        </w:rPr>
        <w:t>)</w:t>
      </w:r>
      <w:r w:rsidRPr="00A762F7">
        <w:rPr>
          <w:lang w:val="en-US"/>
        </w:rPr>
        <w:t xml:space="preserve"> (</w:t>
      </w:r>
      <w:r>
        <w:rPr>
          <w:lang w:val="en-US"/>
        </w:rPr>
        <w:t>‘</w:t>
      </w:r>
      <w:r w:rsidRPr="00A762F7">
        <w:rPr>
          <w:lang w:val="en-US"/>
        </w:rPr>
        <w:t>2016 OTT Report</w:t>
      </w:r>
      <w:r>
        <w:rPr>
          <w:lang w:val="en-US"/>
        </w:rPr>
        <w:t>’</w:t>
      </w:r>
      <w:r w:rsidRPr="00A762F7">
        <w:rPr>
          <w:lang w:val="en-US"/>
        </w:rPr>
        <w:t xml:space="preserve">) </w:t>
      </w:r>
      <w:r>
        <w:rPr>
          <w:lang w:val="en-US"/>
        </w:rPr>
        <w:t xml:space="preserve">141-9; ITU Telecommunications Development Sector, </w:t>
      </w:r>
      <w:r w:rsidRPr="000A78EC">
        <w:rPr>
          <w:i/>
          <w:iCs/>
          <w:lang w:val="en-US"/>
        </w:rPr>
        <w:t>Regulatory Challenges and Opportunities in the New ICT Ecosystem</w:t>
      </w:r>
      <w:r>
        <w:rPr>
          <w:lang w:val="en-US"/>
        </w:rPr>
        <w:t xml:space="preserve"> (Regulatory and Market Environment, 2018) 25-26 and 51. </w:t>
      </w:r>
      <w:r>
        <w:t>See also CERRE, ‘Market Definition, Market Power and Regulatory Interaction in Electronic Communications Markets’ (CERRE Study, 2014) 53-</w:t>
      </w:r>
      <w:r w:rsidRPr="00A70042">
        <w:rPr>
          <w:lang w:val="en-US"/>
        </w:rPr>
        <w:t>55 &lt;</w:t>
      </w:r>
      <w:hyperlink r:id="rId16" w:history="1">
        <w:r w:rsidRPr="00A70042">
          <w:t>https://www.cerre.eu/sites/cerre /files/141029_CERRE_MktDefMktPwrRegInt_ECMs_Final.pdf</w:t>
        </w:r>
      </w:hyperlink>
      <w:r w:rsidRPr="000A78EC">
        <w:rPr>
          <w:lang w:val="en-US"/>
        </w:rPr>
        <w:t xml:space="preserve">&gt; accessed </w:t>
      </w:r>
      <w:r>
        <w:rPr>
          <w:lang w:val="en-US"/>
        </w:rPr>
        <w:t>9 October 2020</w:t>
      </w:r>
      <w:r>
        <w:t>.</w:t>
      </w:r>
    </w:p>
  </w:footnote>
  <w:footnote w:id="701">
    <w:p w14:paraId="58DB8FB7" w14:textId="592BDEBD"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2016 OTT Report, 28. OCS </w:t>
      </w:r>
      <w:r>
        <w:rPr>
          <w:lang w:val="en-US"/>
        </w:rPr>
        <w:t>p</w:t>
      </w:r>
      <w:r w:rsidRPr="00A762F7">
        <w:rPr>
          <w:lang w:val="en-US"/>
        </w:rPr>
        <w:t>roviders can</w:t>
      </w:r>
      <w:r>
        <w:rPr>
          <w:lang w:val="en-US"/>
        </w:rPr>
        <w:t>,</w:t>
      </w:r>
      <w:r w:rsidRPr="00A762F7">
        <w:rPr>
          <w:lang w:val="en-US"/>
        </w:rPr>
        <w:t xml:space="preserve"> to a certain degree</w:t>
      </w:r>
      <w:r>
        <w:rPr>
          <w:lang w:val="en-US"/>
        </w:rPr>
        <w:t>,</w:t>
      </w:r>
      <w:r w:rsidRPr="00A762F7">
        <w:rPr>
          <w:lang w:val="en-US"/>
        </w:rPr>
        <w:t xml:space="preserve"> control the conveyance of their signals with a combination of CDN servers and client software on client terminals; however, the actual degree of control depends on the degree of congestion in the ‘best effort’ access networks (2016 OTT Report, 28). </w:t>
      </w:r>
    </w:p>
  </w:footnote>
  <w:footnote w:id="702">
    <w:p w14:paraId="7A254036" w14:textId="030CDDF8"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Under </w:t>
      </w:r>
      <w:r>
        <w:t xml:space="preserve">the </w:t>
      </w:r>
      <w:r w:rsidRPr="00A762F7">
        <w:t xml:space="preserve">EECC, ‘interpersonal communications service’ is defined as “a service normally provided for remuneration that enables direct interpersonal and interactive  exchange of information via electronic communications networks between a finite number of persons, whereby the persons initiating or participating in the communication determine its recipient(s) and does not include services which enable interpersonal and interactive communication merely as a minor ancillary feature that is intrinsically linked to another service” (EECC Directive, </w:t>
      </w:r>
      <w:r>
        <w:t>art</w:t>
      </w:r>
      <w:r w:rsidRPr="00A762F7">
        <w:t xml:space="preserve"> 2(5)).</w:t>
      </w:r>
    </w:p>
  </w:footnote>
  <w:footnote w:id="703">
    <w:p w14:paraId="021D4491" w14:textId="1FAC1663"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Framework Directive, </w:t>
      </w:r>
      <w:r>
        <w:t>art</w:t>
      </w:r>
      <w:r w:rsidRPr="00A762F7">
        <w:t xml:space="preserve"> 2(c). This definition “exclude[s] services providing, or exercising editorial control over, content transmitted using electronic communications networks and services; it does not include information society services, as defined in Article 1 of Directive 98/34/EC, which do not consist wholly or mainly in the conveyance of signals on electronic communications networks” (Ibid).</w:t>
      </w:r>
    </w:p>
  </w:footnote>
  <w:footnote w:id="704">
    <w:p w14:paraId="37DC2659" w14:textId="27E39CA6"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E</w:t>
      </w:r>
      <w:r w:rsidRPr="00A762F7">
        <w:rPr>
          <w:lang w:val="en-US"/>
        </w:rPr>
        <w:t xml:space="preserve">ECC Directive, </w:t>
      </w:r>
      <w:r>
        <w:rPr>
          <w:lang w:val="en-US"/>
        </w:rPr>
        <w:t>art</w:t>
      </w:r>
      <w:r w:rsidRPr="00A762F7">
        <w:rPr>
          <w:lang w:val="en-US"/>
        </w:rPr>
        <w:t xml:space="preserve"> 2(4).</w:t>
      </w:r>
    </w:p>
  </w:footnote>
  <w:footnote w:id="705">
    <w:p w14:paraId="45A708FD" w14:textId="77777777" w:rsidR="005C0DC6" w:rsidRDefault="005C0DC6">
      <w:pPr>
        <w:pStyle w:val="FootnoteText"/>
        <w:ind w:left="426" w:hanging="426"/>
        <w:jc w:val="both"/>
        <w:rPr>
          <w:lang w:val="en-US"/>
        </w:rPr>
      </w:pPr>
      <w:r w:rsidRPr="00A762F7">
        <w:rPr>
          <w:rStyle w:val="FootnoteReference"/>
        </w:rPr>
        <w:footnoteRef/>
      </w:r>
      <w:r w:rsidRPr="00A762F7">
        <w:t xml:space="preserve"> </w:t>
      </w:r>
      <w:r>
        <w:tab/>
      </w:r>
      <w:r w:rsidRPr="00A762F7">
        <w:t xml:space="preserve">See </w:t>
      </w:r>
      <w:r>
        <w:t xml:space="preserve">the </w:t>
      </w:r>
      <w:r w:rsidRPr="00A762F7">
        <w:rPr>
          <w:lang w:val="en-US"/>
        </w:rPr>
        <w:t>E</w:t>
      </w:r>
      <w:r w:rsidRPr="00A762F7">
        <w:t>ECC Directive, recital 18, reading as follows:</w:t>
      </w:r>
    </w:p>
    <w:p w14:paraId="13B7FC9A" w14:textId="1EFB5200" w:rsidR="005C0DC6" w:rsidRPr="00A762F7" w:rsidRDefault="005C0DC6" w:rsidP="002759C3">
      <w:pPr>
        <w:pStyle w:val="FootnoteText"/>
        <w:ind w:left="992" w:right="567"/>
        <w:jc w:val="both"/>
        <w:rPr>
          <w:lang w:val="en-US"/>
        </w:rPr>
      </w:pPr>
      <w:r w:rsidRPr="00A762F7">
        <w:rPr>
          <w:lang w:val="en-US"/>
        </w:rPr>
        <w:t>Number-independent interpersonal communications services should be subject to obligations only where public interests require that specific regulatory obligations apply to all types of interpersonal communications services, regardless of whether they use numbers for the provision of their service. It is justified to treat number-based interpersonal communications services differently, as they participate in, and hence also benefit from, a publicly assured interoperable ecosystem.” (E</w:t>
      </w:r>
      <w:r w:rsidRPr="00A762F7">
        <w:t>ECC Directive, recital 18).</w:t>
      </w:r>
    </w:p>
  </w:footnote>
  <w:footnote w:id="706">
    <w:p w14:paraId="14626961" w14:textId="5010D8F3"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EECC Directive, recital 16.</w:t>
      </w:r>
    </w:p>
  </w:footnote>
  <w:footnote w:id="707">
    <w:p w14:paraId="1E716204" w14:textId="315FCEA0"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EECC Directive, recital 17.</w:t>
      </w:r>
    </w:p>
  </w:footnote>
  <w:footnote w:id="708">
    <w:p w14:paraId="7EC9FAA2" w14:textId="5F2597BD"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EECC Directive, </w:t>
      </w:r>
      <w:r>
        <w:t>art</w:t>
      </w:r>
      <w:r w:rsidRPr="00A762F7">
        <w:t xml:space="preserve"> 109(2). See also </w:t>
      </w:r>
      <w:r>
        <w:t xml:space="preserve">the </w:t>
      </w:r>
      <w:r w:rsidRPr="00A762F7">
        <w:t xml:space="preserve">EECC, recital 286. NRAs are supposed to require number-independent ICS providers to provide emergency services insofar as </w:t>
      </w:r>
      <w:r>
        <w:t xml:space="preserve">a </w:t>
      </w:r>
      <w:r w:rsidRPr="00A762F7">
        <w:t>PSAP is accessible to such service providers. See ibid, reading</w:t>
      </w:r>
      <w:r>
        <w:t>;</w:t>
      </w:r>
      <w:r w:rsidRPr="00A762F7">
        <w:t xml:space="preserve"> “Where such standards and the related PSAP systems have not been implemented, network-independent number-based interpersonal communications services should not be required to provide access to emergency services except in a manner that is technically feasible or economically viable” (EECC, recital 286).</w:t>
      </w:r>
    </w:p>
  </w:footnote>
  <w:footnote w:id="709">
    <w:p w14:paraId="25A1081F" w14:textId="1E33916D"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EECC Directive, recital 300, </w:t>
      </w:r>
      <w:r>
        <w:t>art</w:t>
      </w:r>
      <w:r w:rsidRPr="00A762F7">
        <w:t xml:space="preserve"> 112.</w:t>
      </w:r>
    </w:p>
  </w:footnote>
  <w:footnote w:id="710">
    <w:p w14:paraId="2DC15D10" w14:textId="3B5EBA45"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EECC Directive, </w:t>
      </w:r>
      <w:r>
        <w:t>art</w:t>
      </w:r>
      <w:r w:rsidRPr="00A762F7">
        <w:t xml:space="preserve"> 102. Service providers addressed in Article 102 of the EECC are phrased as “providers of publicly available electronic communications services other than transmission services used for the provision of machine-to-machine services”.</w:t>
      </w:r>
    </w:p>
  </w:footnote>
  <w:footnote w:id="711">
    <w:p w14:paraId="6E1BF372" w14:textId="403B2027"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Article 40 of the EECC Directive titled ‘Security of networks and services’ reads as follows:</w:t>
      </w:r>
    </w:p>
    <w:p w14:paraId="415744F0" w14:textId="77777777" w:rsidR="005C0DC6" w:rsidRPr="00A762F7" w:rsidRDefault="005C0DC6" w:rsidP="00A70042">
      <w:pPr>
        <w:pStyle w:val="FootnoteText"/>
        <w:numPr>
          <w:ilvl w:val="0"/>
          <w:numId w:val="20"/>
        </w:numPr>
        <w:ind w:left="709" w:hanging="284"/>
        <w:jc w:val="both"/>
      </w:pPr>
      <w:r w:rsidRPr="00A762F7">
        <w:t>Member States shall ensure that providers of public electronic communications networks or of publicly available electronic communications services take appropriate and proportionate technical and organisational measures to appropriately manage the risks posed to the security of networks and services.</w:t>
      </w:r>
    </w:p>
    <w:p w14:paraId="4BFC9403" w14:textId="77777777" w:rsidR="005C0DC6" w:rsidRPr="00A762F7" w:rsidRDefault="005C0DC6" w:rsidP="00A70042">
      <w:pPr>
        <w:pStyle w:val="FootnoteText"/>
        <w:numPr>
          <w:ilvl w:val="0"/>
          <w:numId w:val="20"/>
        </w:numPr>
        <w:ind w:left="709" w:hanging="284"/>
        <w:jc w:val="both"/>
      </w:pPr>
      <w:r w:rsidRPr="00A762F7">
        <w:t>(…)</w:t>
      </w:r>
    </w:p>
    <w:p w14:paraId="33C7155A" w14:textId="77777777" w:rsidR="005C0DC6" w:rsidRPr="00A762F7" w:rsidRDefault="005C0DC6" w:rsidP="00A70042">
      <w:pPr>
        <w:pStyle w:val="FootnoteText"/>
        <w:numPr>
          <w:ilvl w:val="0"/>
          <w:numId w:val="20"/>
        </w:numPr>
        <w:ind w:left="709" w:hanging="284"/>
        <w:jc w:val="both"/>
      </w:pPr>
      <w:r w:rsidRPr="00A762F7">
        <w:t>Member States shall ensure that in the case of a particular and significant threat of a security incident in public electronic communications networks or publicly available electronic communications services, providers of such networks or services shall inform their users potentially affected by such a threat of any possible protective measures or remedies which can be taken by the users.</w:t>
      </w:r>
    </w:p>
  </w:footnote>
  <w:footnote w:id="712">
    <w:p w14:paraId="778AE480" w14:textId="1A4190C2" w:rsidR="005C0DC6" w:rsidRPr="002125BD" w:rsidRDefault="005C0DC6" w:rsidP="00A70042">
      <w:pPr>
        <w:pStyle w:val="FootnoteText"/>
        <w:ind w:left="426" w:hanging="426"/>
        <w:jc w:val="both"/>
      </w:pPr>
      <w:r w:rsidRPr="002125BD">
        <w:rPr>
          <w:rStyle w:val="FootnoteReference"/>
        </w:rPr>
        <w:footnoteRef/>
      </w:r>
      <w:r w:rsidRPr="002125BD">
        <w:t xml:space="preserve"> </w:t>
      </w:r>
      <w:r>
        <w:tab/>
      </w:r>
      <w:r w:rsidRPr="002125BD">
        <w:t>E</w:t>
      </w:r>
      <w:r>
        <w:t>E</w:t>
      </w:r>
      <w:r w:rsidRPr="002125BD">
        <w:t xml:space="preserve">CC </w:t>
      </w:r>
      <w:r>
        <w:t>Directive</w:t>
      </w:r>
      <w:r w:rsidRPr="002125BD">
        <w:t xml:space="preserve">, </w:t>
      </w:r>
      <w:r>
        <w:t>art</w:t>
      </w:r>
      <w:r w:rsidRPr="002125BD">
        <w:t xml:space="preserve"> </w:t>
      </w:r>
      <w:r>
        <w:t>61</w:t>
      </w:r>
      <w:r w:rsidRPr="002125BD">
        <w:t>(</w:t>
      </w:r>
      <w:r>
        <w:t>2</w:t>
      </w:r>
      <w:r w:rsidRPr="002125BD">
        <w:t xml:space="preserve">/c). </w:t>
      </w:r>
    </w:p>
  </w:footnote>
  <w:footnote w:id="713">
    <w:p w14:paraId="266CF54B" w14:textId="60D659D8"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EECC Directive, recital 150.</w:t>
      </w:r>
    </w:p>
  </w:footnote>
  <w:footnote w:id="714">
    <w:p w14:paraId="3D0AFC36" w14:textId="7A4EACA5" w:rsidR="005C0DC6" w:rsidRPr="00A762F7" w:rsidRDefault="005C0DC6" w:rsidP="00A70042">
      <w:pPr>
        <w:pStyle w:val="FootnoteText"/>
        <w:ind w:left="426" w:hanging="426"/>
        <w:jc w:val="both"/>
      </w:pPr>
      <w:r w:rsidRPr="00A762F7">
        <w:rPr>
          <w:rStyle w:val="FootnoteReference"/>
        </w:rPr>
        <w:footnoteRef/>
      </w:r>
      <w:r w:rsidRPr="00A762F7">
        <w:t xml:space="preserve"> </w:t>
      </w:r>
      <w:r>
        <w:tab/>
        <w:t>U</w:t>
      </w:r>
      <w:r w:rsidRPr="00A762F7">
        <w:t xml:space="preserve">nver (n </w:t>
      </w:r>
      <w:r>
        <w:t>30</w:t>
      </w:r>
      <w:r w:rsidRPr="00A762F7">
        <w:t xml:space="preserve">) 108. </w:t>
      </w:r>
    </w:p>
  </w:footnote>
  <w:footnote w:id="715">
    <w:p w14:paraId="697A85C5" w14:textId="52AA75C1"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Cornelia Kutterer, </w:t>
      </w:r>
      <w:r>
        <w:t>‘</w:t>
      </w:r>
      <w:r w:rsidRPr="00A762F7">
        <w:rPr>
          <w:lang w:val="en-US"/>
        </w:rPr>
        <w:t>Future Models for Service Regulation - Implications for OTTs, Telco</w:t>
      </w:r>
      <w:r>
        <w:rPr>
          <w:lang w:val="en-US"/>
        </w:rPr>
        <w:t>e</w:t>
      </w:r>
      <w:r w:rsidRPr="00A762F7">
        <w:rPr>
          <w:lang w:val="en-US"/>
        </w:rPr>
        <w:t>s and Consumers</w:t>
      </w:r>
      <w:r>
        <w:rPr>
          <w:lang w:val="en-US"/>
        </w:rPr>
        <w:t>’</w:t>
      </w:r>
      <w:r w:rsidRPr="00A762F7">
        <w:rPr>
          <w:lang w:val="en-US"/>
        </w:rPr>
        <w:t xml:space="preserve"> </w:t>
      </w:r>
      <w:r>
        <w:rPr>
          <w:lang w:val="en-US"/>
        </w:rPr>
        <w:t>(</w:t>
      </w:r>
      <w:r w:rsidRPr="00A762F7">
        <w:rPr>
          <w:lang w:val="en-US"/>
        </w:rPr>
        <w:t xml:space="preserve">WIK Conference: </w:t>
      </w:r>
      <w:r w:rsidRPr="00A762F7">
        <w:t>New rules for digital networks and services?, Brussels, 18 October 2016</w:t>
      </w:r>
      <w:r>
        <w:t>)</w:t>
      </w:r>
      <w:r w:rsidRPr="00A762F7">
        <w:t>.</w:t>
      </w:r>
      <w:r w:rsidRPr="00A762F7">
        <w:rPr>
          <w:lang w:val="en-US"/>
        </w:rPr>
        <w:t xml:space="preserve"> </w:t>
      </w:r>
    </w:p>
  </w:footnote>
  <w:footnote w:id="716">
    <w:p w14:paraId="1C6AD4D3" w14:textId="707443E1"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EECC Directive, </w:t>
      </w:r>
      <w:r>
        <w:t>art</w:t>
      </w:r>
      <w:r w:rsidRPr="00A762F7">
        <w:t xml:space="preserve"> 2(4/c).</w:t>
      </w:r>
    </w:p>
  </w:footnote>
  <w:footnote w:id="717">
    <w:p w14:paraId="4973589A" w14:textId="37422942"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The GSMA89 has specified a mechanism for the remote provisioning and management of embedded SIM</w:t>
      </w:r>
      <w:r>
        <w:t>s</w:t>
      </w:r>
      <w:r w:rsidRPr="00A762F7">
        <w:t xml:space="preserve">, allowing OTA provisioning and enabling </w:t>
      </w:r>
      <w:r>
        <w:t xml:space="preserve">the </w:t>
      </w:r>
      <w:r w:rsidRPr="00A762F7">
        <w:t>change of subscription from one connectivity service provider to another. This mechanism has been designed to answer</w:t>
      </w:r>
      <w:r>
        <w:t xml:space="preserve"> the</w:t>
      </w:r>
      <w:r w:rsidRPr="00A762F7">
        <w:t xml:space="preserve"> IoT needs where SIM</w:t>
      </w:r>
      <w:r>
        <w:t>s</w:t>
      </w:r>
      <w:r w:rsidRPr="00A762F7">
        <w:t xml:space="preserve"> may not easily be changed manually (BEREC Report (n </w:t>
      </w:r>
      <w:r>
        <w:t>31</w:t>
      </w:r>
      <w:r w:rsidRPr="00A762F7">
        <w:t xml:space="preserve">) 31). See also OECD, </w:t>
      </w:r>
      <w:r w:rsidRPr="00A762F7">
        <w:rPr>
          <w:i/>
        </w:rPr>
        <w:t>The Internet of Things: Seizing the benefits and Addressing the Challenges</w:t>
      </w:r>
      <w:r w:rsidRPr="00A762F7">
        <w:t xml:space="preserve"> (</w:t>
      </w:r>
      <w:r>
        <w:t>Background report for Ministerial Panel 2.2, 2016)</w:t>
      </w:r>
      <w:r w:rsidRPr="00A762F7">
        <w:t xml:space="preserve"> 43. </w:t>
      </w:r>
    </w:p>
  </w:footnote>
  <w:footnote w:id="718">
    <w:p w14:paraId="691ADD64" w14:textId="04477103"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EECC Directive, recital 249.</w:t>
      </w:r>
    </w:p>
  </w:footnote>
  <w:footnote w:id="719">
    <w:p w14:paraId="46AC302D" w14:textId="43C745EC" w:rsidR="005C0DC6" w:rsidRPr="002125BD" w:rsidRDefault="005C0DC6" w:rsidP="00A70042">
      <w:pPr>
        <w:pStyle w:val="FootnoteText"/>
        <w:ind w:left="426" w:hanging="426"/>
        <w:jc w:val="both"/>
      </w:pPr>
      <w:r w:rsidRPr="002125BD">
        <w:rPr>
          <w:rStyle w:val="FootnoteReference"/>
        </w:rPr>
        <w:footnoteRef/>
      </w:r>
      <w:r w:rsidRPr="002125BD">
        <w:t xml:space="preserve"> </w:t>
      </w:r>
      <w:r>
        <w:tab/>
        <w:t>E</w:t>
      </w:r>
      <w:r w:rsidRPr="002125BD">
        <w:t xml:space="preserve">ECC </w:t>
      </w:r>
      <w:r>
        <w:t>Directive</w:t>
      </w:r>
      <w:r w:rsidRPr="002125BD">
        <w:t xml:space="preserve">, </w:t>
      </w:r>
      <w:r>
        <w:t>art 93(6)</w:t>
      </w:r>
      <w:r w:rsidRPr="002125BD">
        <w:t>.</w:t>
      </w:r>
    </w:p>
  </w:footnote>
  <w:footnote w:id="720">
    <w:p w14:paraId="56C108EF" w14:textId="4ED253AA" w:rsidR="005C0DC6" w:rsidRPr="00A762F7" w:rsidRDefault="005C0DC6" w:rsidP="00A70042">
      <w:pPr>
        <w:pStyle w:val="FootnoteText"/>
        <w:ind w:left="426" w:hanging="426"/>
        <w:jc w:val="both"/>
        <w:rPr>
          <w:lang w:val="tr-TR"/>
        </w:rPr>
      </w:pPr>
      <w:r w:rsidRPr="00A762F7">
        <w:rPr>
          <w:rStyle w:val="FootnoteReference"/>
        </w:rPr>
        <w:footnoteRef/>
      </w:r>
      <w:r w:rsidRPr="00A762F7">
        <w:t xml:space="preserve"> </w:t>
      </w:r>
      <w:r>
        <w:tab/>
      </w:r>
      <w:r w:rsidRPr="00A762F7">
        <w:t xml:space="preserve">EECC Directive, </w:t>
      </w:r>
      <w:r w:rsidRPr="00A762F7">
        <w:rPr>
          <w:lang w:val="tr-TR"/>
        </w:rPr>
        <w:t>recital 148.</w:t>
      </w:r>
    </w:p>
  </w:footnote>
  <w:footnote w:id="721">
    <w:p w14:paraId="4680A9D1" w14:textId="04FF8F49"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In this regard, the number of retail markets susceptible to </w:t>
      </w:r>
      <w:r>
        <w:rPr>
          <w:lang w:val="en-US"/>
        </w:rPr>
        <w:t>ex ante</w:t>
      </w:r>
      <w:r w:rsidRPr="00A762F7">
        <w:rPr>
          <w:lang w:val="en-US"/>
        </w:rPr>
        <w:t xml:space="preserve"> regulation denotes a decreasing trend, whereas wholesale markets to be regulated have kept their importance revolving around broadband or local access, leased lines</w:t>
      </w:r>
      <w:r>
        <w:rPr>
          <w:lang w:val="en-US"/>
        </w:rPr>
        <w:t>,</w:t>
      </w:r>
      <w:r w:rsidRPr="00A762F7">
        <w:rPr>
          <w:lang w:val="en-US"/>
        </w:rPr>
        <w:t xml:space="preserve"> mainly terminating segment</w:t>
      </w:r>
      <w:r>
        <w:rPr>
          <w:lang w:val="en-US"/>
        </w:rPr>
        <w:t>s</w:t>
      </w:r>
      <w:r w:rsidRPr="00A762F7">
        <w:rPr>
          <w:lang w:val="en-US"/>
        </w:rPr>
        <w:t xml:space="preserve"> and interconnection</w:t>
      </w:r>
      <w:r>
        <w:rPr>
          <w:lang w:val="en-US"/>
        </w:rPr>
        <w:t>,</w:t>
      </w:r>
      <w:r w:rsidRPr="00A762F7">
        <w:rPr>
          <w:lang w:val="en-US"/>
        </w:rPr>
        <w:t xml:space="preserve"> mainly call termination, which are assessed to far </w:t>
      </w:r>
      <w:r>
        <w:rPr>
          <w:lang w:val="en-US"/>
        </w:rPr>
        <w:t xml:space="preserve">better </w:t>
      </w:r>
      <w:r w:rsidRPr="00A762F7">
        <w:rPr>
          <w:lang w:val="en-US"/>
        </w:rPr>
        <w:t xml:space="preserve">demonstrate enduring entry barriers, etc. The so-called trend could be observed throughout the period from 2003 to 2014 when 3 recommendations were issued by the Commission (See supra note </w:t>
      </w:r>
      <w:r w:rsidRPr="00B54EEF">
        <w:rPr>
          <w:lang w:val="en-US"/>
        </w:rPr>
        <w:t>651</w:t>
      </w:r>
      <w:r w:rsidRPr="00A762F7">
        <w:rPr>
          <w:lang w:val="en-US"/>
        </w:rPr>
        <w:t>).</w:t>
      </w:r>
    </w:p>
  </w:footnote>
  <w:footnote w:id="722">
    <w:p w14:paraId="50FF8D78" w14:textId="1BAEA0EC"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See supra note </w:t>
      </w:r>
      <w:r w:rsidRPr="00B54EEF">
        <w:rPr>
          <w:lang w:val="en-US"/>
        </w:rPr>
        <w:t>715</w:t>
      </w:r>
      <w:r w:rsidRPr="00A762F7">
        <w:rPr>
          <w:lang w:val="en-US"/>
        </w:rPr>
        <w:t>.</w:t>
      </w:r>
    </w:p>
  </w:footnote>
  <w:footnote w:id="723">
    <w:p w14:paraId="76E30690" w14:textId="35ED72C8"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See also Plantin, Lagoze, Edwards and Sandvig (n </w:t>
      </w:r>
      <w:r>
        <w:rPr>
          <w:lang w:val="en-US"/>
        </w:rPr>
        <w:t>669</w:t>
      </w:r>
      <w:r w:rsidRPr="00A762F7">
        <w:rPr>
          <w:lang w:val="en-US"/>
        </w:rPr>
        <w:t xml:space="preserve">), 299-301. This situation made the so-called upper layer ICT markets unfettered from any regulatory burden and arguably enabled them to grow more rapidly in comparison with </w:t>
      </w:r>
      <w:r>
        <w:rPr>
          <w:lang w:val="en-US"/>
        </w:rPr>
        <w:t xml:space="preserve">the </w:t>
      </w:r>
      <w:r w:rsidRPr="00A762F7">
        <w:rPr>
          <w:lang w:val="en-US"/>
        </w:rPr>
        <w:t xml:space="preserve">electronic communications </w:t>
      </w:r>
      <w:r>
        <w:rPr>
          <w:lang w:val="en-US"/>
        </w:rPr>
        <w:t xml:space="preserve">or </w:t>
      </w:r>
      <w:r w:rsidRPr="00A762F7">
        <w:rPr>
          <w:lang w:val="en-US"/>
        </w:rPr>
        <w:t>telecom markets (</w:t>
      </w:r>
      <w:r>
        <w:rPr>
          <w:lang w:val="en-US"/>
        </w:rPr>
        <w:t xml:space="preserve">Anders </w:t>
      </w:r>
      <w:r w:rsidRPr="00A762F7">
        <w:t xml:space="preserve">Henten and </w:t>
      </w:r>
      <w:r>
        <w:t xml:space="preserve">Reza </w:t>
      </w:r>
      <w:r w:rsidRPr="00A762F7">
        <w:t>Tadayoni, ‘The dominance of the IT industry in a converging ICT ecosystem’ in H</w:t>
      </w:r>
      <w:r>
        <w:t>itoshi</w:t>
      </w:r>
      <w:r w:rsidRPr="00A762F7">
        <w:t xml:space="preserve"> Mitomo, </w:t>
      </w:r>
      <w:r w:rsidRPr="007E5045">
        <w:t>Hidenori</w:t>
      </w:r>
      <w:r w:rsidRPr="00A762F7">
        <w:t xml:space="preserve"> Fuke and E</w:t>
      </w:r>
      <w:r>
        <w:t>rik</w:t>
      </w:r>
      <w:r w:rsidRPr="00A762F7">
        <w:t xml:space="preserve"> Bohlin (eds), </w:t>
      </w:r>
      <w:r w:rsidRPr="00A762F7">
        <w:rPr>
          <w:i/>
        </w:rPr>
        <w:t>The smart revolution towards the sustainable digital society: Beyond the era of convergence</w:t>
      </w:r>
      <w:r w:rsidRPr="00A762F7">
        <w:t xml:space="preserve"> (Edward Elgar 2015) </w:t>
      </w:r>
      <w:r w:rsidRPr="00A762F7">
        <w:rPr>
          <w:lang w:val="en-US"/>
        </w:rPr>
        <w:t>31.</w:t>
      </w:r>
    </w:p>
  </w:footnote>
  <w:footnote w:id="724">
    <w:p w14:paraId="7E7FB792" w14:textId="00359170"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Henten and Tadayoni</w:t>
      </w:r>
      <w:r>
        <w:t xml:space="preserve"> (n 723)</w:t>
      </w:r>
      <w:r w:rsidRPr="00A762F7">
        <w:t xml:space="preserve"> </w:t>
      </w:r>
      <w:r w:rsidRPr="00A762F7">
        <w:rPr>
          <w:lang w:val="en-US"/>
        </w:rPr>
        <w:t>19.</w:t>
      </w:r>
    </w:p>
  </w:footnote>
  <w:footnote w:id="725">
    <w:p w14:paraId="04B26696" w14:textId="22191B9A"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Henten and Tadayoni</w:t>
      </w:r>
      <w:r>
        <w:t xml:space="preserve"> (n 723)</w:t>
      </w:r>
      <w:r w:rsidRPr="00A762F7">
        <w:rPr>
          <w:lang w:val="en-US"/>
        </w:rPr>
        <w:t xml:space="preserve"> 28.</w:t>
      </w:r>
    </w:p>
  </w:footnote>
  <w:footnote w:id="726">
    <w:p w14:paraId="4B16366C" w14:textId="3844B957"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Henten and Tadayoni</w:t>
      </w:r>
      <w:r>
        <w:t xml:space="preserve"> (n 723)</w:t>
      </w:r>
      <w:r w:rsidRPr="00A762F7">
        <w:rPr>
          <w:lang w:val="en-US"/>
        </w:rPr>
        <w:t xml:space="preserve"> 30-32.</w:t>
      </w:r>
    </w:p>
  </w:footnote>
  <w:footnote w:id="727">
    <w:p w14:paraId="2E32B456" w14:textId="3F871107"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Bartolini, Santos and Ullrich (n </w:t>
      </w:r>
      <w:r>
        <w:t>332</w:t>
      </w:r>
      <w:r w:rsidRPr="00A762F7">
        <w:t>) 361.</w:t>
      </w:r>
    </w:p>
  </w:footnote>
  <w:footnote w:id="728">
    <w:p w14:paraId="6A3D1EAE" w14:textId="091A0E42"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National Institute for Standards and Technology (NIST), US Department of Commerce, The NIST Definition of Cloud Computing (Recommendations of the National Institute</w:t>
      </w:r>
      <w:r>
        <w:t xml:space="preserve"> for</w:t>
      </w:r>
      <w:r w:rsidRPr="00A762F7">
        <w:t xml:space="preserve"> Standards and Technology, Special publication 800-145</w:t>
      </w:r>
      <w:r>
        <w:t>)</w:t>
      </w:r>
      <w:r w:rsidRPr="00A762F7">
        <w:t xml:space="preserve"> 2011, 2.</w:t>
      </w:r>
    </w:p>
  </w:footnote>
  <w:footnote w:id="729">
    <w:p w14:paraId="45CEF870" w14:textId="7AD9B68F"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Jiehan Zhou, Teemu Leppänen, Erkki Harjula, Mika Ylianttila, Timo Ojala, Chen Yu, Hai Jin, Laurence Tianruo</w:t>
      </w:r>
      <w:r>
        <w:rPr>
          <w:lang w:val="en-US"/>
        </w:rPr>
        <w:t xml:space="preserve"> and</w:t>
      </w:r>
      <w:r w:rsidRPr="00A762F7">
        <w:rPr>
          <w:lang w:val="en-US"/>
        </w:rPr>
        <w:t xml:space="preserve"> Yang Huazhong, ‘CloudThings: A Common Architecture for Integrating the Internet of Things with Cloud Computing’ </w:t>
      </w:r>
      <w:r>
        <w:rPr>
          <w:lang w:val="en-US"/>
        </w:rPr>
        <w:t>(</w:t>
      </w:r>
      <w:r w:rsidRPr="00A762F7">
        <w:t>2013 IEEE 17th International Conference on Computer Supported Cooperative Work in Design, 27-29 June 2013)</w:t>
      </w:r>
      <w:r>
        <w:rPr>
          <w:lang w:val="en-US"/>
        </w:rPr>
        <w:t xml:space="preserve"> </w:t>
      </w:r>
      <w:r w:rsidRPr="00A762F7">
        <w:rPr>
          <w:lang w:val="en-US"/>
        </w:rPr>
        <w:t>651.</w:t>
      </w:r>
    </w:p>
  </w:footnote>
  <w:footnote w:id="730">
    <w:p w14:paraId="301DCADD" w14:textId="75C64E73"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Ibid. </w:t>
      </w:r>
    </w:p>
  </w:footnote>
  <w:footnote w:id="731">
    <w:p w14:paraId="01FC4287" w14:textId="3F81D83D"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Cisco, </w:t>
      </w:r>
      <w:r w:rsidRPr="00223CC5">
        <w:rPr>
          <w:i/>
          <w:iCs/>
          <w:lang w:val="en-US"/>
        </w:rPr>
        <w:t>Cisco Global Cloud Index: Forecast and Methodology</w:t>
      </w:r>
      <w:r w:rsidRPr="00A762F7">
        <w:rPr>
          <w:lang w:val="en-US"/>
        </w:rPr>
        <w:t xml:space="preserve"> </w:t>
      </w:r>
      <w:r>
        <w:rPr>
          <w:lang w:val="en-US"/>
        </w:rPr>
        <w:t>(</w:t>
      </w:r>
      <w:r w:rsidRPr="00A762F7">
        <w:rPr>
          <w:lang w:val="en-US"/>
        </w:rPr>
        <w:t>2016–2021 White Paper</w:t>
      </w:r>
      <w:r>
        <w:rPr>
          <w:lang w:val="en-US"/>
        </w:rPr>
        <w:t xml:space="preserve">, </w:t>
      </w:r>
      <w:r w:rsidRPr="00A762F7">
        <w:rPr>
          <w:lang w:val="en-US"/>
        </w:rPr>
        <w:t>November 19, 2018)</w:t>
      </w:r>
      <w:r>
        <w:rPr>
          <w:lang w:val="en-US"/>
        </w:rPr>
        <w:t xml:space="preserve"> (‘Cisco 2018 Global Cloud Index’)</w:t>
      </w:r>
      <w:r w:rsidRPr="00A762F7">
        <w:rPr>
          <w:lang w:val="en-US"/>
        </w:rPr>
        <w:t xml:space="preserve"> ˂https://www.cisco.com/c/en/us/</w:t>
      </w:r>
      <w:r>
        <w:rPr>
          <w:lang w:val="en-US"/>
        </w:rPr>
        <w:t xml:space="preserve"> </w:t>
      </w:r>
      <w:r w:rsidRPr="00A762F7">
        <w:rPr>
          <w:lang w:val="en-US"/>
        </w:rPr>
        <w:t xml:space="preserve">solutions/collateral/service-provider/global-cloud-index-gci/white-paper-c11-738085.html˃ accessed by </w:t>
      </w:r>
      <w:r>
        <w:rPr>
          <w:lang w:val="en-US"/>
        </w:rPr>
        <w:t>9 October 2020</w:t>
      </w:r>
      <w:r w:rsidRPr="00A762F7">
        <w:rPr>
          <w:lang w:val="en-US"/>
        </w:rPr>
        <w:t>.</w:t>
      </w:r>
    </w:p>
  </w:footnote>
  <w:footnote w:id="732">
    <w:p w14:paraId="4590D809" w14:textId="039B02F9"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Below are given the examples for cloud providers that rely on particular service models: </w:t>
      </w:r>
    </w:p>
    <w:p w14:paraId="60BCA471" w14:textId="77777777" w:rsidR="005C0DC6" w:rsidRPr="00A762F7" w:rsidRDefault="005C0DC6" w:rsidP="00A70042">
      <w:pPr>
        <w:pStyle w:val="FootnoteText"/>
        <w:numPr>
          <w:ilvl w:val="0"/>
          <w:numId w:val="24"/>
        </w:numPr>
        <w:ind w:left="709" w:hanging="284"/>
        <w:jc w:val="both"/>
        <w:rPr>
          <w:lang w:val="en-US"/>
        </w:rPr>
      </w:pPr>
      <w:r w:rsidRPr="00A762F7">
        <w:rPr>
          <w:lang w:val="en-US"/>
        </w:rPr>
        <w:t xml:space="preserve">SaaS examples: </w:t>
      </w:r>
      <w:r w:rsidRPr="00A762F7">
        <w:rPr>
          <w:shd w:val="clear" w:color="auto" w:fill="FFFFFF"/>
        </w:rPr>
        <w:t>Google Apps, Dropbox, Salesforce, Cisco WebEx, Concur, GoToMeeting</w:t>
      </w:r>
      <w:r w:rsidRPr="00A762F7">
        <w:rPr>
          <w:lang w:val="en-US"/>
        </w:rPr>
        <w:t>,</w:t>
      </w:r>
    </w:p>
    <w:p w14:paraId="3FFD655B" w14:textId="77777777" w:rsidR="005C0DC6" w:rsidRPr="00A762F7" w:rsidRDefault="005C0DC6" w:rsidP="00A70042">
      <w:pPr>
        <w:pStyle w:val="FootnoteText"/>
        <w:numPr>
          <w:ilvl w:val="0"/>
          <w:numId w:val="24"/>
        </w:numPr>
        <w:ind w:left="709" w:hanging="284"/>
        <w:jc w:val="both"/>
        <w:rPr>
          <w:lang w:val="en-US"/>
        </w:rPr>
      </w:pPr>
      <w:r w:rsidRPr="00A762F7">
        <w:rPr>
          <w:lang w:val="en-US"/>
        </w:rPr>
        <w:t xml:space="preserve">PaaS Examples: </w:t>
      </w:r>
      <w:r w:rsidRPr="00A762F7">
        <w:rPr>
          <w:shd w:val="clear" w:color="auto" w:fill="FFFFFF"/>
        </w:rPr>
        <w:t>AWS Elastic Beanstalk, Windows Azure, Heroku, Force.com, Google App Engine, Apache Stratos, OpenShift</w:t>
      </w:r>
      <w:r w:rsidRPr="00A762F7">
        <w:rPr>
          <w:lang w:val="en-US"/>
        </w:rPr>
        <w:t>,</w:t>
      </w:r>
    </w:p>
    <w:p w14:paraId="772639E2" w14:textId="77777777" w:rsidR="005C0DC6" w:rsidRPr="00A762F7" w:rsidRDefault="005C0DC6" w:rsidP="00A70042">
      <w:pPr>
        <w:pStyle w:val="FootnoteText"/>
        <w:numPr>
          <w:ilvl w:val="0"/>
          <w:numId w:val="24"/>
        </w:numPr>
        <w:ind w:left="709" w:hanging="284"/>
        <w:jc w:val="both"/>
        <w:rPr>
          <w:lang w:val="en-US"/>
        </w:rPr>
      </w:pPr>
      <w:r w:rsidRPr="00A762F7">
        <w:rPr>
          <w:lang w:val="en-US"/>
        </w:rPr>
        <w:t xml:space="preserve">IaaS Examples: </w:t>
      </w:r>
      <w:r w:rsidRPr="00A762F7">
        <w:rPr>
          <w:shd w:val="clear" w:color="auto" w:fill="FFFFFF"/>
        </w:rPr>
        <w:t>DigitalOcean, Linode, Rackspace, Amazon Web Services (AWS), Cisco Metapod, Microsoft Azure, Google Compute Engine (GCE)</w:t>
      </w:r>
    </w:p>
    <w:p w14:paraId="10878D8A" w14:textId="405C35E0" w:rsidR="005C0DC6" w:rsidRPr="00A762F7" w:rsidRDefault="005C0DC6" w:rsidP="00A70042">
      <w:pPr>
        <w:pStyle w:val="FootnoteText"/>
        <w:ind w:left="426"/>
        <w:jc w:val="both"/>
        <w:rPr>
          <w:lang w:val="en-US"/>
        </w:rPr>
      </w:pPr>
      <w:r w:rsidRPr="00A762F7">
        <w:rPr>
          <w:lang w:val="en-US"/>
        </w:rPr>
        <w:t xml:space="preserve">(Stephen Watts, </w:t>
      </w:r>
      <w:r>
        <w:rPr>
          <w:lang w:val="en-US"/>
        </w:rPr>
        <w:t>‘</w:t>
      </w:r>
      <w:r w:rsidRPr="00A762F7">
        <w:rPr>
          <w:lang w:val="en-US"/>
        </w:rPr>
        <w:t>SaaS vs PaaS vs IaaS: What’s the difference and how to choose?</w:t>
      </w:r>
      <w:r>
        <w:rPr>
          <w:lang w:val="en-US"/>
        </w:rPr>
        <w:t>’ (</w:t>
      </w:r>
      <w:r w:rsidRPr="00A762F7">
        <w:rPr>
          <w:lang w:val="en-US"/>
        </w:rPr>
        <w:t>BMC Blog</w:t>
      </w:r>
      <w:r>
        <w:rPr>
          <w:lang w:val="en-US"/>
        </w:rPr>
        <w:t>,</w:t>
      </w:r>
      <w:r w:rsidRPr="00A762F7">
        <w:rPr>
          <w:lang w:val="en-US"/>
        </w:rPr>
        <w:t xml:space="preserve"> </w:t>
      </w:r>
      <w:r>
        <w:rPr>
          <w:lang w:val="en-US"/>
        </w:rPr>
        <w:t xml:space="preserve">22 </w:t>
      </w:r>
      <w:r w:rsidRPr="00A762F7">
        <w:rPr>
          <w:lang w:val="en-US"/>
        </w:rPr>
        <w:t xml:space="preserve">September 2017) ˂https://www.bmc.com˃ accessed </w:t>
      </w:r>
      <w:r>
        <w:rPr>
          <w:lang w:val="en-US"/>
        </w:rPr>
        <w:t>9 October 2020)</w:t>
      </w:r>
      <w:r w:rsidRPr="00A762F7">
        <w:rPr>
          <w:lang w:val="en-US"/>
        </w:rPr>
        <w:t>.</w:t>
      </w:r>
    </w:p>
  </w:footnote>
  <w:footnote w:id="733">
    <w:p w14:paraId="3B4D931E" w14:textId="0C61CF7D"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For further details of the service models, see Christoph Fehling, Frank Leymann, Ralph Retter, Walter Schupeck and Peter Arbitter</w:t>
      </w:r>
      <w:r>
        <w:rPr>
          <w:lang w:val="en-US"/>
        </w:rPr>
        <w:t>,</w:t>
      </w:r>
      <w:r w:rsidRPr="00A762F7">
        <w:rPr>
          <w:lang w:val="en-US"/>
        </w:rPr>
        <w:t xml:space="preserve"> ‘Cloud Computing Patterns: Fundamentals to Design, Build, and Manage Cloud Applications’ (</w:t>
      </w:r>
      <w:r w:rsidRPr="00A762F7">
        <w:t>Springer</w:t>
      </w:r>
      <w:r w:rsidRPr="00A762F7">
        <w:rPr>
          <w:lang w:val="en-US"/>
        </w:rPr>
        <w:t>, 2014) 42-59; Kai Hwang, Geoffrey C. Fox and Jack J. Dongarra ‘Distributed and Cloud Computing: Form Parallel Processing to the Internet of Things’ (Elsevier 2012) 191-206.</w:t>
      </w:r>
    </w:p>
  </w:footnote>
  <w:footnote w:id="734">
    <w:p w14:paraId="2A11B147" w14:textId="653FD789"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Ahmed Shawish and Maria Salama, </w:t>
      </w:r>
      <w:r>
        <w:t>‘</w:t>
      </w:r>
      <w:r w:rsidRPr="00A762F7">
        <w:t>Cloud Computing: Paradigms and Technologies</w:t>
      </w:r>
      <w:r>
        <w:t>’</w:t>
      </w:r>
      <w:r w:rsidRPr="00A762F7">
        <w:t xml:space="preserve"> in F. Xhafa and N. Bessis (eds), </w:t>
      </w:r>
      <w:r w:rsidRPr="00D34590">
        <w:rPr>
          <w:i/>
          <w:iCs/>
        </w:rPr>
        <w:t>Inter-cooperative Collective Intelligence: Techniques and Applications, Studies in Computational Intelligence</w:t>
      </w:r>
      <w:r w:rsidRPr="00A762F7">
        <w:t xml:space="preserve"> (Springer-Verlag Berlin Heidelberg, 2014) 49.</w:t>
      </w:r>
    </w:p>
  </w:footnote>
  <w:footnote w:id="735">
    <w:p w14:paraId="03CAC04C" w14:textId="5D3CA1EC"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Ibid. </w:t>
      </w:r>
      <w:r w:rsidRPr="00A762F7">
        <w:rPr>
          <w:lang w:val="en-US"/>
        </w:rPr>
        <w:t>For further details of the deployment models, see Hwang, Fox and Dongarra (n 6</w:t>
      </w:r>
      <w:r>
        <w:rPr>
          <w:lang w:val="en-US"/>
        </w:rPr>
        <w:t>65</w:t>
      </w:r>
      <w:r w:rsidRPr="00A762F7">
        <w:rPr>
          <w:lang w:val="en-US"/>
        </w:rPr>
        <w:t xml:space="preserve">) 192-194. </w:t>
      </w:r>
    </w:p>
  </w:footnote>
  <w:footnote w:id="736">
    <w:p w14:paraId="143FCC60" w14:textId="5DF48899"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rPr>
          <w:lang w:val="en-US"/>
        </w:rPr>
        <w:t xml:space="preserve">The Open Group, </w:t>
      </w:r>
      <w:r>
        <w:rPr>
          <w:lang w:val="en-US"/>
        </w:rPr>
        <w:t>‘</w:t>
      </w:r>
      <w:r w:rsidRPr="00A762F7">
        <w:rPr>
          <w:lang w:val="en-US"/>
        </w:rPr>
        <w:t>Cloud Computing Portability and Interoperability</w:t>
      </w:r>
      <w:r>
        <w:rPr>
          <w:lang w:val="en-US"/>
        </w:rPr>
        <w:t>’</w:t>
      </w:r>
      <w:r w:rsidRPr="00A762F7">
        <w:rPr>
          <w:lang w:val="en-US"/>
        </w:rPr>
        <w:t xml:space="preserve"> ˂http://www.opengroup.</w:t>
      </w:r>
      <w:r>
        <w:rPr>
          <w:lang w:val="en-US"/>
        </w:rPr>
        <w:t xml:space="preserve"> </w:t>
      </w:r>
      <w:r w:rsidRPr="00A762F7">
        <w:rPr>
          <w:lang w:val="en-US"/>
        </w:rPr>
        <w:t xml:space="preserve">org/cloud/cloud_iop/p3.htm˃ accessed </w:t>
      </w:r>
      <w:r>
        <w:rPr>
          <w:lang w:val="en-US"/>
        </w:rPr>
        <w:t>9 October 2020</w:t>
      </w:r>
      <w:r w:rsidRPr="00A762F7">
        <w:rPr>
          <w:lang w:val="en-US"/>
        </w:rPr>
        <w:t>.</w:t>
      </w:r>
    </w:p>
  </w:footnote>
  <w:footnote w:id="737">
    <w:p w14:paraId="6E902B28" w14:textId="09294E25"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CDNs allow large content providers to bypass internet backbone networks when sending their content to users </w:t>
      </w:r>
      <w:r>
        <w:rPr>
          <w:lang w:val="en-US"/>
        </w:rPr>
        <w:t xml:space="preserve">and </w:t>
      </w:r>
      <w:r w:rsidRPr="00A762F7">
        <w:rPr>
          <w:lang w:val="en-US"/>
        </w:rPr>
        <w:t xml:space="preserve">have ushered in profound changes to how data flows over the internet (Daly (n </w:t>
      </w:r>
      <w:r>
        <w:rPr>
          <w:lang w:val="en-US"/>
        </w:rPr>
        <w:t>23</w:t>
      </w:r>
      <w:r w:rsidRPr="00A762F7">
        <w:rPr>
          <w:lang w:val="en-US"/>
        </w:rPr>
        <w:t xml:space="preserve">) 42). For further details see infra note </w:t>
      </w:r>
      <w:r w:rsidRPr="005A7D25">
        <w:rPr>
          <w:lang w:val="en-US"/>
        </w:rPr>
        <w:t>743</w:t>
      </w:r>
      <w:r w:rsidRPr="00A762F7">
        <w:rPr>
          <w:lang w:val="en-US"/>
        </w:rPr>
        <w:t>.</w:t>
      </w:r>
    </w:p>
  </w:footnote>
  <w:footnote w:id="738">
    <w:p w14:paraId="2BD484C9" w14:textId="58BD8FB3"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bookmarkStart w:id="578" w:name="_Hlk13792355"/>
      <w:r>
        <w:tab/>
      </w:r>
      <w:r w:rsidRPr="00A762F7">
        <w:rPr>
          <w:lang w:val="en-US"/>
        </w:rPr>
        <w:t>Christopher S. Yoo, ‘Cloud Computing: Architectural and Policy Implications’ [2011] 38 Review of Industrial Organization 405, 408</w:t>
      </w:r>
      <w:bookmarkEnd w:id="578"/>
      <w:r w:rsidRPr="00A762F7">
        <w:rPr>
          <w:lang w:val="en-US"/>
        </w:rPr>
        <w:t>.</w:t>
      </w:r>
      <w:r w:rsidRPr="00A762F7">
        <w:t xml:space="preserve"> </w:t>
      </w:r>
    </w:p>
  </w:footnote>
  <w:footnote w:id="739">
    <w:p w14:paraId="12F6D230" w14:textId="1F61A675"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Tim Cowen and Annabelle Gawer, ‘Competition in the Cloud: Unleashing Investment and Innovation within and across Platforms’ [2012] 85 </w:t>
      </w:r>
      <w:r>
        <w:t xml:space="preserve">1st Q </w:t>
      </w:r>
      <w:r w:rsidRPr="00A762F7">
        <w:t>Digiworld Economic Journal 45, 47.</w:t>
      </w:r>
    </w:p>
  </w:footnote>
  <w:footnote w:id="740">
    <w:p w14:paraId="21EA33A3" w14:textId="09871BD9"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Yoo (n </w:t>
      </w:r>
      <w:r>
        <w:rPr>
          <w:lang w:val="en-US"/>
        </w:rPr>
        <w:t>738</w:t>
      </w:r>
      <w:r w:rsidRPr="00A762F7">
        <w:rPr>
          <w:lang w:val="en-US"/>
        </w:rPr>
        <w:t xml:space="preserve">) 414. </w:t>
      </w:r>
    </w:p>
  </w:footnote>
  <w:footnote w:id="741">
    <w:p w14:paraId="30CBB089" w14:textId="0E216729"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Yoo (n </w:t>
      </w:r>
      <w:r>
        <w:rPr>
          <w:lang w:val="en-US"/>
        </w:rPr>
        <w:t>738</w:t>
      </w:r>
      <w:r w:rsidRPr="00A762F7">
        <w:rPr>
          <w:lang w:val="en-US"/>
        </w:rPr>
        <w:t>) 413.</w:t>
      </w:r>
    </w:p>
  </w:footnote>
  <w:footnote w:id="742">
    <w:p w14:paraId="114033B7" w14:textId="0648C076"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In 2017, approximately 52% of all internet traffic crossed CDNs; and just in 2021, that number is expected to jump to 71%</w:t>
      </w:r>
      <w:r w:rsidRPr="00A762F7">
        <w:rPr>
          <w:lang w:val="en-US"/>
        </w:rPr>
        <w:t xml:space="preserve"> (Briana Lassig, </w:t>
      </w:r>
      <w:r>
        <w:rPr>
          <w:lang w:val="en-US"/>
        </w:rPr>
        <w:t>‘</w:t>
      </w:r>
      <w:r w:rsidRPr="00A762F7">
        <w:rPr>
          <w:lang w:val="en-US"/>
        </w:rPr>
        <w:t xml:space="preserve">CDN Technology: </w:t>
      </w:r>
      <w:r w:rsidRPr="00A762F7">
        <w:t>How Net Neutrality Will Affect Global CDNs</w:t>
      </w:r>
      <w:r>
        <w:rPr>
          <w:lang w:val="en-US"/>
        </w:rPr>
        <w:t>’</w:t>
      </w:r>
      <w:r w:rsidRPr="00A762F7">
        <w:t xml:space="preserve"> </w:t>
      </w:r>
      <w:r>
        <w:t>(</w:t>
      </w:r>
      <w:r w:rsidRPr="004E483C">
        <w:rPr>
          <w:i/>
          <w:iCs/>
          <w:lang w:val="en-US"/>
        </w:rPr>
        <w:t>CDNetworks Americas</w:t>
      </w:r>
      <w:r>
        <w:rPr>
          <w:lang w:val="en-US"/>
        </w:rPr>
        <w:t>,</w:t>
      </w:r>
      <w:r w:rsidRPr="00A762F7">
        <w:t xml:space="preserve"> 21 February 2018) </w:t>
      </w:r>
      <w:r w:rsidRPr="00A762F7">
        <w:rPr>
          <w:lang w:val="en-US"/>
        </w:rPr>
        <w:t>˂</w:t>
      </w:r>
      <w:r w:rsidRPr="004E483C">
        <w:t>http://nl.cdnetworks.com/en/</w:t>
      </w:r>
      <w:r>
        <w:t xml:space="preserve"> </w:t>
      </w:r>
      <w:r w:rsidRPr="004E483C">
        <w:t>news/how-net-neutrality-will-affect-global-cdns/6811</w:t>
      </w:r>
      <w:r w:rsidRPr="00A762F7">
        <w:rPr>
          <w:lang w:val="en-US"/>
        </w:rPr>
        <w:t xml:space="preserve">˃ accessed </w:t>
      </w:r>
      <w:r>
        <w:rPr>
          <w:lang w:val="en-US"/>
        </w:rPr>
        <w:t>9 October 2020)</w:t>
      </w:r>
      <w:r w:rsidRPr="00A762F7">
        <w:rPr>
          <w:lang w:val="en-US"/>
        </w:rPr>
        <w:t>.</w:t>
      </w:r>
    </w:p>
  </w:footnote>
  <w:footnote w:id="743">
    <w:p w14:paraId="670CB2F1" w14:textId="300C1754"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Delivery of </w:t>
      </w:r>
      <w:r w:rsidRPr="00A762F7">
        <w:t xml:space="preserve">IP </w:t>
      </w:r>
      <w:r w:rsidRPr="00A762F7">
        <w:rPr>
          <w:lang w:val="en-US"/>
        </w:rPr>
        <w:t>traffic occurs either through transit or peering agreements among the internet backbone operators and/or ISPs. While transit between these operators generally occur</w:t>
      </w:r>
      <w:r>
        <w:rPr>
          <w:lang w:val="en-US"/>
        </w:rPr>
        <w:t>s</w:t>
      </w:r>
      <w:r w:rsidRPr="00A762F7">
        <w:rPr>
          <w:lang w:val="en-US"/>
        </w:rPr>
        <w:t xml:space="preserve"> because of the sizeable differences among the parties, peering takes place between two networks</w:t>
      </w:r>
      <w:r>
        <w:rPr>
          <w:lang w:val="en-US"/>
        </w:rPr>
        <w:t>,</w:t>
      </w:r>
      <w:r w:rsidRPr="00A762F7">
        <w:rPr>
          <w:lang w:val="en-US"/>
        </w:rPr>
        <w:t xml:space="preserve"> mostly small ISPs’</w:t>
      </w:r>
      <w:r>
        <w:rPr>
          <w:lang w:val="en-US"/>
        </w:rPr>
        <w:t>,</w:t>
      </w:r>
      <w:r w:rsidRPr="00A762F7">
        <w:rPr>
          <w:lang w:val="en-US"/>
        </w:rPr>
        <w:t xml:space="preserve"> that have roughly the same size. For the definitions of transit and peering, along with their regulatory implications concerning internet i</w:t>
      </w:r>
      <w:bookmarkStart w:id="581" w:name="_Ref99238496"/>
      <w:r w:rsidRPr="00A762F7">
        <w:rPr>
          <w:lang w:val="en-US"/>
        </w:rPr>
        <w:t xml:space="preserve">nterconnection, see Rohan </w:t>
      </w:r>
      <w:r w:rsidRPr="00A762F7">
        <w:rPr>
          <w:rFonts w:eastAsia="Arial Unicode MS"/>
          <w:lang w:val="en-US"/>
        </w:rPr>
        <w:t>Kariyawasam, ‘Telecoms Regulation</w:t>
      </w:r>
      <w:r>
        <w:rPr>
          <w:rFonts w:eastAsia="Arial Unicode MS"/>
          <w:lang w:val="en-US"/>
        </w:rPr>
        <w:t xml:space="preserve"> </w:t>
      </w:r>
      <w:r w:rsidRPr="00A762F7">
        <w:rPr>
          <w:rFonts w:eastAsia="Arial Unicode MS"/>
          <w:lang w:val="en-US"/>
        </w:rPr>
        <w:t>-</w:t>
      </w:r>
      <w:r>
        <w:rPr>
          <w:rFonts w:eastAsia="Arial Unicode MS"/>
          <w:lang w:val="en-US"/>
        </w:rPr>
        <w:t xml:space="preserve"> </w:t>
      </w:r>
      <w:r w:rsidRPr="00A762F7">
        <w:rPr>
          <w:rFonts w:eastAsia="Arial Unicode MS"/>
          <w:lang w:val="en-US"/>
        </w:rPr>
        <w:t>Peering and Transit Over TCP/IP Networks’ [2001] 17(1) Computer Law &amp; Security Report</w:t>
      </w:r>
      <w:bookmarkEnd w:id="581"/>
      <w:r>
        <w:rPr>
          <w:rFonts w:eastAsia="Arial Unicode MS"/>
          <w:lang w:val="en-US"/>
        </w:rPr>
        <w:t>, 36-40</w:t>
      </w:r>
      <w:r w:rsidRPr="00A762F7">
        <w:rPr>
          <w:rFonts w:eastAsia="Arial Unicode MS"/>
          <w:lang w:val="en-US"/>
        </w:rPr>
        <w:t>; Kariyawasam (n 1</w:t>
      </w:r>
      <w:r>
        <w:rPr>
          <w:rFonts w:eastAsia="Arial Unicode MS"/>
          <w:lang w:val="en-US"/>
        </w:rPr>
        <w:t>31</w:t>
      </w:r>
      <w:r w:rsidRPr="00A762F7">
        <w:rPr>
          <w:rFonts w:eastAsia="Arial Unicode MS"/>
          <w:lang w:val="en-US"/>
        </w:rPr>
        <w:t>) 185-204.</w:t>
      </w:r>
      <w:r w:rsidRPr="00A762F7">
        <w:rPr>
          <w:lang w:val="en-US"/>
        </w:rPr>
        <w:t xml:space="preserve"> While CDNs bypass these networks and agreements by delivering the content directly to the ISPs, they usually face the termination fees to be paid, which is comparable to the ‘paid peering’ option</w:t>
      </w:r>
      <w:r>
        <w:rPr>
          <w:lang w:val="en-US"/>
        </w:rPr>
        <w:t xml:space="preserve"> that is</w:t>
      </w:r>
      <w:r w:rsidRPr="00A762F7">
        <w:rPr>
          <w:lang w:val="en-US"/>
        </w:rPr>
        <w:t xml:space="preserve"> usually done between content providers and ISPs.     </w:t>
      </w:r>
    </w:p>
  </w:footnote>
  <w:footnote w:id="744">
    <w:p w14:paraId="6D39C1FB" w14:textId="6A4CA208"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bookmarkStart w:id="582" w:name="_Hlk13792264"/>
      <w:r>
        <w:tab/>
      </w:r>
      <w:r w:rsidRPr="00A762F7">
        <w:rPr>
          <w:lang w:val="en-US"/>
        </w:rPr>
        <w:t>Thorsten Hau, Dirk Burghardt and Walter Brenner, ‘Multihoming, content delivery networks, and the market for Internet connectivity’ [2011] 35 Telecommunications Policy 532, 535.</w:t>
      </w:r>
      <w:bookmarkEnd w:id="582"/>
    </w:p>
  </w:footnote>
  <w:footnote w:id="745">
    <w:p w14:paraId="5BD3B2BE" w14:textId="18F1041F"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Camille Mendler, </w:t>
      </w:r>
      <w:r w:rsidRPr="0049144D">
        <w:rPr>
          <w:i/>
          <w:iCs/>
          <w:lang w:val="en-US"/>
        </w:rPr>
        <w:t>CDNs, the Cloud and Carrier Ethernet: The new golden triangle</w:t>
      </w:r>
      <w:r w:rsidRPr="00A762F7">
        <w:rPr>
          <w:lang w:val="en-US"/>
        </w:rPr>
        <w:t xml:space="preserve"> (Informa, 2012) 9.</w:t>
      </w:r>
    </w:p>
  </w:footnote>
  <w:footnote w:id="746">
    <w:p w14:paraId="637D06E7" w14:textId="24B2154D"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Thus, CDNs have a wide-ranging variety according to the services and functionalities offered by them. Not only web delivery and content caching but also distributed denial-of-service protection, web application firewalls and bot mitigation; web and application performance and acceleration services; streaming video and broadcast media optimization; and even digital rights management for video might be incorporated in differentiated CDN models (Margaret Rouse, ‘CDN (content delivery network)’ (</w:t>
      </w:r>
      <w:r w:rsidRPr="009D3946">
        <w:rPr>
          <w:i/>
          <w:iCs/>
        </w:rPr>
        <w:t>TechTarget</w:t>
      </w:r>
      <w:r w:rsidRPr="00A762F7">
        <w:t>, 31 July 2014) ˂https://searchnetworking.techtarget.com/</w:t>
      </w:r>
      <w:r>
        <w:t xml:space="preserve"> </w:t>
      </w:r>
      <w:r w:rsidRPr="00A762F7">
        <w:t xml:space="preserve">definition/CDN-content-delivery-network˃ accessed </w:t>
      </w:r>
      <w:r>
        <w:t>9 October 2020</w:t>
      </w:r>
      <w:r w:rsidRPr="00A762F7">
        <w:t>.</w:t>
      </w:r>
    </w:p>
  </w:footnote>
  <w:footnote w:id="747">
    <w:p w14:paraId="4E7EAAA0" w14:textId="04A7E0FC"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Volker Stocker, Georgios Smaragdakis, William Lehr and Steven Bauer, ‘The growing complexity of content delivery networks: Challenges and implications for the Internet ecosystem’ [2017] 41(10) Telecommunications Policy 1003, 1006. </w:t>
      </w:r>
      <w:r w:rsidRPr="00A762F7">
        <w:rPr>
          <w:lang w:val="en-US"/>
        </w:rPr>
        <w:t>For example, in 2015, Akamai generated more than half of its revenues from “Performance and Security Solutions” and cloud security solutions alone accounted for more than 11% of total revenues (Ibid).</w:t>
      </w:r>
    </w:p>
  </w:footnote>
  <w:footnote w:id="748">
    <w:p w14:paraId="6C64ACBD" w14:textId="376EC4E4"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Ibid, 1013.</w:t>
      </w:r>
    </w:p>
  </w:footnote>
  <w:footnote w:id="749">
    <w:p w14:paraId="6D43CF16" w14:textId="2F843226"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Ibid, 1016</w:t>
      </w:r>
      <w:r w:rsidRPr="00A762F7">
        <w:rPr>
          <w:lang w:val="en-US"/>
        </w:rPr>
        <w:t>.</w:t>
      </w:r>
    </w:p>
  </w:footnote>
  <w:footnote w:id="750">
    <w:p w14:paraId="5D6C65B8" w14:textId="7D84B50A"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According to Cisco’s forecast for the period of 2016 to 2021, global cloud IP traffic will account for 95% of total data center traffic by 2021, and will be more than triple (3.3-fold) over the next 5 years with a 27% increase rate (CAGR) (</w:t>
      </w:r>
      <w:r>
        <w:rPr>
          <w:lang w:val="en-US"/>
        </w:rPr>
        <w:t>Cisco 2018 Global Cloud Index</w:t>
      </w:r>
      <w:r w:rsidRPr="00A762F7">
        <w:rPr>
          <w:lang w:val="en-US"/>
        </w:rPr>
        <w:t>).</w:t>
      </w:r>
    </w:p>
  </w:footnote>
  <w:footnote w:id="751">
    <w:p w14:paraId="22871EE2" w14:textId="1500EFC3"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Fransman</w:t>
      </w:r>
      <w:r>
        <w:t xml:space="preserve"> (n 118)</w:t>
      </w:r>
      <w:r w:rsidRPr="00A762F7">
        <w:t xml:space="preserve"> </w:t>
      </w:r>
      <w:r w:rsidRPr="00A762F7">
        <w:rPr>
          <w:lang w:val="en-US"/>
        </w:rPr>
        <w:t>13.</w:t>
      </w:r>
    </w:p>
  </w:footnote>
  <w:footnote w:id="752">
    <w:p w14:paraId="34B8922E" w14:textId="65FEAC5A"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Ibid</w:t>
      </w:r>
      <w:r w:rsidRPr="00A762F7">
        <w:rPr>
          <w:lang w:val="en-US"/>
        </w:rPr>
        <w:t>. The layers embedded in the ICT ecosystem are classified by him as to include ‘networked elements’, ‘network operating’, ‘connectivity’, ‘middleware platforms’, ‘content, applications and services’ and ‘consumption’. Such layers, which are simplified by Fransman as to cover ‘networked elements’, ‘network operating’, ‘middleware’ and ‘consumption’</w:t>
      </w:r>
      <w:r w:rsidRPr="00A762F7">
        <w:t xml:space="preserve"> layers, </w:t>
      </w:r>
      <w:r w:rsidRPr="00A762F7">
        <w:rPr>
          <w:lang w:val="en-US"/>
        </w:rPr>
        <w:t xml:space="preserve">have been refined by some scholars ending up with several regulatory models. See Rohan Kariyawasam, </w:t>
      </w:r>
      <w:r w:rsidRPr="004B43B0">
        <w:rPr>
          <w:i/>
          <w:iCs/>
          <w:lang w:val="en-US"/>
        </w:rPr>
        <w:t>International Economic Law and the Digital Divide: A New Silk Road</w:t>
      </w:r>
      <w:r w:rsidRPr="00A762F7">
        <w:rPr>
          <w:lang w:val="en-US"/>
        </w:rPr>
        <w:t xml:space="preserve"> (Edward Elgar 2007) 87-117; Kariyawasam (n 10</w:t>
      </w:r>
      <w:r>
        <w:rPr>
          <w:lang w:val="en-US"/>
        </w:rPr>
        <w:t>7</w:t>
      </w:r>
      <w:r w:rsidRPr="00A762F7">
        <w:rPr>
          <w:lang w:val="en-US"/>
        </w:rPr>
        <w:t xml:space="preserve">) </w:t>
      </w:r>
      <w:r w:rsidRPr="00A762F7">
        <w:t>581-594</w:t>
      </w:r>
      <w:r w:rsidRPr="00A762F7">
        <w:rPr>
          <w:lang w:val="en-US"/>
        </w:rPr>
        <w:t xml:space="preserve">; Werbach (n </w:t>
      </w:r>
      <w:r>
        <w:rPr>
          <w:lang w:val="en-US"/>
        </w:rPr>
        <w:t>118</w:t>
      </w:r>
      <w:r w:rsidRPr="00A762F7">
        <w:rPr>
          <w:lang w:val="en-US"/>
        </w:rPr>
        <w:t xml:space="preserve">) </w:t>
      </w:r>
      <w:r w:rsidRPr="00A762F7">
        <w:rPr>
          <w:lang w:val="tr-TR"/>
        </w:rPr>
        <w:t>59-95</w:t>
      </w:r>
      <w:r w:rsidRPr="00A762F7">
        <w:rPr>
          <w:lang w:val="en-US"/>
        </w:rPr>
        <w:t>; J</w:t>
      </w:r>
      <w:r>
        <w:rPr>
          <w:lang w:val="en-US"/>
        </w:rPr>
        <w:t>oshua</w:t>
      </w:r>
      <w:r w:rsidRPr="00A762F7">
        <w:rPr>
          <w:lang w:val="en-US"/>
        </w:rPr>
        <w:t xml:space="preserve"> L. Mindel and D</w:t>
      </w:r>
      <w:r>
        <w:rPr>
          <w:lang w:val="en-US"/>
        </w:rPr>
        <w:t>ouglas</w:t>
      </w:r>
      <w:r w:rsidRPr="00A762F7">
        <w:rPr>
          <w:lang w:val="en-US"/>
        </w:rPr>
        <w:t xml:space="preserve"> C. Sicker, ‘Leveraging the EU regulatory framework to improve a layered policy model for </w:t>
      </w:r>
      <w:r>
        <w:rPr>
          <w:lang w:val="en-US"/>
        </w:rPr>
        <w:t xml:space="preserve">the </w:t>
      </w:r>
      <w:r w:rsidRPr="00A762F7">
        <w:rPr>
          <w:lang w:val="en-US"/>
        </w:rPr>
        <w:t>US telecommunications markets’ [2006] 30 Telecommunications Policy, 136-148; R</w:t>
      </w:r>
      <w:r>
        <w:rPr>
          <w:lang w:val="en-US"/>
        </w:rPr>
        <w:t>ichard</w:t>
      </w:r>
      <w:r w:rsidRPr="00A762F7">
        <w:rPr>
          <w:lang w:val="en-US"/>
        </w:rPr>
        <w:t xml:space="preserve"> S. Whitt, ‘A horizontal leap forward: formulating a new public policy framework based on the network layers model’ [2003] 56(3) Federal Communications Law Journal, 587-672. For </w:t>
      </w:r>
      <w:r>
        <w:rPr>
          <w:lang w:val="en-US"/>
        </w:rPr>
        <w:t>further information and literature</w:t>
      </w:r>
      <w:r w:rsidRPr="00A762F7">
        <w:rPr>
          <w:lang w:val="en-US"/>
        </w:rPr>
        <w:t xml:space="preserve"> regarding layered models see supra note 1</w:t>
      </w:r>
      <w:r>
        <w:rPr>
          <w:lang w:val="en-US"/>
        </w:rPr>
        <w:t>18</w:t>
      </w:r>
      <w:r w:rsidRPr="00A762F7">
        <w:rPr>
          <w:lang w:val="en-US"/>
        </w:rPr>
        <w:t>.</w:t>
      </w:r>
    </w:p>
  </w:footnote>
  <w:footnote w:id="753">
    <w:p w14:paraId="59469331" w14:textId="7626E57D" w:rsidR="005C0DC6" w:rsidRDefault="005C0DC6" w:rsidP="00A70042">
      <w:pPr>
        <w:pStyle w:val="FootnoteText"/>
        <w:ind w:left="426" w:hanging="426"/>
        <w:jc w:val="both"/>
      </w:pPr>
      <w:r>
        <w:rPr>
          <w:rStyle w:val="FootnoteReference"/>
        </w:rPr>
        <w:footnoteRef/>
      </w:r>
      <w:r>
        <w:t xml:space="preserve"> </w:t>
      </w:r>
      <w:r>
        <w:tab/>
        <w:t xml:space="preserve">Regarding the scope and the conditions under which ‘multiple equilibria’ takes place, see </w:t>
      </w:r>
      <w:r w:rsidRPr="00481E3A">
        <w:t>Richard W. Cottle</w:t>
      </w:r>
      <w:r>
        <w:t>, ‘</w:t>
      </w:r>
      <w:r w:rsidRPr="00481E3A">
        <w:t>Multiple Equilibria</w:t>
      </w:r>
      <w:r>
        <w:t>’</w:t>
      </w:r>
      <w:r w:rsidRPr="00481E3A">
        <w:t xml:space="preserve"> </w:t>
      </w:r>
      <w:r>
        <w:t>(</w:t>
      </w:r>
      <w:r w:rsidRPr="00481E3A">
        <w:t>International Encyclopedia of the Social Sciences</w:t>
      </w:r>
      <w:r>
        <w:t xml:space="preserve">, </w:t>
      </w:r>
      <w:r w:rsidRPr="00481E3A">
        <w:t>20</w:t>
      </w:r>
      <w:r>
        <w:t>08) &lt;</w:t>
      </w:r>
      <w:hyperlink r:id="rId17" w:history="1">
        <w:r w:rsidRPr="00481E3A">
          <w:t>https://www.encyclopedia.com</w:t>
        </w:r>
      </w:hyperlink>
      <w:r>
        <w:t>&gt; accessed 9 October 2020</w:t>
      </w:r>
      <w:r w:rsidRPr="00481E3A">
        <w:t>.</w:t>
      </w:r>
    </w:p>
  </w:footnote>
  <w:footnote w:id="754">
    <w:p w14:paraId="27CCAC87" w14:textId="008CA5DB"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Cowen and Gawer (n </w:t>
      </w:r>
      <w:r>
        <w:rPr>
          <w:lang w:val="en-US"/>
        </w:rPr>
        <w:t>739</w:t>
      </w:r>
      <w:r w:rsidRPr="00A762F7">
        <w:rPr>
          <w:lang w:val="en-US"/>
        </w:rPr>
        <w:t>) 47.</w:t>
      </w:r>
    </w:p>
  </w:footnote>
  <w:footnote w:id="755">
    <w:p w14:paraId="72038B42" w14:textId="1D9691CC"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Cowen and Gawer (n </w:t>
      </w:r>
      <w:r>
        <w:rPr>
          <w:lang w:val="en-US"/>
        </w:rPr>
        <w:t>739</w:t>
      </w:r>
      <w:r w:rsidRPr="00A762F7">
        <w:rPr>
          <w:lang w:val="en-US"/>
        </w:rPr>
        <w:t>) 47.</w:t>
      </w:r>
    </w:p>
  </w:footnote>
  <w:footnote w:id="756">
    <w:p w14:paraId="0D02697A" w14:textId="79B5E237"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Cowen and Gawer (n </w:t>
      </w:r>
      <w:r>
        <w:rPr>
          <w:lang w:val="en-US"/>
        </w:rPr>
        <w:t>739</w:t>
      </w:r>
      <w:r w:rsidRPr="00A762F7">
        <w:rPr>
          <w:lang w:val="en-US"/>
        </w:rPr>
        <w:t>) 47.</w:t>
      </w:r>
    </w:p>
  </w:footnote>
  <w:footnote w:id="757">
    <w:p w14:paraId="30952298" w14:textId="62221A4E"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See </w:t>
      </w:r>
      <w:bookmarkStart w:id="586" w:name="_Hlk13792033"/>
      <w:r w:rsidRPr="00A762F7">
        <w:rPr>
          <w:lang w:val="en-US"/>
        </w:rPr>
        <w:t>J</w:t>
      </w:r>
      <w:r>
        <w:rPr>
          <w:lang w:val="en-US"/>
        </w:rPr>
        <w:t>ohannes</w:t>
      </w:r>
      <w:r w:rsidRPr="00A762F7">
        <w:rPr>
          <w:lang w:val="en-US"/>
        </w:rPr>
        <w:t xml:space="preserve"> M. Bauer, ‘Platforms, systems competition and innovation: Reassessing the foundations of communications policy’ [2014] 38</w:t>
      </w:r>
      <w:r>
        <w:rPr>
          <w:lang w:val="en-US"/>
        </w:rPr>
        <w:t xml:space="preserve"> </w:t>
      </w:r>
      <w:r w:rsidRPr="00A762F7">
        <w:rPr>
          <w:lang w:val="en-US"/>
        </w:rPr>
        <w:t>Telecommunications Policy 662, 667</w:t>
      </w:r>
      <w:bookmarkEnd w:id="586"/>
      <w:r w:rsidRPr="00A762F7">
        <w:rPr>
          <w:lang w:val="en-US"/>
        </w:rPr>
        <w:t xml:space="preserve">. </w:t>
      </w:r>
    </w:p>
  </w:footnote>
  <w:footnote w:id="758">
    <w:p w14:paraId="645D00AD" w14:textId="51B46050" w:rsidR="005C0DC6" w:rsidRPr="00A762F7" w:rsidRDefault="005C0DC6" w:rsidP="00A70042">
      <w:pPr>
        <w:pStyle w:val="FootnoteText"/>
        <w:spacing w:after="60"/>
        <w:ind w:left="426" w:hanging="426"/>
        <w:jc w:val="both"/>
      </w:pPr>
      <w:r w:rsidRPr="00A762F7">
        <w:rPr>
          <w:rStyle w:val="FootnoteReference"/>
          <w:rFonts w:eastAsiaTheme="majorEastAsia"/>
        </w:rPr>
        <w:footnoteRef/>
      </w:r>
      <w:r w:rsidRPr="00A762F7">
        <w:t xml:space="preserve"> </w:t>
      </w:r>
      <w:r>
        <w:tab/>
      </w:r>
      <w:r w:rsidRPr="00A762F7">
        <w:t>Claybrook (n 1</w:t>
      </w:r>
      <w:r>
        <w:t>52</w:t>
      </w:r>
      <w:r w:rsidRPr="00A762F7">
        <w:t xml:space="preserve">). </w:t>
      </w:r>
    </w:p>
  </w:footnote>
  <w:footnote w:id="759">
    <w:p w14:paraId="5EEFD66C" w14:textId="7B628765" w:rsidR="005C0DC6" w:rsidRPr="003650B5" w:rsidRDefault="005C0DC6" w:rsidP="00A70042">
      <w:pPr>
        <w:pStyle w:val="FootnoteText"/>
        <w:ind w:left="426" w:hanging="426"/>
        <w:jc w:val="both"/>
        <w:rPr>
          <w:rFonts w:eastAsiaTheme="minorHAnsi"/>
        </w:rPr>
      </w:pPr>
      <w:r w:rsidRPr="00A762F7">
        <w:rPr>
          <w:rStyle w:val="FootnoteReference"/>
        </w:rPr>
        <w:footnoteRef/>
      </w:r>
      <w:r w:rsidRPr="00A762F7">
        <w:t xml:space="preserve"> </w:t>
      </w:r>
      <w:r>
        <w:tab/>
      </w:r>
      <w:r w:rsidRPr="00A762F7">
        <w:rPr>
          <w:lang w:val="en-US"/>
        </w:rPr>
        <w:t xml:space="preserve">See </w:t>
      </w:r>
      <w:r w:rsidRPr="00A762F7">
        <w:t>N</w:t>
      </w:r>
      <w:r>
        <w:t>iamh</w:t>
      </w:r>
      <w:r w:rsidRPr="00A762F7">
        <w:t xml:space="preserve"> Gleeson and I</w:t>
      </w:r>
      <w:r>
        <w:t>an</w:t>
      </w:r>
      <w:r w:rsidRPr="00A762F7">
        <w:t xml:space="preserve"> Walden ‘‘It</w:t>
      </w:r>
      <w:r>
        <w:t>’</w:t>
      </w:r>
      <w:r w:rsidRPr="00A762F7">
        <w:t xml:space="preserve">s a jungle out there’?: Cloud computing, standards and the law’ </w:t>
      </w:r>
      <w:r>
        <w:t>(</w:t>
      </w:r>
      <w:r w:rsidRPr="00A762F7">
        <w:t>2014</w:t>
      </w:r>
      <w:r>
        <w:t>)</w:t>
      </w:r>
      <w:r w:rsidRPr="00A762F7">
        <w:t xml:space="preserve"> 5(2) European Journal of Law and Technology ˂http://ejlt.org/article/view/</w:t>
      </w:r>
      <w:r>
        <w:t xml:space="preserve"> </w:t>
      </w:r>
      <w:r w:rsidRPr="00A762F7">
        <w:t xml:space="preserve">363/460˃ accessed </w:t>
      </w:r>
      <w:r>
        <w:t>9 October 2020</w:t>
      </w:r>
      <w:r w:rsidRPr="00A762F7">
        <w:t xml:space="preserve">, 2; </w:t>
      </w:r>
      <w:r w:rsidRPr="00A762F7">
        <w:rPr>
          <w:lang w:val="en-US"/>
        </w:rPr>
        <w:t>W</w:t>
      </w:r>
      <w:r>
        <w:rPr>
          <w:lang w:val="en-US"/>
        </w:rPr>
        <w:t>.</w:t>
      </w:r>
      <w:r w:rsidRPr="00A762F7">
        <w:rPr>
          <w:lang w:val="en-US"/>
        </w:rPr>
        <w:t xml:space="preserve"> Kuan </w:t>
      </w:r>
      <w:r w:rsidRPr="00A762F7">
        <w:rPr>
          <w:rFonts w:eastAsiaTheme="minorHAnsi"/>
        </w:rPr>
        <w:t>Hon and Christopher Millard, ‘Control, Security and Risk in the Cloud’ in Christopher Millard (ed</w:t>
      </w:r>
      <w:r>
        <w:rPr>
          <w:rFonts w:eastAsiaTheme="minorHAnsi"/>
        </w:rPr>
        <w:t>s</w:t>
      </w:r>
      <w:r w:rsidRPr="00A762F7">
        <w:rPr>
          <w:rFonts w:eastAsiaTheme="minorHAnsi"/>
        </w:rPr>
        <w:t xml:space="preserve">), </w:t>
      </w:r>
      <w:r w:rsidRPr="003650B5">
        <w:rPr>
          <w:rFonts w:eastAsiaTheme="minorHAnsi"/>
          <w:i/>
        </w:rPr>
        <w:t>Cloud Computing Law</w:t>
      </w:r>
      <w:r w:rsidRPr="00A762F7">
        <w:rPr>
          <w:rFonts w:eastAsiaTheme="minorHAnsi"/>
        </w:rPr>
        <w:t xml:space="preserve"> (OUP 2013), 26-27. See also European Telecommunications Standards Institute (ETSI), </w:t>
      </w:r>
      <w:r w:rsidRPr="00B4369D">
        <w:rPr>
          <w:rFonts w:eastAsiaTheme="minorHAnsi"/>
          <w:i/>
          <w:iCs/>
        </w:rPr>
        <w:t>Version 1.0.</w:t>
      </w:r>
      <w:r w:rsidRPr="00A762F7">
        <w:rPr>
          <w:rFonts w:eastAsiaTheme="minorHAnsi"/>
        </w:rPr>
        <w:t xml:space="preserve"> (Cloud Standards Coordination, Final report, 2013) ˂</w:t>
      </w:r>
      <w:r w:rsidRPr="003650B5">
        <w:rPr>
          <w:rFonts w:eastAsiaTheme="minorHAnsi"/>
        </w:rPr>
        <w:t>https://www.etsi.org/images/files/Events/2013/2013_CSC_</w:t>
      </w:r>
      <w:r>
        <w:rPr>
          <w:rFonts w:eastAsiaTheme="minorHAnsi"/>
        </w:rPr>
        <w:t xml:space="preserve"> </w:t>
      </w:r>
      <w:r w:rsidRPr="003650B5">
        <w:rPr>
          <w:rFonts w:eastAsiaTheme="minorHAnsi"/>
        </w:rPr>
        <w:t>Delivery_WS/CSC-Final_report-013-CSC_Final_report_v1_0_PDF_format-.PDF</w:t>
      </w:r>
      <w:r w:rsidRPr="00A762F7">
        <w:rPr>
          <w:rFonts w:eastAsiaTheme="minorHAnsi"/>
        </w:rPr>
        <w:t xml:space="preserve">˃ accessed </w:t>
      </w:r>
      <w:r>
        <w:rPr>
          <w:rFonts w:eastAsiaTheme="minorHAnsi"/>
        </w:rPr>
        <w:t>9 October 2020</w:t>
      </w:r>
      <w:r w:rsidRPr="00A762F7">
        <w:rPr>
          <w:rFonts w:eastAsiaTheme="minorHAnsi"/>
        </w:rPr>
        <w:t>, 7, reading</w:t>
      </w:r>
      <w:r>
        <w:rPr>
          <w:rFonts w:eastAsiaTheme="minorHAnsi"/>
        </w:rPr>
        <w:t>;</w:t>
      </w:r>
      <w:r w:rsidRPr="00A762F7">
        <w:rPr>
          <w:rFonts w:eastAsiaTheme="minorHAnsi"/>
        </w:rPr>
        <w:t xml:space="preserve"> “</w:t>
      </w:r>
      <w:r w:rsidRPr="00A762F7">
        <w:t>The cloud service customer should be able to use widely available ICT facilities in-house when interacting with the cloud services, avoiding the need to use proprietary or highly specialized software”.</w:t>
      </w:r>
    </w:p>
  </w:footnote>
  <w:footnote w:id="760">
    <w:p w14:paraId="3201C474" w14:textId="21034896"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As </w:t>
      </w:r>
      <w:r w:rsidRPr="00A762F7">
        <w:rPr>
          <w:lang w:val="en-US"/>
        </w:rPr>
        <w:t xml:space="preserve">content provision does not underlie the cloud networks and services, </w:t>
      </w:r>
      <w:r>
        <w:rPr>
          <w:lang w:val="en-US"/>
        </w:rPr>
        <w:t xml:space="preserve">the </w:t>
      </w:r>
      <w:r w:rsidRPr="00A762F7">
        <w:rPr>
          <w:lang w:val="en-US"/>
        </w:rPr>
        <w:t>content layer has not been examined within the context of cloud settings. However, from the perspective of ecosystem interdependencies, CPs have a stake and role to play, which goes beyond the scope of this study.</w:t>
      </w:r>
    </w:p>
  </w:footnote>
  <w:footnote w:id="761">
    <w:p w14:paraId="08DA5A1B" w14:textId="7A0A0A09" w:rsidR="005C0DC6" w:rsidRPr="00A762F7" w:rsidRDefault="005C0DC6" w:rsidP="00A70042">
      <w:pPr>
        <w:pStyle w:val="FootnoteText"/>
        <w:ind w:left="426" w:hanging="426"/>
        <w:jc w:val="both"/>
      </w:pPr>
      <w:r w:rsidRPr="00A762F7">
        <w:rPr>
          <w:rStyle w:val="FootnoteReference"/>
        </w:rPr>
        <w:footnoteRef/>
      </w:r>
      <w:r w:rsidRPr="00A762F7">
        <w:t xml:space="preserve"> </w:t>
      </w:r>
      <w:r>
        <w:tab/>
        <w:t>Renda</w:t>
      </w:r>
      <w:r w:rsidRPr="00A762F7">
        <w:t xml:space="preserve"> (n 1</w:t>
      </w:r>
      <w:r>
        <w:t>53</w:t>
      </w:r>
      <w:r w:rsidRPr="00A762F7">
        <w:t>) 28-29</w:t>
      </w:r>
      <w:r>
        <w:t>;</w:t>
      </w:r>
      <w:r w:rsidRPr="00A762F7">
        <w:t xml:space="preserve"> Unver (n </w:t>
      </w:r>
      <w:r>
        <w:t>27</w:t>
      </w:r>
      <w:r w:rsidRPr="00A762F7">
        <w:t>) 4.</w:t>
      </w:r>
    </w:p>
  </w:footnote>
  <w:footnote w:id="762">
    <w:p w14:paraId="3BBF679F" w14:textId="73555464"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M. Z</w:t>
      </w:r>
      <w:r>
        <w:rPr>
          <w:lang w:val="en-US"/>
        </w:rPr>
        <w:t>aid</w:t>
      </w:r>
      <w:r w:rsidRPr="00A762F7">
        <w:rPr>
          <w:lang w:val="en-US"/>
        </w:rPr>
        <w:t xml:space="preserve"> Ahmed ‘How Cloud Computing Application Architecture is Diﬀerent from Traditional Application Architecture?’ (2015) </w:t>
      </w:r>
      <w:r w:rsidRPr="00A762F7">
        <w:rPr>
          <w:lang w:val="tr-TR"/>
        </w:rPr>
        <w:t>˂</w:t>
      </w:r>
      <w:r w:rsidRPr="00B4369D">
        <w:rPr>
          <w:lang w:val="en-US"/>
        </w:rPr>
        <w:t>https://www.linkedin.com/pulse/how-cloud-computing-application-architecture-different-muhammad-ahmed/</w:t>
      </w:r>
      <w:r w:rsidRPr="00A762F7">
        <w:rPr>
          <w:lang w:val="tr-TR"/>
        </w:rPr>
        <w:t>˃</w:t>
      </w:r>
      <w:r w:rsidRPr="00A762F7">
        <w:rPr>
          <w:lang w:val="en-US"/>
        </w:rPr>
        <w:t xml:space="preserve"> accessed </w:t>
      </w:r>
      <w:r>
        <w:rPr>
          <w:lang w:val="en-US"/>
        </w:rPr>
        <w:t>9 October 2020</w:t>
      </w:r>
      <w:r w:rsidRPr="00A762F7">
        <w:rPr>
          <w:lang w:val="en-US"/>
        </w:rPr>
        <w:t>.</w:t>
      </w:r>
    </w:p>
  </w:footnote>
  <w:footnote w:id="763">
    <w:p w14:paraId="38F6FFE0" w14:textId="0D8A785A"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Ibid.</w:t>
      </w:r>
    </w:p>
  </w:footnote>
  <w:footnote w:id="764">
    <w:p w14:paraId="76C3084B" w14:textId="1437C028"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EA00EF">
        <w:t>It is acknowledged that cloud computing infrastructure virtualization seems to violate key principles of modularity theory</w:t>
      </w:r>
      <w:r>
        <w:t xml:space="preserve"> (</w:t>
      </w:r>
      <w:r w:rsidRPr="00A762F7">
        <w:t>Reuel Edison Ocho</w:t>
      </w:r>
      <w:r>
        <w:t>,</w:t>
      </w:r>
      <w:r w:rsidRPr="00A762F7">
        <w:rPr>
          <w:lang w:val="en-US"/>
        </w:rPr>
        <w:t xml:space="preserve"> ‘Architectural evolution through softwarisation: On the advent of software-defined networks’ (PhD Thesis, The London School of Economics and Political Science,</w:t>
      </w:r>
      <w:r>
        <w:rPr>
          <w:lang w:val="en-US"/>
        </w:rPr>
        <w:t xml:space="preserve"> </w:t>
      </w:r>
      <w:r w:rsidRPr="00A762F7">
        <w:rPr>
          <w:lang w:val="en-US"/>
        </w:rPr>
        <w:t>2016</w:t>
      </w:r>
      <w:r>
        <w:rPr>
          <w:lang w:val="en-US"/>
        </w:rPr>
        <w:t>)</w:t>
      </w:r>
      <w:r w:rsidRPr="00A762F7">
        <w:rPr>
          <w:lang w:val="en-US"/>
        </w:rPr>
        <w:t xml:space="preserve"> 77</w:t>
      </w:r>
      <w:r>
        <w:rPr>
          <w:lang w:val="en-US"/>
        </w:rPr>
        <w:t>)</w:t>
      </w:r>
      <w:r w:rsidRPr="00A762F7">
        <w:rPr>
          <w:lang w:val="en-US"/>
        </w:rPr>
        <w:t>.</w:t>
      </w:r>
    </w:p>
  </w:footnote>
  <w:footnote w:id="765">
    <w:p w14:paraId="33220FDF" w14:textId="539CFFD3"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Fehling</w:t>
      </w:r>
      <w:r>
        <w:rPr>
          <w:lang w:val="en-US"/>
        </w:rPr>
        <w:t xml:space="preserve"> et al</w:t>
      </w:r>
      <w:r w:rsidRPr="00A762F7">
        <w:rPr>
          <w:lang w:val="en-US"/>
        </w:rPr>
        <w:t xml:space="preserve"> (n </w:t>
      </w:r>
      <w:r>
        <w:rPr>
          <w:lang w:val="en-US"/>
        </w:rPr>
        <w:t>733</w:t>
      </w:r>
      <w:r w:rsidRPr="00A762F7">
        <w:rPr>
          <w:lang w:val="en-US"/>
        </w:rPr>
        <w:t xml:space="preserve">) 152. Loose coupling might be compared to the internet layers that communicate with each other through the interfaces which do not prescribe or interfere </w:t>
      </w:r>
      <w:r>
        <w:rPr>
          <w:lang w:val="en-US"/>
        </w:rPr>
        <w:t xml:space="preserve">with </w:t>
      </w:r>
      <w:r w:rsidRPr="00A762F7">
        <w:rPr>
          <w:lang w:val="en-US"/>
        </w:rPr>
        <w:t>the protocols running each layer.</w:t>
      </w:r>
    </w:p>
  </w:footnote>
  <w:footnote w:id="766">
    <w:p w14:paraId="3CC7A3C5" w14:textId="67A0B446"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See Fehling</w:t>
      </w:r>
      <w:r>
        <w:rPr>
          <w:lang w:val="en-US"/>
        </w:rPr>
        <w:t xml:space="preserve"> et al</w:t>
      </w:r>
      <w:r w:rsidRPr="00A762F7">
        <w:rPr>
          <w:lang w:val="en-US"/>
        </w:rPr>
        <w:t xml:space="preserve"> (n </w:t>
      </w:r>
      <w:r>
        <w:rPr>
          <w:lang w:val="en-US"/>
        </w:rPr>
        <w:t>733</w:t>
      </w:r>
      <w:r w:rsidRPr="00A762F7">
        <w:rPr>
          <w:lang w:val="en-US"/>
        </w:rPr>
        <w:t>)</w:t>
      </w:r>
      <w:r>
        <w:rPr>
          <w:lang w:val="en-US"/>
        </w:rPr>
        <w:t xml:space="preserve"> </w:t>
      </w:r>
      <w:r w:rsidRPr="00A762F7">
        <w:rPr>
          <w:lang w:val="en-US"/>
        </w:rPr>
        <w:t>151-159.</w:t>
      </w:r>
    </w:p>
  </w:footnote>
  <w:footnote w:id="767">
    <w:p w14:paraId="51E29A87" w14:textId="3CC83E41"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Cloud Standard Consumer Council, </w:t>
      </w:r>
      <w:r w:rsidRPr="00B4369D">
        <w:rPr>
          <w:i/>
          <w:iCs/>
        </w:rPr>
        <w:t>Interoperability and Portability for Cloud Computing: A Guide</w:t>
      </w:r>
      <w:r w:rsidRPr="00A762F7">
        <w:t xml:space="preserve"> </w:t>
      </w:r>
      <w:r>
        <w:t>(</w:t>
      </w:r>
      <w:r w:rsidRPr="00A762F7">
        <w:t xml:space="preserve">Version 2.0, </w:t>
      </w:r>
      <w:r w:rsidRPr="00A762F7">
        <w:rPr>
          <w:lang w:val="en-US"/>
        </w:rPr>
        <w:t>2017</w:t>
      </w:r>
      <w:r>
        <w:rPr>
          <w:lang w:val="en-US"/>
        </w:rPr>
        <w:t>)</w:t>
      </w:r>
      <w:r w:rsidRPr="00A762F7">
        <w:rPr>
          <w:lang w:val="en-US"/>
        </w:rPr>
        <w:t xml:space="preserve"> 7 </w:t>
      </w:r>
      <w:r w:rsidRPr="00A762F7">
        <w:t>˂</w:t>
      </w:r>
      <w:r w:rsidRPr="00A762F7">
        <w:rPr>
          <w:lang w:val="en-US"/>
        </w:rPr>
        <w:t>https://www.omg.org/cloud/deliverables/CSCC-Interoperability-and-Portability-for-Cloud-Computing-A-Guide.pdf</w:t>
      </w:r>
      <w:r w:rsidRPr="00A762F7">
        <w:t xml:space="preserve"> ˃ accessed </w:t>
      </w:r>
      <w:r>
        <w:t>9 October 2020</w:t>
      </w:r>
      <w:r w:rsidRPr="00A762F7">
        <w:t>.</w:t>
      </w:r>
    </w:p>
  </w:footnote>
  <w:footnote w:id="768">
    <w:p w14:paraId="7D4EFE56" w14:textId="6A17D47D"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See ibid; Claybrook (n 1</w:t>
      </w:r>
      <w:r>
        <w:t>52</w:t>
      </w:r>
      <w:r w:rsidRPr="00A762F7">
        <w:t xml:space="preserve">); Gleeson and Walden (n </w:t>
      </w:r>
      <w:r>
        <w:t>759</w:t>
      </w:r>
      <w:r w:rsidRPr="00A762F7">
        <w:t xml:space="preserve">) 14-16. </w:t>
      </w:r>
    </w:p>
  </w:footnote>
  <w:footnote w:id="769">
    <w:p w14:paraId="5A802C84" w14:textId="2F3FB6EC"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Luciano and Walden</w:t>
      </w:r>
      <w:r>
        <w:rPr>
          <w:lang w:val="en-US"/>
        </w:rPr>
        <w:t xml:space="preserve"> (n 152)</w:t>
      </w:r>
      <w:r w:rsidRPr="00A762F7">
        <w:rPr>
          <w:lang w:val="en-US"/>
        </w:rPr>
        <w:t>.</w:t>
      </w:r>
    </w:p>
  </w:footnote>
  <w:footnote w:id="770">
    <w:p w14:paraId="0238A6CA" w14:textId="4E0E44B2"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For further details </w:t>
      </w:r>
      <w:r w:rsidRPr="00A762F7">
        <w:rPr>
          <w:lang w:val="en-US"/>
        </w:rPr>
        <w:t xml:space="preserve">regarding data portability see the </w:t>
      </w:r>
      <w:r>
        <w:rPr>
          <w:lang w:val="en-US"/>
        </w:rPr>
        <w:t xml:space="preserve">thesis </w:t>
      </w:r>
      <w:r w:rsidRPr="00A762F7">
        <w:rPr>
          <w:lang w:val="en-US"/>
        </w:rPr>
        <w:t>section ‘3.2.4. Data protection rules: Right to data portability’.</w:t>
      </w:r>
    </w:p>
  </w:footnote>
  <w:footnote w:id="771">
    <w:p w14:paraId="272A8F18" w14:textId="09CC0A98"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Regulation (EU) 2018/1807 of the European Parliament and of the Council of 14 November 2018 on a framework for the free flow of non-personal data in the European Union</w:t>
      </w:r>
      <w:r>
        <w:rPr>
          <w:lang w:val="en-US"/>
        </w:rPr>
        <w:t xml:space="preserve"> [2018] </w:t>
      </w:r>
      <w:r w:rsidRPr="00151238">
        <w:rPr>
          <w:lang w:val="en-US"/>
        </w:rPr>
        <w:t>OJ L 303</w:t>
      </w:r>
      <w:r>
        <w:rPr>
          <w:lang w:val="en-US"/>
        </w:rPr>
        <w:t xml:space="preserve"> (‘</w:t>
      </w:r>
      <w:r w:rsidRPr="003311A6">
        <w:rPr>
          <w:spacing w:val="-2"/>
        </w:rPr>
        <w:t>Regulation 2018/1807</w:t>
      </w:r>
      <w:r>
        <w:rPr>
          <w:spacing w:val="-2"/>
        </w:rPr>
        <w:t>’).</w:t>
      </w:r>
    </w:p>
  </w:footnote>
  <w:footnote w:id="772">
    <w:p w14:paraId="433DF325" w14:textId="672E3159" w:rsidR="005C0DC6" w:rsidRPr="00A70042" w:rsidRDefault="005C0DC6" w:rsidP="00A70042">
      <w:pPr>
        <w:pStyle w:val="FootnoteText"/>
        <w:ind w:left="426" w:hanging="426"/>
        <w:jc w:val="both"/>
        <w:rPr>
          <w:spacing w:val="-2"/>
          <w:lang w:val="en-US"/>
        </w:rPr>
      </w:pPr>
      <w:r w:rsidRPr="00A70042">
        <w:rPr>
          <w:rStyle w:val="FootnoteReference"/>
          <w:spacing w:val="-2"/>
        </w:rPr>
        <w:footnoteRef/>
      </w:r>
      <w:r w:rsidRPr="00A70042">
        <w:rPr>
          <w:spacing w:val="-2"/>
        </w:rPr>
        <w:t xml:space="preserve"> </w:t>
      </w:r>
      <w:r w:rsidRPr="00A70042">
        <w:rPr>
          <w:spacing w:val="-2"/>
        </w:rPr>
        <w:tab/>
        <w:t>“</w:t>
      </w:r>
      <w:r w:rsidRPr="00A70042">
        <w:rPr>
          <w:spacing w:val="-2"/>
          <w:lang w:val="en-US"/>
        </w:rPr>
        <w:t>[</w:t>
      </w:r>
      <w:r w:rsidRPr="00A70042">
        <w:rPr>
          <w:spacing w:val="-2"/>
        </w:rPr>
        <w:t>S]pecific examples of non-personal data include aggregate and anonymised datasets used for big data analytics, data on precision farming that can help to monitor and optimise the use of pesticides and water, or data on maintenance needs for industrial machines” (Regulation 2018/1807, recital 9).</w:t>
      </w:r>
    </w:p>
  </w:footnote>
  <w:footnote w:id="773">
    <w:p w14:paraId="3AA597E7" w14:textId="72280E07"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Regulation 2018/1807, </w:t>
      </w:r>
      <w:r>
        <w:t>r</w:t>
      </w:r>
      <w:r w:rsidRPr="00A762F7">
        <w:t>ecital 11.</w:t>
      </w:r>
    </w:p>
  </w:footnote>
  <w:footnote w:id="774">
    <w:p w14:paraId="7DC13B00" w14:textId="05AF1590"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According to Article 6, </w:t>
      </w:r>
      <w:r>
        <w:rPr>
          <w:lang w:val="en-US"/>
        </w:rPr>
        <w:t xml:space="preserve">the </w:t>
      </w:r>
      <w:r w:rsidRPr="00A762F7">
        <w:t>Commission shall “</w:t>
      </w:r>
      <w:r>
        <w:t>[</w:t>
      </w:r>
      <w:r w:rsidRPr="00A762F7">
        <w:t>e</w:t>
      </w:r>
      <w:r>
        <w:t>]</w:t>
      </w:r>
      <w:r w:rsidRPr="00A762F7">
        <w:t xml:space="preserve">nsure that the codes of conduct are developed in close cooperation with all relevant stakeholders, including associations of </w:t>
      </w:r>
      <w:r w:rsidRPr="009418B9">
        <w:t>SME</w:t>
      </w:r>
      <w:r>
        <w:t>s [</w:t>
      </w:r>
      <w:r w:rsidRPr="009418B9">
        <w:t>Small and Medium-sized Enterprise</w:t>
      </w:r>
      <w:r>
        <w:t xml:space="preserve">s] </w:t>
      </w:r>
      <w:r w:rsidRPr="00A762F7">
        <w:t>and start-ups, users and cloud service providers” and “encourage service providers to complete the development of the codes of conduct by 29 November 2019 and to effectively implement them by 29 May 2020”.</w:t>
      </w:r>
    </w:p>
  </w:footnote>
  <w:footnote w:id="775">
    <w:p w14:paraId="79017724" w14:textId="3A594AB6" w:rsidR="005C0DC6" w:rsidRPr="00A70042" w:rsidRDefault="005C0DC6" w:rsidP="00A70042">
      <w:pPr>
        <w:pStyle w:val="FootnoteText"/>
        <w:ind w:left="426" w:hanging="426"/>
        <w:jc w:val="both"/>
        <w:rPr>
          <w:spacing w:val="-4"/>
          <w:lang w:val="en-US"/>
        </w:rPr>
      </w:pPr>
      <w:r w:rsidRPr="00A70042">
        <w:rPr>
          <w:rStyle w:val="FootnoteReference"/>
          <w:spacing w:val="-4"/>
        </w:rPr>
        <w:footnoteRef/>
      </w:r>
      <w:r w:rsidRPr="00A70042">
        <w:rPr>
          <w:spacing w:val="-4"/>
        </w:rPr>
        <w:t xml:space="preserve"> </w:t>
      </w:r>
      <w:r w:rsidRPr="00A70042">
        <w:rPr>
          <w:spacing w:val="-4"/>
        </w:rPr>
        <w:tab/>
        <w:t>European Commission, ‘</w:t>
      </w:r>
      <w:r w:rsidRPr="00A70042">
        <w:rPr>
          <w:spacing w:val="-4"/>
          <w:lang w:val="en-US"/>
        </w:rPr>
        <w:t xml:space="preserve">Digital Single Market: </w:t>
      </w:r>
      <w:r w:rsidRPr="00A70042">
        <w:rPr>
          <w:spacing w:val="-4"/>
        </w:rPr>
        <w:t xml:space="preserve">Free ﬂow of non-personal data’ </w:t>
      </w:r>
      <w:r w:rsidRPr="00A70042">
        <w:rPr>
          <w:spacing w:val="-4"/>
          <w:lang w:val="en-US"/>
        </w:rPr>
        <w:t xml:space="preserve">(2019) </w:t>
      </w:r>
      <w:r w:rsidRPr="00A70042">
        <w:rPr>
          <w:spacing w:val="-4"/>
          <w:lang w:val="tr-TR"/>
        </w:rPr>
        <w:t>˂</w:t>
      </w:r>
      <w:r w:rsidRPr="00A70042">
        <w:rPr>
          <w:spacing w:val="-4"/>
        </w:rPr>
        <w:t>https://ec.europa.eu/digital-single-market/en/free-flow-non-personal-data</w:t>
      </w:r>
      <w:r w:rsidRPr="00A70042">
        <w:rPr>
          <w:spacing w:val="-4"/>
          <w:lang w:val="tr-TR"/>
        </w:rPr>
        <w:t>˃</w:t>
      </w:r>
      <w:r w:rsidRPr="00A70042">
        <w:rPr>
          <w:spacing w:val="-4"/>
        </w:rPr>
        <w:t xml:space="preserve"> accessed </w:t>
      </w:r>
      <w:r>
        <w:rPr>
          <w:spacing w:val="-4"/>
        </w:rPr>
        <w:t>9 October 2020</w:t>
      </w:r>
      <w:r w:rsidRPr="00A70042">
        <w:rPr>
          <w:spacing w:val="-4"/>
        </w:rPr>
        <w:t>.</w:t>
      </w:r>
    </w:p>
  </w:footnote>
  <w:footnote w:id="776">
    <w:p w14:paraId="5D365731" w14:textId="37775435" w:rsidR="005C0DC6" w:rsidRPr="00692824" w:rsidRDefault="005C0DC6" w:rsidP="004A6A6F">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John Leonard, ‘Google, Microsoft, Facebook and Twitter team up on data portability project’ (</w:t>
      </w:r>
      <w:r w:rsidRPr="00B4369D">
        <w:rPr>
          <w:i/>
          <w:iCs/>
          <w:lang w:val="en-US"/>
        </w:rPr>
        <w:t>Computing</w:t>
      </w:r>
      <w:r w:rsidRPr="00A762F7">
        <w:rPr>
          <w:lang w:val="en-US"/>
        </w:rPr>
        <w:t xml:space="preserve">, July 23, 2018) </w:t>
      </w:r>
      <w:r w:rsidRPr="00A762F7">
        <w:t>˂</w:t>
      </w:r>
      <w:r w:rsidRPr="00A762F7">
        <w:rPr>
          <w:lang w:val="en-US"/>
        </w:rPr>
        <w:t>https://www.computing.co.uk/ctg/news/3036306/google-microsoft-facebook-and-twitter-team-up-on-data-portability-project</w:t>
      </w:r>
      <w:r w:rsidRPr="00A762F7">
        <w:t xml:space="preserve">˃ accessed </w:t>
      </w:r>
      <w:r>
        <w:t>9 October 2020</w:t>
      </w:r>
      <w:r w:rsidRPr="00A762F7">
        <w:rPr>
          <w:lang w:val="en-US"/>
        </w:rPr>
        <w:t>.</w:t>
      </w:r>
      <w:r>
        <w:rPr>
          <w:lang w:val="en-US"/>
        </w:rPr>
        <w:t xml:space="preserve"> </w:t>
      </w:r>
      <w:r w:rsidRPr="004A6A6F">
        <w:t>The companies involved are developing tools that can convert any service</w:t>
      </w:r>
      <w:r>
        <w:t>’</w:t>
      </w:r>
      <w:r w:rsidRPr="004A6A6F">
        <w:t>s proprietary APIs to and from a small set of standardized data formats that can be used by anyone</w:t>
      </w:r>
      <w:r>
        <w:t xml:space="preserve"> (</w:t>
      </w:r>
      <w:r w:rsidRPr="004A6A6F">
        <w:rPr>
          <w:lang w:val="en-US"/>
        </w:rPr>
        <w:t>Taruka Srivastav</w:t>
      </w:r>
      <w:r>
        <w:rPr>
          <w:lang w:val="en-US"/>
        </w:rPr>
        <w:t>, ‘</w:t>
      </w:r>
      <w:r w:rsidRPr="004A6A6F">
        <w:rPr>
          <w:lang w:val="en-US"/>
        </w:rPr>
        <w:t>Google, Microsoft, Facebook and Twitter collaborate for Data Transfer Project</w:t>
      </w:r>
      <w:r>
        <w:rPr>
          <w:lang w:val="en-US"/>
        </w:rPr>
        <w:t>’ (</w:t>
      </w:r>
      <w:r w:rsidRPr="00692824">
        <w:rPr>
          <w:i/>
          <w:iCs/>
          <w:lang w:val="en-US"/>
        </w:rPr>
        <w:t>The Drum</w:t>
      </w:r>
      <w:r>
        <w:rPr>
          <w:lang w:val="en-US"/>
        </w:rPr>
        <w:t xml:space="preserve">, </w:t>
      </w:r>
      <w:r w:rsidRPr="004A6A6F">
        <w:rPr>
          <w:lang w:val="en-US"/>
        </w:rPr>
        <w:t xml:space="preserve">July </w:t>
      </w:r>
      <w:r>
        <w:rPr>
          <w:lang w:val="en-US"/>
        </w:rPr>
        <w:t xml:space="preserve">21, </w:t>
      </w:r>
      <w:r w:rsidRPr="004A6A6F">
        <w:rPr>
          <w:lang w:val="en-US"/>
        </w:rPr>
        <w:t>2018</w:t>
      </w:r>
      <w:r>
        <w:rPr>
          <w:lang w:val="en-US"/>
        </w:rPr>
        <w:t>) &lt;</w:t>
      </w:r>
      <w:hyperlink r:id="rId18" w:history="1">
        <w:r w:rsidRPr="00692824">
          <w:t>https://www.thedrum.com/news/2018/07/21/google-microsoft-facebook-and-twitter-collaborate-data-transfer-project</w:t>
        </w:r>
      </w:hyperlink>
      <w:r>
        <w:t>&gt;</w:t>
      </w:r>
      <w:r>
        <w:rPr>
          <w:lang w:val="en-US"/>
        </w:rPr>
        <w:t xml:space="preserve"> accessed 9 October 2020.</w:t>
      </w:r>
    </w:p>
  </w:footnote>
  <w:footnote w:id="777">
    <w:p w14:paraId="0C04F910" w14:textId="73BF207A"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Begoña González</w:t>
      </w:r>
      <w:r w:rsidRPr="00A762F7">
        <w:rPr>
          <w:lang w:val="en-US"/>
        </w:rPr>
        <w:t xml:space="preserve"> Otero, ‘Mandating Portability as a Strategy to Achieve Interoperability between On-line Platforms: Pros &amp; Cons’</w:t>
      </w:r>
      <w:r>
        <w:rPr>
          <w:lang w:val="en-US"/>
        </w:rPr>
        <w:t xml:space="preserve"> (</w:t>
      </w:r>
      <w:r w:rsidRPr="00A762F7">
        <w:t>12th International Conference on Internet, Law &amp; Politics</w:t>
      </w:r>
      <w:r>
        <w:t>,</w:t>
      </w:r>
      <w:r w:rsidRPr="00A762F7">
        <w:t xml:space="preserve"> Barcelona</w:t>
      </w:r>
      <w:r>
        <w:t xml:space="preserve">. </w:t>
      </w:r>
      <w:r w:rsidRPr="00A762F7">
        <w:t>7-8 July 2016) 217.</w:t>
      </w:r>
    </w:p>
  </w:footnote>
  <w:footnote w:id="778">
    <w:p w14:paraId="35D386DF" w14:textId="4F62C4F7"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Ibid. </w:t>
      </w:r>
    </w:p>
  </w:footnote>
  <w:footnote w:id="779">
    <w:p w14:paraId="0EE9EB5C" w14:textId="1B2B1B8A"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Comcast’s acquisition of NBC Universal and Verizon’s acquisition of EdgeCast and Yahoo! could be given as recent examples o</w:t>
      </w:r>
      <w:r>
        <w:rPr>
          <w:lang w:val="en-US"/>
        </w:rPr>
        <w:t>f</w:t>
      </w:r>
      <w:r w:rsidRPr="00A762F7">
        <w:rPr>
          <w:lang w:val="en-US"/>
        </w:rPr>
        <w:t xml:space="preserve"> such mergers.</w:t>
      </w:r>
    </w:p>
  </w:footnote>
  <w:footnote w:id="780">
    <w:p w14:paraId="3EF6F3CD" w14:textId="40EA7530"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See Stocker</w:t>
      </w:r>
      <w:r>
        <w:t xml:space="preserve"> et al</w:t>
      </w:r>
      <w:r w:rsidRPr="00A762F7">
        <w:t xml:space="preserve"> (n </w:t>
      </w:r>
      <w:r>
        <w:t>747</w:t>
      </w:r>
      <w:r w:rsidRPr="00A762F7">
        <w:t xml:space="preserve">) 1006. </w:t>
      </w:r>
      <w:r w:rsidRPr="00A762F7">
        <w:rPr>
          <w:lang w:val="en-US"/>
        </w:rPr>
        <w:t xml:space="preserve">Many of the largest operators of full-service networks such as Telefonica, AT&amp;T, and Telecom Italia, are investing heavily in Network Function Virtualization and Software Defined Networking technologies to “softwarize” their networks, in order to gain finer-grained, flexible and dynamic control over network resources </w:t>
      </w:r>
      <w:r w:rsidRPr="00A762F7">
        <w:t>Stocker</w:t>
      </w:r>
      <w:r>
        <w:t xml:space="preserve"> et al</w:t>
      </w:r>
      <w:r w:rsidRPr="00A762F7">
        <w:t xml:space="preserve"> (n </w:t>
      </w:r>
      <w:r>
        <w:t>747</w:t>
      </w:r>
      <w:r w:rsidRPr="00A762F7">
        <w:t>) 1006</w:t>
      </w:r>
      <w:r w:rsidRPr="00A762F7">
        <w:rPr>
          <w:lang w:val="en-US"/>
        </w:rPr>
        <w:t>.</w:t>
      </w:r>
    </w:p>
  </w:footnote>
  <w:footnote w:id="781">
    <w:p w14:paraId="22F3CEF9" w14:textId="47B4833D"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See Stocker</w:t>
      </w:r>
      <w:r>
        <w:t xml:space="preserve"> et al</w:t>
      </w:r>
      <w:r w:rsidRPr="00A762F7">
        <w:t xml:space="preserve"> (n </w:t>
      </w:r>
      <w:r>
        <w:t>747</w:t>
      </w:r>
      <w:r w:rsidRPr="00A762F7">
        <w:t>) 1006.</w:t>
      </w:r>
      <w:r>
        <w:t xml:space="preserve"> In this operation</w:t>
      </w:r>
      <w:r w:rsidRPr="00183A4F">
        <w:t>, the network infrastructure can be virtualized and then sliced into logical partitions that may support different levels of QoS and network functionality.</w:t>
      </w:r>
      <w:r>
        <w:t xml:space="preserve"> </w:t>
      </w:r>
    </w:p>
  </w:footnote>
  <w:footnote w:id="782">
    <w:p w14:paraId="7E57F594" w14:textId="052CE74C"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See Stocker</w:t>
      </w:r>
      <w:r>
        <w:t xml:space="preserve"> et al</w:t>
      </w:r>
      <w:r w:rsidRPr="00A762F7">
        <w:t xml:space="preserve"> (n </w:t>
      </w:r>
      <w:r>
        <w:t>747</w:t>
      </w:r>
      <w:r w:rsidRPr="00A762F7">
        <w:t>) 1006.</w:t>
      </w:r>
    </w:p>
  </w:footnote>
  <w:footnote w:id="783">
    <w:p w14:paraId="0F7527C7" w14:textId="3F5F48F8"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Companies such as Google, Youku, Tudou and, more recently, Netﬂix, use their own CDNs – either wholly or in conjunction with “pure play” providers – other major players such as Hulu, Facebook and Amazon continue to partner with one or more of the leading Internet CDNs – including Akamai, Limelight Networks and Level 3 (Giles Cottle, </w:t>
      </w:r>
      <w:r w:rsidRPr="00A50765">
        <w:rPr>
          <w:i/>
          <w:iCs/>
          <w:lang w:val="en-US"/>
        </w:rPr>
        <w:t>CDNs could help smaller OTT players disrupt the content hierarchy</w:t>
      </w:r>
      <w:r w:rsidRPr="00A762F7">
        <w:rPr>
          <w:lang w:val="en-US"/>
        </w:rPr>
        <w:t xml:space="preserve"> (Informa, 2012) 7).</w:t>
      </w:r>
    </w:p>
  </w:footnote>
  <w:footnote w:id="784">
    <w:p w14:paraId="1C83BE42" w14:textId="457F33BA"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For detailed analysis of this concept, see Keith Walley, </w:t>
      </w:r>
      <w:r>
        <w:t>‘</w:t>
      </w:r>
      <w:r w:rsidRPr="00A762F7">
        <w:t>Coopetition: An Introduction to the Subject and an Agenda for Research</w:t>
      </w:r>
      <w:r>
        <w:t>’</w:t>
      </w:r>
      <w:r w:rsidRPr="00A762F7">
        <w:t xml:space="preserve"> [2007] 37(2) International Studies of Management &amp; Organisation, 11-31.</w:t>
      </w:r>
    </w:p>
  </w:footnote>
  <w:footnote w:id="785">
    <w:p w14:paraId="0526AFF7" w14:textId="3BF0340C" w:rsidR="005C0DC6" w:rsidRPr="00A762F7" w:rsidRDefault="005C0DC6" w:rsidP="00A70042">
      <w:pPr>
        <w:pStyle w:val="FootnoteText"/>
        <w:ind w:left="426" w:hanging="426"/>
        <w:jc w:val="both"/>
      </w:pPr>
      <w:r w:rsidRPr="00A762F7">
        <w:rPr>
          <w:rStyle w:val="FootnoteReference"/>
        </w:rPr>
        <w:footnoteRef/>
      </w:r>
      <w:r w:rsidRPr="00A762F7">
        <w:t xml:space="preserve"> </w:t>
      </w:r>
      <w:bookmarkStart w:id="598" w:name="_Hlk13791857"/>
      <w:r>
        <w:tab/>
      </w:r>
      <w:r w:rsidRPr="00A762F7">
        <w:t>Joanna Cygler, Włodzimierz Sroka, Marina Solesvik and Katarzyna Debkowska, ‘Benefits and Drawbacks of Coopetition: The Roles of Scope and Durability in Coopetitive Relationships’ [2018] 10(8) Sustainability</w:t>
      </w:r>
      <w:r>
        <w:t xml:space="preserve"> 1</w:t>
      </w:r>
      <w:r w:rsidRPr="00A762F7">
        <w:t>, 2</w:t>
      </w:r>
      <w:bookmarkEnd w:id="598"/>
      <w:r w:rsidRPr="00A762F7">
        <w:t>.</w:t>
      </w:r>
    </w:p>
  </w:footnote>
  <w:footnote w:id="786">
    <w:p w14:paraId="38393CDF" w14:textId="09098329"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Ibid, 19.</w:t>
      </w:r>
    </w:p>
  </w:footnote>
  <w:footnote w:id="787">
    <w:p w14:paraId="5A222073" w14:textId="02960594" w:rsidR="005C0DC6" w:rsidRDefault="005C0DC6" w:rsidP="00692824">
      <w:pPr>
        <w:pStyle w:val="FootnoteText"/>
        <w:ind w:left="426" w:hanging="426"/>
        <w:jc w:val="both"/>
      </w:pPr>
      <w:r>
        <w:rPr>
          <w:rStyle w:val="FootnoteReference"/>
        </w:rPr>
        <w:footnoteRef/>
      </w:r>
      <w:r>
        <w:rPr>
          <w:lang w:val="en-US"/>
        </w:rPr>
        <w:t xml:space="preserve"> </w:t>
      </w:r>
      <w:r>
        <w:rPr>
          <w:lang w:val="en-US"/>
        </w:rPr>
        <w:tab/>
      </w:r>
      <w:r w:rsidRPr="00931B69">
        <w:rPr>
          <w:lang w:val="en-US"/>
        </w:rPr>
        <w:t>Broadly speaking, the complex value of network of the internet economy, in which   complementarity and platform relations between firms abound, compels coopetition (Volker Schneider and Johannes M. Bauer</w:t>
      </w:r>
      <w:r>
        <w:t>, ‘A network science approach to the Internet’ in J. M. Bauer and M. Latzer (eds), Handbook on the Economics of the Internet (Edward Elgar 2016) 72, 72). According to many scholars, these developments change the nature of competition in ambiguous ways, often requiring companies to compete and cooperate with their rivals (Ibid).</w:t>
      </w:r>
    </w:p>
  </w:footnote>
  <w:footnote w:id="788">
    <w:p w14:paraId="002E50F4" w14:textId="5F10862D"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E</w:t>
      </w:r>
      <w:r>
        <w:rPr>
          <w:lang w:val="en-US"/>
        </w:rPr>
        <w:t>uropean</w:t>
      </w:r>
      <w:r w:rsidRPr="00A762F7">
        <w:rPr>
          <w:lang w:val="en-US"/>
        </w:rPr>
        <w:t xml:space="preserve"> Commission, ICT Standardisation Priorities for the Digital Single Market, COM</w:t>
      </w:r>
      <w:r>
        <w:rPr>
          <w:lang w:val="en-US"/>
        </w:rPr>
        <w:t xml:space="preserve"> </w:t>
      </w:r>
      <w:r w:rsidRPr="00A762F7">
        <w:rPr>
          <w:lang w:val="en-US"/>
        </w:rPr>
        <w:t xml:space="preserve">(2016) 176 final, 5 </w:t>
      </w:r>
      <w:r w:rsidRPr="00A762F7">
        <w:rPr>
          <w:lang w:val="tr-TR"/>
        </w:rPr>
        <w:t>˂</w:t>
      </w:r>
      <w:r w:rsidRPr="00A762F7">
        <w:rPr>
          <w:lang w:val="en-US"/>
        </w:rPr>
        <w:t>http://ec.europa.eu/transparency/regdoc/rep/1/2016/EN/1-2016-176-EN-F1-1.PDF</w:t>
      </w:r>
      <w:r w:rsidRPr="00A762F7">
        <w:rPr>
          <w:lang w:val="tr-TR"/>
        </w:rPr>
        <w:t>˃</w:t>
      </w:r>
      <w:r w:rsidRPr="00A762F7">
        <w:rPr>
          <w:lang w:val="en-US"/>
        </w:rPr>
        <w:t xml:space="preserve"> accessed </w:t>
      </w:r>
      <w:r>
        <w:rPr>
          <w:lang w:val="en-US"/>
        </w:rPr>
        <w:t>9 October 2020</w:t>
      </w:r>
      <w:r w:rsidRPr="00A762F7">
        <w:rPr>
          <w:lang w:val="en-US"/>
        </w:rPr>
        <w:t>.</w:t>
      </w:r>
    </w:p>
  </w:footnote>
  <w:footnote w:id="789">
    <w:p w14:paraId="0BE4528C" w14:textId="2C5E5D74"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Hwang, Fox and Dongarra (n </w:t>
      </w:r>
      <w:r>
        <w:rPr>
          <w:lang w:val="en-US"/>
        </w:rPr>
        <w:t>733</w:t>
      </w:r>
      <w:r w:rsidRPr="00A762F7">
        <w:rPr>
          <w:lang w:val="en-US"/>
        </w:rPr>
        <w:t>) 576.</w:t>
      </w:r>
    </w:p>
  </w:footnote>
  <w:footnote w:id="790">
    <w:p w14:paraId="0AD01D1B" w14:textId="4317E939"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International Telecommunications Union (ITU), </w:t>
      </w:r>
      <w:r w:rsidRPr="00210EF4">
        <w:rPr>
          <w:i/>
          <w:iCs/>
          <w:lang w:val="en-US"/>
        </w:rPr>
        <w:t>Overview of the Internet of Things</w:t>
      </w:r>
      <w:r w:rsidRPr="00A762F7">
        <w:rPr>
          <w:lang w:val="en-US"/>
        </w:rPr>
        <w:t xml:space="preserve"> (ITU-T Y.4000/Y.2060,</w:t>
      </w:r>
      <w:r>
        <w:rPr>
          <w:lang w:val="en-US"/>
        </w:rPr>
        <w:t xml:space="preserve"> </w:t>
      </w:r>
      <w:r w:rsidRPr="00A762F7">
        <w:rPr>
          <w:lang w:val="en-US"/>
        </w:rPr>
        <w:t>2012) &lt;</w:t>
      </w:r>
      <w:r w:rsidRPr="00210EF4">
        <w:rPr>
          <w:lang w:val="en-US"/>
        </w:rPr>
        <w:t>https://www.itu.int/rec/T-REC-Y.2060-201206-I</w:t>
      </w:r>
      <w:r w:rsidRPr="00A762F7">
        <w:rPr>
          <w:lang w:val="en-US"/>
        </w:rPr>
        <w:t xml:space="preserve">&gt; accessed </w:t>
      </w:r>
      <w:r>
        <w:rPr>
          <w:lang w:val="en-US"/>
        </w:rPr>
        <w:t>9 October 2020</w:t>
      </w:r>
      <w:r w:rsidRPr="00A762F7">
        <w:rPr>
          <w:lang w:val="en-US"/>
        </w:rPr>
        <w:t>.</w:t>
      </w:r>
    </w:p>
  </w:footnote>
  <w:footnote w:id="791">
    <w:p w14:paraId="6CF94715" w14:textId="075AFA6A"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Internet of Things: An Overview (n 1</w:t>
      </w:r>
      <w:r>
        <w:rPr>
          <w:lang w:val="en-US"/>
        </w:rPr>
        <w:t>54</w:t>
      </w:r>
      <w:r w:rsidRPr="00A762F7">
        <w:rPr>
          <w:lang w:val="en-US"/>
        </w:rPr>
        <w:t xml:space="preserve">) 4. </w:t>
      </w:r>
    </w:p>
  </w:footnote>
  <w:footnote w:id="792">
    <w:p w14:paraId="3228EC43" w14:textId="2A3FD9E2"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t xml:space="preserve">The </w:t>
      </w:r>
      <w:r w:rsidRPr="00A762F7">
        <w:t>IoT is considered to be the most disruptive technology for industries and business models, and is the one having the highest investment among</w:t>
      </w:r>
      <w:r>
        <w:t>st</w:t>
      </w:r>
      <w:r w:rsidRPr="00A762F7">
        <w:t xml:space="preserve"> others </w:t>
      </w:r>
      <w:r>
        <w:t xml:space="preserve">like </w:t>
      </w:r>
      <w:r w:rsidRPr="00A762F7">
        <w:t>artificial intelligence, robotics, 3-D printing, augmented reality, virtual reality, drones</w:t>
      </w:r>
      <w:r>
        <w:t xml:space="preserve">  and</w:t>
      </w:r>
      <w:r w:rsidRPr="00A762F7">
        <w:t xml:space="preserve"> blockchains) (</w:t>
      </w:r>
      <w:r w:rsidRPr="00A762F7">
        <w:rPr>
          <w:lang w:val="en-US"/>
        </w:rPr>
        <w:t xml:space="preserve">Miguel Dias Fernandes, ‘Internet of Things’ (PwC Partner, 2018) </w:t>
      </w:r>
      <w:r w:rsidRPr="00A762F7">
        <w:t>&lt;</w:t>
      </w:r>
      <w:r w:rsidRPr="00210EF4">
        <w:rPr>
          <w:lang w:val="en-US"/>
        </w:rPr>
        <w:t>https://www.pwc.pt/pt/temas-actuais/pwc-apresentacao-iot.pdf</w:t>
      </w:r>
      <w:r w:rsidRPr="00A762F7">
        <w:t xml:space="preserve">&gt; accessed </w:t>
      </w:r>
      <w:r>
        <w:t>9 October 2020</w:t>
      </w:r>
      <w:r w:rsidRPr="00A762F7">
        <w:rPr>
          <w:lang w:val="en-US"/>
        </w:rPr>
        <w:t>.</w:t>
      </w:r>
    </w:p>
  </w:footnote>
  <w:footnote w:id="793">
    <w:p w14:paraId="66FC9516" w14:textId="6E968260"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Internet of Things: An Overview (n 1</w:t>
      </w:r>
      <w:r>
        <w:rPr>
          <w:lang w:val="en-US"/>
        </w:rPr>
        <w:t>54</w:t>
      </w:r>
      <w:r w:rsidRPr="00A762F7">
        <w:rPr>
          <w:lang w:val="en-US"/>
        </w:rPr>
        <w:t xml:space="preserve">) 4. </w:t>
      </w:r>
    </w:p>
  </w:footnote>
  <w:footnote w:id="794">
    <w:p w14:paraId="02F06987" w14:textId="1F147D76" w:rsidR="005C0DC6" w:rsidRPr="00A762F7" w:rsidRDefault="005C0DC6" w:rsidP="00A70042">
      <w:pPr>
        <w:pStyle w:val="FootnoteText"/>
        <w:ind w:left="426" w:hanging="426"/>
        <w:jc w:val="both"/>
        <w:rPr>
          <w:lang w:eastAsia="tr-TR"/>
        </w:rPr>
      </w:pPr>
      <w:r w:rsidRPr="00A762F7">
        <w:rPr>
          <w:rStyle w:val="FootnoteReference"/>
        </w:rPr>
        <w:footnoteRef/>
      </w:r>
      <w:r w:rsidRPr="00A762F7">
        <w:t xml:space="preserve"> </w:t>
      </w:r>
      <w:r>
        <w:tab/>
      </w:r>
      <w:r w:rsidRPr="00A762F7">
        <w:t xml:space="preserve">Brown (n </w:t>
      </w:r>
      <w:r>
        <w:t>7</w:t>
      </w:r>
      <w:r w:rsidRPr="00A762F7">
        <w:t>) 23.</w:t>
      </w:r>
    </w:p>
  </w:footnote>
  <w:footnote w:id="795">
    <w:p w14:paraId="5C0D0F2C" w14:textId="701DD096"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For instance, new business models include car and truck rental clubs, whose members can book and use vehicles parked around their neighbourhood almost on-demand; or “pay-as-you-drive” insurance based on precise driving patterns, behaviour and risk (Brown (n </w:t>
      </w:r>
      <w:r>
        <w:rPr>
          <w:lang w:val="en-US"/>
        </w:rPr>
        <w:t>7</w:t>
      </w:r>
      <w:r w:rsidRPr="00A762F7">
        <w:rPr>
          <w:lang w:val="en-US"/>
        </w:rPr>
        <w:t>) 6-7).</w:t>
      </w:r>
    </w:p>
  </w:footnote>
  <w:footnote w:id="796">
    <w:p w14:paraId="7C0BEE7D" w14:textId="02A99772"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Dieter Uckelmann, Mark Harrison, Florian Michahelles, ‘An Architectural Approach Towards </w:t>
      </w:r>
      <w:r>
        <w:t>t</w:t>
      </w:r>
      <w:r w:rsidRPr="00A762F7">
        <w:t xml:space="preserve">he Future Internet of Things’ </w:t>
      </w:r>
      <w:r w:rsidRPr="00A762F7">
        <w:rPr>
          <w:lang w:val="en-US"/>
        </w:rPr>
        <w:t>in</w:t>
      </w:r>
      <w:r>
        <w:rPr>
          <w:lang w:val="en-US"/>
        </w:rPr>
        <w:t xml:space="preserve"> </w:t>
      </w:r>
      <w:r w:rsidRPr="00A762F7">
        <w:rPr>
          <w:lang w:val="en-US"/>
        </w:rPr>
        <w:t>D</w:t>
      </w:r>
      <w:r>
        <w:rPr>
          <w:lang w:val="en-US"/>
        </w:rPr>
        <w:t>ieter</w:t>
      </w:r>
      <w:r w:rsidRPr="00A762F7">
        <w:rPr>
          <w:lang w:val="en-US"/>
        </w:rPr>
        <w:t xml:space="preserve"> Uckelmann, M</w:t>
      </w:r>
      <w:r>
        <w:rPr>
          <w:lang w:val="en-US"/>
        </w:rPr>
        <w:t>ark</w:t>
      </w:r>
      <w:r w:rsidRPr="00A762F7">
        <w:rPr>
          <w:lang w:val="en-US"/>
        </w:rPr>
        <w:t xml:space="preserve"> Harrison</w:t>
      </w:r>
      <w:r>
        <w:rPr>
          <w:lang w:val="en-US"/>
        </w:rPr>
        <w:t xml:space="preserve"> and</w:t>
      </w:r>
      <w:r w:rsidRPr="00A762F7">
        <w:rPr>
          <w:lang w:val="en-US"/>
        </w:rPr>
        <w:t xml:space="preserve"> F</w:t>
      </w:r>
      <w:r>
        <w:rPr>
          <w:lang w:val="en-US"/>
        </w:rPr>
        <w:t>lorian</w:t>
      </w:r>
      <w:r w:rsidRPr="00A762F7">
        <w:rPr>
          <w:lang w:val="en-US"/>
        </w:rPr>
        <w:t xml:space="preserve"> Michahelles (eds), </w:t>
      </w:r>
      <w:r w:rsidRPr="00C87CAC">
        <w:rPr>
          <w:i/>
          <w:iCs/>
          <w:lang w:val="en-US"/>
        </w:rPr>
        <w:t>Architecting the Internet of Things</w:t>
      </w:r>
      <w:r w:rsidRPr="00A762F7">
        <w:rPr>
          <w:lang w:val="en-US"/>
        </w:rPr>
        <w:t xml:space="preserve"> (</w:t>
      </w:r>
      <w:r w:rsidRPr="00A762F7">
        <w:t>Springer</w:t>
      </w:r>
      <w:r w:rsidRPr="00A762F7">
        <w:rPr>
          <w:lang w:val="en-US"/>
        </w:rPr>
        <w:t xml:space="preserve"> 2011) 6.</w:t>
      </w:r>
    </w:p>
  </w:footnote>
  <w:footnote w:id="797">
    <w:p w14:paraId="70C92AA4" w14:textId="6411E0BD" w:rsidR="005C0DC6" w:rsidRPr="006910AE" w:rsidRDefault="005C0DC6" w:rsidP="00A70042">
      <w:pPr>
        <w:pStyle w:val="FootnoteText"/>
        <w:ind w:left="426" w:hanging="426"/>
        <w:jc w:val="both"/>
        <w:rPr>
          <w:lang w:val="en-US"/>
        </w:rPr>
      </w:pPr>
      <w:r>
        <w:rPr>
          <w:rStyle w:val="FootnoteReference"/>
        </w:rPr>
        <w:footnoteRef/>
      </w:r>
      <w:r>
        <w:t xml:space="preserve"> </w:t>
      </w:r>
      <w:r>
        <w:tab/>
      </w:r>
      <w:r w:rsidRPr="00382EDF">
        <w:rPr>
          <w:lang w:val="en-US"/>
        </w:rPr>
        <w:t>M</w:t>
      </w:r>
      <w:r>
        <w:rPr>
          <w:lang w:val="en-US"/>
        </w:rPr>
        <w:t xml:space="preserve">ichael </w:t>
      </w:r>
      <w:r w:rsidRPr="00382EDF">
        <w:rPr>
          <w:lang w:val="en-US"/>
        </w:rPr>
        <w:t>E</w:t>
      </w:r>
      <w:r>
        <w:rPr>
          <w:lang w:val="en-US"/>
        </w:rPr>
        <w:t>.</w:t>
      </w:r>
      <w:r w:rsidRPr="00382EDF">
        <w:rPr>
          <w:lang w:val="en-US"/>
        </w:rPr>
        <w:t xml:space="preserve"> Porter and J</w:t>
      </w:r>
      <w:r>
        <w:rPr>
          <w:lang w:val="en-US"/>
        </w:rPr>
        <w:t xml:space="preserve">ames </w:t>
      </w:r>
      <w:r w:rsidRPr="00382EDF">
        <w:rPr>
          <w:lang w:val="en-US"/>
        </w:rPr>
        <w:t>E</w:t>
      </w:r>
      <w:r>
        <w:rPr>
          <w:lang w:val="en-US"/>
        </w:rPr>
        <w:t>.</w:t>
      </w:r>
      <w:r w:rsidRPr="00382EDF">
        <w:rPr>
          <w:lang w:val="en-US"/>
        </w:rPr>
        <w:t xml:space="preserve"> Heppelmann, ‘How Smart,</w:t>
      </w:r>
      <w:r>
        <w:rPr>
          <w:lang w:val="en-US"/>
        </w:rPr>
        <w:t xml:space="preserve"> </w:t>
      </w:r>
      <w:r w:rsidRPr="00382EDF">
        <w:rPr>
          <w:lang w:val="en-US"/>
        </w:rPr>
        <w:t xml:space="preserve">Connected Products Are Transforming Competition’ (2014) Harvard Business Review &lt;https://hbr.org/2014/11/how-smart-connected-products-are-transforming-competition&gt; accessed </w:t>
      </w:r>
      <w:r>
        <w:rPr>
          <w:lang w:val="en-US"/>
        </w:rPr>
        <w:t>9 October 2020.</w:t>
      </w:r>
    </w:p>
  </w:footnote>
  <w:footnote w:id="798">
    <w:p w14:paraId="7075D1E2" w14:textId="5738FDA5"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See Oleksiy Mazhelis, Eetu Luoma, and Henna Warma, ‘Defining an Internet-of-Things Ecosystem’ in S. Andreev, S. Balandin and Y. Koucheryavy (eds), </w:t>
      </w:r>
      <w:r w:rsidRPr="00C87CAC">
        <w:rPr>
          <w:i/>
          <w:iCs/>
          <w:lang w:val="en-US"/>
        </w:rPr>
        <w:t>Internet of Things, Smart Spaces, and Next Generation Networking</w:t>
      </w:r>
      <w:r w:rsidRPr="00A762F7">
        <w:rPr>
          <w:lang w:val="en-US"/>
        </w:rPr>
        <w:t xml:space="preserve"> (Springer 2012) 2.</w:t>
      </w:r>
    </w:p>
  </w:footnote>
  <w:footnote w:id="799">
    <w:p w14:paraId="7301B220" w14:textId="40678D6A"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Ibid.</w:t>
      </w:r>
    </w:p>
  </w:footnote>
  <w:footnote w:id="800">
    <w:p w14:paraId="231B6C8A" w14:textId="0225B8F7"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Oen (n </w:t>
      </w:r>
      <w:r>
        <w:t>65</w:t>
      </w:r>
      <w:r w:rsidRPr="00A762F7">
        <w:t xml:space="preserve">) </w:t>
      </w:r>
      <w:r w:rsidRPr="00A762F7">
        <w:rPr>
          <w:lang w:val="en-US"/>
        </w:rPr>
        <w:t>7-8.</w:t>
      </w:r>
    </w:p>
  </w:footnote>
  <w:footnote w:id="801">
    <w:p w14:paraId="6E1FA7CC" w14:textId="76251547"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See </w:t>
      </w:r>
      <w:r w:rsidRPr="00A762F7">
        <w:t>Vivek Kumar Sehgal, Anubhav Patrick and Lucky Rajpoot, ‘</w:t>
      </w:r>
      <w:r w:rsidRPr="00A762F7">
        <w:rPr>
          <w:lang w:val="en-US"/>
        </w:rPr>
        <w:t xml:space="preserve">A Comparative Study of </w:t>
      </w:r>
      <w:r>
        <w:rPr>
          <w:lang w:val="en-US"/>
        </w:rPr>
        <w:t xml:space="preserve">the </w:t>
      </w:r>
      <w:r w:rsidRPr="00A762F7">
        <w:rPr>
          <w:lang w:val="en-US"/>
        </w:rPr>
        <w:t xml:space="preserve">Cyber Physical Cloud, Cloud of Sensors and </w:t>
      </w:r>
      <w:r>
        <w:rPr>
          <w:lang w:val="en-US"/>
        </w:rPr>
        <w:t xml:space="preserve">the </w:t>
      </w:r>
      <w:r w:rsidRPr="00A762F7">
        <w:rPr>
          <w:lang w:val="en-US"/>
        </w:rPr>
        <w:t xml:space="preserve">Internet of Things: Their Ideology, Similarities and Differences’ </w:t>
      </w:r>
      <w:r>
        <w:rPr>
          <w:lang w:val="en-US"/>
        </w:rPr>
        <w:t>(</w:t>
      </w:r>
      <w:r w:rsidRPr="00A762F7">
        <w:rPr>
          <w:lang w:val="en-US"/>
        </w:rPr>
        <w:t xml:space="preserve">IEEE International Advance Computing Conference (IACC) </w:t>
      </w:r>
      <w:r>
        <w:rPr>
          <w:lang w:val="en-US"/>
        </w:rPr>
        <w:t>2014)</w:t>
      </w:r>
      <w:r w:rsidRPr="00A762F7">
        <w:rPr>
          <w:lang w:val="en-US"/>
        </w:rPr>
        <w:t xml:space="preserve"> 711-712; </w:t>
      </w:r>
      <w:r w:rsidRPr="00A762F7">
        <w:t>Elena de la Guía, María D. Lozano and Víctor M.</w:t>
      </w:r>
      <w:r>
        <w:t xml:space="preserve"> </w:t>
      </w:r>
      <w:r w:rsidRPr="00A762F7">
        <w:t xml:space="preserve">R. Penichet ‘Interacting with Objects in Games </w:t>
      </w:r>
      <w:r>
        <w:t>t</w:t>
      </w:r>
      <w:r w:rsidRPr="00A762F7">
        <w:t xml:space="preserve">hrough RFID Technology’ (2012) Intechopen </w:t>
      </w:r>
      <w:r w:rsidRPr="00A762F7">
        <w:rPr>
          <w:lang w:val="en-US"/>
        </w:rPr>
        <w:t>&lt;</w:t>
      </w:r>
      <w:r w:rsidRPr="00A762F7">
        <w:t>https://www.intechopen.com/books/radio-frequency-identification-from-system-to-applications/interacting-with-objects-in-games-through-rfid-technology</w:t>
      </w:r>
      <w:r w:rsidRPr="00A762F7">
        <w:rPr>
          <w:lang w:val="en-US"/>
        </w:rPr>
        <w:t xml:space="preserve">&gt; accessed </w:t>
      </w:r>
      <w:r>
        <w:rPr>
          <w:lang w:val="en-US"/>
        </w:rPr>
        <w:t>9 October 2020</w:t>
      </w:r>
      <w:r w:rsidRPr="00A762F7">
        <w:t xml:space="preserve">; </w:t>
      </w:r>
      <w:r w:rsidRPr="00A762F7">
        <w:rPr>
          <w:lang w:val="en-US"/>
        </w:rPr>
        <w:t xml:space="preserve">Hwang, Fox and Dongarra (n </w:t>
      </w:r>
      <w:r>
        <w:rPr>
          <w:lang w:val="en-US"/>
        </w:rPr>
        <w:t>733</w:t>
      </w:r>
      <w:r w:rsidRPr="00A762F7">
        <w:rPr>
          <w:lang w:val="en-US"/>
        </w:rPr>
        <w:t>) 579.</w:t>
      </w:r>
    </w:p>
  </w:footnote>
  <w:footnote w:id="802">
    <w:p w14:paraId="5CCFB9A3" w14:textId="41B355D5"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Today’s sensors can monitor temperature, ambiance, soil makeup, pollution in the air, noise, presence of objects or movements</w:t>
      </w:r>
      <w:r>
        <w:rPr>
          <w:lang w:val="en-US"/>
        </w:rPr>
        <w:t>,</w:t>
      </w:r>
      <w:r w:rsidRPr="00A762F7">
        <w:rPr>
          <w:lang w:val="en-US"/>
        </w:rPr>
        <w:t xml:space="preserve"> among</w:t>
      </w:r>
      <w:r>
        <w:rPr>
          <w:lang w:val="en-US"/>
        </w:rPr>
        <w:t>st</w:t>
      </w:r>
      <w:r w:rsidRPr="00A762F7">
        <w:rPr>
          <w:lang w:val="en-US"/>
        </w:rPr>
        <w:t xml:space="preserve"> other actuating functionalities</w:t>
      </w:r>
      <w:r>
        <w:rPr>
          <w:lang w:val="en-US"/>
        </w:rPr>
        <w:t xml:space="preserve"> and</w:t>
      </w:r>
      <w:r w:rsidRPr="00A762F7">
        <w:rPr>
          <w:lang w:val="en-US"/>
        </w:rPr>
        <w:t xml:space="preserve"> triggered based on some sensed information (Mahmoud Elkhodr, Seyed Shahrestani and Hon Cheung ‘The Internet of Things: New Interoperability, Management and Security Challenges’ [2016] 8(2) International Journal of Network Security &amp; Its Applications 85, 87) These sensors collect varied information about the environment, such as mechanical data </w:t>
      </w:r>
      <w:r>
        <w:rPr>
          <w:lang w:val="en-US"/>
        </w:rPr>
        <w:t xml:space="preserve">e.g. </w:t>
      </w:r>
      <w:r w:rsidRPr="00A762F7">
        <w:rPr>
          <w:lang w:val="en-US"/>
        </w:rPr>
        <w:t>position, force</w:t>
      </w:r>
      <w:r>
        <w:rPr>
          <w:lang w:val="en-US"/>
        </w:rPr>
        <w:t xml:space="preserve"> and</w:t>
      </w:r>
      <w:r w:rsidRPr="00A762F7">
        <w:rPr>
          <w:lang w:val="en-US"/>
        </w:rPr>
        <w:t xml:space="preserve"> pressure, thermal data </w:t>
      </w:r>
      <w:r>
        <w:rPr>
          <w:lang w:val="en-US"/>
        </w:rPr>
        <w:t xml:space="preserve">e.g. </w:t>
      </w:r>
      <w:r w:rsidRPr="00A762F7">
        <w:rPr>
          <w:lang w:val="en-US"/>
        </w:rPr>
        <w:t xml:space="preserve">temperature </w:t>
      </w:r>
      <w:r>
        <w:rPr>
          <w:lang w:val="en-US"/>
        </w:rPr>
        <w:t xml:space="preserve">and </w:t>
      </w:r>
      <w:r w:rsidRPr="00A762F7">
        <w:rPr>
          <w:lang w:val="en-US"/>
        </w:rPr>
        <w:t xml:space="preserve">heat flow, electrostatic or magnetic field, radiation intensity </w:t>
      </w:r>
      <w:r>
        <w:rPr>
          <w:lang w:val="en-US"/>
        </w:rPr>
        <w:t xml:space="preserve">e.g. </w:t>
      </w:r>
      <w:r w:rsidRPr="00A762F7">
        <w:rPr>
          <w:lang w:val="en-US"/>
        </w:rPr>
        <w:t>electromagnetic</w:t>
      </w:r>
      <w:r>
        <w:rPr>
          <w:lang w:val="en-US"/>
        </w:rPr>
        <w:t xml:space="preserve"> and</w:t>
      </w:r>
      <w:r w:rsidRPr="00A762F7">
        <w:rPr>
          <w:lang w:val="en-US"/>
        </w:rPr>
        <w:t xml:space="preserve"> nuclear,</w:t>
      </w:r>
      <w:r>
        <w:rPr>
          <w:lang w:val="en-US"/>
        </w:rPr>
        <w:t xml:space="preserve"> </w:t>
      </w:r>
      <w:r w:rsidRPr="00A762F7">
        <w:rPr>
          <w:lang w:val="en-US"/>
        </w:rPr>
        <w:t xml:space="preserve">chemical data </w:t>
      </w:r>
      <w:r>
        <w:rPr>
          <w:lang w:val="en-US"/>
        </w:rPr>
        <w:t xml:space="preserve"> e.g. </w:t>
      </w:r>
      <w:r w:rsidRPr="00A762F7">
        <w:rPr>
          <w:lang w:val="en-US"/>
        </w:rPr>
        <w:t xml:space="preserve">humidity, ion </w:t>
      </w:r>
      <w:r>
        <w:rPr>
          <w:lang w:val="en-US"/>
        </w:rPr>
        <w:t xml:space="preserve">and </w:t>
      </w:r>
      <w:r w:rsidRPr="00A762F7">
        <w:rPr>
          <w:lang w:val="en-US"/>
        </w:rPr>
        <w:t>gas</w:t>
      </w:r>
      <w:r>
        <w:rPr>
          <w:lang w:val="en-US"/>
        </w:rPr>
        <w:t xml:space="preserve"> </w:t>
      </w:r>
      <w:r w:rsidRPr="00A762F7">
        <w:rPr>
          <w:lang w:val="en-US"/>
        </w:rPr>
        <w:t>concentration</w:t>
      </w:r>
      <w:r>
        <w:rPr>
          <w:lang w:val="en-US"/>
        </w:rPr>
        <w:t>s</w:t>
      </w:r>
      <w:r w:rsidRPr="00A762F7">
        <w:rPr>
          <w:lang w:val="en-US"/>
        </w:rPr>
        <w:t xml:space="preserve">, and biological data </w:t>
      </w:r>
      <w:r>
        <w:rPr>
          <w:lang w:val="en-US"/>
        </w:rPr>
        <w:t xml:space="preserve">e.g. </w:t>
      </w:r>
      <w:r w:rsidRPr="00A762F7">
        <w:rPr>
          <w:lang w:val="en-US"/>
        </w:rPr>
        <w:t xml:space="preserve">toxicity </w:t>
      </w:r>
      <w:r>
        <w:rPr>
          <w:lang w:val="en-US"/>
        </w:rPr>
        <w:t xml:space="preserve">and </w:t>
      </w:r>
      <w:r w:rsidRPr="00A762F7">
        <w:rPr>
          <w:lang w:val="en-US"/>
        </w:rPr>
        <w:t>presence of bio organisms (Swaroop Poudel, ‘Internet of Things: Underlying Technologies, Interoperability, and Treats to Privacy and Security’ [2016] 31(2) Berkeley Technology Law Journal Annual Review 997, 1003</w:t>
      </w:r>
      <w:r>
        <w:rPr>
          <w:lang w:val="en-US"/>
        </w:rPr>
        <w:t>)</w:t>
      </w:r>
      <w:r w:rsidRPr="00A762F7">
        <w:rPr>
          <w:lang w:val="en-US"/>
        </w:rPr>
        <w:t>.</w:t>
      </w:r>
    </w:p>
  </w:footnote>
  <w:footnote w:id="803">
    <w:p w14:paraId="28118AF7" w14:textId="401BC487"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Sehgal, Patrick and Rajpoot (n </w:t>
      </w:r>
      <w:r>
        <w:t>801</w:t>
      </w:r>
      <w:r w:rsidRPr="00A762F7">
        <w:t>)</w:t>
      </w:r>
      <w:r w:rsidRPr="00A762F7">
        <w:rPr>
          <w:lang w:val="en-US"/>
        </w:rPr>
        <w:t xml:space="preserve"> 711.</w:t>
      </w:r>
    </w:p>
  </w:footnote>
  <w:footnote w:id="804">
    <w:p w14:paraId="440CFD06" w14:textId="72F35D84"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Sehgal, Patrick and Rajpoot (n </w:t>
      </w:r>
      <w:r>
        <w:t>801</w:t>
      </w:r>
      <w:r w:rsidRPr="00A762F7">
        <w:t>)</w:t>
      </w:r>
      <w:r w:rsidRPr="00A762F7">
        <w:rPr>
          <w:lang w:val="en-US"/>
        </w:rPr>
        <w:t xml:space="preserve"> 711.</w:t>
      </w:r>
    </w:p>
  </w:footnote>
  <w:footnote w:id="805">
    <w:p w14:paraId="41539A1C" w14:textId="2473D12E" w:rsidR="005C0DC6" w:rsidRPr="00A762F7" w:rsidRDefault="005C0DC6" w:rsidP="00A70042">
      <w:pPr>
        <w:pStyle w:val="FootnoteText"/>
        <w:ind w:left="426" w:hanging="426"/>
        <w:jc w:val="both"/>
        <w:rPr>
          <w:lang w:val="tr-TR"/>
        </w:rPr>
      </w:pPr>
      <w:r w:rsidRPr="00A762F7">
        <w:rPr>
          <w:rStyle w:val="FootnoteReference"/>
        </w:rPr>
        <w:footnoteRef/>
      </w:r>
      <w:r w:rsidRPr="00A762F7">
        <w:t xml:space="preserve"> </w:t>
      </w:r>
      <w:r>
        <w:tab/>
      </w:r>
      <w:r w:rsidRPr="00A762F7">
        <w:t xml:space="preserve">Sehgal, Patrick and Rajpoot (n </w:t>
      </w:r>
      <w:r>
        <w:t>801</w:t>
      </w:r>
      <w:r w:rsidRPr="00A762F7">
        <w:t>)</w:t>
      </w:r>
      <w:r w:rsidRPr="00A762F7">
        <w:rPr>
          <w:lang w:val="en-US"/>
        </w:rPr>
        <w:t xml:space="preserve"> 711.</w:t>
      </w:r>
    </w:p>
  </w:footnote>
  <w:footnote w:id="806">
    <w:p w14:paraId="3F4BF039" w14:textId="0A2C8531"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Internet of Things: An Overview (n 1</w:t>
      </w:r>
      <w:r>
        <w:rPr>
          <w:lang w:val="en-US"/>
        </w:rPr>
        <w:t>54</w:t>
      </w:r>
      <w:r w:rsidRPr="00A762F7">
        <w:rPr>
          <w:lang w:val="en-US"/>
        </w:rPr>
        <w:t>) 19.</w:t>
      </w:r>
    </w:p>
  </w:footnote>
  <w:footnote w:id="807">
    <w:p w14:paraId="5F4BA28E" w14:textId="68FE541B"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Internet of Things: An Overview (n 1</w:t>
      </w:r>
      <w:r>
        <w:rPr>
          <w:lang w:val="en-US"/>
        </w:rPr>
        <w:t>54</w:t>
      </w:r>
      <w:r w:rsidRPr="00A762F7">
        <w:rPr>
          <w:lang w:val="en-US"/>
        </w:rPr>
        <w:t>) 19.</w:t>
      </w:r>
    </w:p>
  </w:footnote>
  <w:footnote w:id="808">
    <w:p w14:paraId="73A81858" w14:textId="57A95589"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Alternatively, a sensor web combines “distributed network” </w:t>
      </w:r>
      <w:r>
        <w:rPr>
          <w:lang w:val="en-US"/>
        </w:rPr>
        <w:t>–</w:t>
      </w:r>
      <w:r w:rsidRPr="00A762F7">
        <w:rPr>
          <w:lang w:val="en-US"/>
        </w:rPr>
        <w:t xml:space="preserve"> </w:t>
      </w:r>
      <w:r>
        <w:rPr>
          <w:lang w:val="en-US"/>
        </w:rPr>
        <w:t xml:space="preserve">the </w:t>
      </w:r>
      <w:r w:rsidRPr="00A762F7">
        <w:rPr>
          <w:lang w:val="en-US"/>
        </w:rPr>
        <w:t xml:space="preserve">sharing of data collected by all sensors across the entire network - and “embedded intelligence” - the system acting on its own without communicating to an end user or an external control system for analysis and decision-making (Poudel (n </w:t>
      </w:r>
      <w:r>
        <w:rPr>
          <w:lang w:val="en-US"/>
        </w:rPr>
        <w:t>802</w:t>
      </w:r>
      <w:r w:rsidRPr="00A762F7">
        <w:rPr>
          <w:lang w:val="en-US"/>
        </w:rPr>
        <w:t>) 1007).</w:t>
      </w:r>
    </w:p>
  </w:footnote>
  <w:footnote w:id="809">
    <w:p w14:paraId="12BAE45A" w14:textId="021B079E"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rPr>
          <w:lang w:val="en-US"/>
        </w:rPr>
        <w:t>Internet of Things: An Overview (n 1</w:t>
      </w:r>
      <w:r>
        <w:rPr>
          <w:lang w:val="en-US"/>
        </w:rPr>
        <w:t>54</w:t>
      </w:r>
      <w:r w:rsidRPr="00A762F7">
        <w:rPr>
          <w:lang w:val="en-US"/>
        </w:rPr>
        <w:t>)</w:t>
      </w:r>
      <w:r w:rsidRPr="00A762F7">
        <w:t xml:space="preserve"> 20</w:t>
      </w:r>
      <w:r>
        <w:t>.</w:t>
      </w:r>
      <w:r w:rsidRPr="00A762F7">
        <w:t xml:space="preserve"> </w:t>
      </w:r>
      <w:r>
        <w:t>See also Samsung, ‘</w:t>
      </w:r>
      <w:r w:rsidRPr="00A762F7">
        <w:t>SmartThings</w:t>
      </w:r>
      <w:r>
        <w:t xml:space="preserve"> – Featured Products’</w:t>
      </w:r>
      <w:r w:rsidRPr="00A762F7">
        <w:t xml:space="preserve"> &lt;</w:t>
      </w:r>
      <w:r w:rsidRPr="003F751D">
        <w:t>https://www.smartthings.com/gb/products</w:t>
      </w:r>
      <w:r w:rsidRPr="00A762F7">
        <w:t xml:space="preserve">&gt; accessed </w:t>
      </w:r>
      <w:r>
        <w:t>9 October 2020</w:t>
      </w:r>
      <w:r w:rsidRPr="00A762F7">
        <w:t>.</w:t>
      </w:r>
    </w:p>
  </w:footnote>
  <w:footnote w:id="810">
    <w:p w14:paraId="26D71841" w14:textId="2FD27B87"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Poudel (n </w:t>
      </w:r>
      <w:r>
        <w:rPr>
          <w:lang w:val="en-US"/>
        </w:rPr>
        <w:t>802</w:t>
      </w:r>
      <w:r w:rsidRPr="00A762F7">
        <w:rPr>
          <w:lang w:val="en-US"/>
        </w:rPr>
        <w:t>) 1007.</w:t>
      </w:r>
    </w:p>
  </w:footnote>
  <w:footnote w:id="811">
    <w:p w14:paraId="24CA3B00" w14:textId="7894850F" w:rsidR="005C0DC6" w:rsidRPr="00A762F7" w:rsidRDefault="005C0DC6" w:rsidP="00A70042">
      <w:pPr>
        <w:pStyle w:val="FootnoteText"/>
        <w:ind w:left="426" w:hanging="426"/>
        <w:jc w:val="both"/>
      </w:pPr>
      <w:r w:rsidRPr="00A762F7">
        <w:rPr>
          <w:rStyle w:val="FootnoteReference"/>
          <w:rFonts w:eastAsiaTheme="majorEastAsia"/>
        </w:rPr>
        <w:footnoteRef/>
      </w:r>
      <w:r w:rsidRPr="00A762F7">
        <w:t xml:space="preserve"> </w:t>
      </w:r>
      <w:r>
        <w:tab/>
      </w:r>
      <w:r w:rsidRPr="00A762F7">
        <w:t xml:space="preserve">European Research Cluster on the Internet of Things, ‘IoT Semantic Interoperability: Research Challenges, Best Practices, Recommendations and Next Steps’ (2015) 9 &lt;http://www.internet-of-things-research.eu/pdf/IERC_Position_Paper_IoT_Semantic_Interoperability_Final.pdf&gt; accessed </w:t>
      </w:r>
      <w:r>
        <w:t>9 October 2020</w:t>
      </w:r>
      <w:r w:rsidRPr="00A762F7">
        <w:t>.</w:t>
      </w:r>
    </w:p>
  </w:footnote>
  <w:footnote w:id="812">
    <w:p w14:paraId="7D462A1D" w14:textId="46F19096"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Porter and Heppelmann (n 7</w:t>
      </w:r>
      <w:r>
        <w:rPr>
          <w:lang w:val="en-US"/>
        </w:rPr>
        <w:t>97</w:t>
      </w:r>
      <w:r w:rsidRPr="00A762F7">
        <w:rPr>
          <w:lang w:val="en-US"/>
        </w:rPr>
        <w:t>).</w:t>
      </w:r>
    </w:p>
  </w:footnote>
  <w:footnote w:id="813">
    <w:p w14:paraId="07CAA6CE" w14:textId="74C178F9"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Uckelmann, Harrison and Michahelles (n 7</w:t>
      </w:r>
      <w:r>
        <w:t>96</w:t>
      </w:r>
      <w:r w:rsidRPr="00A762F7">
        <w:t xml:space="preserve">) </w:t>
      </w:r>
      <w:r w:rsidRPr="00A762F7">
        <w:rPr>
          <w:lang w:val="en-US"/>
        </w:rPr>
        <w:t>2-3.</w:t>
      </w:r>
    </w:p>
  </w:footnote>
  <w:footnote w:id="814">
    <w:p w14:paraId="046DE184" w14:textId="3D4AD148"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Porter and Heppelmann (n 7</w:t>
      </w:r>
      <w:r>
        <w:rPr>
          <w:lang w:val="en-US"/>
        </w:rPr>
        <w:t>97</w:t>
      </w:r>
      <w:r w:rsidRPr="00A762F7">
        <w:rPr>
          <w:lang w:val="en-US"/>
        </w:rPr>
        <w:t>).</w:t>
      </w:r>
    </w:p>
  </w:footnote>
  <w:footnote w:id="815">
    <w:p w14:paraId="06712CAB" w14:textId="40B2D08D" w:rsidR="005C0DC6" w:rsidRPr="00A762F7" w:rsidRDefault="005C0DC6" w:rsidP="00A70042">
      <w:pPr>
        <w:pStyle w:val="FootnoteText"/>
        <w:ind w:left="426" w:hanging="426"/>
        <w:jc w:val="both"/>
        <w:rPr>
          <w:lang w:eastAsia="tr-TR"/>
        </w:rPr>
      </w:pPr>
      <w:r w:rsidRPr="00A762F7">
        <w:rPr>
          <w:rStyle w:val="FootnoteReference"/>
          <w:rFonts w:eastAsiaTheme="majorEastAsia"/>
        </w:rPr>
        <w:footnoteRef/>
      </w:r>
      <w:r w:rsidRPr="00A762F7">
        <w:t xml:space="preserve"> </w:t>
      </w:r>
      <w:r>
        <w:tab/>
      </w:r>
      <w:r w:rsidRPr="00A762F7">
        <w:t xml:space="preserve">Wrobel (n </w:t>
      </w:r>
      <w:r>
        <w:t>252</w:t>
      </w:r>
      <w:r w:rsidRPr="00A762F7">
        <w:t>) 63. The potential for network effects may be more apparent in some IoT products; for example, traffic monitoring systems may benefit all users by generating real-time data for drivers</w:t>
      </w:r>
      <w:r>
        <w:t>,</w:t>
      </w:r>
      <w:r w:rsidRPr="00A762F7">
        <w:t xml:space="preserve"> or eventually for driverless vehicles, and the benefits of these systems may grow as more vehicles are equipped with sensors, etc. (Wrobel (n </w:t>
      </w:r>
      <w:r>
        <w:t>252</w:t>
      </w:r>
      <w:r w:rsidRPr="00A762F7">
        <w:t>) 63-64).</w:t>
      </w:r>
    </w:p>
  </w:footnote>
  <w:footnote w:id="816">
    <w:p w14:paraId="3ECB59F0" w14:textId="52D0A07B" w:rsidR="005C0DC6" w:rsidRDefault="005C0DC6" w:rsidP="00A70042">
      <w:pPr>
        <w:pStyle w:val="FootnoteText"/>
        <w:ind w:left="426" w:hanging="426"/>
        <w:jc w:val="both"/>
      </w:pPr>
      <w:r>
        <w:rPr>
          <w:rStyle w:val="FootnoteReference"/>
        </w:rPr>
        <w:footnoteRef/>
      </w:r>
      <w:r>
        <w:t xml:space="preserve"> </w:t>
      </w:r>
      <w:bookmarkStart w:id="636" w:name="_Hlk16746178"/>
      <w:r>
        <w:tab/>
        <w:t>Mahda Noural, Mohammed Atiquzzaman and Martin Gaedke, ‘Interoperability in Internet of Things: Taxonomies and Open Challenges’ [2019] 24 Mobile Networks and Applications 796, 796.</w:t>
      </w:r>
      <w:bookmarkEnd w:id="636"/>
      <w:r>
        <w:rPr>
          <w:color w:val="FF0000"/>
        </w:rPr>
        <w:t xml:space="preserve"> </w:t>
      </w:r>
    </w:p>
  </w:footnote>
  <w:footnote w:id="817">
    <w:p w14:paraId="1A462069" w14:textId="64D17CC3" w:rsidR="005C0DC6" w:rsidRDefault="005C0DC6" w:rsidP="00A70042">
      <w:pPr>
        <w:pStyle w:val="FootnoteText"/>
        <w:ind w:left="426" w:hanging="426"/>
      </w:pPr>
      <w:r>
        <w:rPr>
          <w:rStyle w:val="FootnoteReference"/>
        </w:rPr>
        <w:footnoteRef/>
      </w:r>
      <w:r>
        <w:t xml:space="preserve"> </w:t>
      </w:r>
      <w:r>
        <w:tab/>
        <w:t>Ibid.</w:t>
      </w:r>
    </w:p>
  </w:footnote>
  <w:footnote w:id="818">
    <w:p w14:paraId="0F5615EB" w14:textId="26F779AE"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In many public projects, the idea of embracing more software developers leads the IoT ecosystem to build on a non-proprietary and open source project. This is illustrated by the European CityService Development Kit (CitySDK) Project, which lets programmers write software that can access data and share IoT services via open APIs</w:t>
      </w:r>
      <w:r>
        <w:rPr>
          <w:lang w:val="en-US"/>
        </w:rPr>
        <w:t>,</w:t>
      </w:r>
      <w:r w:rsidRPr="00A762F7">
        <w:rPr>
          <w:lang w:val="en-US"/>
        </w:rPr>
        <w:t xml:space="preserve"> to improve transportation, help report problems to the city council and guide tourists around places of interest (Brown (n </w:t>
      </w:r>
      <w:r>
        <w:rPr>
          <w:lang w:val="en-US"/>
        </w:rPr>
        <w:t>7</w:t>
      </w:r>
      <w:r w:rsidRPr="00A762F7">
        <w:rPr>
          <w:lang w:val="en-US"/>
        </w:rPr>
        <w:t>) 18).</w:t>
      </w:r>
    </w:p>
  </w:footnote>
  <w:footnote w:id="819">
    <w:p w14:paraId="74938D91" w14:textId="50FB95CD" w:rsidR="005C0DC6" w:rsidRPr="00A762F7" w:rsidRDefault="005C0DC6" w:rsidP="00A70042">
      <w:pPr>
        <w:pStyle w:val="FootnoteText"/>
        <w:ind w:left="426" w:hanging="426"/>
        <w:jc w:val="both"/>
        <w:rPr>
          <w:lang w:val="en-US"/>
        </w:rPr>
      </w:pPr>
      <w:r w:rsidRPr="00A762F7">
        <w:rPr>
          <w:rStyle w:val="FootnoteReference"/>
          <w:rFonts w:eastAsiaTheme="majorEastAsia"/>
        </w:rPr>
        <w:footnoteRef/>
      </w:r>
      <w:r w:rsidRPr="00A762F7">
        <w:t xml:space="preserve"> </w:t>
      </w:r>
      <w:r>
        <w:tab/>
      </w:r>
      <w:r w:rsidRPr="00A762F7">
        <w:rPr>
          <w:lang w:val="en-US"/>
        </w:rPr>
        <w:t>Internet of Things: An Overview (n 1</w:t>
      </w:r>
      <w:r>
        <w:rPr>
          <w:lang w:val="en-US"/>
        </w:rPr>
        <w:t>54</w:t>
      </w:r>
      <w:r w:rsidRPr="00A762F7">
        <w:rPr>
          <w:lang w:val="en-US"/>
        </w:rPr>
        <w:t>) 32. There would be many harms sourced from the poorly secured IoT devices</w:t>
      </w:r>
      <w:r>
        <w:rPr>
          <w:lang w:val="en-US"/>
        </w:rPr>
        <w:t>,</w:t>
      </w:r>
      <w:r w:rsidRPr="00A762F7">
        <w:rPr>
          <w:lang w:val="en-US"/>
        </w:rPr>
        <w:t xml:space="preserve"> including</w:t>
      </w:r>
      <w:r>
        <w:rPr>
          <w:lang w:val="en-US"/>
        </w:rPr>
        <w:t>;</w:t>
      </w:r>
      <w:r w:rsidRPr="00A762F7">
        <w:rPr>
          <w:lang w:val="en-US"/>
        </w:rPr>
        <w:t xml:space="preserve"> (i) serving as entry points for cyberattack</w:t>
      </w:r>
      <w:r>
        <w:rPr>
          <w:lang w:val="en-US"/>
        </w:rPr>
        <w:t>s</w:t>
      </w:r>
      <w:r w:rsidRPr="00A762F7">
        <w:rPr>
          <w:lang w:val="en-US"/>
        </w:rPr>
        <w:t xml:space="preserve"> by allowing malicious individuals to re-program a device or cause it to malfunction, (ii) exposing user data to theft by leaving data streams inadequately protected,</w:t>
      </w:r>
      <w:r>
        <w:rPr>
          <w:lang w:val="en-US"/>
        </w:rPr>
        <w:t xml:space="preserve"> and</w:t>
      </w:r>
      <w:r w:rsidRPr="00A762F7">
        <w:rPr>
          <w:lang w:val="en-US"/>
        </w:rPr>
        <w:t xml:space="preserve"> (iii) creating security vulnerabilities (Ibid). Privacy arises as a sensitive issue in the IoT context, considering smart phones and apps that allow </w:t>
      </w:r>
      <w:r>
        <w:rPr>
          <w:lang w:val="en-US"/>
        </w:rPr>
        <w:t xml:space="preserve">the </w:t>
      </w:r>
      <w:r w:rsidRPr="00A762F7">
        <w:rPr>
          <w:lang w:val="en-US"/>
        </w:rPr>
        <w:t>flow of a significant amount of personal data. Researchers have found that smartphone sensor data can be used to infer information about users’ personality types, demographics and health factors</w:t>
      </w:r>
      <w:r>
        <w:rPr>
          <w:lang w:val="en-US"/>
        </w:rPr>
        <w:t>,</w:t>
      </w:r>
      <w:r w:rsidRPr="00A762F7">
        <w:rPr>
          <w:lang w:val="en-US"/>
        </w:rPr>
        <w:t xml:space="preserve"> such</w:t>
      </w:r>
      <w:r>
        <w:rPr>
          <w:lang w:val="en-US"/>
        </w:rPr>
        <w:t xml:space="preserve"> as</w:t>
      </w:r>
      <w:r w:rsidRPr="00A762F7">
        <w:rPr>
          <w:lang w:val="en-US"/>
        </w:rPr>
        <w:t xml:space="preserve"> moods, stress levels, smoking habits, exercise levels and physical activity – even the onset of illnesses such as Parkinson’s disease and bipolar disorder (Brown (n </w:t>
      </w:r>
      <w:r>
        <w:rPr>
          <w:lang w:val="en-US"/>
        </w:rPr>
        <w:t>7</w:t>
      </w:r>
      <w:r w:rsidRPr="00A762F7">
        <w:rPr>
          <w:lang w:val="en-US"/>
        </w:rPr>
        <w:t>) 27).</w:t>
      </w:r>
    </w:p>
  </w:footnote>
  <w:footnote w:id="820">
    <w:p w14:paraId="5BAAF287" w14:textId="5EAEC3F2" w:rsidR="005C0DC6" w:rsidRPr="00A762F7" w:rsidRDefault="005C0DC6" w:rsidP="00A70042">
      <w:pPr>
        <w:pStyle w:val="FootnoteText"/>
        <w:ind w:left="426" w:hanging="426"/>
        <w:jc w:val="both"/>
        <w:rPr>
          <w:lang w:val="en-US"/>
        </w:rPr>
      </w:pPr>
      <w:r w:rsidRPr="00A762F7">
        <w:rPr>
          <w:rStyle w:val="FootnoteReference"/>
          <w:rFonts w:eastAsiaTheme="majorEastAsia"/>
        </w:rPr>
        <w:footnoteRef/>
      </w:r>
      <w:r w:rsidRPr="00A762F7">
        <w:t xml:space="preserve"> </w:t>
      </w:r>
      <w:r>
        <w:tab/>
        <w:t xml:space="preserve">See </w:t>
      </w:r>
      <w:r w:rsidRPr="00A762F7">
        <w:rPr>
          <w:lang w:val="en-US"/>
        </w:rPr>
        <w:t>Internet of Things: An Overview (n 1</w:t>
      </w:r>
      <w:r>
        <w:rPr>
          <w:lang w:val="en-US"/>
        </w:rPr>
        <w:t>54</w:t>
      </w:r>
      <w:r w:rsidRPr="00A762F7">
        <w:rPr>
          <w:lang w:val="en-US"/>
        </w:rPr>
        <w:t xml:space="preserve">) </w:t>
      </w:r>
      <w:r>
        <w:rPr>
          <w:lang w:val="en-US"/>
        </w:rPr>
        <w:t>6</w:t>
      </w:r>
      <w:r w:rsidRPr="00A762F7">
        <w:rPr>
          <w:lang w:val="en-US"/>
        </w:rPr>
        <w:t>.</w:t>
      </w:r>
    </w:p>
  </w:footnote>
  <w:footnote w:id="821">
    <w:p w14:paraId="482712D0" w14:textId="719FF905" w:rsidR="005C0DC6" w:rsidRDefault="005C0DC6" w:rsidP="00A70042">
      <w:pPr>
        <w:pStyle w:val="FootnoteText"/>
        <w:ind w:left="426" w:hanging="426"/>
      </w:pPr>
      <w:r>
        <w:rPr>
          <w:rStyle w:val="FootnoteReference"/>
        </w:rPr>
        <w:footnoteRef/>
      </w:r>
      <w:r>
        <w:t xml:space="preserve"> </w:t>
      </w:r>
      <w:r>
        <w:tab/>
        <w:t>Noural, Atiquzzaman and Gaedke (n 827) 798.</w:t>
      </w:r>
    </w:p>
  </w:footnote>
  <w:footnote w:id="822">
    <w:p w14:paraId="1E099360" w14:textId="21213A6A" w:rsidR="005C0DC6" w:rsidRDefault="005C0DC6" w:rsidP="00A70042">
      <w:pPr>
        <w:pStyle w:val="FootnoteText"/>
        <w:ind w:left="426" w:hanging="426"/>
      </w:pPr>
      <w:r>
        <w:rPr>
          <w:rStyle w:val="FootnoteReference"/>
        </w:rPr>
        <w:footnoteRef/>
      </w:r>
      <w:r>
        <w:t xml:space="preserve"> </w:t>
      </w:r>
      <w:r>
        <w:tab/>
        <w:t>Noural, Atiquzzaman and Gaedke (n 827) 798.</w:t>
      </w:r>
    </w:p>
  </w:footnote>
  <w:footnote w:id="823">
    <w:p w14:paraId="70678D3C" w14:textId="2EC33066" w:rsidR="005C0DC6" w:rsidRPr="00A762F7" w:rsidRDefault="005C0DC6" w:rsidP="00A70042">
      <w:pPr>
        <w:pStyle w:val="FootnoteText"/>
        <w:ind w:left="426" w:hanging="426"/>
        <w:jc w:val="both"/>
        <w:rPr>
          <w:lang w:val="en-US"/>
        </w:rPr>
      </w:pPr>
      <w:r w:rsidRPr="00A762F7">
        <w:rPr>
          <w:rStyle w:val="FootnoteReference"/>
        </w:rPr>
        <w:footnoteRef/>
      </w:r>
      <w:r>
        <w:t xml:space="preserve"> </w:t>
      </w:r>
      <w:r>
        <w:tab/>
        <w:t>It should also be noted that s</w:t>
      </w:r>
      <w:r w:rsidRPr="004B7E59">
        <w:t>ome of the</w:t>
      </w:r>
      <w:r>
        <w:t xml:space="preserve"> IoT standards</w:t>
      </w:r>
      <w:r w:rsidRPr="004B7E59">
        <w:t xml:space="preserve"> originate from broadcasting technologies, whereas some others are based on cellular (mobile) technologies.</w:t>
      </w:r>
      <w:r>
        <w:t xml:space="preserve"> </w:t>
      </w:r>
      <w:r w:rsidRPr="00A762F7">
        <w:rPr>
          <w:lang w:val="en-US"/>
        </w:rPr>
        <w:t>Under the first category exist</w:t>
      </w:r>
      <w:r>
        <w:rPr>
          <w:lang w:val="en-US"/>
        </w:rPr>
        <w:t>s</w:t>
      </w:r>
      <w:r w:rsidRPr="00A762F7">
        <w:rPr>
          <w:lang w:val="en-US"/>
        </w:rPr>
        <w:t xml:space="preserve"> the wireless standards for low-frequency, short-range and low-data transmission</w:t>
      </w:r>
      <w:r>
        <w:rPr>
          <w:lang w:val="en-US"/>
        </w:rPr>
        <w:t>,</w:t>
      </w:r>
      <w:r w:rsidRPr="00A762F7">
        <w:rPr>
          <w:lang w:val="en-US"/>
        </w:rPr>
        <w:t xml:space="preserve"> such as ZigBee, Z-Wave, Bluetooth, Wi-Fi, NFC</w:t>
      </w:r>
      <w:r>
        <w:rPr>
          <w:lang w:val="en-US"/>
        </w:rPr>
        <w:t xml:space="preserve"> and</w:t>
      </w:r>
      <w:r w:rsidRPr="00A762F7">
        <w:rPr>
          <w:lang w:val="en-US"/>
        </w:rPr>
        <w:t xml:space="preserve"> Lower-Power Wide Area Networks; while the mobile (3G, 4G) communication standards are comprised within the second category.</w:t>
      </w:r>
    </w:p>
  </w:footnote>
  <w:footnote w:id="824">
    <w:p w14:paraId="4FA21BF3" w14:textId="12CAC941"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Internet of Things: An Overview (n 1</w:t>
      </w:r>
      <w:r>
        <w:rPr>
          <w:lang w:val="en-US"/>
        </w:rPr>
        <w:t>54</w:t>
      </w:r>
      <w:r w:rsidRPr="00A762F7">
        <w:rPr>
          <w:lang w:val="en-US"/>
        </w:rPr>
        <w:t>)</w:t>
      </w:r>
      <w:r w:rsidRPr="00A762F7">
        <w:t xml:space="preserve"> 47.</w:t>
      </w:r>
    </w:p>
  </w:footnote>
  <w:footnote w:id="825">
    <w:p w14:paraId="404D337F" w14:textId="01A620FD" w:rsidR="005C0DC6" w:rsidRDefault="005C0DC6" w:rsidP="00B24620">
      <w:pPr>
        <w:pStyle w:val="FootnoteText"/>
        <w:ind w:left="426" w:hanging="426"/>
        <w:jc w:val="both"/>
      </w:pPr>
      <w:r>
        <w:rPr>
          <w:rStyle w:val="FootnoteReference"/>
        </w:rPr>
        <w:footnoteRef/>
      </w:r>
      <w:r>
        <w:t xml:space="preserve"> </w:t>
      </w:r>
      <w:r>
        <w:tab/>
        <w:t>On the other hand, such a finding would require proven harms that would occur in the presence of exceptional circumstances as well as a dominant player’s refusal to supply the APIs which is indispensable for the competition on the relevant market. See the section ‘</w:t>
      </w:r>
      <w:r w:rsidRPr="00AA3895">
        <w:t>5.3.1.3.</w:t>
      </w:r>
      <w:r>
        <w:t xml:space="preserve"> </w:t>
      </w:r>
      <w:r w:rsidRPr="00AA3895">
        <w:t>Refusal to license/supply interoperability information</w:t>
      </w:r>
      <w:r>
        <w:t>’.</w:t>
      </w:r>
    </w:p>
  </w:footnote>
  <w:footnote w:id="826">
    <w:p w14:paraId="19171B83" w14:textId="50FA93C3"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By means of 5G networks, not only seamless low-power IoT communication with much more reduced risk of interference</w:t>
      </w:r>
      <w:r>
        <w:t>,</w:t>
      </w:r>
      <w:r w:rsidRPr="00A762F7">
        <w:t xml:space="preserve"> but also moving analytics closer to IoT edge devices would be enabled (Brown (n </w:t>
      </w:r>
      <w:r>
        <w:t>7</w:t>
      </w:r>
      <w:r w:rsidRPr="00A762F7">
        <w:t xml:space="preserve">) 15). Regarding the key features in 5G that will benefit the IoT, see also Vikrant Gandhi, ‘5G to become the catalyst for innovation in </w:t>
      </w:r>
      <w:r>
        <w:t xml:space="preserve">the </w:t>
      </w:r>
      <w:r w:rsidRPr="00A762F7">
        <w:t xml:space="preserve">IoT’ (Network World, 13 April 2018), &lt;https://www.networkworld.com/article/3268668/internet-of-things/5g-to-become-the-catalyst-for-innovation-in-iot.html&gt; accessed </w:t>
      </w:r>
      <w:r>
        <w:t>9 October 2020</w:t>
      </w:r>
      <w:r w:rsidRPr="00A762F7">
        <w:t>.</w:t>
      </w:r>
    </w:p>
  </w:footnote>
  <w:footnote w:id="827">
    <w:p w14:paraId="129FB5CF" w14:textId="4EA2D32A" w:rsidR="005C0DC6" w:rsidRDefault="005C0DC6" w:rsidP="00A70042">
      <w:pPr>
        <w:pStyle w:val="FootnoteText"/>
        <w:ind w:left="426" w:hanging="426"/>
        <w:jc w:val="both"/>
      </w:pPr>
      <w:r>
        <w:rPr>
          <w:rStyle w:val="FootnoteReference"/>
        </w:rPr>
        <w:footnoteRef/>
      </w:r>
      <w:r>
        <w:t xml:space="preserve"> </w:t>
      </w:r>
      <w:r>
        <w:tab/>
        <w:t>In that case, MNCs are supposed to be controlled either by the connectivity provider (network operator) or IoT service provider. EECC envisages the latter as well as the former being able to be designated as ECS provider. Yet, this would bring about new rights and obligations to be imposed on such undertakings under ECRF. See the section ‘</w:t>
      </w:r>
      <w:r w:rsidRPr="00D162EB">
        <w:t>6.2.2.2.2.</w:t>
      </w:r>
      <w:r>
        <w:t xml:space="preserve"> </w:t>
      </w:r>
      <w:r w:rsidRPr="00D162EB">
        <w:t>M2M transmission services</w:t>
      </w:r>
      <w:r>
        <w:t xml:space="preserve">’. </w:t>
      </w:r>
    </w:p>
  </w:footnote>
  <w:footnote w:id="828">
    <w:p w14:paraId="1E5A827B" w14:textId="578BC7AD"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OTA provisioning is envisaged </w:t>
      </w:r>
      <w:r>
        <w:t xml:space="preserve">as </w:t>
      </w:r>
      <w:r w:rsidRPr="00A762F7">
        <w:t>one of the regulatory measures to be invoked by the NRAs under certain conditions (See the section ‘6.2.2.2.2. M2M Transmission Services’).</w:t>
      </w:r>
    </w:p>
  </w:footnote>
  <w:footnote w:id="829">
    <w:p w14:paraId="5EAF471D" w14:textId="30DA9DE2"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See </w:t>
      </w:r>
      <w:r>
        <w:rPr>
          <w:lang w:val="en-US"/>
        </w:rPr>
        <w:t xml:space="preserve">the </w:t>
      </w:r>
      <w:r w:rsidRPr="00A762F7">
        <w:rPr>
          <w:lang w:val="en-US"/>
        </w:rPr>
        <w:t xml:space="preserve">BEREC Report </w:t>
      </w:r>
      <w:r w:rsidRPr="00A762F7">
        <w:t xml:space="preserve">(n </w:t>
      </w:r>
      <w:r>
        <w:t>31</w:t>
      </w:r>
      <w:r w:rsidRPr="00A762F7">
        <w:t>)</w:t>
      </w:r>
      <w:r w:rsidRPr="00A762F7">
        <w:rPr>
          <w:lang w:val="en-US"/>
        </w:rPr>
        <w:t xml:space="preserve"> 30-31.</w:t>
      </w:r>
      <w:r>
        <w:rPr>
          <w:lang w:val="en-US"/>
        </w:rPr>
        <w:t xml:space="preserve"> </w:t>
      </w:r>
      <w:r w:rsidRPr="00A76C1E">
        <w:rPr>
          <w:lang w:val="en-US"/>
        </w:rPr>
        <w:t>If an IoT user wants to make a change using OTA provisioning, it will always depend on the cooperation</w:t>
      </w:r>
      <w:r>
        <w:rPr>
          <w:lang w:val="en-US"/>
        </w:rPr>
        <w:t xml:space="preserve"> </w:t>
      </w:r>
      <w:r w:rsidRPr="00A76C1E">
        <w:rPr>
          <w:lang w:val="en-US"/>
        </w:rPr>
        <w:t>of mobile operators and it will certainly not be instantaneous for all devices, in part because it takes time</w:t>
      </w:r>
      <w:r>
        <w:rPr>
          <w:lang w:val="en-US"/>
        </w:rPr>
        <w:t xml:space="preserve"> </w:t>
      </w:r>
      <w:r w:rsidRPr="00A76C1E">
        <w:rPr>
          <w:lang w:val="en-US"/>
        </w:rPr>
        <w:t xml:space="preserve">to update devices, and because not all devices will be on at all times (OECD (n </w:t>
      </w:r>
      <w:r>
        <w:rPr>
          <w:lang w:val="en-US"/>
        </w:rPr>
        <w:t>717</w:t>
      </w:r>
      <w:r w:rsidRPr="00A76C1E">
        <w:rPr>
          <w:lang w:val="en-US"/>
        </w:rPr>
        <w:t>) 43–44). In</w:t>
      </w:r>
      <w:r>
        <w:rPr>
          <w:lang w:val="en-US"/>
        </w:rPr>
        <w:t xml:space="preserve"> </w:t>
      </w:r>
      <w:r w:rsidRPr="00A76C1E">
        <w:rPr>
          <w:lang w:val="en-US"/>
        </w:rPr>
        <w:t>addition, there is limited space on a SIM card and mobile operators do not want to reserve numbers for</w:t>
      </w:r>
      <w:r>
        <w:rPr>
          <w:lang w:val="en-US"/>
        </w:rPr>
        <w:t xml:space="preserve"> </w:t>
      </w:r>
      <w:r w:rsidRPr="00A76C1E">
        <w:rPr>
          <w:lang w:val="en-US"/>
        </w:rPr>
        <w:t>potential customers; so for customers that are roaming occasionally, the device may not be able to select</w:t>
      </w:r>
      <w:r>
        <w:rPr>
          <w:lang w:val="en-US"/>
        </w:rPr>
        <w:t xml:space="preserve"> </w:t>
      </w:r>
      <w:r w:rsidRPr="00A76C1E">
        <w:rPr>
          <w:lang w:val="en-US"/>
        </w:rPr>
        <w:t xml:space="preserve">a less expensive local offer, because the credentials have not been updated (OECD (n </w:t>
      </w:r>
      <w:r>
        <w:rPr>
          <w:lang w:val="en-US"/>
        </w:rPr>
        <w:t>717</w:t>
      </w:r>
      <w:r w:rsidRPr="00A76C1E">
        <w:rPr>
          <w:lang w:val="en-US"/>
        </w:rPr>
        <w:t>) 44).</w:t>
      </w:r>
      <w:r>
        <w:rPr>
          <w:lang w:val="en-US"/>
        </w:rPr>
        <w:t xml:space="preserve"> In the</w:t>
      </w:r>
      <w:r w:rsidRPr="00A76C1E">
        <w:rPr>
          <w:lang w:val="en-US"/>
        </w:rPr>
        <w:t xml:space="preserve"> light of these </w:t>
      </w:r>
      <w:r>
        <w:rPr>
          <w:lang w:val="en-US"/>
        </w:rPr>
        <w:t>information</w:t>
      </w:r>
      <w:r w:rsidRPr="00A76C1E">
        <w:rPr>
          <w:lang w:val="en-US"/>
        </w:rPr>
        <w:t>, key success factors for IoT switching process lie at the EU-wide</w:t>
      </w:r>
      <w:r>
        <w:rPr>
          <w:lang w:val="en-US"/>
        </w:rPr>
        <w:t xml:space="preserve"> </w:t>
      </w:r>
      <w:r w:rsidRPr="00A76C1E">
        <w:rPr>
          <w:lang w:val="en-US"/>
        </w:rPr>
        <w:t xml:space="preserve">application of a sound policy choice as well as enabling ‘permanent roaming’, which, however, are not reflected </w:t>
      </w:r>
      <w:r>
        <w:rPr>
          <w:lang w:val="en-US"/>
        </w:rPr>
        <w:t>fully under</w:t>
      </w:r>
      <w:r w:rsidRPr="00A76C1E">
        <w:rPr>
          <w:lang w:val="en-US"/>
        </w:rPr>
        <w:t xml:space="preserve"> the E</w:t>
      </w:r>
      <w:r>
        <w:rPr>
          <w:lang w:val="en-US"/>
        </w:rPr>
        <w:t>CRF (See Unver (n 30) 111).</w:t>
      </w:r>
    </w:p>
  </w:footnote>
  <w:footnote w:id="830">
    <w:p w14:paraId="75AD21E5" w14:textId="4DE7A3CB" w:rsidR="005C0DC6" w:rsidRDefault="005C0DC6" w:rsidP="00A70042">
      <w:pPr>
        <w:pStyle w:val="FootnoteText"/>
        <w:ind w:left="426" w:hanging="426"/>
      </w:pPr>
      <w:r>
        <w:rPr>
          <w:rStyle w:val="FootnoteReference"/>
        </w:rPr>
        <w:footnoteRef/>
      </w:r>
      <w:r>
        <w:t xml:space="preserve"> </w:t>
      </w:r>
      <w:r>
        <w:tab/>
        <w:t>Noural, Atiquzzaman and Gaedke (n 827) 799.</w:t>
      </w:r>
    </w:p>
  </w:footnote>
  <w:footnote w:id="831">
    <w:p w14:paraId="0DFA3585" w14:textId="4A838188" w:rsidR="005C0DC6" w:rsidRDefault="005C0DC6" w:rsidP="00A70042">
      <w:pPr>
        <w:pStyle w:val="FootnoteText"/>
        <w:ind w:left="426" w:hanging="426"/>
      </w:pPr>
      <w:r>
        <w:rPr>
          <w:rStyle w:val="FootnoteReference"/>
        </w:rPr>
        <w:footnoteRef/>
      </w:r>
      <w:r>
        <w:t xml:space="preserve"> </w:t>
      </w:r>
      <w:r>
        <w:tab/>
        <w:t>Noural, Atiquzzaman and Gaedke (n 827) 799.</w:t>
      </w:r>
    </w:p>
  </w:footnote>
  <w:footnote w:id="832">
    <w:p w14:paraId="52E3F560" w14:textId="320D0FA1"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Wrobel (n </w:t>
      </w:r>
      <w:r>
        <w:rPr>
          <w:lang w:val="en-US"/>
        </w:rPr>
        <w:t>252</w:t>
      </w:r>
      <w:r w:rsidRPr="00A762F7">
        <w:rPr>
          <w:lang w:val="en-US"/>
        </w:rPr>
        <w:t>) 64.</w:t>
      </w:r>
    </w:p>
  </w:footnote>
  <w:footnote w:id="833">
    <w:p w14:paraId="0E493759" w14:textId="7BA10205" w:rsidR="005C0DC6" w:rsidRPr="00A762F7" w:rsidRDefault="005C0DC6" w:rsidP="00A70042">
      <w:pPr>
        <w:pStyle w:val="FootnoteText"/>
        <w:ind w:left="426" w:hanging="426"/>
        <w:jc w:val="both"/>
      </w:pPr>
      <w:r w:rsidRPr="00A762F7">
        <w:rPr>
          <w:rStyle w:val="FootnoteReference"/>
        </w:rPr>
        <w:footnoteRef/>
      </w:r>
      <w:r>
        <w:t xml:space="preserve"> </w:t>
      </w:r>
      <w:r>
        <w:tab/>
        <w:t xml:space="preserve">The </w:t>
      </w:r>
      <w:r w:rsidRPr="00A762F7">
        <w:t xml:space="preserve">IoT </w:t>
      </w:r>
      <w:r>
        <w:t xml:space="preserve">component </w:t>
      </w:r>
      <w:r w:rsidRPr="00A762F7">
        <w:t xml:space="preserve">could be considered a significant yet complementary service, for the mainstream services e.g. industrial </w:t>
      </w:r>
      <w:r>
        <w:t>produc</w:t>
      </w:r>
      <w:r w:rsidRPr="00A762F7">
        <w:t>ts to be manufactured</w:t>
      </w:r>
      <w:r>
        <w:t xml:space="preserve"> and </w:t>
      </w:r>
      <w:r w:rsidRPr="00A762F7">
        <w:t xml:space="preserve">offered more effectively and </w:t>
      </w:r>
      <w:r>
        <w:t xml:space="preserve">for </w:t>
      </w:r>
      <w:r w:rsidRPr="00A762F7">
        <w:t>less cost. However, as time passes with emerging needs and expectations,</w:t>
      </w:r>
      <w:r>
        <w:t xml:space="preserve"> the</w:t>
      </w:r>
      <w:r w:rsidRPr="00A762F7">
        <w:t xml:space="preserve"> IoT-based services would be regarded as stand-alone products creating their own market.</w:t>
      </w:r>
      <w:r>
        <w:t xml:space="preserve"> For now, it would be speculative to draw definite boundaries regarding IoT-enabled services and products because of the emerging market features. See supra notes 422-423.</w:t>
      </w:r>
    </w:p>
  </w:footnote>
  <w:footnote w:id="834">
    <w:p w14:paraId="29DD1226" w14:textId="6582FD92" w:rsidR="005C0DC6" w:rsidRPr="00A762F7" w:rsidRDefault="005C0DC6" w:rsidP="00A70042">
      <w:pPr>
        <w:pStyle w:val="FootnoteText"/>
        <w:ind w:left="426" w:hanging="426"/>
        <w:jc w:val="both"/>
      </w:pPr>
      <w:r w:rsidRPr="00A762F7">
        <w:rPr>
          <w:rStyle w:val="FootnoteReference"/>
        </w:rPr>
        <w:footnoteRef/>
      </w:r>
      <w:r>
        <w:t xml:space="preserve"> </w:t>
      </w:r>
      <w:r>
        <w:tab/>
      </w:r>
      <w:r w:rsidRPr="0039424F">
        <w:t>For instance</w:t>
      </w:r>
      <w:r>
        <w:t>,</w:t>
      </w:r>
      <w:r w:rsidRPr="0039424F">
        <w:t xml:space="preserve"> wrist bands or tech shirts would create separate markets for </w:t>
      </w:r>
      <w:r>
        <w:t>many</w:t>
      </w:r>
      <w:r w:rsidRPr="0039424F">
        <w:t xml:space="preserve"> customers would </w:t>
      </w:r>
      <w:r>
        <w:t>opt for buying</w:t>
      </w:r>
      <w:r w:rsidRPr="0039424F">
        <w:t xml:space="preserve"> such products </w:t>
      </w:r>
      <w:r>
        <w:t xml:space="preserve">against SSNIP </w:t>
      </w:r>
      <w:r w:rsidRPr="0039424F">
        <w:t xml:space="preserve">towards </w:t>
      </w:r>
      <w:r>
        <w:t>certain</w:t>
      </w:r>
      <w:r w:rsidRPr="0039424F">
        <w:t xml:space="preserve"> aims e.g. following up the calories burn</w:t>
      </w:r>
      <w:r>
        <w:t>t,</w:t>
      </w:r>
      <w:r w:rsidRPr="0039424F">
        <w:t xml:space="preserve"> the distance covered, movement intensity, heart rate. On the other hand, </w:t>
      </w:r>
      <w:r>
        <w:t>many</w:t>
      </w:r>
      <w:r w:rsidRPr="0039424F">
        <w:t xml:space="preserve"> other IoT products such as smart TVs </w:t>
      </w:r>
      <w:r>
        <w:t>that</w:t>
      </w:r>
      <w:r w:rsidRPr="0039424F">
        <w:t xml:space="preserve"> compet</w:t>
      </w:r>
      <w:r>
        <w:t>e</w:t>
      </w:r>
      <w:r w:rsidRPr="0039424F">
        <w:t xml:space="preserve"> with </w:t>
      </w:r>
      <w:r>
        <w:t xml:space="preserve">non-smart </w:t>
      </w:r>
      <w:r w:rsidRPr="0039424F">
        <w:t xml:space="preserve">LCD </w:t>
      </w:r>
      <w:r>
        <w:t xml:space="preserve">or Plasma </w:t>
      </w:r>
      <w:r w:rsidRPr="0039424F">
        <w:t xml:space="preserve">TVs that </w:t>
      </w:r>
      <w:r>
        <w:t>do not have enhanced</w:t>
      </w:r>
      <w:r w:rsidRPr="0039424F">
        <w:t xml:space="preserve"> features e.g. user interaction on internet</w:t>
      </w:r>
      <w:r>
        <w:t xml:space="preserve"> could be covered within the same market. </w:t>
      </w:r>
    </w:p>
  </w:footnote>
  <w:footnote w:id="835">
    <w:p w14:paraId="210DF3DA" w14:textId="156287EA"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See Elkhodr, Shahrestani and C</w:t>
      </w:r>
      <w:r w:rsidRPr="005A080D">
        <w:rPr>
          <w:lang w:val="en-US"/>
        </w:rPr>
        <w:t xml:space="preserve">heung (n </w:t>
      </w:r>
      <w:r>
        <w:rPr>
          <w:lang w:val="en-US"/>
        </w:rPr>
        <w:t>802</w:t>
      </w:r>
      <w:r w:rsidRPr="005A080D">
        <w:rPr>
          <w:lang w:val="en-US"/>
        </w:rPr>
        <w:t xml:space="preserve">) 87; Stephanie Sharron and Nikita Tuckett, ‘The Internet of Things: Evaluating the Interplay of Interoperability, Industry Standards and Related IP Licensing Approaches’ [2016] The Licensing Journal 8, 10. </w:t>
      </w:r>
    </w:p>
  </w:footnote>
  <w:footnote w:id="836">
    <w:p w14:paraId="2F50C6F1" w14:textId="0004E584" w:rsidR="005C0DC6" w:rsidRPr="00A762F7" w:rsidRDefault="005C0DC6" w:rsidP="00A70042">
      <w:pPr>
        <w:pStyle w:val="FootnoteText"/>
        <w:ind w:left="426" w:hanging="426"/>
        <w:jc w:val="both"/>
      </w:pPr>
      <w:r w:rsidRPr="00A762F7">
        <w:rPr>
          <w:rStyle w:val="FootnoteReference"/>
          <w:rFonts w:eastAsiaTheme="majorEastAsia"/>
        </w:rPr>
        <w:footnoteRef/>
      </w:r>
      <w:r w:rsidRPr="00A762F7">
        <w:t xml:space="preserve"> </w:t>
      </w:r>
      <w:r>
        <w:tab/>
      </w:r>
      <w:r w:rsidRPr="00A762F7">
        <w:t>Stakeholders’ power struggle</w:t>
      </w:r>
      <w:r>
        <w:t>s</w:t>
      </w:r>
      <w:r w:rsidRPr="00A762F7">
        <w:t xml:space="preserve"> over the standards that are applicable to </w:t>
      </w:r>
      <w:r>
        <w:t xml:space="preserve">the </w:t>
      </w:r>
      <w:r w:rsidRPr="00A762F7">
        <w:t xml:space="preserve">IoT environment effectively supersede </w:t>
      </w:r>
      <w:r>
        <w:t xml:space="preserve">the </w:t>
      </w:r>
      <w:r w:rsidRPr="00A762F7">
        <w:t xml:space="preserve">emergence of a common interoperability-enabling standard under SSOs, consortia, etc. Crucially, while companies might be willing to participate in standard-setting activities by disclosing and openly licensing their entire range of intellectual property, the tools deployed </w:t>
      </w:r>
      <w:r>
        <w:t>with</w:t>
      </w:r>
      <w:r w:rsidRPr="00A762F7">
        <w:t xml:space="preserve">in the context of SSOs to promote that behaviour are currently limited, as they are generally focused on a small set of IPRs, or on a limited notion of interoperability (Zingales (n </w:t>
      </w:r>
      <w:r>
        <w:t>62</w:t>
      </w:r>
      <w:r w:rsidRPr="00A762F7">
        <w:t>) 29).</w:t>
      </w:r>
    </w:p>
  </w:footnote>
  <w:footnote w:id="837">
    <w:p w14:paraId="48ECCFBC" w14:textId="0007B57F"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Going through a collaboration, </w:t>
      </w:r>
      <w:r>
        <w:rPr>
          <w:lang w:val="en-US"/>
        </w:rPr>
        <w:t xml:space="preserve">the </w:t>
      </w:r>
      <w:r w:rsidRPr="00A762F7">
        <w:rPr>
          <w:lang w:val="en-US"/>
        </w:rPr>
        <w:t xml:space="preserve">OCF and AllSeen Alliance merged under the former’s (OCF) name and bylaws in October 2016 (See Open Connectivity Foundation, 10 October 2016 &lt;https://openconnectivity.org/announcements/allseen-alliance-merges-open-connectivity-foundation-accelerate-internet-things&gt; accessed </w:t>
      </w:r>
      <w:r>
        <w:rPr>
          <w:lang w:val="en-US"/>
        </w:rPr>
        <w:t>9 October 2020</w:t>
      </w:r>
      <w:r w:rsidRPr="00A762F7">
        <w:rPr>
          <w:lang w:val="en-US"/>
        </w:rPr>
        <w:t>). While this exceptional merger is appraisable for many potential benefits including interoperability, whether or to what extent such benefits are to be passed on across the IoT industry is questionable.</w:t>
      </w:r>
    </w:p>
  </w:footnote>
  <w:footnote w:id="838">
    <w:p w14:paraId="1B82218A" w14:textId="4CFF48B8" w:rsidR="005C0DC6" w:rsidRDefault="005C0DC6" w:rsidP="00B24620">
      <w:pPr>
        <w:pStyle w:val="FootnoteText"/>
        <w:ind w:left="426" w:hanging="426"/>
        <w:jc w:val="both"/>
      </w:pPr>
      <w:r>
        <w:rPr>
          <w:rStyle w:val="FootnoteReference"/>
        </w:rPr>
        <w:footnoteRef/>
      </w:r>
      <w:r>
        <w:t xml:space="preserve"> </w:t>
      </w:r>
      <w:r>
        <w:tab/>
        <w:t>Notwithstanding, such interventions need to follow and build on ascertained conditions and circumstances. These pre-requisites, unravelling the loopholes as to each body of law as described above, demonstrate neither competition law nor ECRF remedies sufficiently cope with the interoperability problems.</w:t>
      </w:r>
    </w:p>
  </w:footnote>
  <w:footnote w:id="839">
    <w:p w14:paraId="3FEA4460" w14:textId="6C46AE47"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Cowen and Gawer (n </w:t>
      </w:r>
      <w:r>
        <w:rPr>
          <w:lang w:val="en-US"/>
        </w:rPr>
        <w:t>739</w:t>
      </w:r>
      <w:r w:rsidRPr="00A762F7">
        <w:rPr>
          <w:lang w:val="en-US"/>
        </w:rPr>
        <w:t>) 49.</w:t>
      </w:r>
    </w:p>
  </w:footnote>
  <w:footnote w:id="840">
    <w:p w14:paraId="194DF1FE" w14:textId="74DF4C32"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Bauer (n </w:t>
      </w:r>
      <w:r>
        <w:rPr>
          <w:lang w:val="en-US"/>
        </w:rPr>
        <w:t>757</w:t>
      </w:r>
      <w:r w:rsidRPr="00A762F7">
        <w:rPr>
          <w:lang w:val="en-US"/>
        </w:rPr>
        <w:t xml:space="preserve">) 669-671. </w:t>
      </w:r>
    </w:p>
  </w:footnote>
  <w:footnote w:id="841">
    <w:p w14:paraId="618286EE" w14:textId="4A4C3F1F" w:rsidR="005C0DC6" w:rsidRDefault="005C0DC6" w:rsidP="00B24620">
      <w:pPr>
        <w:pStyle w:val="FootnoteText"/>
        <w:ind w:left="426" w:hanging="426"/>
        <w:jc w:val="both"/>
      </w:pPr>
      <w:r>
        <w:rPr>
          <w:rStyle w:val="FootnoteReference"/>
        </w:rPr>
        <w:footnoteRef/>
      </w:r>
      <w:r>
        <w:t xml:space="preserve"> </w:t>
      </w:r>
      <w:r>
        <w:tab/>
        <w:t>See the section ‘</w:t>
      </w:r>
      <w:r w:rsidRPr="00824BA7">
        <w:t>3.1.2.</w:t>
      </w:r>
      <w:r>
        <w:t xml:space="preserve"> </w:t>
      </w:r>
      <w:r w:rsidRPr="00824BA7">
        <w:t>Main concerns surrounding lack of interoperability</w:t>
      </w:r>
      <w:r>
        <w:t xml:space="preserve">’. </w:t>
      </w:r>
    </w:p>
  </w:footnote>
  <w:footnote w:id="842">
    <w:p w14:paraId="5E494BF4" w14:textId="53FDC72B"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See the section ‘5.5. Assessment of EU competition law’.</w:t>
      </w:r>
    </w:p>
  </w:footnote>
  <w:footnote w:id="843">
    <w:p w14:paraId="3CF3AFB3" w14:textId="665634B6"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According to EU Regulation 2015/2120, all ISPs are required to “treat all traffic equally, when providing internet access services, without discrimination, restriction or interference, and irrespective of the sender and receiver, the content accessed or distributed, the applications or services used or provided, or the terminal equipment used” (Regulation (EU) 2015/2120 of the European Parliament and of the Council of 25 November 2015 laying down measures concerning open internet access and amending Directive 2002/22/EC on universal service and users’ rights relating to electronic communications networks and services and Regulation (EU) No 531/2012 on roaming on public mobile communications networks within the Union (</w:t>
      </w:r>
      <w:r>
        <w:t>‘</w:t>
      </w:r>
      <w:r w:rsidRPr="00A762F7">
        <w:t>EU</w:t>
      </w:r>
      <w:r>
        <w:t xml:space="preserve"> Net Neutrality</w:t>
      </w:r>
      <w:r w:rsidRPr="00A762F7">
        <w:t xml:space="preserve"> Regulation</w:t>
      </w:r>
      <w:r>
        <w:t>’</w:t>
      </w:r>
      <w:r w:rsidRPr="00A762F7">
        <w:t xml:space="preserve">) </w:t>
      </w:r>
      <w:r>
        <w:t>art</w:t>
      </w:r>
      <w:r w:rsidRPr="00A762F7">
        <w:t xml:space="preserve"> 3(3/1).   </w:t>
      </w:r>
    </w:p>
  </w:footnote>
  <w:footnote w:id="844">
    <w:p w14:paraId="6BA83A9E" w14:textId="17D622DE"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EECC Directive, </w:t>
      </w:r>
      <w:r>
        <w:t>art</w:t>
      </w:r>
      <w:r w:rsidRPr="00A762F7">
        <w:t xml:space="preserve"> 3(2). </w:t>
      </w:r>
    </w:p>
  </w:footnote>
  <w:footnote w:id="845">
    <w:p w14:paraId="2FDDC260" w14:textId="39EFD9F8"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See </w:t>
      </w:r>
      <w:r w:rsidRPr="00A762F7">
        <w:rPr>
          <w:lang w:val="en-US"/>
        </w:rPr>
        <w:t xml:space="preserve">Cowen and Gawer (n </w:t>
      </w:r>
      <w:r>
        <w:rPr>
          <w:lang w:val="en-US"/>
        </w:rPr>
        <w:t>739</w:t>
      </w:r>
      <w:r w:rsidRPr="00A762F7">
        <w:rPr>
          <w:lang w:val="en-US"/>
        </w:rPr>
        <w:t>) 49.</w:t>
      </w:r>
    </w:p>
  </w:footnote>
  <w:footnote w:id="846">
    <w:p w14:paraId="6976A3D4" w14:textId="79CF674B"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See the section ‘7.1.2.2. Cloud ecosystem with external elements’.</w:t>
      </w:r>
    </w:p>
  </w:footnote>
  <w:footnote w:id="847">
    <w:p w14:paraId="0777FCBF" w14:textId="24BAA800"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Notably, the term ‘ecosystem’ is used with differing meanings and purposes e.g. describing a plethora of software apps surrounding a ‘platform’ – platform ecosystem</w:t>
      </w:r>
      <w:r>
        <w:t>,</w:t>
      </w:r>
      <w:r w:rsidRPr="00A762F7">
        <w:t xml:space="preserve"> within the literature. While having some overlaps with such definitions, the approach used in this study entails</w:t>
      </w:r>
      <w:r>
        <w:t xml:space="preserve"> ‘coopetition’</w:t>
      </w:r>
      <w:r w:rsidRPr="00A762F7">
        <w:t xml:space="preserve"> in itself as the core component. According to this approach, ‘complementarity’ and ‘substitution’ are not as influential as</w:t>
      </w:r>
      <w:r>
        <w:t xml:space="preserve"> ‘coopetition’</w:t>
      </w:r>
      <w:r w:rsidRPr="00A762F7">
        <w:t xml:space="preserve"> which </w:t>
      </w:r>
      <w:r>
        <w:t>come about with</w:t>
      </w:r>
      <w:r w:rsidRPr="00A762F7">
        <w:t xml:space="preserve"> the interdependencies of the ecosystem players (See the section ‘7.1.3.2. Interoperability in the cloud ecosystem’).</w:t>
      </w:r>
    </w:p>
  </w:footnote>
  <w:footnote w:id="848">
    <w:p w14:paraId="1129A401" w14:textId="4189D543" w:rsidR="005C0DC6" w:rsidRDefault="005C0DC6" w:rsidP="00A70042">
      <w:pPr>
        <w:pStyle w:val="FootnoteText"/>
        <w:ind w:left="426" w:hanging="426"/>
        <w:jc w:val="both"/>
      </w:pPr>
      <w:r>
        <w:rPr>
          <w:rStyle w:val="FootnoteReference"/>
        </w:rPr>
        <w:footnoteRef/>
      </w:r>
      <w:r>
        <w:t xml:space="preserve"> </w:t>
      </w:r>
      <w:r>
        <w:tab/>
      </w:r>
      <w:r w:rsidRPr="00010746">
        <w:t>Within the context of those channels, should be noted the industry-led findings</w:t>
      </w:r>
      <w:r>
        <w:t xml:space="preserve"> and solutions</w:t>
      </w:r>
      <w:r w:rsidRPr="00010746">
        <w:t xml:space="preserve"> to achieve interoperability, whether based on standardisation e.g. NIST’s effort to create vendor-agnostic technologies, or architectural solutions e.g. microservices, containers.</w:t>
      </w:r>
      <w:r>
        <w:t xml:space="preserve"> See </w:t>
      </w:r>
      <w:r w:rsidRPr="00010746">
        <w:t>Sandeep Shilawat</w:t>
      </w:r>
      <w:r>
        <w:t>, ‘</w:t>
      </w:r>
      <w:r w:rsidRPr="00010746">
        <w:t xml:space="preserve">Cloud Interoperability </w:t>
      </w:r>
      <w:r>
        <w:t>a</w:t>
      </w:r>
      <w:r w:rsidRPr="00010746">
        <w:t>nd Portability</w:t>
      </w:r>
      <w:r>
        <w:t>’ (</w:t>
      </w:r>
      <w:r w:rsidRPr="00246425">
        <w:rPr>
          <w:i/>
          <w:iCs/>
        </w:rPr>
        <w:t>Forbes</w:t>
      </w:r>
      <w:r>
        <w:t>, 22 June 2018) &lt;</w:t>
      </w:r>
      <w:hyperlink r:id="rId19" w:anchor="5512c41f4577" w:history="1">
        <w:r w:rsidRPr="00246425">
          <w:t>https://www.forbes.com/sites/forbestechcouncil/2018/06/22/cloud-interoperability-and-portability/#5512c41f4577</w:t>
        </w:r>
      </w:hyperlink>
      <w:r>
        <w:t>&gt; accessed 9 October 2020. See also Unver (n 27) 164.</w:t>
      </w:r>
    </w:p>
  </w:footnote>
  <w:footnote w:id="849">
    <w:p w14:paraId="05856933" w14:textId="5FC740D5"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6B6D7C">
        <w:t>Alberro and Shcwabe</w:t>
      </w:r>
      <w:r>
        <w:t xml:space="preserve"> (n 155)</w:t>
      </w:r>
      <w:r w:rsidRPr="00A762F7">
        <w:t>.</w:t>
      </w:r>
    </w:p>
  </w:footnote>
  <w:footnote w:id="850">
    <w:p w14:paraId="6A216ACB" w14:textId="0AD81684"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The limitedness of</w:t>
      </w:r>
      <w:r>
        <w:rPr>
          <w:lang w:val="en-US"/>
        </w:rPr>
        <w:t xml:space="preserve"> the</w:t>
      </w:r>
      <w:r w:rsidRPr="00A762F7">
        <w:rPr>
          <w:lang w:val="en-US"/>
        </w:rPr>
        <w:t xml:space="preserve"> market-based approach across the efficiencies and interdependencies could also be caught from the </w:t>
      </w:r>
      <w:r w:rsidRPr="00A762F7">
        <w:rPr>
          <w:i/>
          <w:lang w:val="en-US"/>
        </w:rPr>
        <w:t>Microsoft</w:t>
      </w:r>
      <w:r w:rsidRPr="00A762F7">
        <w:rPr>
          <w:lang w:val="en-US"/>
        </w:rPr>
        <w:t xml:space="preserve"> decision. While </w:t>
      </w:r>
      <w:r w:rsidRPr="00A762F7">
        <w:t xml:space="preserve">the </w:t>
      </w:r>
      <w:r w:rsidRPr="00A762F7">
        <w:rPr>
          <w:i/>
        </w:rPr>
        <w:t>Microsoft</w:t>
      </w:r>
      <w:r w:rsidRPr="00A762F7">
        <w:t xml:space="preserve">-formulated ‘incentives balancing test’ has not been applied fully in the </w:t>
      </w:r>
      <w:r w:rsidRPr="00A762F7">
        <w:rPr>
          <w:i/>
        </w:rPr>
        <w:t>Microsoft</w:t>
      </w:r>
      <w:r w:rsidRPr="00A762F7">
        <w:t xml:space="preserve"> finding, </w:t>
      </w:r>
      <w:r>
        <w:t xml:space="preserve">the </w:t>
      </w:r>
      <w:r w:rsidRPr="00A762F7">
        <w:t xml:space="preserve">Commission’s reference to </w:t>
      </w:r>
      <w:r w:rsidRPr="00A762F7">
        <w:rPr>
          <w:i/>
        </w:rPr>
        <w:t>‘</w:t>
      </w:r>
      <w:r w:rsidRPr="00A762F7">
        <w:t>the level of innovation of</w:t>
      </w:r>
      <w:r w:rsidRPr="00A762F7">
        <w:rPr>
          <w:i/>
        </w:rPr>
        <w:t xml:space="preserve"> the whole industry</w:t>
      </w:r>
      <w:r w:rsidRPr="00A762F7">
        <w:rPr>
          <w:lang w:val="en-US"/>
        </w:rPr>
        <w:t>’</w:t>
      </w:r>
      <w:r w:rsidRPr="00A762F7">
        <w:t xml:space="preserve"> instead of market</w:t>
      </w:r>
      <w:r>
        <w:t>-wide innovation</w:t>
      </w:r>
      <w:r w:rsidRPr="00A762F7">
        <w:t xml:space="preserve"> remarkably hints on the limits of </w:t>
      </w:r>
      <w:r>
        <w:t xml:space="preserve">the </w:t>
      </w:r>
      <w:r w:rsidRPr="00A762F7">
        <w:t>market-based approach. See also supra note</w:t>
      </w:r>
      <w:r>
        <w:t xml:space="preserve"> </w:t>
      </w:r>
      <w:r w:rsidRPr="0059511E">
        <w:t>506</w:t>
      </w:r>
      <w:r w:rsidRPr="00A762F7">
        <w:t xml:space="preserve">. </w:t>
      </w:r>
    </w:p>
  </w:footnote>
  <w:footnote w:id="851">
    <w:p w14:paraId="1F0AE077" w14:textId="21E55D93"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See the section ‘7.2.3. Architectural elements and layers in</w:t>
      </w:r>
      <w:r>
        <w:t xml:space="preserve"> the</w:t>
      </w:r>
      <w:r w:rsidRPr="00A762F7">
        <w:t xml:space="preserve"> IoT’.   </w:t>
      </w:r>
    </w:p>
  </w:footnote>
  <w:footnote w:id="852">
    <w:p w14:paraId="3AF8B1D8" w14:textId="64059246" w:rsidR="005C0DC6" w:rsidRDefault="005C0DC6" w:rsidP="00A70042">
      <w:pPr>
        <w:pStyle w:val="FootnoteText"/>
        <w:ind w:left="426" w:hanging="426"/>
      </w:pPr>
      <w:r>
        <w:rPr>
          <w:rStyle w:val="FootnoteReference"/>
        </w:rPr>
        <w:footnoteRef/>
      </w:r>
      <w:r>
        <w:t xml:space="preserve"> </w:t>
      </w:r>
      <w:r>
        <w:tab/>
        <w:t>See supra notes 731</w:t>
      </w:r>
      <w:r w:rsidRPr="00692824">
        <w:rPr>
          <w:color w:val="FF0000"/>
        </w:rPr>
        <w:t xml:space="preserve"> </w:t>
      </w:r>
      <w:r>
        <w:t xml:space="preserve">and </w:t>
      </w:r>
      <w:r w:rsidRPr="0059511E">
        <w:t>750</w:t>
      </w:r>
      <w:r>
        <w:t>.</w:t>
      </w:r>
    </w:p>
  </w:footnote>
  <w:footnote w:id="853">
    <w:p w14:paraId="7F51EC39" w14:textId="2EBAD655"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Bauer (n </w:t>
      </w:r>
      <w:r>
        <w:t>757</w:t>
      </w:r>
      <w:r w:rsidRPr="00A762F7">
        <w:t>) 666.</w:t>
      </w:r>
    </w:p>
  </w:footnote>
  <w:footnote w:id="854">
    <w:p w14:paraId="2CEA54ED" w14:textId="50BD59D0"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Unver (n </w:t>
      </w:r>
      <w:r>
        <w:rPr>
          <w:lang w:val="en-US"/>
        </w:rPr>
        <w:t>27</w:t>
      </w:r>
      <w:r w:rsidRPr="00A762F7">
        <w:rPr>
          <w:lang w:val="en-US"/>
        </w:rPr>
        <w:t xml:space="preserve">) </w:t>
      </w:r>
      <w:r>
        <w:rPr>
          <w:lang w:val="en-US"/>
        </w:rPr>
        <w:t>162</w:t>
      </w:r>
      <w:r w:rsidRPr="00A762F7">
        <w:rPr>
          <w:lang w:val="en-US"/>
        </w:rPr>
        <w:t>.</w:t>
      </w:r>
    </w:p>
  </w:footnote>
  <w:footnote w:id="855">
    <w:p w14:paraId="34CEA236" w14:textId="6FE0DA11" w:rsidR="005C0DC6" w:rsidRDefault="005C0DC6" w:rsidP="00B24620">
      <w:pPr>
        <w:pStyle w:val="FootnoteText"/>
        <w:ind w:left="426" w:hanging="426"/>
        <w:jc w:val="both"/>
      </w:pPr>
      <w:r>
        <w:rPr>
          <w:rStyle w:val="FootnoteReference"/>
        </w:rPr>
        <w:footnoteRef/>
      </w:r>
      <w:r>
        <w:t xml:space="preserve"> </w:t>
      </w:r>
      <w:r>
        <w:tab/>
        <w:t xml:space="preserve">Regarding </w:t>
      </w:r>
      <w:r w:rsidRPr="00106D30">
        <w:t xml:space="preserve">inadequateness of the notion of </w:t>
      </w:r>
      <w:r>
        <w:t>‘</w:t>
      </w:r>
      <w:r w:rsidRPr="00106D30">
        <w:t>consumer welfare</w:t>
      </w:r>
      <w:r>
        <w:t>’ see the section ‘</w:t>
      </w:r>
      <w:r w:rsidRPr="00106D30">
        <w:t>5.5.</w:t>
      </w:r>
      <w:r>
        <w:t xml:space="preserve"> </w:t>
      </w:r>
      <w:r w:rsidRPr="00106D30">
        <w:t>Assessment of EU competition law</w:t>
      </w:r>
      <w:r>
        <w:t>’. See also José van Dijck, David Nieborg and</w:t>
      </w:r>
      <w:r w:rsidRPr="004C78F7">
        <w:t xml:space="preserve"> </w:t>
      </w:r>
      <w:r>
        <w:t>Thomas Poell, ‘Reframing platform power’ (2019) 8(2) Internet Policy Review, 4-6 &lt;</w:t>
      </w:r>
      <w:r w:rsidRPr="004C78F7">
        <w:t>DOI: 10.14763/2019.2.1414</w:t>
      </w:r>
      <w:r>
        <w:t xml:space="preserve">&gt; </w:t>
      </w:r>
      <w:r w:rsidRPr="00A762F7">
        <w:rPr>
          <w:lang w:val="en-US"/>
        </w:rPr>
        <w:t>accessed</w:t>
      </w:r>
      <w:r>
        <w:rPr>
          <w:lang w:val="en-US"/>
        </w:rPr>
        <w:t xml:space="preserve"> 9 October 2020.</w:t>
      </w:r>
    </w:p>
  </w:footnote>
  <w:footnote w:id="856">
    <w:p w14:paraId="34C8C889" w14:textId="2F2356A5"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See supra notes </w:t>
      </w:r>
      <w:r w:rsidRPr="00094B24">
        <w:t>615-17</w:t>
      </w:r>
      <w:r w:rsidRPr="00A762F7">
        <w:t xml:space="preserve">. </w:t>
      </w:r>
    </w:p>
  </w:footnote>
  <w:footnote w:id="857">
    <w:p w14:paraId="15C211B4" w14:textId="2DB5B602"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European Parliament, </w:t>
      </w:r>
      <w:r>
        <w:rPr>
          <w:lang w:val="en-US"/>
        </w:rPr>
        <w:t>‘</w:t>
      </w:r>
      <w:r w:rsidRPr="00A762F7">
        <w:rPr>
          <w:lang w:val="en-US"/>
        </w:rPr>
        <w:t>Legislative Train Schedule</w:t>
      </w:r>
      <w:r>
        <w:rPr>
          <w:lang w:val="en-US"/>
        </w:rPr>
        <w:t>’</w:t>
      </w:r>
      <w:r w:rsidRPr="00A762F7">
        <w:rPr>
          <w:lang w:val="en-US"/>
        </w:rPr>
        <w:t xml:space="preserve"> ˂</w:t>
      </w:r>
      <w:hyperlink r:id="rId20" w:history="1">
        <w:r w:rsidRPr="00F83A44">
          <w:t>http://www.europarl.europa.eu/legislative-train/theme-connected-digital-single-market</w:t>
        </w:r>
      </w:hyperlink>
      <w:r w:rsidRPr="00A762F7">
        <w:rPr>
          <w:lang w:val="en-US"/>
        </w:rPr>
        <w:t xml:space="preserve">˃ accessed </w:t>
      </w:r>
      <w:r>
        <w:rPr>
          <w:lang w:val="en-US"/>
        </w:rPr>
        <w:t>9 October 2020</w:t>
      </w:r>
      <w:r w:rsidRPr="00A762F7">
        <w:rPr>
          <w:lang w:val="en-US"/>
        </w:rPr>
        <w:t>.</w:t>
      </w:r>
    </w:p>
  </w:footnote>
  <w:footnote w:id="858">
    <w:p w14:paraId="153BDCF0" w14:textId="4248ECA0" w:rsidR="005C0DC6" w:rsidRDefault="005C0DC6" w:rsidP="00692824">
      <w:pPr>
        <w:pStyle w:val="FootnoteText"/>
        <w:ind w:left="426" w:hanging="426"/>
        <w:jc w:val="both"/>
      </w:pPr>
      <w:r>
        <w:rPr>
          <w:rStyle w:val="FootnoteReference"/>
        </w:rPr>
        <w:footnoteRef/>
      </w:r>
      <w:r>
        <w:t xml:space="preserve"> </w:t>
      </w:r>
      <w:r>
        <w:tab/>
        <w:t xml:space="preserve">See supra note </w:t>
      </w:r>
      <w:r w:rsidRPr="00FC507C">
        <w:t>193</w:t>
      </w:r>
      <w:r>
        <w:t>.</w:t>
      </w:r>
    </w:p>
  </w:footnote>
  <w:footnote w:id="859">
    <w:p w14:paraId="512DE960" w14:textId="12B2D18E"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See </w:t>
      </w:r>
      <w:r>
        <w:rPr>
          <w:lang w:val="en-US"/>
        </w:rPr>
        <w:t>the section ‘</w:t>
      </w:r>
      <w:r w:rsidRPr="00F83A44">
        <w:rPr>
          <w:lang w:val="en-US"/>
        </w:rPr>
        <w:t>2.2.1.</w:t>
      </w:r>
      <w:r>
        <w:rPr>
          <w:lang w:val="en-US"/>
        </w:rPr>
        <w:t xml:space="preserve"> </w:t>
      </w:r>
      <w:r w:rsidRPr="00F83A44">
        <w:rPr>
          <w:lang w:val="en-US"/>
        </w:rPr>
        <w:t>Architectural underpinnings of the internet: Layered IP Stack</w:t>
      </w:r>
      <w:r>
        <w:rPr>
          <w:lang w:val="en-US"/>
        </w:rPr>
        <w:t xml:space="preserve">’. </w:t>
      </w:r>
    </w:p>
  </w:footnote>
  <w:footnote w:id="860">
    <w:p w14:paraId="695EF08C" w14:textId="711DF552"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See the section ‘2.2.2. Convergence’</w:t>
      </w:r>
      <w:r w:rsidRPr="00A762F7">
        <w:t>.</w:t>
      </w:r>
    </w:p>
  </w:footnote>
  <w:footnote w:id="861">
    <w:p w14:paraId="7A3F218B" w14:textId="2AC6D746"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Nuechterlein and Weiser (n </w:t>
      </w:r>
      <w:r>
        <w:t>96</w:t>
      </w:r>
      <w:r w:rsidRPr="00A762F7">
        <w:t xml:space="preserve">) 164; Whitt (n </w:t>
      </w:r>
      <w:r>
        <w:t>752</w:t>
      </w:r>
      <w:r w:rsidRPr="00A762F7">
        <w:t>) 592.</w:t>
      </w:r>
    </w:p>
  </w:footnote>
  <w:footnote w:id="862">
    <w:p w14:paraId="62F6C6E8" w14:textId="7F644B46"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See also supra note </w:t>
      </w:r>
      <w:r w:rsidRPr="001F1BB7">
        <w:t xml:space="preserve">752 </w:t>
      </w:r>
      <w:r w:rsidRPr="00A762F7">
        <w:t xml:space="preserve">and infra note </w:t>
      </w:r>
      <w:r w:rsidRPr="001F1BB7">
        <w:t>869</w:t>
      </w:r>
      <w:r>
        <w:t>.</w:t>
      </w:r>
    </w:p>
  </w:footnote>
  <w:footnote w:id="863">
    <w:p w14:paraId="3039A466" w14:textId="312842D9" w:rsidR="005C0DC6" w:rsidRPr="00A762F7" w:rsidRDefault="005C0DC6" w:rsidP="00A70042">
      <w:pPr>
        <w:pStyle w:val="FootnoteText"/>
        <w:spacing w:after="60"/>
        <w:ind w:left="426" w:hanging="426"/>
        <w:jc w:val="both"/>
      </w:pPr>
      <w:r w:rsidRPr="00A762F7">
        <w:rPr>
          <w:rStyle w:val="FootnoteReference"/>
        </w:rPr>
        <w:footnoteRef/>
      </w:r>
      <w:r w:rsidRPr="00A762F7">
        <w:rPr>
          <w:rStyle w:val="FootnoteReference"/>
        </w:rPr>
        <w:t xml:space="preserve"> </w:t>
      </w:r>
      <w:r>
        <w:tab/>
      </w:r>
      <w:r w:rsidRPr="00A762F7">
        <w:t xml:space="preserve">Fransman (n </w:t>
      </w:r>
      <w:r>
        <w:t>118</w:t>
      </w:r>
      <w:r w:rsidRPr="00A762F7">
        <w:t xml:space="preserve">) 37-38. Fransman invokes the biological concept of “ecosystem” to analyse </w:t>
      </w:r>
      <w:r>
        <w:t xml:space="preserve">the </w:t>
      </w:r>
      <w:r w:rsidRPr="00A762F7">
        <w:t>developmental pathways of the ICT layers that implicate six symbiotic relationships. The focal point of his study concern</w:t>
      </w:r>
      <w:r>
        <w:t>s</w:t>
      </w:r>
      <w:r w:rsidRPr="00A762F7">
        <w:t xml:space="preserve"> how to enable and develop innovation potential across the layers</w:t>
      </w:r>
      <w:r>
        <w:t>,</w:t>
      </w:r>
      <w:r w:rsidRPr="00A762F7">
        <w:t xml:space="preserve"> with important implications for the European ICT sector.</w:t>
      </w:r>
    </w:p>
  </w:footnote>
  <w:footnote w:id="864">
    <w:p w14:paraId="2E64A909" w14:textId="709956B8"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Mindel and Sicker </w:t>
      </w:r>
      <w:r>
        <w:rPr>
          <w:lang w:val="en-US"/>
        </w:rPr>
        <w:t>(n 752)</w:t>
      </w:r>
      <w:r w:rsidRPr="00A762F7">
        <w:rPr>
          <w:lang w:val="en-US"/>
        </w:rPr>
        <w:t xml:space="preserve"> 140.</w:t>
      </w:r>
    </w:p>
  </w:footnote>
  <w:footnote w:id="865">
    <w:p w14:paraId="66B578C9" w14:textId="399CE339"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 xml:space="preserve">See Kariyawasam (n </w:t>
      </w:r>
      <w:r>
        <w:rPr>
          <w:lang w:val="en-US"/>
        </w:rPr>
        <w:t>752</w:t>
      </w:r>
      <w:r w:rsidRPr="00A762F7">
        <w:rPr>
          <w:lang w:val="en-US"/>
        </w:rPr>
        <w:t>); Kariyawasam (n 1</w:t>
      </w:r>
      <w:r>
        <w:rPr>
          <w:lang w:val="en-US"/>
        </w:rPr>
        <w:t>18</w:t>
      </w:r>
      <w:r w:rsidRPr="00A762F7">
        <w:rPr>
          <w:lang w:val="en-US"/>
        </w:rPr>
        <w:t xml:space="preserve">); Werbach (n </w:t>
      </w:r>
      <w:r>
        <w:rPr>
          <w:lang w:val="en-US"/>
        </w:rPr>
        <w:t>118</w:t>
      </w:r>
      <w:r w:rsidRPr="00A762F7">
        <w:rPr>
          <w:lang w:val="en-US"/>
        </w:rPr>
        <w:t xml:space="preserve">); K. </w:t>
      </w:r>
      <w:r w:rsidRPr="00A762F7">
        <w:rPr>
          <w:lang w:val="tr-TR"/>
        </w:rPr>
        <w:t>Werbach, ‘A Layered Model for Internet Policy’, [2002] 1 Journal on Telecommunications &amp; High Technology Law, 39-54</w:t>
      </w:r>
      <w:r w:rsidRPr="00A762F7">
        <w:rPr>
          <w:lang w:val="en-US"/>
        </w:rPr>
        <w:t xml:space="preserve">; </w:t>
      </w:r>
      <w:r w:rsidRPr="00A762F7">
        <w:t xml:space="preserve">Whitt (n </w:t>
      </w:r>
      <w:r>
        <w:t>752</w:t>
      </w:r>
      <w:r w:rsidRPr="00A762F7">
        <w:t>)</w:t>
      </w:r>
      <w:r w:rsidRPr="00A762F7">
        <w:rPr>
          <w:lang w:val="en-US"/>
        </w:rPr>
        <w:t xml:space="preserve">; Mindel and Sicker (n </w:t>
      </w:r>
      <w:r>
        <w:rPr>
          <w:lang w:val="en-US"/>
        </w:rPr>
        <w:t>752</w:t>
      </w:r>
      <w:r w:rsidRPr="00A762F7">
        <w:rPr>
          <w:lang w:val="en-US"/>
        </w:rPr>
        <w:t xml:space="preserve">); D. Sicker and J. Mindel ‘Refinements of a layered model for telecommunications policy’ [2002] 1 Journal on Telecommunications and High Technology Law, 69-94. </w:t>
      </w:r>
    </w:p>
  </w:footnote>
  <w:footnote w:id="866">
    <w:p w14:paraId="5AE7B1E7" w14:textId="6071599C" w:rsidR="005C0DC6" w:rsidRPr="00A762F7" w:rsidRDefault="005C0DC6" w:rsidP="00A70042">
      <w:pPr>
        <w:pStyle w:val="FootnoteText"/>
        <w:ind w:left="426" w:hanging="426"/>
        <w:jc w:val="both"/>
        <w:rPr>
          <w:lang w:val="tr-TR"/>
        </w:rPr>
      </w:pPr>
      <w:r w:rsidRPr="00A762F7">
        <w:rPr>
          <w:rStyle w:val="FootnoteReference"/>
        </w:rPr>
        <w:footnoteRef/>
      </w:r>
      <w:r w:rsidRPr="00A762F7">
        <w:t xml:space="preserve"> </w:t>
      </w:r>
      <w:r>
        <w:tab/>
      </w:r>
      <w:r w:rsidRPr="00A762F7">
        <w:rPr>
          <w:lang w:val="en-US"/>
        </w:rPr>
        <w:t xml:space="preserve">Sicker and Mindel (n </w:t>
      </w:r>
      <w:r>
        <w:rPr>
          <w:lang w:val="en-US"/>
        </w:rPr>
        <w:t>865</w:t>
      </w:r>
      <w:r w:rsidRPr="00A762F7">
        <w:rPr>
          <w:lang w:val="en-US"/>
        </w:rPr>
        <w:t xml:space="preserve">) 79; </w:t>
      </w:r>
      <w:r w:rsidRPr="00A762F7">
        <w:rPr>
          <w:lang w:val="tr-TR"/>
        </w:rPr>
        <w:t xml:space="preserve">Werbach (n </w:t>
      </w:r>
      <w:r>
        <w:rPr>
          <w:lang w:val="tr-TR"/>
        </w:rPr>
        <w:t>865</w:t>
      </w:r>
      <w:r w:rsidRPr="00A762F7">
        <w:rPr>
          <w:lang w:val="tr-TR"/>
        </w:rPr>
        <w:t xml:space="preserve">) </w:t>
      </w:r>
      <w:r w:rsidRPr="00A762F7">
        <w:t>59-60</w:t>
      </w:r>
      <w:r w:rsidRPr="00A762F7">
        <w:rPr>
          <w:lang w:val="tr-TR"/>
        </w:rPr>
        <w:t xml:space="preserve">; Whitt (n </w:t>
      </w:r>
      <w:r>
        <w:rPr>
          <w:lang w:val="tr-TR"/>
        </w:rPr>
        <w:t>752</w:t>
      </w:r>
      <w:r w:rsidRPr="00A762F7">
        <w:rPr>
          <w:lang w:val="tr-TR"/>
        </w:rPr>
        <w:t>) 632.</w:t>
      </w:r>
    </w:p>
  </w:footnote>
  <w:footnote w:id="867">
    <w:p w14:paraId="05A0C091" w14:textId="6FD4BD71" w:rsidR="005C0DC6" w:rsidRPr="00A70042" w:rsidRDefault="005C0DC6" w:rsidP="00A70042">
      <w:pPr>
        <w:pStyle w:val="FootnoteText"/>
        <w:ind w:left="426" w:hanging="426"/>
        <w:jc w:val="both"/>
        <w:rPr>
          <w:lang w:val="en-US"/>
        </w:rPr>
      </w:pPr>
      <w:r w:rsidRPr="00A762F7">
        <w:rPr>
          <w:rStyle w:val="FootnoteReference"/>
        </w:rPr>
        <w:footnoteRef/>
      </w:r>
      <w:r w:rsidRPr="00A762F7">
        <w:rPr>
          <w:rStyle w:val="FootnoteReference"/>
        </w:rPr>
        <w:t xml:space="preserve"> </w:t>
      </w:r>
      <w:r w:rsidRPr="00A762F7">
        <w:t xml:space="preserve"> </w:t>
      </w:r>
      <w:r>
        <w:tab/>
      </w:r>
      <w:r w:rsidRPr="00A762F7">
        <w:t>Sicker and Blumensaadt (n 1</w:t>
      </w:r>
      <w:r>
        <w:t>30</w:t>
      </w:r>
      <w:r w:rsidRPr="00A762F7">
        <w:t xml:space="preserve">) 302; Werbach (n </w:t>
      </w:r>
      <w:r w:rsidRPr="00A70042">
        <w:rPr>
          <w:lang w:val="en-US"/>
        </w:rPr>
        <w:t>1</w:t>
      </w:r>
      <w:r>
        <w:rPr>
          <w:lang w:val="en-US"/>
        </w:rPr>
        <w:t>18</w:t>
      </w:r>
      <w:r w:rsidRPr="00A70042">
        <w:rPr>
          <w:lang w:val="en-US"/>
        </w:rPr>
        <w:t xml:space="preserve">) 58-60; Sicker </w:t>
      </w:r>
      <w:r w:rsidRPr="00A762F7">
        <w:rPr>
          <w:lang w:val="en-US"/>
        </w:rPr>
        <w:t>and Mindel</w:t>
      </w:r>
      <w:r w:rsidRPr="00A70042">
        <w:rPr>
          <w:lang w:val="en-US"/>
        </w:rPr>
        <w:t xml:space="preserve"> (n </w:t>
      </w:r>
      <w:r>
        <w:rPr>
          <w:lang w:val="en-US"/>
        </w:rPr>
        <w:t>865</w:t>
      </w:r>
      <w:r w:rsidRPr="00A70042">
        <w:rPr>
          <w:lang w:val="en-US"/>
        </w:rPr>
        <w:t>) 79-81.</w:t>
      </w:r>
    </w:p>
  </w:footnote>
  <w:footnote w:id="868">
    <w:p w14:paraId="03081F65" w14:textId="269E29A2" w:rsidR="005C0DC6" w:rsidRPr="00A762F7" w:rsidRDefault="005C0DC6" w:rsidP="00A70042">
      <w:pPr>
        <w:pStyle w:val="FootnoteText"/>
        <w:ind w:left="426" w:hanging="426"/>
        <w:jc w:val="both"/>
        <w:rPr>
          <w:lang w:val="en-US"/>
        </w:rPr>
      </w:pPr>
      <w:r w:rsidRPr="00F77517">
        <w:rPr>
          <w:rStyle w:val="FootnoteReference"/>
        </w:rPr>
        <w:footnoteRef/>
      </w:r>
      <w:r w:rsidRPr="00A70042">
        <w:rPr>
          <w:lang w:val="en-US"/>
        </w:rPr>
        <w:t xml:space="preserve"> </w:t>
      </w:r>
      <w:r w:rsidRPr="00A70042">
        <w:rPr>
          <w:lang w:val="en-US"/>
        </w:rPr>
        <w:tab/>
        <w:t xml:space="preserve">Kariyawasam (n </w:t>
      </w:r>
      <w:r>
        <w:rPr>
          <w:lang w:val="en-US"/>
        </w:rPr>
        <w:t>752</w:t>
      </w:r>
      <w:r w:rsidRPr="00A70042">
        <w:rPr>
          <w:lang w:val="en-US"/>
        </w:rPr>
        <w:t>) 100-104; Kariyawasam (n 1</w:t>
      </w:r>
      <w:r>
        <w:t>18</w:t>
      </w:r>
      <w:r w:rsidRPr="00A762F7">
        <w:t xml:space="preserve">) 41-50. </w:t>
      </w:r>
    </w:p>
  </w:footnote>
  <w:footnote w:id="869">
    <w:p w14:paraId="61AC29B0" w14:textId="6EFA01DC" w:rsidR="005C0DC6" w:rsidRPr="009C5635" w:rsidRDefault="005C0DC6" w:rsidP="00C95779">
      <w:pPr>
        <w:pStyle w:val="FootnoteText"/>
        <w:ind w:left="426" w:hanging="426"/>
        <w:jc w:val="both"/>
      </w:pPr>
      <w:r w:rsidRPr="00A762F7">
        <w:rPr>
          <w:rStyle w:val="FootnoteReference"/>
        </w:rPr>
        <w:footnoteRef/>
      </w:r>
      <w:r w:rsidRPr="00A762F7">
        <w:t xml:space="preserve"> </w:t>
      </w:r>
      <w:r>
        <w:tab/>
      </w:r>
      <w:r w:rsidRPr="00A762F7">
        <w:t xml:space="preserve">Albeit with nuances, </w:t>
      </w:r>
      <w:r>
        <w:t xml:space="preserve">the </w:t>
      </w:r>
      <w:r w:rsidRPr="00A762F7">
        <w:t xml:space="preserve">layering-based regulatory models depend on four distinct layers, comprising ‘physical or access’, ‘logical’, ‘application’ and ‘content’ layers (Whitt (n </w:t>
      </w:r>
      <w:r>
        <w:t>752</w:t>
      </w:r>
      <w:r w:rsidRPr="00A762F7">
        <w:t xml:space="preserve">) 624, Werbach (n </w:t>
      </w:r>
      <w:r>
        <w:t>865</w:t>
      </w:r>
      <w:r w:rsidRPr="00A762F7">
        <w:t xml:space="preserve">) 59), although </w:t>
      </w:r>
      <w:r>
        <w:t xml:space="preserve">the </w:t>
      </w:r>
      <w:r w:rsidRPr="00A762F7">
        <w:t xml:space="preserve">‘logical’ layer is being replaced with the ‘transport’ layer by some others (Kariyawasam (n </w:t>
      </w:r>
      <w:r>
        <w:t>752</w:t>
      </w:r>
      <w:r w:rsidRPr="00A762F7">
        <w:t>) 99; Sicker and Blumensaadt (n 1</w:t>
      </w:r>
      <w:r>
        <w:t>30</w:t>
      </w:r>
      <w:r w:rsidRPr="00A762F7">
        <w:t xml:space="preserve">) 310). In these latter models, </w:t>
      </w:r>
      <w:r>
        <w:t xml:space="preserve">a </w:t>
      </w:r>
      <w:r w:rsidRPr="00A762F7">
        <w:t xml:space="preserve">more technical perspective is being reflected along the lines </w:t>
      </w:r>
      <w:r>
        <w:t xml:space="preserve">of </w:t>
      </w:r>
      <w:r w:rsidRPr="00A762F7">
        <w:t xml:space="preserve">the original internet stack i.e. </w:t>
      </w:r>
      <w:r>
        <w:t xml:space="preserve">the </w:t>
      </w:r>
      <w:r w:rsidRPr="00A762F7">
        <w:t xml:space="preserve">TCP/IP model. Despite this close matching, this study leans towards the former approach that incorporates the logical layer along with other </w:t>
      </w:r>
      <w:r>
        <w:t xml:space="preserve">layers i.e. </w:t>
      </w:r>
      <w:r w:rsidRPr="00A762F7">
        <w:t>access, application and content</w:t>
      </w:r>
      <w:r>
        <w:t>,</w:t>
      </w:r>
      <w:r w:rsidRPr="00A762F7">
        <w:t xml:space="preserve"> because this far </w:t>
      </w:r>
      <w:r>
        <w:t xml:space="preserve">better </w:t>
      </w:r>
      <w:r w:rsidRPr="00A762F7">
        <w:t>reflects the economic</w:t>
      </w:r>
      <w:r>
        <w:t xml:space="preserve"> and </w:t>
      </w:r>
      <w:r w:rsidRPr="00A762F7">
        <w:t xml:space="preserve">industrial realities. See also Derek Wilding and Ivor King, ‘Reviewing the Layered Model’ </w:t>
      </w:r>
      <w:r>
        <w:t xml:space="preserve">[2018] 46(1) </w:t>
      </w:r>
      <w:r w:rsidRPr="009C5635">
        <w:t>InterMEDIA</w:t>
      </w:r>
      <w:r>
        <w:rPr>
          <w:i/>
          <w:iCs/>
        </w:rPr>
        <w:t>,</w:t>
      </w:r>
      <w:r w:rsidRPr="00A762F7">
        <w:t xml:space="preserve"> 13-17, for the comparative analysis of the layering-based models</w:t>
      </w:r>
      <w:r>
        <w:t>,</w:t>
      </w:r>
      <w:r w:rsidRPr="00A762F7">
        <w:t xml:space="preserve"> including the </w:t>
      </w:r>
      <w:r w:rsidRPr="009C5635">
        <w:t xml:space="preserve">layers chosen by the developers. </w:t>
      </w:r>
    </w:p>
  </w:footnote>
  <w:footnote w:id="870">
    <w:p w14:paraId="69A91951" w14:textId="4261673F"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Kariyawasam (n </w:t>
      </w:r>
      <w:r>
        <w:t>752</w:t>
      </w:r>
      <w:r w:rsidRPr="00A762F7">
        <w:t>) 101; Kariyawasam (n 1</w:t>
      </w:r>
      <w:r>
        <w:t>18</w:t>
      </w:r>
      <w:r w:rsidRPr="00A762F7">
        <w:t>) 597.</w:t>
      </w:r>
    </w:p>
  </w:footnote>
  <w:footnote w:id="871">
    <w:p w14:paraId="173D180A" w14:textId="01E9EE9C"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rPr>
          <w:lang w:val="en-US"/>
        </w:rPr>
        <w:t>In so doing, Kariyawasam focuses on</w:t>
      </w:r>
      <w:r>
        <w:rPr>
          <w:lang w:val="en-US"/>
        </w:rPr>
        <w:t>;</w:t>
      </w:r>
      <w:r w:rsidRPr="00A762F7">
        <w:rPr>
          <w:lang w:val="en-US"/>
        </w:rPr>
        <w:t xml:space="preserve"> (i) the definition of the relevant market and (ii) the establishment of market strength</w:t>
      </w:r>
      <w:r>
        <w:rPr>
          <w:lang w:val="en-US"/>
        </w:rPr>
        <w:t>,</w:t>
      </w:r>
      <w:r w:rsidRPr="00A762F7">
        <w:rPr>
          <w:lang w:val="en-US"/>
        </w:rPr>
        <w:t xml:space="preserve"> but not further details i.e. regarding the remedies</w:t>
      </w:r>
      <w:r w:rsidRPr="00A762F7">
        <w:t>. Except with such details, Kariyawasam adapt</w:t>
      </w:r>
      <w:r>
        <w:t>s</w:t>
      </w:r>
      <w:r w:rsidRPr="00A762F7">
        <w:t xml:space="preserve"> the SPM regime and pillars to the layering theory, ending up </w:t>
      </w:r>
      <w:r>
        <w:t xml:space="preserve">with </w:t>
      </w:r>
      <w:r w:rsidRPr="00A762F7">
        <w:t xml:space="preserve">a unique ‘layered policy model’ developed by him. </w:t>
      </w:r>
    </w:p>
  </w:footnote>
  <w:footnote w:id="872">
    <w:p w14:paraId="4EA06A24" w14:textId="1A6D9B23" w:rsidR="005C0DC6" w:rsidRPr="00A762F7" w:rsidRDefault="005C0DC6" w:rsidP="00A70042">
      <w:pPr>
        <w:pStyle w:val="FootnoteText"/>
        <w:ind w:left="426" w:hanging="426"/>
        <w:jc w:val="both"/>
        <w:rPr>
          <w:lang w:val="en-US"/>
        </w:rPr>
      </w:pPr>
      <w:r w:rsidRPr="009C5635">
        <w:rPr>
          <w:rStyle w:val="FootnoteReference"/>
        </w:rPr>
        <w:footnoteRef/>
      </w:r>
      <w:r w:rsidRPr="009C5635">
        <w:t xml:space="preserve"> </w:t>
      </w:r>
      <w:r>
        <w:tab/>
      </w:r>
      <w:r w:rsidRPr="009C5635">
        <w:t xml:space="preserve">J. B. Meisel and M. Needles, ‘Voice </w:t>
      </w:r>
      <w:r w:rsidRPr="00A762F7">
        <w:t xml:space="preserve">over </w:t>
      </w:r>
      <w:r>
        <w:t>I</w:t>
      </w:r>
      <w:r w:rsidRPr="00A762F7">
        <w:t xml:space="preserve">nternet </w:t>
      </w:r>
      <w:r>
        <w:t>P</w:t>
      </w:r>
      <w:r w:rsidRPr="00A762F7">
        <w:t>rotocol (VoIP) development and public policy implications’ [2005] 7(3) Info 3, 14.</w:t>
      </w:r>
    </w:p>
  </w:footnote>
  <w:footnote w:id="873">
    <w:p w14:paraId="0C88E784" w14:textId="7A40A09B" w:rsidR="005C0DC6" w:rsidRPr="00A762F7" w:rsidRDefault="005C0DC6" w:rsidP="000C1D0C">
      <w:pPr>
        <w:pStyle w:val="FootnoteText"/>
        <w:ind w:left="426" w:hanging="426"/>
        <w:jc w:val="both"/>
      </w:pPr>
      <w:r w:rsidRPr="00A762F7">
        <w:rPr>
          <w:rStyle w:val="FootnoteReference"/>
        </w:rPr>
        <w:footnoteRef/>
      </w:r>
      <w:r w:rsidRPr="00A762F7">
        <w:t xml:space="preserve"> </w:t>
      </w:r>
      <w:r>
        <w:tab/>
      </w:r>
      <w:r w:rsidRPr="00A762F7">
        <w:t xml:space="preserve">The upper layer companies could be argued to have taken these advantages in order to maximise the benefits </w:t>
      </w:r>
      <w:r>
        <w:t>flowing</w:t>
      </w:r>
      <w:r w:rsidRPr="00A762F7">
        <w:t xml:space="preserve"> from the convergence. As a result, the locus of the central operations meeting the users’ ICT-inclusive needs appears to be shifting from the bottom layers towards the upper ones, mitigating the differences between the ICT players.</w:t>
      </w:r>
    </w:p>
  </w:footnote>
  <w:footnote w:id="874">
    <w:p w14:paraId="0B5AE41D" w14:textId="6227E2FE" w:rsidR="005C0DC6" w:rsidRDefault="005C0DC6" w:rsidP="00B24620">
      <w:pPr>
        <w:pStyle w:val="FootnoteText"/>
        <w:ind w:left="426" w:hanging="426"/>
        <w:jc w:val="both"/>
      </w:pPr>
      <w:r>
        <w:rPr>
          <w:rStyle w:val="FootnoteReference"/>
        </w:rPr>
        <w:footnoteRef/>
      </w:r>
      <w:r>
        <w:t xml:space="preserve"> </w:t>
      </w:r>
      <w:r>
        <w:tab/>
        <w:t xml:space="preserve">Among these, the four-layer stack model containing access layer, middleware layer, application layer, content layer is preferred instead of more technical ones e.g. access, transport, application, content layers. At this preference lies the better exposition of the economic realities of the ICT activities being mirrored in interdependent value chains. See supra note </w:t>
      </w:r>
      <w:r w:rsidRPr="001F1BB7">
        <w:t>869</w:t>
      </w:r>
      <w:r>
        <w:t>.</w:t>
      </w:r>
    </w:p>
  </w:footnote>
  <w:footnote w:id="875">
    <w:p w14:paraId="68EE89E0" w14:textId="20D6BCD9" w:rsidR="005C0DC6" w:rsidRPr="00A762F7" w:rsidRDefault="005C0DC6">
      <w:pPr>
        <w:pStyle w:val="FootnoteText"/>
        <w:ind w:left="426" w:hanging="426"/>
        <w:jc w:val="both"/>
        <w:rPr>
          <w:lang w:val="en-US"/>
        </w:rPr>
      </w:pPr>
      <w:r w:rsidRPr="00A762F7">
        <w:rPr>
          <w:rStyle w:val="FootnoteReference"/>
        </w:rPr>
        <w:footnoteRef/>
      </w:r>
      <w:r w:rsidRPr="00A762F7">
        <w:t xml:space="preserve"> </w:t>
      </w:r>
      <w:r>
        <w:tab/>
        <w:t xml:space="preserve">See supra note </w:t>
      </w:r>
      <w:r w:rsidRPr="004828DF">
        <w:t>185</w:t>
      </w:r>
      <w:r>
        <w:t>.</w:t>
      </w:r>
    </w:p>
  </w:footnote>
  <w:footnote w:id="876">
    <w:p w14:paraId="4D33251D" w14:textId="631A4135" w:rsidR="005C0DC6" w:rsidRDefault="005C0DC6" w:rsidP="00B24620">
      <w:pPr>
        <w:pStyle w:val="FootnoteText"/>
        <w:ind w:left="426" w:hanging="426"/>
        <w:jc w:val="both"/>
      </w:pPr>
      <w:r>
        <w:rPr>
          <w:rStyle w:val="FootnoteReference"/>
        </w:rPr>
        <w:footnoteRef/>
      </w:r>
      <w:r>
        <w:t xml:space="preserve"> </w:t>
      </w:r>
      <w:r>
        <w:tab/>
        <w:t>See the section ‘</w:t>
      </w:r>
      <w:r w:rsidRPr="001C7493">
        <w:t>3.1.3.</w:t>
      </w:r>
      <w:r>
        <w:t xml:space="preserve"> </w:t>
      </w:r>
      <w:r w:rsidRPr="001C7493">
        <w:t>Brief analysis of major concerns on the cumulative ground of ‘gatekeeping’</w:t>
      </w:r>
      <w:r>
        <w:t>’.</w:t>
      </w:r>
    </w:p>
  </w:footnote>
  <w:footnote w:id="877">
    <w:p w14:paraId="2FB14EBC" w14:textId="12AA64D8" w:rsidR="005C0DC6" w:rsidRDefault="005C0DC6" w:rsidP="00B24620">
      <w:pPr>
        <w:pStyle w:val="FootnoteText"/>
        <w:ind w:left="426" w:hanging="426"/>
        <w:jc w:val="both"/>
      </w:pPr>
      <w:r>
        <w:rPr>
          <w:rStyle w:val="FootnoteReference"/>
        </w:rPr>
        <w:footnoteRef/>
      </w:r>
      <w:r>
        <w:t xml:space="preserve"> </w:t>
      </w:r>
      <w:r>
        <w:tab/>
        <w:t xml:space="preserve">See Laidlaw (n 179) 41. </w:t>
      </w:r>
    </w:p>
  </w:footnote>
  <w:footnote w:id="878">
    <w:p w14:paraId="6CE4BFF0" w14:textId="438EF79D" w:rsidR="005C0DC6" w:rsidRDefault="005C0DC6" w:rsidP="00B24620">
      <w:pPr>
        <w:pStyle w:val="FootnoteText"/>
        <w:ind w:left="426" w:hanging="426"/>
        <w:jc w:val="both"/>
      </w:pPr>
      <w:r>
        <w:rPr>
          <w:rStyle w:val="FootnoteReference"/>
        </w:rPr>
        <w:footnoteRef/>
      </w:r>
      <w:r>
        <w:t xml:space="preserve"> </w:t>
      </w:r>
      <w:r>
        <w:tab/>
      </w:r>
      <w:r w:rsidRPr="00304D8A">
        <w:t>17 US</w:t>
      </w:r>
      <w:r>
        <w:t>CA</w:t>
      </w:r>
      <w:r w:rsidRPr="00304D8A">
        <w:t xml:space="preserve"> § 512</w:t>
      </w:r>
      <w:r>
        <w:t xml:space="preserve"> (‘</w:t>
      </w:r>
      <w:r w:rsidRPr="00304D8A">
        <w:t>Limitations on liability relating to material online</w:t>
      </w:r>
      <w:r>
        <w:t>’).</w:t>
      </w:r>
    </w:p>
  </w:footnote>
  <w:footnote w:id="879">
    <w:p w14:paraId="008CA3B6" w14:textId="3740B654" w:rsidR="005C0DC6" w:rsidRDefault="005C0DC6" w:rsidP="00B24620">
      <w:pPr>
        <w:pStyle w:val="FootnoteText"/>
        <w:ind w:left="426" w:hanging="426"/>
        <w:jc w:val="both"/>
      </w:pPr>
      <w:r>
        <w:rPr>
          <w:rStyle w:val="FootnoteReference"/>
        </w:rPr>
        <w:footnoteRef/>
      </w:r>
      <w:r>
        <w:t xml:space="preserve"> </w:t>
      </w:r>
      <w:r>
        <w:tab/>
        <w:t>Directive 2000/31/EC of the European Parliament and of the Council of 8 June 2000 on certain legal aspects of information society services, in particular electronic commerce, in the Internal Market, OJ L 178 (‘E-commerce Directive’) art. 12-14.</w:t>
      </w:r>
    </w:p>
  </w:footnote>
  <w:footnote w:id="880">
    <w:p w14:paraId="222C341D" w14:textId="64BC62FA" w:rsidR="005C0DC6" w:rsidRPr="00A762F7" w:rsidRDefault="005C0DC6" w:rsidP="00A70042">
      <w:pPr>
        <w:pStyle w:val="FootnoteText"/>
        <w:ind w:left="426" w:hanging="426"/>
        <w:jc w:val="both"/>
      </w:pPr>
      <w:r w:rsidRPr="00A762F7">
        <w:rPr>
          <w:rStyle w:val="FootnoteReference"/>
        </w:rPr>
        <w:footnoteRef/>
      </w:r>
      <w:r w:rsidRPr="00A762F7">
        <w:t xml:space="preserve"> </w:t>
      </w:r>
      <w:bookmarkStart w:id="719" w:name="_Hlk13790607"/>
      <w:r>
        <w:tab/>
      </w:r>
      <w:r w:rsidRPr="00A762F7">
        <w:t xml:space="preserve">Helberger, Kleinen-von Königslöw and </w:t>
      </w:r>
      <w:r>
        <w:t>V</w:t>
      </w:r>
      <w:r w:rsidRPr="00A762F7">
        <w:t xml:space="preserve">an der Noll, </w:t>
      </w:r>
      <w:r>
        <w:t>(n 190)</w:t>
      </w:r>
      <w:r w:rsidRPr="00A762F7">
        <w:t xml:space="preserve"> 60. </w:t>
      </w:r>
      <w:bookmarkEnd w:id="719"/>
    </w:p>
  </w:footnote>
  <w:footnote w:id="881">
    <w:p w14:paraId="3C75855F" w14:textId="1E3983BC"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rPr>
          <w:lang w:val="en-US"/>
        </w:rPr>
        <w:t xml:space="preserve">Dustin W. Edwards ‘Circulation Gatekeepers: Unbundling the Platform Politics of YouTube’s Content ID’, [2018] 47 Computers and Composition 61, 66, </w:t>
      </w:r>
      <w:r>
        <w:rPr>
          <w:lang w:val="en-US"/>
        </w:rPr>
        <w:t>referr</w:t>
      </w:r>
      <w:r w:rsidRPr="00A762F7">
        <w:rPr>
          <w:lang w:val="en-US"/>
        </w:rPr>
        <w:t xml:space="preserve">ing </w:t>
      </w:r>
      <w:r>
        <w:rPr>
          <w:lang w:val="en-US"/>
        </w:rPr>
        <w:t xml:space="preserve">to </w:t>
      </w:r>
      <w:r w:rsidRPr="00A762F7">
        <w:rPr>
          <w:lang w:val="en-US"/>
        </w:rPr>
        <w:t xml:space="preserve">Karine Nahon and Jeff Hemsley, </w:t>
      </w:r>
      <w:r w:rsidRPr="009C5635">
        <w:rPr>
          <w:i/>
          <w:iCs/>
          <w:lang w:val="en-US"/>
        </w:rPr>
        <w:t>Going viral</w:t>
      </w:r>
      <w:r w:rsidRPr="00A762F7">
        <w:rPr>
          <w:lang w:val="en-US"/>
        </w:rPr>
        <w:t xml:space="preserve"> (Polity Press 2013) 43.  </w:t>
      </w:r>
    </w:p>
  </w:footnote>
  <w:footnote w:id="882">
    <w:p w14:paraId="038A6F39" w14:textId="26DAC0C2"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 xml:space="preserve">See also </w:t>
      </w:r>
      <w:r w:rsidRPr="00A762F7">
        <w:rPr>
          <w:lang w:val="en-US"/>
        </w:rPr>
        <w:t xml:space="preserve">Orla Lynskey, ‘Regulating ‘Platform Power’ </w:t>
      </w:r>
      <w:r>
        <w:rPr>
          <w:lang w:val="en-US"/>
        </w:rPr>
        <w:t>(</w:t>
      </w:r>
      <w:r w:rsidRPr="00A762F7">
        <w:rPr>
          <w:lang w:val="en-US"/>
        </w:rPr>
        <w:t>2017</w:t>
      </w:r>
      <w:r>
        <w:rPr>
          <w:lang w:val="en-US"/>
        </w:rPr>
        <w:t>)</w:t>
      </w:r>
      <w:r w:rsidRPr="00A762F7">
        <w:rPr>
          <w:lang w:val="en-US"/>
        </w:rPr>
        <w:t xml:space="preserve"> LSE Law, Society and Economy Working Papers</w:t>
      </w:r>
      <w:r>
        <w:rPr>
          <w:lang w:val="en-US"/>
        </w:rPr>
        <w:t>,</w:t>
      </w:r>
      <w:r w:rsidRPr="00A762F7">
        <w:rPr>
          <w:lang w:val="en-US"/>
        </w:rPr>
        <w:t xml:space="preserve"> 1/2017, 10 ˂</w:t>
      </w:r>
      <w:r w:rsidRPr="00EA428D">
        <w:t>http://eprints.lse.ac.uk/73404/1/WPS2017-01_Lynskey.pdf</w:t>
      </w:r>
      <w:r w:rsidRPr="00A762F7">
        <w:rPr>
          <w:lang w:val="en-US"/>
        </w:rPr>
        <w:t>˃ accessed</w:t>
      </w:r>
      <w:r>
        <w:rPr>
          <w:lang w:val="en-US"/>
        </w:rPr>
        <w:t xml:space="preserve"> 9 October 2020</w:t>
      </w:r>
      <w:r w:rsidRPr="00A762F7">
        <w:rPr>
          <w:lang w:val="en-US"/>
        </w:rPr>
        <w:t xml:space="preserve">; Edwards (n </w:t>
      </w:r>
      <w:r>
        <w:rPr>
          <w:lang w:val="en-US"/>
        </w:rPr>
        <w:t>881</w:t>
      </w:r>
      <w:r w:rsidRPr="00A762F7">
        <w:rPr>
          <w:lang w:val="en-US"/>
        </w:rPr>
        <w:t>) 66.</w:t>
      </w:r>
    </w:p>
  </w:footnote>
  <w:footnote w:id="883">
    <w:p w14:paraId="3D5C51DF" w14:textId="2C1C6B1F" w:rsidR="005C0DC6" w:rsidRDefault="005C0DC6" w:rsidP="00B24620">
      <w:pPr>
        <w:pStyle w:val="FootnoteText"/>
        <w:ind w:left="426" w:hanging="426"/>
        <w:jc w:val="both"/>
      </w:pPr>
      <w:r>
        <w:rPr>
          <w:rStyle w:val="FootnoteReference"/>
        </w:rPr>
        <w:footnoteRef/>
      </w:r>
      <w:r>
        <w:t xml:space="preserve"> </w:t>
      </w:r>
      <w:r>
        <w:tab/>
        <w:t>See the section ‘</w:t>
      </w:r>
      <w:r w:rsidRPr="005A2065">
        <w:t>3.1.3.</w:t>
      </w:r>
      <w:r>
        <w:t xml:space="preserve"> </w:t>
      </w:r>
      <w:r w:rsidRPr="005A2065">
        <w:t>Brief analysis of major concerns on the cumulative ground of</w:t>
      </w:r>
      <w:r>
        <w:t xml:space="preserve"> </w:t>
      </w:r>
      <w:r w:rsidRPr="005A2065">
        <w:t>‘gatekeeping’</w:t>
      </w:r>
      <w:r>
        <w:t xml:space="preserve">’; Laidlaw (n 179) 33, 46. </w:t>
      </w:r>
    </w:p>
  </w:footnote>
  <w:footnote w:id="884">
    <w:p w14:paraId="53418447" w14:textId="7186677D" w:rsidR="005C0DC6" w:rsidRDefault="005C0DC6" w:rsidP="00B24620">
      <w:pPr>
        <w:pStyle w:val="FootnoteText"/>
        <w:ind w:left="426" w:hanging="426"/>
        <w:jc w:val="both"/>
      </w:pPr>
      <w:r>
        <w:rPr>
          <w:rStyle w:val="FootnoteReference"/>
        </w:rPr>
        <w:footnoteRef/>
      </w:r>
      <w:r>
        <w:t xml:space="preserve"> </w:t>
      </w:r>
      <w:r>
        <w:tab/>
      </w:r>
      <w:r w:rsidRPr="00A762F7">
        <w:t xml:space="preserve">Pieter </w:t>
      </w:r>
      <w:r w:rsidRPr="00A762F7">
        <w:rPr>
          <w:lang w:val="en-US"/>
        </w:rPr>
        <w:t>Ballon, ‘The Platformisation of the European Mobile Industry’ [2009] 75</w:t>
      </w:r>
      <w:r>
        <w:rPr>
          <w:lang w:val="en-US"/>
        </w:rPr>
        <w:t xml:space="preserve"> 3rd </w:t>
      </w:r>
      <w:r w:rsidRPr="00A762F7">
        <w:rPr>
          <w:lang w:val="en-US"/>
        </w:rPr>
        <w:t>Q Communications &amp; Strategies 15, 23</w:t>
      </w:r>
      <w:r>
        <w:rPr>
          <w:lang w:val="en-US"/>
        </w:rPr>
        <w:t>.</w:t>
      </w:r>
    </w:p>
  </w:footnote>
  <w:footnote w:id="885">
    <w:p w14:paraId="4A2E3D45" w14:textId="3D1D3177" w:rsidR="005C0DC6" w:rsidRDefault="005C0DC6" w:rsidP="00B24620">
      <w:pPr>
        <w:pStyle w:val="FootnoteText"/>
        <w:ind w:left="426" w:hanging="426"/>
        <w:jc w:val="both"/>
      </w:pPr>
      <w:r>
        <w:rPr>
          <w:rStyle w:val="FootnoteReference"/>
        </w:rPr>
        <w:footnoteRef/>
      </w:r>
      <w:r>
        <w:t xml:space="preserve"> </w:t>
      </w:r>
      <w:r>
        <w:tab/>
        <w:t>See also Dijck, Nieborg and</w:t>
      </w:r>
      <w:r w:rsidRPr="004C78F7">
        <w:t xml:space="preserve"> </w:t>
      </w:r>
      <w:r>
        <w:t>Poell (n 855).</w:t>
      </w:r>
    </w:p>
  </w:footnote>
  <w:footnote w:id="886">
    <w:p w14:paraId="33D1A803" w14:textId="4949605B" w:rsidR="005C0DC6" w:rsidRDefault="005C0DC6" w:rsidP="00B24620">
      <w:pPr>
        <w:pStyle w:val="FootnoteText"/>
        <w:ind w:left="426" w:hanging="426"/>
        <w:jc w:val="both"/>
      </w:pPr>
      <w:r>
        <w:rPr>
          <w:rStyle w:val="FootnoteReference"/>
        </w:rPr>
        <w:footnoteRef/>
      </w:r>
      <w:r>
        <w:t xml:space="preserve"> </w:t>
      </w:r>
      <w:r>
        <w:tab/>
        <w:t>See the section ‘</w:t>
      </w:r>
      <w:r w:rsidRPr="005111EB">
        <w:t>3.1.3.</w:t>
      </w:r>
      <w:r>
        <w:t xml:space="preserve"> </w:t>
      </w:r>
      <w:r w:rsidRPr="005111EB">
        <w:t>Brief analysis of major concerns on the cumulative ground of ‘gatekeeping’</w:t>
      </w:r>
      <w:r>
        <w:t>’.</w:t>
      </w:r>
    </w:p>
  </w:footnote>
  <w:footnote w:id="887">
    <w:p w14:paraId="70D98BC9" w14:textId="31ABE1CD"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Pieter Ballon and Eric Van Heesvelde ‘ICT platforms and regulatory concerns in Europe’ [2011] 35 Telecommunications Policy 702, 704.</w:t>
      </w:r>
    </w:p>
  </w:footnote>
  <w:footnote w:id="888">
    <w:p w14:paraId="64D4930E" w14:textId="2A0239E2" w:rsidR="005C0DC6" w:rsidRPr="00A762F7" w:rsidRDefault="005C0DC6" w:rsidP="00A70042">
      <w:pPr>
        <w:pStyle w:val="FootnoteText"/>
        <w:ind w:left="426" w:hanging="426"/>
        <w:jc w:val="both"/>
        <w:rPr>
          <w:lang w:val="en-US"/>
        </w:rPr>
      </w:pPr>
      <w:r w:rsidRPr="00A762F7">
        <w:rPr>
          <w:rStyle w:val="FootnoteReference"/>
        </w:rPr>
        <w:footnoteRef/>
      </w:r>
      <w:r w:rsidRPr="00A762F7">
        <w:t xml:space="preserve"> </w:t>
      </w:r>
      <w:r>
        <w:tab/>
      </w:r>
      <w:r w:rsidRPr="00A762F7">
        <w:t>Ibid.</w:t>
      </w:r>
    </w:p>
  </w:footnote>
  <w:footnote w:id="889">
    <w:p w14:paraId="137F3900" w14:textId="037CDDA6" w:rsidR="005C0DC6" w:rsidRDefault="005C0DC6" w:rsidP="00B24620">
      <w:pPr>
        <w:pStyle w:val="FootnoteText"/>
        <w:ind w:left="426" w:hanging="426"/>
        <w:jc w:val="both"/>
      </w:pPr>
      <w:r>
        <w:rPr>
          <w:rStyle w:val="FootnoteReference"/>
        </w:rPr>
        <w:footnoteRef/>
      </w:r>
      <w:r>
        <w:t xml:space="preserve"> </w:t>
      </w:r>
      <w:r>
        <w:tab/>
        <w:t>See the section ‘</w:t>
      </w:r>
      <w:r w:rsidRPr="005111EB">
        <w:t>3.1.3.</w:t>
      </w:r>
      <w:r>
        <w:t xml:space="preserve"> </w:t>
      </w:r>
      <w:r w:rsidRPr="005111EB">
        <w:t>Brief analysis of major concerns on the cumulative ground of ‘gatekeeping’</w:t>
      </w:r>
      <w:r>
        <w:t>’.</w:t>
      </w:r>
    </w:p>
  </w:footnote>
  <w:footnote w:id="890">
    <w:p w14:paraId="7425FAA8" w14:textId="6E5070FB" w:rsidR="005C0DC6" w:rsidRPr="00692300" w:rsidRDefault="005C0DC6" w:rsidP="00A70042">
      <w:pPr>
        <w:pStyle w:val="FootnoteText"/>
        <w:ind w:left="426" w:hanging="426"/>
        <w:jc w:val="both"/>
        <w:rPr>
          <w:lang w:val="en-US"/>
        </w:rPr>
      </w:pPr>
      <w:r>
        <w:rPr>
          <w:rStyle w:val="FootnoteReference"/>
        </w:rPr>
        <w:footnoteRef/>
      </w:r>
      <w:r>
        <w:t xml:space="preserve"> </w:t>
      </w:r>
      <w:r>
        <w:tab/>
        <w:t xml:space="preserve">Partly inspired by </w:t>
      </w:r>
      <w:r>
        <w:rPr>
          <w:lang w:val="en-US"/>
        </w:rPr>
        <w:t>Robert Easley, Hong Guo and Jan Kraemer ‘From Network Neutrality to Data Neutrality</w:t>
      </w:r>
      <w:r w:rsidRPr="00E54175">
        <w:rPr>
          <w:lang w:val="en-US"/>
        </w:rPr>
        <w:t>: A Techno-Economic Framework and Research Agenda</w:t>
      </w:r>
      <w:r>
        <w:rPr>
          <w:lang w:val="en-US"/>
        </w:rPr>
        <w:t>’</w:t>
      </w:r>
      <w:r w:rsidRPr="00E54175">
        <w:rPr>
          <w:lang w:val="en-US"/>
        </w:rPr>
        <w:t xml:space="preserve"> (</w:t>
      </w:r>
      <w:r w:rsidRPr="00CF2648">
        <w:rPr>
          <w:i/>
          <w:iCs/>
          <w:lang w:val="en-US"/>
        </w:rPr>
        <w:t>SSRN</w:t>
      </w:r>
      <w:r w:rsidRPr="00CF2648">
        <w:rPr>
          <w:lang w:val="en-US"/>
        </w:rPr>
        <w:t xml:space="preserve">, </w:t>
      </w:r>
      <w:r>
        <w:rPr>
          <w:lang w:val="en-US"/>
        </w:rPr>
        <w:t xml:space="preserve">8 </w:t>
      </w:r>
      <w:r w:rsidRPr="00E54175">
        <w:rPr>
          <w:lang w:val="en-US"/>
        </w:rPr>
        <w:t>March 2017)</w:t>
      </w:r>
      <w:r>
        <w:rPr>
          <w:lang w:val="en-US"/>
        </w:rPr>
        <w:t xml:space="preserve"> 26 ˂</w:t>
      </w:r>
      <w:r w:rsidRPr="00E54175">
        <w:rPr>
          <w:lang w:val="en-US"/>
        </w:rPr>
        <w:t>https://ssrn.com/abstract=2666217</w:t>
      </w:r>
      <w:r>
        <w:rPr>
          <w:lang w:val="en-US"/>
        </w:rPr>
        <w:t>˃ accessed 9 October 2020.</w:t>
      </w:r>
    </w:p>
  </w:footnote>
  <w:footnote w:id="891">
    <w:p w14:paraId="4970D34F" w14:textId="7758CB81" w:rsidR="005C0DC6" w:rsidRDefault="005C0DC6" w:rsidP="00692824">
      <w:pPr>
        <w:pStyle w:val="FootnoteText"/>
        <w:ind w:left="426" w:hanging="426"/>
        <w:jc w:val="both"/>
      </w:pPr>
      <w:r>
        <w:rPr>
          <w:rStyle w:val="FootnoteReference"/>
        </w:rPr>
        <w:footnoteRef/>
      </w:r>
      <w:r>
        <w:t xml:space="preserve"> </w:t>
      </w:r>
      <w:r>
        <w:tab/>
        <w:t>See the section ‘</w:t>
      </w:r>
      <w:r w:rsidRPr="00BC7E01">
        <w:t>8.4.2.</w:t>
      </w:r>
      <w:r>
        <w:t xml:space="preserve"> </w:t>
      </w:r>
      <w:r w:rsidRPr="00BC7E01">
        <w:t>Revitalising gatekeeping and gatekeeping activitie</w:t>
      </w:r>
      <w:r>
        <w:t>s’. See also Emily B. Laidlaw, ‘Private Power, Public Interest: An Examination of Search Engine Accountability’ [</w:t>
      </w:r>
      <w:r w:rsidRPr="00BC7E01">
        <w:t>2009</w:t>
      </w:r>
      <w:r>
        <w:t xml:space="preserve">] 17(1) </w:t>
      </w:r>
      <w:r w:rsidRPr="00BC7E01">
        <w:t>International Journal of Law and Information Technology</w:t>
      </w:r>
      <w:r>
        <w:t xml:space="preserve"> 113</w:t>
      </w:r>
      <w:r w:rsidRPr="00BC7E01">
        <w:t>,</w:t>
      </w:r>
      <w:r>
        <w:t xml:space="preserve"> 115. </w:t>
      </w:r>
    </w:p>
  </w:footnote>
  <w:footnote w:id="892">
    <w:p w14:paraId="579DD12E" w14:textId="0826CCAF" w:rsidR="005C0DC6" w:rsidRDefault="005C0DC6" w:rsidP="00B24620">
      <w:pPr>
        <w:pStyle w:val="FootnoteText"/>
        <w:ind w:left="426" w:hanging="426"/>
        <w:jc w:val="both"/>
      </w:pPr>
      <w:r>
        <w:rPr>
          <w:rStyle w:val="FootnoteReference"/>
        </w:rPr>
        <w:footnoteRef/>
      </w:r>
      <w:r>
        <w:t xml:space="preserve"> </w:t>
      </w:r>
      <w:r>
        <w:tab/>
        <w:t xml:space="preserve">See Brent Daniel Mittelstadt et al., ‘The ethics of algorithms: Mapping the debate’ July-December 2016, Big Data &amp; Society 1, 4. </w:t>
      </w:r>
    </w:p>
  </w:footnote>
  <w:footnote w:id="893">
    <w:p w14:paraId="60A78B6A" w14:textId="28133B1E" w:rsidR="005C0DC6" w:rsidRDefault="005C0DC6" w:rsidP="00692824">
      <w:pPr>
        <w:pStyle w:val="FootnoteText"/>
        <w:ind w:left="426" w:hanging="426"/>
        <w:jc w:val="both"/>
      </w:pPr>
      <w:r>
        <w:rPr>
          <w:rStyle w:val="FootnoteReference"/>
        </w:rPr>
        <w:footnoteRef/>
      </w:r>
      <w:r>
        <w:t xml:space="preserve"> </w:t>
      </w:r>
      <w:r>
        <w:tab/>
        <w:t>There are other literature analysing the concerns attributable to</w:t>
      </w:r>
      <w:r w:rsidRPr="00034F8F">
        <w:t xml:space="preserve"> algorithm</w:t>
      </w:r>
      <w:r>
        <w:t xml:space="preserve">s and </w:t>
      </w:r>
      <w:r w:rsidRPr="00034F8F">
        <w:t>AI</w:t>
      </w:r>
      <w:r>
        <w:t xml:space="preserve">. See Karen Yeung, ‘Why worry about decision-making by machine?’ in K. Yeung and M. Lodge (eds) </w:t>
      </w:r>
      <w:r w:rsidRPr="00093ADA">
        <w:rPr>
          <w:i/>
          <w:iCs/>
        </w:rPr>
        <w:t>Algorithmic Regulation</w:t>
      </w:r>
      <w:r>
        <w:t xml:space="preserve"> (OUP 2019) 21-48; Teresa Scantamburlo, Andrew Charlesworth, and Nello Cristianini, ‘Machine decisions and human consequences’ in K. Yeung and M. Lodge (eds) </w:t>
      </w:r>
      <w:r w:rsidRPr="00093ADA">
        <w:rPr>
          <w:i/>
          <w:iCs/>
        </w:rPr>
        <w:t>Algorithmic Regulation</w:t>
      </w:r>
      <w:r>
        <w:t xml:space="preserve"> (OUP 2019) 49-81; S. C. Olhede and P. J. Wolfe, ‘The algorithms ubiquity of algorithms in society: implications, impacts and innovations’ Phil. Trans. Royal Society &lt;https://dx.doi.org/10.1098/rsta.2017.0364&gt; accessed 9 October 2020.</w:t>
      </w:r>
    </w:p>
  </w:footnote>
  <w:footnote w:id="894">
    <w:p w14:paraId="1FD72DF2" w14:textId="706CE52C" w:rsidR="005C0DC6" w:rsidRDefault="005C0DC6" w:rsidP="00B24620">
      <w:pPr>
        <w:pStyle w:val="FootnoteText"/>
        <w:ind w:left="426" w:hanging="426"/>
        <w:jc w:val="both"/>
      </w:pPr>
      <w:r>
        <w:rPr>
          <w:rStyle w:val="FootnoteReference"/>
        </w:rPr>
        <w:footnoteRef/>
      </w:r>
      <w:r>
        <w:t xml:space="preserve"> </w:t>
      </w:r>
      <w:r>
        <w:tab/>
        <w:t>Mittelstadt et al (n 892) 5 and 8.</w:t>
      </w:r>
    </w:p>
  </w:footnote>
  <w:footnote w:id="895">
    <w:p w14:paraId="5EE377E1" w14:textId="4D04579F" w:rsidR="005C0DC6" w:rsidRPr="00A762F7" w:rsidRDefault="005C0DC6" w:rsidP="00F56029">
      <w:pPr>
        <w:pStyle w:val="FootnoteText"/>
        <w:ind w:left="426" w:hanging="426"/>
        <w:jc w:val="both"/>
      </w:pPr>
      <w:r w:rsidRPr="00A762F7">
        <w:rPr>
          <w:rStyle w:val="FootnoteReference"/>
        </w:rPr>
        <w:footnoteRef/>
      </w:r>
      <w:r w:rsidRPr="00A762F7">
        <w:t xml:space="preserve"> </w:t>
      </w:r>
      <w:r>
        <w:tab/>
      </w:r>
      <w:r w:rsidRPr="000030FF">
        <w:t>Google’s discriminatory ranking in online shopping compa</w:t>
      </w:r>
      <w:r w:rsidRPr="00326EC8">
        <w:t>rison services, as was found as an ‘abuse of dominance’ by the EU Commission, illust</w:t>
      </w:r>
      <w:r w:rsidRPr="009A0280">
        <w:t xml:space="preserve">rates </w:t>
      </w:r>
      <w:r w:rsidRPr="00692824">
        <w:t>a</w:t>
      </w:r>
      <w:r w:rsidRPr="000030FF">
        <w:t xml:space="preserve"> restrictive practice</w:t>
      </w:r>
      <w:r w:rsidRPr="00692824">
        <w:t xml:space="preserve"> arousing techno-social concern</w:t>
      </w:r>
      <w:r>
        <w:t>,</w:t>
      </w:r>
      <w:r w:rsidRPr="00692824">
        <w:t xml:space="preserve"> to be qualified as a gatekeeping activity</w:t>
      </w:r>
      <w:r w:rsidRPr="000030FF">
        <w:t xml:space="preserve">. </w:t>
      </w:r>
      <w:r w:rsidRPr="00A762F7">
        <w:t xml:space="preserve">In June 2017, Google </w:t>
      </w:r>
      <w:r>
        <w:t>w</w:t>
      </w:r>
      <w:r w:rsidRPr="00A762F7">
        <w:t xml:space="preserve">as fined 2.4 billion EUR for abusing its dominant position </w:t>
      </w:r>
      <w:r>
        <w:t>i</w:t>
      </w:r>
      <w:r w:rsidRPr="00A762F7">
        <w:t>n the ‘online search’ market</w:t>
      </w:r>
      <w:r>
        <w:t>,</w:t>
      </w:r>
      <w:r w:rsidRPr="00A762F7">
        <w:t xml:space="preserve"> to hamper </w:t>
      </w:r>
      <w:r>
        <w:t xml:space="preserve">the </w:t>
      </w:r>
      <w:r w:rsidRPr="00A762F7">
        <w:t xml:space="preserve">competition ‘online shopping comparison’ market during the years between 2008 and 2013. Google thereby was ordered by the Commission to ensure “equal terms” for all competitors </w:t>
      </w:r>
      <w:r>
        <w:t>i</w:t>
      </w:r>
      <w:r w:rsidRPr="00A762F7">
        <w:t xml:space="preserve">n the online shopping comparison market based on the fact that </w:t>
      </w:r>
      <w:r>
        <w:t>t</w:t>
      </w:r>
      <w:r w:rsidRPr="00A762F7">
        <w:t>he</w:t>
      </w:r>
      <w:r>
        <w:t>y</w:t>
      </w:r>
      <w:r w:rsidRPr="00A762F7">
        <w:t xml:space="preserve"> favoured </w:t>
      </w:r>
      <w:r>
        <w:t xml:space="preserve">their </w:t>
      </w:r>
      <w:r w:rsidRPr="00A762F7">
        <w:t>own services with the result</w:t>
      </w:r>
      <w:r>
        <w:t xml:space="preserve"> being</w:t>
      </w:r>
      <w:r w:rsidRPr="00A762F7">
        <w:t xml:space="preserve"> restricting the users’ freedom to choose among the available options. (See</w:t>
      </w:r>
      <w:r>
        <w:t xml:space="preserve"> the</w:t>
      </w:r>
      <w:r w:rsidRPr="00A762F7">
        <w:t xml:space="preserve"> European Commission</w:t>
      </w:r>
      <w:r>
        <w:t>,</w:t>
      </w:r>
      <w:r w:rsidRPr="00A762F7">
        <w:t xml:space="preserve"> Press release, </w:t>
      </w:r>
      <w:r>
        <w:t>‘</w:t>
      </w:r>
      <w:r w:rsidRPr="00A762F7">
        <w:t xml:space="preserve">Antitrust: Commission fines Google €2.42 billion for abusing </w:t>
      </w:r>
      <w:r>
        <w:t xml:space="preserve">its </w:t>
      </w:r>
      <w:r w:rsidRPr="00A762F7">
        <w:t xml:space="preserve">dominance as </w:t>
      </w:r>
      <w:r>
        <w:t xml:space="preserve">a </w:t>
      </w:r>
      <w:r w:rsidRPr="00A762F7">
        <w:t>search engine by giving</w:t>
      </w:r>
      <w:r>
        <w:t xml:space="preserve"> an</w:t>
      </w:r>
      <w:r w:rsidRPr="00A762F7">
        <w:t xml:space="preserve"> illegal advantage to </w:t>
      </w:r>
      <w:r>
        <w:t xml:space="preserve">its </w:t>
      </w:r>
      <w:r w:rsidRPr="00A762F7">
        <w:t>own comparison shopping service</w:t>
      </w:r>
      <w:r>
        <w:t>’</w:t>
      </w:r>
      <w:r w:rsidRPr="00A762F7">
        <w:t>, 27 June 2017 &lt;</w:t>
      </w:r>
      <w:hyperlink r:id="rId21" w:history="1">
        <w:r w:rsidRPr="00EA428D">
          <w:t>http://europa.eu/rapid/press-release_IP-17-1784_en.htm</w:t>
        </w:r>
      </w:hyperlink>
      <w:r w:rsidRPr="00EA428D">
        <w:t xml:space="preserve">&gt; accessed </w:t>
      </w:r>
      <w:r>
        <w:t>9 October 2020</w:t>
      </w:r>
      <w:r w:rsidRPr="00A762F7">
        <w:t xml:space="preserve">). </w:t>
      </w:r>
    </w:p>
  </w:footnote>
  <w:footnote w:id="896">
    <w:p w14:paraId="0B766C4E" w14:textId="47CD508A" w:rsidR="005C0DC6" w:rsidRDefault="005C0DC6" w:rsidP="00692824">
      <w:pPr>
        <w:pStyle w:val="FootnoteText"/>
        <w:ind w:left="426" w:hanging="426"/>
        <w:jc w:val="both"/>
      </w:pPr>
      <w:r>
        <w:rPr>
          <w:rStyle w:val="FootnoteReference"/>
        </w:rPr>
        <w:footnoteRef/>
      </w:r>
      <w:r>
        <w:t xml:space="preserve"> </w:t>
      </w:r>
      <w:r>
        <w:tab/>
        <w:t>Platforms’ exclusionary behaviours would have far-reaching impact on the app providers and their services. Apple’s exclusion of the ‘Drone +’ application from its app store and exclusion of ‘Disconnect’ from Google Play illustrate this (</w:t>
      </w:r>
      <w:bookmarkStart w:id="725" w:name="_Hlk52769538"/>
      <w:r>
        <w:t>Luca Belli and Nicolo Zingales, ‘How Platforms are Regulated and How They Regulate Us’ Official Outcome of the UN IGF Dynamic Coalition on Platform Responsibility (United Nations Internet Governance Forum, 2017)</w:t>
      </w:r>
      <w:bookmarkEnd w:id="725"/>
      <w:r>
        <w:t xml:space="preserve"> 88-91). In the former instance, Apple’s rejecting launch of an app that would provide real-time alerts of drone strikes, called ‘Drone+’, in its app store, was the conflict between the parties. The app provider was given two reasons for this rejection, respectively for it was ‘not useful’ and on the ground that it was ‘objectionable and crude’. While not clear-cut unlike with the former, Google’s rejection of Disconnect, a privacy enhancing technology app provider, implicates an allegedly unfair discrimination among the software provided by them and Google’s subsidiary, also denoting a likely ‘unfair outcome’. While the first instance exemplifies a platform’s arbitrary reasoning for an exclusion, the latter instance would potentially be representative of an unfair discrimination in favour of a platform’s own software also creating a competitive advantage for himself.</w:t>
      </w:r>
    </w:p>
  </w:footnote>
  <w:footnote w:id="897">
    <w:p w14:paraId="5D5B0637" w14:textId="513BABDB" w:rsidR="005C0DC6" w:rsidRDefault="005C0DC6" w:rsidP="00B24620">
      <w:pPr>
        <w:pStyle w:val="FootnoteText"/>
        <w:ind w:left="426" w:hanging="426"/>
        <w:jc w:val="both"/>
      </w:pPr>
      <w:r>
        <w:rPr>
          <w:rStyle w:val="FootnoteReference"/>
        </w:rPr>
        <w:footnoteRef/>
      </w:r>
      <w:r>
        <w:t xml:space="preserve"> </w:t>
      </w:r>
      <w:bookmarkStart w:id="726" w:name="_Hlk52769778"/>
      <w:r>
        <w:tab/>
        <w:t>Stuart Dredge, ‘</w:t>
      </w:r>
      <w:r w:rsidRPr="00EB1704">
        <w:t>How does Facebook decide what to show in my news feed?</w:t>
      </w:r>
      <w:r>
        <w:t>’ (Guardian, 30 June 2014) &lt;</w:t>
      </w:r>
      <w:r w:rsidRPr="00EB1704">
        <w:t>https://www.theguardian.com/technology/2014/jun/30/facebook-news-feed-filters-emotion-study</w:t>
      </w:r>
      <w:r>
        <w:t xml:space="preserve">&gt; accessed </w:t>
      </w:r>
      <w:bookmarkEnd w:id="726"/>
      <w:r>
        <w:t xml:space="preserve">9 October 2020; Nikki </w:t>
      </w:r>
      <w:r w:rsidRPr="00EB1704">
        <w:t>Usher-Layser</w:t>
      </w:r>
      <w:r>
        <w:t>,</w:t>
      </w:r>
      <w:r w:rsidRPr="00EB1704">
        <w:t xml:space="preserve"> </w:t>
      </w:r>
      <w:r>
        <w:t>‘</w:t>
      </w:r>
      <w:r w:rsidRPr="00EB1704">
        <w:t xml:space="preserve">Newsfeed: Facebook, </w:t>
      </w:r>
      <w:r>
        <w:t>F</w:t>
      </w:r>
      <w:r w:rsidRPr="00EB1704">
        <w:t xml:space="preserve">iltering and </w:t>
      </w:r>
      <w:r>
        <w:t>N</w:t>
      </w:r>
      <w:r w:rsidRPr="00EB1704">
        <w:t xml:space="preserve">ews </w:t>
      </w:r>
      <w:r>
        <w:t>C</w:t>
      </w:r>
      <w:r w:rsidRPr="00EB1704">
        <w:t>onsumption</w:t>
      </w:r>
      <w:r>
        <w:t>’</w:t>
      </w:r>
      <w:r w:rsidRPr="00EB1704">
        <w:t xml:space="preserve"> </w:t>
      </w:r>
      <w:r>
        <w:t>(</w:t>
      </w:r>
      <w:r w:rsidRPr="00EB1704">
        <w:t>2016</w:t>
      </w:r>
      <w:r>
        <w:t xml:space="preserve">) </w:t>
      </w:r>
      <w:r w:rsidRPr="00EB1704">
        <w:t>96</w:t>
      </w:r>
      <w:r>
        <w:t>(</w:t>
      </w:r>
      <w:r w:rsidRPr="00EB1704">
        <w:t>3</w:t>
      </w:r>
      <w:r>
        <w:t>)</w:t>
      </w:r>
      <w:r w:rsidRPr="00EB1704">
        <w:t xml:space="preserve"> Phi Kappa Phi Forum,</w:t>
      </w:r>
      <w:r>
        <w:t xml:space="preserve"> 18-21.</w:t>
      </w:r>
    </w:p>
  </w:footnote>
  <w:footnote w:id="898">
    <w:p w14:paraId="407DF864" w14:textId="36A45D96" w:rsidR="005C0DC6" w:rsidRDefault="005C0DC6" w:rsidP="00B24620">
      <w:pPr>
        <w:pStyle w:val="FootnoteText"/>
        <w:ind w:left="426" w:hanging="426"/>
        <w:jc w:val="both"/>
      </w:pPr>
      <w:r>
        <w:rPr>
          <w:rStyle w:val="FootnoteReference"/>
        </w:rPr>
        <w:footnoteRef/>
      </w:r>
      <w:r>
        <w:t xml:space="preserve"> </w:t>
      </w:r>
      <w:r>
        <w:tab/>
        <w:t xml:space="preserve">See Mittelstadt et al (n 892) 9-10. </w:t>
      </w:r>
    </w:p>
  </w:footnote>
  <w:footnote w:id="899">
    <w:p w14:paraId="664F6675" w14:textId="3E2B1261" w:rsidR="005C0DC6" w:rsidRDefault="005C0DC6" w:rsidP="00692824">
      <w:pPr>
        <w:pStyle w:val="FootnoteText"/>
        <w:ind w:left="426" w:hanging="426"/>
        <w:jc w:val="both"/>
      </w:pPr>
      <w:r>
        <w:rPr>
          <w:rStyle w:val="FootnoteReference"/>
        </w:rPr>
        <w:footnoteRef/>
      </w:r>
      <w:r>
        <w:t xml:space="preserve"> </w:t>
      </w:r>
      <w:r>
        <w:tab/>
      </w:r>
      <w:r w:rsidRPr="006F5FE9">
        <w:t xml:space="preserve">It could be argued that even in the presence of data protection tools and safeguards, the transformative effects at stake could not be mitigated easily for the persistent nature of the gatekeeping activity that reach out to individuals’ dignity. </w:t>
      </w:r>
      <w:r>
        <w:t>However, w</w:t>
      </w:r>
      <w:r w:rsidRPr="006F5FE9">
        <w:t>hile the individuals grant their consent as an autonomous/independent person, this does not deter the possibility that the unfairly selective content being reached to themselves through the underlying algorithms.</w:t>
      </w:r>
    </w:p>
  </w:footnote>
  <w:footnote w:id="900">
    <w:p w14:paraId="700E0048" w14:textId="65DDAE2B"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 xml:space="preserve">House of Lords, Select Committee on Communications, </w:t>
      </w:r>
      <w:r w:rsidRPr="00EA428D">
        <w:rPr>
          <w:i/>
          <w:iCs/>
        </w:rPr>
        <w:t>Regulating in a digital world</w:t>
      </w:r>
      <w:r w:rsidRPr="00A762F7">
        <w:t xml:space="preserve"> </w:t>
      </w:r>
      <w:r>
        <w:t>(</w:t>
      </w:r>
      <w:r w:rsidRPr="00A762F7">
        <w:t>2</w:t>
      </w:r>
      <w:r w:rsidRPr="00A762F7">
        <w:rPr>
          <w:vertAlign w:val="superscript"/>
        </w:rPr>
        <w:t>nd</w:t>
      </w:r>
      <w:r w:rsidRPr="00A762F7">
        <w:t xml:space="preserve"> Report of Session 2017-19, March 2019</w:t>
      </w:r>
      <w:r>
        <w:t>)</w:t>
      </w:r>
      <w:r w:rsidRPr="00A762F7">
        <w:t xml:space="preserve"> 3-4.</w:t>
      </w:r>
    </w:p>
  </w:footnote>
  <w:footnote w:id="901">
    <w:p w14:paraId="642DB0BB" w14:textId="046FA37B" w:rsidR="005C0DC6" w:rsidRPr="00A762F7" w:rsidRDefault="005C0DC6" w:rsidP="00A70042">
      <w:pPr>
        <w:pStyle w:val="FootnoteText"/>
        <w:ind w:left="426" w:hanging="426"/>
        <w:jc w:val="both"/>
      </w:pPr>
      <w:r w:rsidRPr="00A762F7">
        <w:rPr>
          <w:rStyle w:val="FootnoteReference"/>
        </w:rPr>
        <w:footnoteRef/>
      </w:r>
      <w:r w:rsidRPr="00A762F7">
        <w:t xml:space="preserve"> </w:t>
      </w:r>
      <w:r>
        <w:tab/>
      </w:r>
      <w:r w:rsidRPr="00A762F7">
        <w:t>Ibid, 5.</w:t>
      </w:r>
    </w:p>
  </w:footnote>
  <w:footnote w:id="902">
    <w:p w14:paraId="38AB7509" w14:textId="2A53E47D" w:rsidR="005C0DC6" w:rsidRDefault="005C0DC6" w:rsidP="00692824">
      <w:pPr>
        <w:pStyle w:val="FootnoteText"/>
        <w:ind w:left="426" w:hanging="426"/>
        <w:jc w:val="both"/>
      </w:pPr>
      <w:r>
        <w:rPr>
          <w:rStyle w:val="FootnoteReference"/>
        </w:rPr>
        <w:footnoteRef/>
      </w:r>
      <w:r>
        <w:t xml:space="preserve"> </w:t>
      </w:r>
      <w:r>
        <w:tab/>
      </w:r>
      <w:r w:rsidRPr="00FA2279">
        <w:t xml:space="preserve">Having a novel character, </w:t>
      </w:r>
      <w:r>
        <w:t xml:space="preserve">it is envisaged that </w:t>
      </w:r>
      <w:r w:rsidRPr="00FA2279">
        <w:t xml:space="preserve">the ‘layered regulatory model’ will replace </w:t>
      </w:r>
      <w:r>
        <w:t xml:space="preserve">the </w:t>
      </w:r>
      <w:r w:rsidRPr="00FA2279">
        <w:t>entrenched terms e.g. ‘market’ and norms e.g. ‘market failure’ with new ones e.g. respectively ‘layer’ and ‘gatekeeping’, and these radical changes would create new inroads for implementation of competition law alongside the proposed model.</w:t>
      </w:r>
    </w:p>
  </w:footnote>
  <w:footnote w:id="903">
    <w:p w14:paraId="653466BF" w14:textId="42112098" w:rsidR="005C0DC6" w:rsidRDefault="005C0DC6" w:rsidP="0023645C">
      <w:pPr>
        <w:pStyle w:val="FootnoteText"/>
        <w:ind w:left="426" w:hanging="426"/>
        <w:jc w:val="both"/>
      </w:pPr>
      <w:r>
        <w:rPr>
          <w:rStyle w:val="FootnoteReference"/>
        </w:rPr>
        <w:footnoteRef/>
      </w:r>
      <w:r>
        <w:t xml:space="preserve"> </w:t>
      </w:r>
      <w:r>
        <w:tab/>
        <w:t>On the other hand, the proposed model envisages that the governing principles and remedies are enforceable also in the case access and/or interoperability is provided in an unfair, non-transparent or ethically unjustifiable manner. In such cases, further safeguards of transparency, fairness and/or accountability remedies would be applied even if there is no need to remedying access/interoperability, meaning that there are still legacy restrictions that need to be addressed. See the section ‘</w:t>
      </w:r>
      <w:r w:rsidRPr="00750318">
        <w:t>8.4.4.2.</w:t>
      </w:r>
      <w:r>
        <w:t xml:space="preserve"> </w:t>
      </w:r>
      <w:r w:rsidRPr="00750318">
        <w:t>Further regulatory steps and obligations</w:t>
      </w:r>
      <w:r>
        <w:t>’.</w:t>
      </w:r>
    </w:p>
  </w:footnote>
  <w:footnote w:id="904">
    <w:p w14:paraId="175DB6EF" w14:textId="0B3E704D" w:rsidR="005C0DC6" w:rsidRDefault="005C0DC6" w:rsidP="0023645C">
      <w:pPr>
        <w:pStyle w:val="FootnoteText"/>
        <w:ind w:left="426" w:hanging="426"/>
        <w:jc w:val="both"/>
      </w:pPr>
      <w:r>
        <w:rPr>
          <w:rStyle w:val="FootnoteReference"/>
        </w:rPr>
        <w:footnoteRef/>
      </w:r>
      <w:r>
        <w:t xml:space="preserve"> </w:t>
      </w:r>
      <w:r>
        <w:tab/>
        <w:t>See Griffin (n 160) 59. Griffin, after comparing ‘economic justice’ and ‘information justice’ which has been conceptualized as a new notion by himself, concludes as follows:</w:t>
      </w:r>
    </w:p>
  </w:footnote>
  <w:footnote w:id="905">
    <w:p w14:paraId="18161723" w14:textId="7DCA6C53" w:rsidR="005C0DC6" w:rsidRPr="00692824" w:rsidRDefault="005C0DC6" w:rsidP="00692824">
      <w:pPr>
        <w:pStyle w:val="FootnoteText"/>
        <w:ind w:left="851" w:right="567"/>
        <w:jc w:val="both"/>
      </w:pPr>
      <w:r>
        <w:t xml:space="preserve">In the era of information justice, the shift moves towards the conception that the individual should be able to obtain access to information in order to encourage further information production. The invisible hand of Adam Smith that guides the capitalist process is the same hand that guides the information exchange process, namely, the idea that exchange should be a possibility </w:t>
      </w:r>
      <w:r>
        <w:rPr>
          <w:color w:val="000000"/>
        </w:rPr>
        <w:t>(Griffin (n 167) 59)</w:t>
      </w:r>
      <w:r>
        <w:t xml:space="preserve"> (…) </w:t>
      </w:r>
      <w:r>
        <w:rPr>
          <w:color w:val="000000"/>
        </w:rPr>
        <w:t>To start to regulate information in a new way raises the possibility that regulation will stifle the use of information in a way that will impact the fundamental rationales and existence of exchange, that very notion of exchange which was central to the development of society. This is the ultimate paradox that information regulation brings, and it is why this regulation must also be subject to the notion of information justice. (Griffin (n 160) 61-62).</w:t>
      </w:r>
    </w:p>
    <w:p w14:paraId="7744022D" w14:textId="5EEC883F" w:rsidR="005C0DC6" w:rsidRDefault="005C0DC6" w:rsidP="0023645C">
      <w:pPr>
        <w:pStyle w:val="FootnoteText"/>
        <w:ind w:left="426" w:hanging="426"/>
        <w:jc w:val="both"/>
      </w:pPr>
      <w:r>
        <w:rPr>
          <w:rStyle w:val="FootnoteReference"/>
        </w:rPr>
        <w:footnoteRef/>
      </w:r>
      <w:r>
        <w:t xml:space="preserve"> </w:t>
      </w:r>
      <w:r>
        <w:tab/>
        <w:t xml:space="preserve">See Lessig (n 175) 186-187, 269; Boyle (n 174) 94-95.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02432" w14:textId="77777777" w:rsidR="005C0DC6" w:rsidRDefault="005C0DC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74DBAB" w14:textId="77777777" w:rsidR="005C0DC6" w:rsidRDefault="005C0DC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A0789"/>
    <w:multiLevelType w:val="hybridMultilevel"/>
    <w:tmpl w:val="CE345598"/>
    <w:lvl w:ilvl="0" w:tplc="9B76AD2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EB014F"/>
    <w:multiLevelType w:val="hybridMultilevel"/>
    <w:tmpl w:val="DDC2F618"/>
    <w:lvl w:ilvl="0" w:tplc="041F000F">
      <w:start w:val="1"/>
      <w:numFmt w:val="decimal"/>
      <w:lvlText w:val="%1."/>
      <w:lvlJc w:val="left"/>
      <w:pPr>
        <w:ind w:left="720" w:hanging="360"/>
      </w:pPr>
    </w:lvl>
    <w:lvl w:ilvl="1" w:tplc="A71A2CB8">
      <w:start w:val="1"/>
      <w:numFmt w:val="lowerLetter"/>
      <w:lvlText w:val="(%2)"/>
      <w:lvlJc w:val="left"/>
      <w:pPr>
        <w:ind w:left="1440" w:hanging="360"/>
      </w:pPr>
      <w:rPr>
        <w:rFonts w:hint="default"/>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15:restartNumberingAfterBreak="0">
    <w:nsid w:val="064A6476"/>
    <w:multiLevelType w:val="hybridMultilevel"/>
    <w:tmpl w:val="F4BEE222"/>
    <w:lvl w:ilvl="0" w:tplc="F198F84E">
      <w:start w:val="1"/>
      <w:numFmt w:val="lowerRoman"/>
      <w:lvlText w:val="(%1)"/>
      <w:lvlJc w:val="left"/>
      <w:pPr>
        <w:ind w:left="1080" w:hanging="720"/>
      </w:pPr>
      <w:rPr>
        <w:rFonts w:hint="default"/>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B07567"/>
    <w:multiLevelType w:val="hybridMultilevel"/>
    <w:tmpl w:val="FDD2EEE2"/>
    <w:lvl w:ilvl="0" w:tplc="37949EC2">
      <w:start w:val="1"/>
      <w:numFmt w:val="lowerRoman"/>
      <w:lvlText w:val="(%1)"/>
      <w:lvlJc w:val="left"/>
      <w:pPr>
        <w:ind w:left="2746" w:hanging="720"/>
      </w:pPr>
      <w:rPr>
        <w:rFonts w:hint="default"/>
      </w:rPr>
    </w:lvl>
    <w:lvl w:ilvl="1" w:tplc="08090019" w:tentative="1">
      <w:start w:val="1"/>
      <w:numFmt w:val="lowerLetter"/>
      <w:lvlText w:val="%2."/>
      <w:lvlJc w:val="left"/>
      <w:pPr>
        <w:ind w:left="3106" w:hanging="360"/>
      </w:pPr>
    </w:lvl>
    <w:lvl w:ilvl="2" w:tplc="0809001B" w:tentative="1">
      <w:start w:val="1"/>
      <w:numFmt w:val="lowerRoman"/>
      <w:lvlText w:val="%3."/>
      <w:lvlJc w:val="right"/>
      <w:pPr>
        <w:ind w:left="3826" w:hanging="180"/>
      </w:pPr>
    </w:lvl>
    <w:lvl w:ilvl="3" w:tplc="0809000F" w:tentative="1">
      <w:start w:val="1"/>
      <w:numFmt w:val="decimal"/>
      <w:lvlText w:val="%4."/>
      <w:lvlJc w:val="left"/>
      <w:pPr>
        <w:ind w:left="4546" w:hanging="360"/>
      </w:pPr>
    </w:lvl>
    <w:lvl w:ilvl="4" w:tplc="08090019" w:tentative="1">
      <w:start w:val="1"/>
      <w:numFmt w:val="lowerLetter"/>
      <w:lvlText w:val="%5."/>
      <w:lvlJc w:val="left"/>
      <w:pPr>
        <w:ind w:left="5266" w:hanging="360"/>
      </w:pPr>
    </w:lvl>
    <w:lvl w:ilvl="5" w:tplc="0809001B" w:tentative="1">
      <w:start w:val="1"/>
      <w:numFmt w:val="lowerRoman"/>
      <w:lvlText w:val="%6."/>
      <w:lvlJc w:val="right"/>
      <w:pPr>
        <w:ind w:left="5986" w:hanging="180"/>
      </w:pPr>
    </w:lvl>
    <w:lvl w:ilvl="6" w:tplc="0809000F" w:tentative="1">
      <w:start w:val="1"/>
      <w:numFmt w:val="decimal"/>
      <w:lvlText w:val="%7."/>
      <w:lvlJc w:val="left"/>
      <w:pPr>
        <w:ind w:left="6706" w:hanging="360"/>
      </w:pPr>
    </w:lvl>
    <w:lvl w:ilvl="7" w:tplc="08090019" w:tentative="1">
      <w:start w:val="1"/>
      <w:numFmt w:val="lowerLetter"/>
      <w:lvlText w:val="%8."/>
      <w:lvlJc w:val="left"/>
      <w:pPr>
        <w:ind w:left="7426" w:hanging="360"/>
      </w:pPr>
    </w:lvl>
    <w:lvl w:ilvl="8" w:tplc="0809001B" w:tentative="1">
      <w:start w:val="1"/>
      <w:numFmt w:val="lowerRoman"/>
      <w:lvlText w:val="%9."/>
      <w:lvlJc w:val="right"/>
      <w:pPr>
        <w:ind w:left="8146" w:hanging="180"/>
      </w:pPr>
    </w:lvl>
  </w:abstractNum>
  <w:abstractNum w:abstractNumId="4" w15:restartNumberingAfterBreak="0">
    <w:nsid w:val="0B7078DA"/>
    <w:multiLevelType w:val="multilevel"/>
    <w:tmpl w:val="48123D48"/>
    <w:lvl w:ilvl="0">
      <w:start w:val="1"/>
      <w:numFmt w:val="decimal"/>
      <w:lvlText w:val="%1."/>
      <w:lvlJc w:val="left"/>
      <w:pPr>
        <w:ind w:left="360" w:hanging="360"/>
      </w:pPr>
      <w:rPr>
        <w:rFonts w:hint="default"/>
      </w:rPr>
    </w:lvl>
    <w:lvl w:ilvl="1">
      <w:start w:val="1"/>
      <w:numFmt w:val="decimal"/>
      <w:lvlText w:val="%1.%2."/>
      <w:lvlJc w:val="left"/>
      <w:pPr>
        <w:ind w:left="1980" w:hanging="360"/>
      </w:pPr>
      <w:rPr>
        <w:rFonts w:hint="default"/>
        <w:color w:val="auto"/>
      </w:rPr>
    </w:lvl>
    <w:lvl w:ilvl="2">
      <w:start w:val="1"/>
      <w:numFmt w:val="decimal"/>
      <w:lvlText w:val="%1.%2.%3."/>
      <w:lvlJc w:val="left"/>
      <w:pPr>
        <w:ind w:left="3960" w:hanging="720"/>
      </w:pPr>
      <w:rPr>
        <w:rFonts w:hint="default"/>
        <w:i w:val="0"/>
        <w:color w:val="auto"/>
      </w:rPr>
    </w:lvl>
    <w:lvl w:ilvl="3">
      <w:start w:val="1"/>
      <w:numFmt w:val="decimal"/>
      <w:lvlText w:val="%1.%2.%3.%4."/>
      <w:lvlJc w:val="left"/>
      <w:pPr>
        <w:ind w:left="5580" w:hanging="720"/>
      </w:pPr>
      <w:rPr>
        <w:rFonts w:hint="default"/>
      </w:rPr>
    </w:lvl>
    <w:lvl w:ilvl="4">
      <w:start w:val="1"/>
      <w:numFmt w:val="decimal"/>
      <w:lvlText w:val="%1.%2.%3.%4.%5."/>
      <w:lvlJc w:val="left"/>
      <w:pPr>
        <w:ind w:left="7560" w:hanging="1080"/>
      </w:pPr>
      <w:rPr>
        <w:rFonts w:hint="default"/>
      </w:rPr>
    </w:lvl>
    <w:lvl w:ilvl="5">
      <w:start w:val="1"/>
      <w:numFmt w:val="decimal"/>
      <w:lvlText w:val="%1.%2.%3.%4.%5.%6."/>
      <w:lvlJc w:val="left"/>
      <w:pPr>
        <w:ind w:left="9180" w:hanging="1080"/>
      </w:pPr>
      <w:rPr>
        <w:rFonts w:hint="default"/>
      </w:rPr>
    </w:lvl>
    <w:lvl w:ilvl="6">
      <w:start w:val="1"/>
      <w:numFmt w:val="decimal"/>
      <w:lvlText w:val="%1.%2.%3.%4.%5.%6.%7."/>
      <w:lvlJc w:val="left"/>
      <w:pPr>
        <w:ind w:left="11160" w:hanging="1440"/>
      </w:pPr>
      <w:rPr>
        <w:rFonts w:hint="default"/>
      </w:rPr>
    </w:lvl>
    <w:lvl w:ilvl="7">
      <w:start w:val="1"/>
      <w:numFmt w:val="decimal"/>
      <w:lvlText w:val="%1.%2.%3.%4.%5.%6.%7.%8."/>
      <w:lvlJc w:val="left"/>
      <w:pPr>
        <w:ind w:left="12780" w:hanging="1440"/>
      </w:pPr>
      <w:rPr>
        <w:rFonts w:hint="default"/>
      </w:rPr>
    </w:lvl>
    <w:lvl w:ilvl="8">
      <w:start w:val="1"/>
      <w:numFmt w:val="decimal"/>
      <w:lvlText w:val="%1.%2.%3.%4.%5.%6.%7.%8.%9."/>
      <w:lvlJc w:val="left"/>
      <w:pPr>
        <w:ind w:left="14760" w:hanging="1800"/>
      </w:pPr>
      <w:rPr>
        <w:rFonts w:hint="default"/>
      </w:rPr>
    </w:lvl>
  </w:abstractNum>
  <w:abstractNum w:abstractNumId="5" w15:restartNumberingAfterBreak="0">
    <w:nsid w:val="0C6A61B0"/>
    <w:multiLevelType w:val="hybridMultilevel"/>
    <w:tmpl w:val="9DC6200A"/>
    <w:lvl w:ilvl="0" w:tplc="0809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02214C2"/>
    <w:multiLevelType w:val="hybridMultilevel"/>
    <w:tmpl w:val="DDC2F618"/>
    <w:lvl w:ilvl="0" w:tplc="041F000F">
      <w:start w:val="1"/>
      <w:numFmt w:val="decimal"/>
      <w:lvlText w:val="%1."/>
      <w:lvlJc w:val="left"/>
      <w:pPr>
        <w:ind w:left="720" w:hanging="360"/>
      </w:pPr>
    </w:lvl>
    <w:lvl w:ilvl="1" w:tplc="A71A2CB8">
      <w:start w:val="1"/>
      <w:numFmt w:val="lowerLetter"/>
      <w:lvlText w:val="(%2)"/>
      <w:lvlJc w:val="left"/>
      <w:pPr>
        <w:ind w:left="1440" w:hanging="360"/>
      </w:pPr>
      <w:rPr>
        <w:rFonts w:hint="default"/>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17030CF2"/>
    <w:multiLevelType w:val="hybridMultilevel"/>
    <w:tmpl w:val="3D9E29F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877373A"/>
    <w:multiLevelType w:val="hybridMultilevel"/>
    <w:tmpl w:val="D55E285C"/>
    <w:lvl w:ilvl="0" w:tplc="BE7C55C6">
      <w:start w:val="5"/>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AAF53CD"/>
    <w:multiLevelType w:val="hybridMultilevel"/>
    <w:tmpl w:val="4CCC92BE"/>
    <w:lvl w:ilvl="0" w:tplc="BE7C55C6">
      <w:start w:val="5"/>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D422928"/>
    <w:multiLevelType w:val="hybridMultilevel"/>
    <w:tmpl w:val="13784AF6"/>
    <w:lvl w:ilvl="0" w:tplc="1448629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3E30320"/>
    <w:multiLevelType w:val="hybridMultilevel"/>
    <w:tmpl w:val="5420E23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65B277F"/>
    <w:multiLevelType w:val="hybridMultilevel"/>
    <w:tmpl w:val="5A1C67A0"/>
    <w:lvl w:ilvl="0" w:tplc="2CEE3554">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15:restartNumberingAfterBreak="0">
    <w:nsid w:val="30196D56"/>
    <w:multiLevelType w:val="hybridMultilevel"/>
    <w:tmpl w:val="6EFE9152"/>
    <w:lvl w:ilvl="0" w:tplc="C4CC61D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06666B7"/>
    <w:multiLevelType w:val="hybridMultilevel"/>
    <w:tmpl w:val="4F725AAE"/>
    <w:lvl w:ilvl="0" w:tplc="2690DB6C">
      <w:start w:val="1"/>
      <w:numFmt w:val="lowerLetter"/>
      <w:lvlText w:val="(%1)"/>
      <w:lvlJc w:val="left"/>
      <w:pPr>
        <w:ind w:left="540" w:hanging="36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15" w15:restartNumberingAfterBreak="0">
    <w:nsid w:val="3B0A3C1F"/>
    <w:multiLevelType w:val="multilevel"/>
    <w:tmpl w:val="753016E2"/>
    <w:lvl w:ilvl="0">
      <w:start w:val="1"/>
      <w:numFmt w:val="bullet"/>
      <w:lvlText w:val="-"/>
      <w:lvlJc w:val="left"/>
      <w:pPr>
        <w:ind w:left="720" w:hanging="360"/>
      </w:pPr>
      <w:rPr>
        <w:rFonts w:ascii="Calibri" w:hAnsi="Calibri" w:cs="Calibri"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3F206E8B"/>
    <w:multiLevelType w:val="hybridMultilevel"/>
    <w:tmpl w:val="0F36FB66"/>
    <w:lvl w:ilvl="0" w:tplc="5C604240">
      <w:start w:val="3"/>
      <w:numFmt w:val="bullet"/>
      <w:lvlText w:val="-"/>
      <w:lvlJc w:val="left"/>
      <w:pPr>
        <w:ind w:left="1146" w:hanging="360"/>
      </w:pPr>
      <w:rPr>
        <w:rFonts w:ascii="Times New Roman" w:eastAsia="Times New Roman" w:hAnsi="Times New Roman" w:cs="Times New Roman"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17" w15:restartNumberingAfterBreak="0">
    <w:nsid w:val="40762775"/>
    <w:multiLevelType w:val="hybridMultilevel"/>
    <w:tmpl w:val="AB58CE5C"/>
    <w:lvl w:ilvl="0" w:tplc="7902C216">
      <w:start w:val="1"/>
      <w:numFmt w:val="lowerRoman"/>
      <w:lvlText w:val="(%1)"/>
      <w:lvlJc w:val="left"/>
      <w:pPr>
        <w:ind w:left="1080" w:hanging="720"/>
      </w:pPr>
      <w:rPr>
        <w:rFonts w:ascii="Times New Roman" w:eastAsiaTheme="minorHAnsi" w:hAnsi="Times New Roman" w:cs="Times New Roman"/>
      </w:rPr>
    </w:lvl>
    <w:lvl w:ilvl="1" w:tplc="3432AEF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1133CBB"/>
    <w:multiLevelType w:val="multilevel"/>
    <w:tmpl w:val="63B6AEA4"/>
    <w:lvl w:ilvl="0">
      <w:start w:val="4"/>
      <w:numFmt w:val="decimal"/>
      <w:lvlText w:val="%1."/>
      <w:lvlJc w:val="left"/>
      <w:pPr>
        <w:ind w:left="360" w:hanging="360"/>
      </w:pPr>
      <w:rPr>
        <w:rFonts w:hint="default"/>
        <w:color w:val="auto"/>
      </w:rPr>
    </w:lvl>
    <w:lvl w:ilvl="1">
      <w:start w:val="1"/>
      <w:numFmt w:val="decimal"/>
      <w:lvlText w:val="%1.%2."/>
      <w:lvlJc w:val="left"/>
      <w:pPr>
        <w:ind w:left="1440" w:hanging="360"/>
      </w:pPr>
      <w:rPr>
        <w:rFonts w:hint="default"/>
        <w:b/>
        <w:bCs/>
        <w:color w:val="auto"/>
      </w:rPr>
    </w:lvl>
    <w:lvl w:ilvl="2">
      <w:start w:val="1"/>
      <w:numFmt w:val="decimal"/>
      <w:lvlText w:val="%1.%2.%3."/>
      <w:lvlJc w:val="left"/>
      <w:pPr>
        <w:ind w:left="2880" w:hanging="720"/>
      </w:pPr>
      <w:rPr>
        <w:rFonts w:hint="default"/>
        <w:i w:val="0"/>
        <w:iCs/>
        <w:color w:val="auto"/>
      </w:rPr>
    </w:lvl>
    <w:lvl w:ilvl="3">
      <w:start w:val="1"/>
      <w:numFmt w:val="decimal"/>
      <w:lvlText w:val="%1.%2.%3.%4."/>
      <w:lvlJc w:val="left"/>
      <w:pPr>
        <w:ind w:left="3960" w:hanging="720"/>
      </w:pPr>
      <w:rPr>
        <w:rFonts w:hint="default"/>
        <w:i w:val="0"/>
        <w:iCs w:val="0"/>
        <w:color w:val="auto"/>
      </w:rPr>
    </w:lvl>
    <w:lvl w:ilvl="4">
      <w:start w:val="1"/>
      <w:numFmt w:val="decimal"/>
      <w:lvlText w:val="%1.%2.%3.%4.%5."/>
      <w:lvlJc w:val="left"/>
      <w:pPr>
        <w:ind w:left="5400" w:hanging="1080"/>
      </w:pPr>
      <w:rPr>
        <w:rFonts w:hint="default"/>
        <w:color w:val="auto"/>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9" w15:restartNumberingAfterBreak="0">
    <w:nsid w:val="420D3F25"/>
    <w:multiLevelType w:val="hybridMultilevel"/>
    <w:tmpl w:val="08D4263A"/>
    <w:lvl w:ilvl="0" w:tplc="2C644A2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52B423B"/>
    <w:multiLevelType w:val="hybridMultilevel"/>
    <w:tmpl w:val="4784221C"/>
    <w:lvl w:ilvl="0" w:tplc="40542F0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53552E2"/>
    <w:multiLevelType w:val="hybridMultilevel"/>
    <w:tmpl w:val="DB3C1EFE"/>
    <w:lvl w:ilvl="0" w:tplc="EBFCB2E4">
      <w:start w:val="3"/>
      <w:numFmt w:val="bullet"/>
      <w:lvlText w:val="-"/>
      <w:lvlJc w:val="left"/>
      <w:pPr>
        <w:ind w:left="1712" w:hanging="360"/>
      </w:pPr>
      <w:rPr>
        <w:rFonts w:ascii="Times New Roman" w:eastAsia="Times New Roman" w:hAnsi="Times New Roman" w:cs="Times New Roman" w:hint="default"/>
      </w:rPr>
    </w:lvl>
    <w:lvl w:ilvl="1" w:tplc="08090003" w:tentative="1">
      <w:start w:val="1"/>
      <w:numFmt w:val="bullet"/>
      <w:lvlText w:val="o"/>
      <w:lvlJc w:val="left"/>
      <w:pPr>
        <w:ind w:left="2432" w:hanging="360"/>
      </w:pPr>
      <w:rPr>
        <w:rFonts w:ascii="Courier New" w:hAnsi="Courier New" w:cs="Courier New" w:hint="default"/>
      </w:rPr>
    </w:lvl>
    <w:lvl w:ilvl="2" w:tplc="08090005" w:tentative="1">
      <w:start w:val="1"/>
      <w:numFmt w:val="bullet"/>
      <w:lvlText w:val=""/>
      <w:lvlJc w:val="left"/>
      <w:pPr>
        <w:ind w:left="3152" w:hanging="360"/>
      </w:pPr>
      <w:rPr>
        <w:rFonts w:ascii="Wingdings" w:hAnsi="Wingdings" w:hint="default"/>
      </w:rPr>
    </w:lvl>
    <w:lvl w:ilvl="3" w:tplc="08090001" w:tentative="1">
      <w:start w:val="1"/>
      <w:numFmt w:val="bullet"/>
      <w:lvlText w:val=""/>
      <w:lvlJc w:val="left"/>
      <w:pPr>
        <w:ind w:left="3872" w:hanging="360"/>
      </w:pPr>
      <w:rPr>
        <w:rFonts w:ascii="Symbol" w:hAnsi="Symbol" w:hint="default"/>
      </w:rPr>
    </w:lvl>
    <w:lvl w:ilvl="4" w:tplc="08090003" w:tentative="1">
      <w:start w:val="1"/>
      <w:numFmt w:val="bullet"/>
      <w:lvlText w:val="o"/>
      <w:lvlJc w:val="left"/>
      <w:pPr>
        <w:ind w:left="4592" w:hanging="360"/>
      </w:pPr>
      <w:rPr>
        <w:rFonts w:ascii="Courier New" w:hAnsi="Courier New" w:cs="Courier New" w:hint="default"/>
      </w:rPr>
    </w:lvl>
    <w:lvl w:ilvl="5" w:tplc="08090005" w:tentative="1">
      <w:start w:val="1"/>
      <w:numFmt w:val="bullet"/>
      <w:lvlText w:val=""/>
      <w:lvlJc w:val="left"/>
      <w:pPr>
        <w:ind w:left="5312" w:hanging="360"/>
      </w:pPr>
      <w:rPr>
        <w:rFonts w:ascii="Wingdings" w:hAnsi="Wingdings" w:hint="default"/>
      </w:rPr>
    </w:lvl>
    <w:lvl w:ilvl="6" w:tplc="08090001" w:tentative="1">
      <w:start w:val="1"/>
      <w:numFmt w:val="bullet"/>
      <w:lvlText w:val=""/>
      <w:lvlJc w:val="left"/>
      <w:pPr>
        <w:ind w:left="6032" w:hanging="360"/>
      </w:pPr>
      <w:rPr>
        <w:rFonts w:ascii="Symbol" w:hAnsi="Symbol" w:hint="default"/>
      </w:rPr>
    </w:lvl>
    <w:lvl w:ilvl="7" w:tplc="08090003" w:tentative="1">
      <w:start w:val="1"/>
      <w:numFmt w:val="bullet"/>
      <w:lvlText w:val="o"/>
      <w:lvlJc w:val="left"/>
      <w:pPr>
        <w:ind w:left="6752" w:hanging="360"/>
      </w:pPr>
      <w:rPr>
        <w:rFonts w:ascii="Courier New" w:hAnsi="Courier New" w:cs="Courier New" w:hint="default"/>
      </w:rPr>
    </w:lvl>
    <w:lvl w:ilvl="8" w:tplc="08090005" w:tentative="1">
      <w:start w:val="1"/>
      <w:numFmt w:val="bullet"/>
      <w:lvlText w:val=""/>
      <w:lvlJc w:val="left"/>
      <w:pPr>
        <w:ind w:left="7472" w:hanging="360"/>
      </w:pPr>
      <w:rPr>
        <w:rFonts w:ascii="Wingdings" w:hAnsi="Wingdings" w:hint="default"/>
      </w:rPr>
    </w:lvl>
  </w:abstractNum>
  <w:abstractNum w:abstractNumId="22" w15:restartNumberingAfterBreak="0">
    <w:nsid w:val="48A235CF"/>
    <w:multiLevelType w:val="hybridMultilevel"/>
    <w:tmpl w:val="850ECBF0"/>
    <w:lvl w:ilvl="0" w:tplc="52EA66D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3" w15:restartNumberingAfterBreak="0">
    <w:nsid w:val="4B2461E0"/>
    <w:multiLevelType w:val="hybridMultilevel"/>
    <w:tmpl w:val="674AFFF4"/>
    <w:lvl w:ilvl="0" w:tplc="EBFCB2E4">
      <w:start w:val="3"/>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D9F0BAE"/>
    <w:multiLevelType w:val="hybridMultilevel"/>
    <w:tmpl w:val="6AC8F66A"/>
    <w:lvl w:ilvl="0" w:tplc="BE7C55C6">
      <w:start w:val="5"/>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1F31691"/>
    <w:multiLevelType w:val="hybridMultilevel"/>
    <w:tmpl w:val="D2C4588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99D128E"/>
    <w:multiLevelType w:val="hybridMultilevel"/>
    <w:tmpl w:val="358A74B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5B2138C5"/>
    <w:multiLevelType w:val="multilevel"/>
    <w:tmpl w:val="44D64B5E"/>
    <w:lvl w:ilvl="0">
      <w:start w:val="1"/>
      <w:numFmt w:val="bullet"/>
      <w:lvlText w:val="-"/>
      <w:lvlJc w:val="left"/>
      <w:pPr>
        <w:ind w:left="1068" w:hanging="360"/>
      </w:pPr>
      <w:rPr>
        <w:rFonts w:ascii="Calibri" w:hAnsi="Calibri" w:cs="Calibri" w:hint="default"/>
        <w:sz w:val="24"/>
      </w:rPr>
    </w:lvl>
    <w:lvl w:ilvl="1">
      <w:start w:val="1"/>
      <w:numFmt w:val="bullet"/>
      <w:lvlText w:val="o"/>
      <w:lvlJc w:val="left"/>
      <w:pPr>
        <w:ind w:left="1788" w:hanging="360"/>
      </w:pPr>
      <w:rPr>
        <w:rFonts w:ascii="Courier New" w:hAnsi="Courier New" w:cs="Courier New" w:hint="default"/>
      </w:rPr>
    </w:lvl>
    <w:lvl w:ilvl="2">
      <w:start w:val="1"/>
      <w:numFmt w:val="bullet"/>
      <w:lvlText w:val=""/>
      <w:lvlJc w:val="left"/>
      <w:pPr>
        <w:ind w:left="2508" w:hanging="360"/>
      </w:pPr>
      <w:rPr>
        <w:rFonts w:ascii="Wingdings" w:hAnsi="Wingdings" w:cs="Wingdings" w:hint="default"/>
      </w:rPr>
    </w:lvl>
    <w:lvl w:ilvl="3">
      <w:start w:val="1"/>
      <w:numFmt w:val="bullet"/>
      <w:lvlText w:val=""/>
      <w:lvlJc w:val="left"/>
      <w:pPr>
        <w:ind w:left="3228" w:hanging="360"/>
      </w:pPr>
      <w:rPr>
        <w:rFonts w:ascii="Symbol" w:hAnsi="Symbol" w:cs="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cs="Wingdings" w:hint="default"/>
      </w:rPr>
    </w:lvl>
    <w:lvl w:ilvl="6">
      <w:start w:val="1"/>
      <w:numFmt w:val="bullet"/>
      <w:lvlText w:val=""/>
      <w:lvlJc w:val="left"/>
      <w:pPr>
        <w:ind w:left="5388" w:hanging="360"/>
      </w:pPr>
      <w:rPr>
        <w:rFonts w:ascii="Symbol" w:hAnsi="Symbol" w:cs="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cs="Wingdings" w:hint="default"/>
      </w:rPr>
    </w:lvl>
  </w:abstractNum>
  <w:abstractNum w:abstractNumId="28" w15:restartNumberingAfterBreak="0">
    <w:nsid w:val="5BE944F3"/>
    <w:multiLevelType w:val="multilevel"/>
    <w:tmpl w:val="AA6C75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ECD2C43"/>
    <w:multiLevelType w:val="hybridMultilevel"/>
    <w:tmpl w:val="F82E9FCC"/>
    <w:lvl w:ilvl="0" w:tplc="BE7C55C6">
      <w:start w:val="5"/>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57F7D34"/>
    <w:multiLevelType w:val="hybridMultilevel"/>
    <w:tmpl w:val="ECBEC3F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90F3E93"/>
    <w:multiLevelType w:val="hybridMultilevel"/>
    <w:tmpl w:val="981049FA"/>
    <w:lvl w:ilvl="0" w:tplc="2B605B3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9E83DD2"/>
    <w:multiLevelType w:val="hybridMultilevel"/>
    <w:tmpl w:val="4204E0C4"/>
    <w:lvl w:ilvl="0" w:tplc="7902C216">
      <w:start w:val="1"/>
      <w:numFmt w:val="lowerRoman"/>
      <w:lvlText w:val="(%1)"/>
      <w:lvlJc w:val="left"/>
      <w:pPr>
        <w:ind w:left="1080" w:hanging="720"/>
      </w:pPr>
      <w:rPr>
        <w:rFonts w:ascii="Times New Roman" w:eastAsiaTheme="minorHAnsi"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FB071FA"/>
    <w:multiLevelType w:val="hybridMultilevel"/>
    <w:tmpl w:val="ACCA32D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3EE3362"/>
    <w:multiLevelType w:val="hybridMultilevel"/>
    <w:tmpl w:val="FFB8CE2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7886755"/>
    <w:multiLevelType w:val="multilevel"/>
    <w:tmpl w:val="0D48DBFE"/>
    <w:lvl w:ilvl="0">
      <w:start w:val="1"/>
      <w:numFmt w:val="decimal"/>
      <w:lvlText w:val="%1."/>
      <w:lvlJc w:val="left"/>
      <w:pPr>
        <w:ind w:left="360" w:hanging="360"/>
      </w:pPr>
      <w:rPr>
        <w:rFonts w:hint="default"/>
      </w:rPr>
    </w:lvl>
    <w:lvl w:ilvl="1">
      <w:start w:val="1"/>
      <w:numFmt w:val="decimal"/>
      <w:lvlText w:val="%1.%2."/>
      <w:lvlJc w:val="left"/>
      <w:pPr>
        <w:ind w:left="1980" w:hanging="360"/>
      </w:pPr>
      <w:rPr>
        <w:rFonts w:hint="default"/>
        <w:color w:val="auto"/>
      </w:rPr>
    </w:lvl>
    <w:lvl w:ilvl="2">
      <w:start w:val="1"/>
      <w:numFmt w:val="decimal"/>
      <w:lvlText w:val="%1.%2.%3."/>
      <w:lvlJc w:val="left"/>
      <w:pPr>
        <w:ind w:left="3960" w:hanging="720"/>
      </w:pPr>
      <w:rPr>
        <w:rFonts w:hint="default"/>
        <w:b/>
        <w:bCs/>
        <w:i w:val="0"/>
        <w:color w:val="auto"/>
      </w:rPr>
    </w:lvl>
    <w:lvl w:ilvl="3">
      <w:start w:val="1"/>
      <w:numFmt w:val="decimal"/>
      <w:lvlText w:val="%1.%2.%3.%4."/>
      <w:lvlJc w:val="left"/>
      <w:pPr>
        <w:ind w:left="5580" w:hanging="720"/>
      </w:pPr>
      <w:rPr>
        <w:rFonts w:hint="default"/>
      </w:rPr>
    </w:lvl>
    <w:lvl w:ilvl="4">
      <w:start w:val="1"/>
      <w:numFmt w:val="decimal"/>
      <w:lvlText w:val="%1.%2.%3.%4.%5."/>
      <w:lvlJc w:val="left"/>
      <w:pPr>
        <w:ind w:left="7560" w:hanging="1080"/>
      </w:pPr>
      <w:rPr>
        <w:rFonts w:hint="default"/>
      </w:rPr>
    </w:lvl>
    <w:lvl w:ilvl="5">
      <w:start w:val="1"/>
      <w:numFmt w:val="decimal"/>
      <w:lvlText w:val="%1.%2.%3.%4.%5.%6."/>
      <w:lvlJc w:val="left"/>
      <w:pPr>
        <w:ind w:left="9180" w:hanging="1080"/>
      </w:pPr>
      <w:rPr>
        <w:rFonts w:hint="default"/>
      </w:rPr>
    </w:lvl>
    <w:lvl w:ilvl="6">
      <w:start w:val="1"/>
      <w:numFmt w:val="decimal"/>
      <w:lvlText w:val="%1.%2.%3.%4.%5.%6.%7."/>
      <w:lvlJc w:val="left"/>
      <w:pPr>
        <w:ind w:left="11160" w:hanging="1440"/>
      </w:pPr>
      <w:rPr>
        <w:rFonts w:hint="default"/>
      </w:rPr>
    </w:lvl>
    <w:lvl w:ilvl="7">
      <w:start w:val="1"/>
      <w:numFmt w:val="decimal"/>
      <w:lvlText w:val="%1.%2.%3.%4.%5.%6.%7.%8."/>
      <w:lvlJc w:val="left"/>
      <w:pPr>
        <w:ind w:left="12780" w:hanging="1440"/>
      </w:pPr>
      <w:rPr>
        <w:rFonts w:hint="default"/>
      </w:rPr>
    </w:lvl>
    <w:lvl w:ilvl="8">
      <w:start w:val="1"/>
      <w:numFmt w:val="decimal"/>
      <w:lvlText w:val="%1.%2.%3.%4.%5.%6.%7.%8.%9."/>
      <w:lvlJc w:val="left"/>
      <w:pPr>
        <w:ind w:left="14760" w:hanging="1800"/>
      </w:pPr>
      <w:rPr>
        <w:rFonts w:hint="default"/>
      </w:rPr>
    </w:lvl>
  </w:abstractNum>
  <w:abstractNum w:abstractNumId="36" w15:restartNumberingAfterBreak="0">
    <w:nsid w:val="7972635F"/>
    <w:multiLevelType w:val="hybridMultilevel"/>
    <w:tmpl w:val="1E586324"/>
    <w:lvl w:ilvl="0" w:tplc="E326A608">
      <w:start w:val="1"/>
      <w:numFmt w:val="lowerLetter"/>
      <w:lvlText w:val="(%1)"/>
      <w:lvlJc w:val="left"/>
      <w:pPr>
        <w:ind w:left="720" w:hanging="360"/>
      </w:pPr>
      <w:rPr>
        <w:rFonts w:ascii="Times New Roman" w:eastAsia="Times New Roman"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B0656DA"/>
    <w:multiLevelType w:val="multilevel"/>
    <w:tmpl w:val="DC960980"/>
    <w:lvl w:ilvl="0">
      <w:start w:val="2"/>
      <w:numFmt w:val="decimal"/>
      <w:lvlText w:val="%1."/>
      <w:lvlJc w:val="left"/>
      <w:pPr>
        <w:ind w:left="540" w:hanging="540"/>
      </w:pPr>
      <w:rPr>
        <w:rFonts w:hint="default"/>
        <w:color w:val="auto"/>
      </w:rPr>
    </w:lvl>
    <w:lvl w:ilvl="1">
      <w:start w:val="1"/>
      <w:numFmt w:val="decimal"/>
      <w:lvlText w:val="%1.%2."/>
      <w:lvlJc w:val="left"/>
      <w:pPr>
        <w:ind w:left="1620" w:hanging="540"/>
      </w:pPr>
      <w:rPr>
        <w:rFonts w:hint="default"/>
        <w:b/>
        <w:color w:val="auto"/>
      </w:rPr>
    </w:lvl>
    <w:lvl w:ilvl="2">
      <w:start w:val="1"/>
      <w:numFmt w:val="decimal"/>
      <w:lvlText w:val="%1.%2.%3."/>
      <w:lvlJc w:val="left"/>
      <w:pPr>
        <w:ind w:left="2880" w:hanging="720"/>
      </w:pPr>
      <w:rPr>
        <w:rFonts w:ascii="Times New Roman" w:hAnsi="Times New Roman" w:cs="Times New Roman" w:hint="default"/>
        <w:b/>
        <w:i w:val="0"/>
        <w:color w:val="auto"/>
        <w:sz w:val="24"/>
        <w:szCs w:val="24"/>
      </w:rPr>
    </w:lvl>
    <w:lvl w:ilvl="3">
      <w:start w:val="1"/>
      <w:numFmt w:val="decimal"/>
      <w:lvlText w:val="%1.%2.%3.%4."/>
      <w:lvlJc w:val="left"/>
      <w:pPr>
        <w:ind w:left="3960" w:hanging="720"/>
      </w:pPr>
      <w:rPr>
        <w:rFonts w:ascii="Times New Roman" w:hAnsi="Times New Roman" w:cs="Times New Roman" w:hint="default"/>
        <w:b/>
        <w:i w:val="0"/>
        <w:color w:val="auto"/>
        <w:sz w:val="24"/>
        <w:szCs w:val="24"/>
      </w:rPr>
    </w:lvl>
    <w:lvl w:ilvl="4">
      <w:start w:val="1"/>
      <w:numFmt w:val="decimal"/>
      <w:lvlText w:val="%1.%2.%3.%4.%5."/>
      <w:lvlJc w:val="left"/>
      <w:pPr>
        <w:ind w:left="5400" w:hanging="1080"/>
      </w:pPr>
      <w:rPr>
        <w:rFonts w:hint="default"/>
        <w:b/>
        <w:color w:val="auto"/>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38" w15:restartNumberingAfterBreak="0">
    <w:nsid w:val="7D160AE5"/>
    <w:multiLevelType w:val="hybridMultilevel"/>
    <w:tmpl w:val="5A084204"/>
    <w:lvl w:ilvl="0" w:tplc="DA64C74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EF83F22"/>
    <w:multiLevelType w:val="hybridMultilevel"/>
    <w:tmpl w:val="8CD89E74"/>
    <w:lvl w:ilvl="0" w:tplc="74B22BE2">
      <w:start w:val="1"/>
      <w:numFmt w:val="decimal"/>
      <w:lvlText w:val="%1)"/>
      <w:lvlJc w:val="left"/>
      <w:pPr>
        <w:tabs>
          <w:tab w:val="num" w:pos="1776"/>
        </w:tabs>
        <w:ind w:left="1776" w:hanging="360"/>
      </w:pPr>
      <w:rPr>
        <w:rFonts w:hint="default"/>
        <w:b w:val="0"/>
      </w:rPr>
    </w:lvl>
    <w:lvl w:ilvl="1" w:tplc="765625DA">
      <w:start w:val="1"/>
      <w:numFmt w:val="decimal"/>
      <w:lvlText w:val="(%2)"/>
      <w:lvlJc w:val="left"/>
      <w:pPr>
        <w:tabs>
          <w:tab w:val="num" w:pos="1080"/>
        </w:tabs>
        <w:ind w:left="1080" w:hanging="1080"/>
      </w:pPr>
      <w:rPr>
        <w:rFonts w:hint="default"/>
      </w:rPr>
    </w:lvl>
    <w:lvl w:ilvl="2" w:tplc="041F001B">
      <w:start w:val="1"/>
      <w:numFmt w:val="lowerRoman"/>
      <w:lvlText w:val="%3."/>
      <w:lvlJc w:val="right"/>
      <w:pPr>
        <w:tabs>
          <w:tab w:val="num" w:pos="3216"/>
        </w:tabs>
        <w:ind w:left="3216" w:hanging="180"/>
      </w:pPr>
    </w:lvl>
    <w:lvl w:ilvl="3" w:tplc="041F000F" w:tentative="1">
      <w:start w:val="1"/>
      <w:numFmt w:val="decimal"/>
      <w:lvlText w:val="%4."/>
      <w:lvlJc w:val="left"/>
      <w:pPr>
        <w:tabs>
          <w:tab w:val="num" w:pos="3936"/>
        </w:tabs>
        <w:ind w:left="3936" w:hanging="360"/>
      </w:pPr>
    </w:lvl>
    <w:lvl w:ilvl="4" w:tplc="041F0019" w:tentative="1">
      <w:start w:val="1"/>
      <w:numFmt w:val="lowerLetter"/>
      <w:lvlText w:val="%5."/>
      <w:lvlJc w:val="left"/>
      <w:pPr>
        <w:tabs>
          <w:tab w:val="num" w:pos="4656"/>
        </w:tabs>
        <w:ind w:left="4656" w:hanging="360"/>
      </w:pPr>
    </w:lvl>
    <w:lvl w:ilvl="5" w:tplc="041F001B" w:tentative="1">
      <w:start w:val="1"/>
      <w:numFmt w:val="lowerRoman"/>
      <w:lvlText w:val="%6."/>
      <w:lvlJc w:val="right"/>
      <w:pPr>
        <w:tabs>
          <w:tab w:val="num" w:pos="5376"/>
        </w:tabs>
        <w:ind w:left="5376" w:hanging="180"/>
      </w:pPr>
    </w:lvl>
    <w:lvl w:ilvl="6" w:tplc="041F000F" w:tentative="1">
      <w:start w:val="1"/>
      <w:numFmt w:val="decimal"/>
      <w:lvlText w:val="%7."/>
      <w:lvlJc w:val="left"/>
      <w:pPr>
        <w:tabs>
          <w:tab w:val="num" w:pos="6096"/>
        </w:tabs>
        <w:ind w:left="6096" w:hanging="360"/>
      </w:pPr>
    </w:lvl>
    <w:lvl w:ilvl="7" w:tplc="041F0019" w:tentative="1">
      <w:start w:val="1"/>
      <w:numFmt w:val="lowerLetter"/>
      <w:lvlText w:val="%8."/>
      <w:lvlJc w:val="left"/>
      <w:pPr>
        <w:tabs>
          <w:tab w:val="num" w:pos="6816"/>
        </w:tabs>
        <w:ind w:left="6816" w:hanging="360"/>
      </w:pPr>
    </w:lvl>
    <w:lvl w:ilvl="8" w:tplc="041F001B" w:tentative="1">
      <w:start w:val="1"/>
      <w:numFmt w:val="lowerRoman"/>
      <w:lvlText w:val="%9."/>
      <w:lvlJc w:val="right"/>
      <w:pPr>
        <w:tabs>
          <w:tab w:val="num" w:pos="7536"/>
        </w:tabs>
        <w:ind w:left="7536" w:hanging="180"/>
      </w:pPr>
    </w:lvl>
  </w:abstractNum>
  <w:abstractNum w:abstractNumId="40" w15:restartNumberingAfterBreak="0">
    <w:nsid w:val="7F1520D5"/>
    <w:multiLevelType w:val="hybridMultilevel"/>
    <w:tmpl w:val="9B327BA6"/>
    <w:lvl w:ilvl="0" w:tplc="E25461E2">
      <w:start w:val="1"/>
      <w:numFmt w:val="lowerRoman"/>
      <w:lvlText w:val="(%1)"/>
      <w:lvlJc w:val="left"/>
      <w:pPr>
        <w:ind w:left="1440" w:hanging="720"/>
      </w:pPr>
      <w:rPr>
        <w:rFonts w:cs="Times New Roman" w:hint="default"/>
      </w:rPr>
    </w:lvl>
    <w:lvl w:ilvl="1" w:tplc="08090019" w:tentative="1">
      <w:start w:val="1"/>
      <w:numFmt w:val="lowerLetter"/>
      <w:lvlText w:val="%2."/>
      <w:lvlJc w:val="left"/>
      <w:pPr>
        <w:ind w:left="1800" w:hanging="360"/>
      </w:pPr>
      <w:rPr>
        <w:rFonts w:cs="Times New Roman"/>
      </w:rPr>
    </w:lvl>
    <w:lvl w:ilvl="2" w:tplc="0809001B" w:tentative="1">
      <w:start w:val="1"/>
      <w:numFmt w:val="lowerRoman"/>
      <w:lvlText w:val="%3."/>
      <w:lvlJc w:val="right"/>
      <w:pPr>
        <w:ind w:left="2520" w:hanging="180"/>
      </w:pPr>
      <w:rPr>
        <w:rFonts w:cs="Times New Roman"/>
      </w:rPr>
    </w:lvl>
    <w:lvl w:ilvl="3" w:tplc="0809000F" w:tentative="1">
      <w:start w:val="1"/>
      <w:numFmt w:val="decimal"/>
      <w:lvlText w:val="%4."/>
      <w:lvlJc w:val="left"/>
      <w:pPr>
        <w:ind w:left="3240" w:hanging="360"/>
      </w:pPr>
      <w:rPr>
        <w:rFonts w:cs="Times New Roman"/>
      </w:rPr>
    </w:lvl>
    <w:lvl w:ilvl="4" w:tplc="08090019" w:tentative="1">
      <w:start w:val="1"/>
      <w:numFmt w:val="lowerLetter"/>
      <w:lvlText w:val="%5."/>
      <w:lvlJc w:val="left"/>
      <w:pPr>
        <w:ind w:left="3960" w:hanging="360"/>
      </w:pPr>
      <w:rPr>
        <w:rFonts w:cs="Times New Roman"/>
      </w:rPr>
    </w:lvl>
    <w:lvl w:ilvl="5" w:tplc="0809001B" w:tentative="1">
      <w:start w:val="1"/>
      <w:numFmt w:val="lowerRoman"/>
      <w:lvlText w:val="%6."/>
      <w:lvlJc w:val="right"/>
      <w:pPr>
        <w:ind w:left="4680" w:hanging="180"/>
      </w:pPr>
      <w:rPr>
        <w:rFonts w:cs="Times New Roman"/>
      </w:rPr>
    </w:lvl>
    <w:lvl w:ilvl="6" w:tplc="0809000F" w:tentative="1">
      <w:start w:val="1"/>
      <w:numFmt w:val="decimal"/>
      <w:lvlText w:val="%7."/>
      <w:lvlJc w:val="left"/>
      <w:pPr>
        <w:ind w:left="5400" w:hanging="360"/>
      </w:pPr>
      <w:rPr>
        <w:rFonts w:cs="Times New Roman"/>
      </w:rPr>
    </w:lvl>
    <w:lvl w:ilvl="7" w:tplc="08090019" w:tentative="1">
      <w:start w:val="1"/>
      <w:numFmt w:val="lowerLetter"/>
      <w:lvlText w:val="%8."/>
      <w:lvlJc w:val="left"/>
      <w:pPr>
        <w:ind w:left="6120" w:hanging="360"/>
      </w:pPr>
      <w:rPr>
        <w:rFonts w:cs="Times New Roman"/>
      </w:rPr>
    </w:lvl>
    <w:lvl w:ilvl="8" w:tplc="0809001B" w:tentative="1">
      <w:start w:val="1"/>
      <w:numFmt w:val="lowerRoman"/>
      <w:lvlText w:val="%9."/>
      <w:lvlJc w:val="right"/>
      <w:pPr>
        <w:ind w:left="6840" w:hanging="180"/>
      </w:pPr>
      <w:rPr>
        <w:rFonts w:cs="Times New Roman"/>
      </w:rPr>
    </w:lvl>
  </w:abstractNum>
  <w:num w:numId="1">
    <w:abstractNumId w:val="15"/>
  </w:num>
  <w:num w:numId="2">
    <w:abstractNumId w:val="20"/>
  </w:num>
  <w:num w:numId="3">
    <w:abstractNumId w:val="6"/>
  </w:num>
  <w:num w:numId="4">
    <w:abstractNumId w:val="12"/>
  </w:num>
  <w:num w:numId="5">
    <w:abstractNumId w:val="37"/>
  </w:num>
  <w:num w:numId="6">
    <w:abstractNumId w:val="0"/>
  </w:num>
  <w:num w:numId="7">
    <w:abstractNumId w:val="32"/>
  </w:num>
  <w:num w:numId="8">
    <w:abstractNumId w:val="17"/>
  </w:num>
  <w:num w:numId="9">
    <w:abstractNumId w:val="39"/>
  </w:num>
  <w:num w:numId="10">
    <w:abstractNumId w:val="26"/>
  </w:num>
  <w:num w:numId="11">
    <w:abstractNumId w:val="2"/>
  </w:num>
  <w:num w:numId="12">
    <w:abstractNumId w:val="1"/>
  </w:num>
  <w:num w:numId="13">
    <w:abstractNumId w:val="29"/>
  </w:num>
  <w:num w:numId="14">
    <w:abstractNumId w:val="3"/>
  </w:num>
  <w:num w:numId="15">
    <w:abstractNumId w:val="33"/>
  </w:num>
  <w:num w:numId="16">
    <w:abstractNumId w:val="19"/>
  </w:num>
  <w:num w:numId="17">
    <w:abstractNumId w:val="4"/>
  </w:num>
  <w:num w:numId="18">
    <w:abstractNumId w:val="11"/>
  </w:num>
  <w:num w:numId="19">
    <w:abstractNumId w:val="10"/>
  </w:num>
  <w:num w:numId="20">
    <w:abstractNumId w:val="30"/>
  </w:num>
  <w:num w:numId="21">
    <w:abstractNumId w:val="25"/>
  </w:num>
  <w:num w:numId="22">
    <w:abstractNumId w:val="27"/>
  </w:num>
  <w:num w:numId="23">
    <w:abstractNumId w:val="7"/>
  </w:num>
  <w:num w:numId="24">
    <w:abstractNumId w:val="23"/>
  </w:num>
  <w:num w:numId="25">
    <w:abstractNumId w:val="5"/>
  </w:num>
  <w:num w:numId="26">
    <w:abstractNumId w:val="16"/>
  </w:num>
  <w:num w:numId="27">
    <w:abstractNumId w:val="35"/>
  </w:num>
  <w:num w:numId="28">
    <w:abstractNumId w:val="22"/>
  </w:num>
  <w:num w:numId="29">
    <w:abstractNumId w:val="13"/>
  </w:num>
  <w:num w:numId="30">
    <w:abstractNumId w:val="9"/>
  </w:num>
  <w:num w:numId="31">
    <w:abstractNumId w:val="8"/>
  </w:num>
  <w:num w:numId="32">
    <w:abstractNumId w:val="24"/>
  </w:num>
  <w:num w:numId="33">
    <w:abstractNumId w:val="18"/>
  </w:num>
  <w:num w:numId="34">
    <w:abstractNumId w:val="36"/>
  </w:num>
  <w:num w:numId="35">
    <w:abstractNumId w:val="31"/>
  </w:num>
  <w:num w:numId="36">
    <w:abstractNumId w:val="38"/>
  </w:num>
  <w:num w:numId="37">
    <w:abstractNumId w:val="14"/>
  </w:num>
  <w:num w:numId="38">
    <w:abstractNumId w:val="34"/>
  </w:num>
  <w:num w:numId="39">
    <w:abstractNumId w:val="40"/>
  </w:num>
  <w:num w:numId="40">
    <w:abstractNumId w:val="28"/>
  </w:num>
  <w:num w:numId="41">
    <w:abstractNumId w:val="21"/>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35BF"/>
    <w:rsid w:val="000009B0"/>
    <w:rsid w:val="00000D5C"/>
    <w:rsid w:val="000012E1"/>
    <w:rsid w:val="00001356"/>
    <w:rsid w:val="00001494"/>
    <w:rsid w:val="00001765"/>
    <w:rsid w:val="00001B59"/>
    <w:rsid w:val="00001DEE"/>
    <w:rsid w:val="00001E0E"/>
    <w:rsid w:val="00001F82"/>
    <w:rsid w:val="00002A72"/>
    <w:rsid w:val="00002AE7"/>
    <w:rsid w:val="00002C2A"/>
    <w:rsid w:val="00002DF0"/>
    <w:rsid w:val="000030FF"/>
    <w:rsid w:val="000032F0"/>
    <w:rsid w:val="000035D9"/>
    <w:rsid w:val="0000381F"/>
    <w:rsid w:val="00003B5E"/>
    <w:rsid w:val="00003BD9"/>
    <w:rsid w:val="00003DCC"/>
    <w:rsid w:val="00003F35"/>
    <w:rsid w:val="00003FBE"/>
    <w:rsid w:val="00003FFD"/>
    <w:rsid w:val="00004474"/>
    <w:rsid w:val="00004489"/>
    <w:rsid w:val="00004738"/>
    <w:rsid w:val="00004850"/>
    <w:rsid w:val="0000491D"/>
    <w:rsid w:val="000049D2"/>
    <w:rsid w:val="0000522D"/>
    <w:rsid w:val="0000523E"/>
    <w:rsid w:val="00005303"/>
    <w:rsid w:val="00005715"/>
    <w:rsid w:val="00005CE8"/>
    <w:rsid w:val="00005D86"/>
    <w:rsid w:val="000061C7"/>
    <w:rsid w:val="0000636D"/>
    <w:rsid w:val="00006639"/>
    <w:rsid w:val="0000680E"/>
    <w:rsid w:val="00006AAB"/>
    <w:rsid w:val="0000763C"/>
    <w:rsid w:val="00007857"/>
    <w:rsid w:val="00007B70"/>
    <w:rsid w:val="00007BCC"/>
    <w:rsid w:val="00007BD2"/>
    <w:rsid w:val="000100E7"/>
    <w:rsid w:val="0001019B"/>
    <w:rsid w:val="000101A0"/>
    <w:rsid w:val="000101BB"/>
    <w:rsid w:val="00010327"/>
    <w:rsid w:val="000105AA"/>
    <w:rsid w:val="00010673"/>
    <w:rsid w:val="00010746"/>
    <w:rsid w:val="00010765"/>
    <w:rsid w:val="00010B5F"/>
    <w:rsid w:val="00010D9C"/>
    <w:rsid w:val="00010EBA"/>
    <w:rsid w:val="0001111C"/>
    <w:rsid w:val="00011480"/>
    <w:rsid w:val="000115EB"/>
    <w:rsid w:val="00011AC0"/>
    <w:rsid w:val="00011B05"/>
    <w:rsid w:val="00011CC3"/>
    <w:rsid w:val="00011FBE"/>
    <w:rsid w:val="000124A8"/>
    <w:rsid w:val="00012572"/>
    <w:rsid w:val="0001293D"/>
    <w:rsid w:val="000133BA"/>
    <w:rsid w:val="000133D6"/>
    <w:rsid w:val="000137A2"/>
    <w:rsid w:val="000138D8"/>
    <w:rsid w:val="000139BF"/>
    <w:rsid w:val="00013C2F"/>
    <w:rsid w:val="00013D0F"/>
    <w:rsid w:val="00013E2F"/>
    <w:rsid w:val="0001422E"/>
    <w:rsid w:val="0001432E"/>
    <w:rsid w:val="00014455"/>
    <w:rsid w:val="000144B7"/>
    <w:rsid w:val="00014BE4"/>
    <w:rsid w:val="0001523C"/>
    <w:rsid w:val="00015329"/>
    <w:rsid w:val="0001592C"/>
    <w:rsid w:val="00015B31"/>
    <w:rsid w:val="00015CB9"/>
    <w:rsid w:val="00015DE4"/>
    <w:rsid w:val="00016310"/>
    <w:rsid w:val="0001685A"/>
    <w:rsid w:val="00016922"/>
    <w:rsid w:val="000169EB"/>
    <w:rsid w:val="00016B86"/>
    <w:rsid w:val="00016B9E"/>
    <w:rsid w:val="00016FD0"/>
    <w:rsid w:val="0001723E"/>
    <w:rsid w:val="000175A7"/>
    <w:rsid w:val="000176C5"/>
    <w:rsid w:val="000177FF"/>
    <w:rsid w:val="00017C49"/>
    <w:rsid w:val="00017F65"/>
    <w:rsid w:val="00020028"/>
    <w:rsid w:val="000200C6"/>
    <w:rsid w:val="00020261"/>
    <w:rsid w:val="000209B7"/>
    <w:rsid w:val="00020C2F"/>
    <w:rsid w:val="00020CFC"/>
    <w:rsid w:val="00020FD0"/>
    <w:rsid w:val="000210AA"/>
    <w:rsid w:val="00021426"/>
    <w:rsid w:val="000215CD"/>
    <w:rsid w:val="00021B02"/>
    <w:rsid w:val="00021E47"/>
    <w:rsid w:val="00022042"/>
    <w:rsid w:val="00022203"/>
    <w:rsid w:val="00022229"/>
    <w:rsid w:val="000223D2"/>
    <w:rsid w:val="0002251F"/>
    <w:rsid w:val="0002295F"/>
    <w:rsid w:val="00022B1F"/>
    <w:rsid w:val="00022B5B"/>
    <w:rsid w:val="00022D27"/>
    <w:rsid w:val="00022D3F"/>
    <w:rsid w:val="0002361C"/>
    <w:rsid w:val="0002366E"/>
    <w:rsid w:val="000238E6"/>
    <w:rsid w:val="000239FF"/>
    <w:rsid w:val="00023E17"/>
    <w:rsid w:val="00023ED6"/>
    <w:rsid w:val="000242D9"/>
    <w:rsid w:val="0002440E"/>
    <w:rsid w:val="00024580"/>
    <w:rsid w:val="0002491B"/>
    <w:rsid w:val="00024AC0"/>
    <w:rsid w:val="00024C0C"/>
    <w:rsid w:val="00025350"/>
    <w:rsid w:val="00025354"/>
    <w:rsid w:val="00025394"/>
    <w:rsid w:val="000256D0"/>
    <w:rsid w:val="000258AD"/>
    <w:rsid w:val="0002596A"/>
    <w:rsid w:val="00025ADC"/>
    <w:rsid w:val="00025EF8"/>
    <w:rsid w:val="00026122"/>
    <w:rsid w:val="0002627A"/>
    <w:rsid w:val="0002640A"/>
    <w:rsid w:val="000265B4"/>
    <w:rsid w:val="00026ACB"/>
    <w:rsid w:val="00026B56"/>
    <w:rsid w:val="000270AF"/>
    <w:rsid w:val="0002745A"/>
    <w:rsid w:val="000279C6"/>
    <w:rsid w:val="00027AE2"/>
    <w:rsid w:val="00027CDF"/>
    <w:rsid w:val="00027D5B"/>
    <w:rsid w:val="00027ECF"/>
    <w:rsid w:val="00027ED2"/>
    <w:rsid w:val="00027FD8"/>
    <w:rsid w:val="000303BA"/>
    <w:rsid w:val="00030512"/>
    <w:rsid w:val="000305C3"/>
    <w:rsid w:val="0003077B"/>
    <w:rsid w:val="0003135C"/>
    <w:rsid w:val="000316A8"/>
    <w:rsid w:val="00031729"/>
    <w:rsid w:val="00031963"/>
    <w:rsid w:val="00031E0E"/>
    <w:rsid w:val="00031E3A"/>
    <w:rsid w:val="00031F9B"/>
    <w:rsid w:val="00032180"/>
    <w:rsid w:val="000322B0"/>
    <w:rsid w:val="000325B7"/>
    <w:rsid w:val="000325DA"/>
    <w:rsid w:val="00032E2C"/>
    <w:rsid w:val="00033226"/>
    <w:rsid w:val="000339D2"/>
    <w:rsid w:val="00033A17"/>
    <w:rsid w:val="000340ED"/>
    <w:rsid w:val="000342FA"/>
    <w:rsid w:val="0003463E"/>
    <w:rsid w:val="00034651"/>
    <w:rsid w:val="0003468F"/>
    <w:rsid w:val="000346B1"/>
    <w:rsid w:val="00034A70"/>
    <w:rsid w:val="00034D4A"/>
    <w:rsid w:val="00034F8F"/>
    <w:rsid w:val="0003545E"/>
    <w:rsid w:val="0003562F"/>
    <w:rsid w:val="00035653"/>
    <w:rsid w:val="00035EA8"/>
    <w:rsid w:val="00035F3F"/>
    <w:rsid w:val="00035F7B"/>
    <w:rsid w:val="000361C9"/>
    <w:rsid w:val="00036209"/>
    <w:rsid w:val="0003627D"/>
    <w:rsid w:val="00036366"/>
    <w:rsid w:val="00036407"/>
    <w:rsid w:val="0003660C"/>
    <w:rsid w:val="00036697"/>
    <w:rsid w:val="000369F9"/>
    <w:rsid w:val="00036BD9"/>
    <w:rsid w:val="00036C30"/>
    <w:rsid w:val="000371F3"/>
    <w:rsid w:val="000372FD"/>
    <w:rsid w:val="000373FC"/>
    <w:rsid w:val="00037AA4"/>
    <w:rsid w:val="00037D3A"/>
    <w:rsid w:val="00037E05"/>
    <w:rsid w:val="000401C6"/>
    <w:rsid w:val="0004025A"/>
    <w:rsid w:val="0004054B"/>
    <w:rsid w:val="0004056C"/>
    <w:rsid w:val="00040958"/>
    <w:rsid w:val="000409F0"/>
    <w:rsid w:val="00040DFD"/>
    <w:rsid w:val="00040EA3"/>
    <w:rsid w:val="00041125"/>
    <w:rsid w:val="0004158E"/>
    <w:rsid w:val="000418B3"/>
    <w:rsid w:val="00041A5E"/>
    <w:rsid w:val="00041D3A"/>
    <w:rsid w:val="00041E9B"/>
    <w:rsid w:val="00041F7F"/>
    <w:rsid w:val="0004239B"/>
    <w:rsid w:val="000423AB"/>
    <w:rsid w:val="00042585"/>
    <w:rsid w:val="00043455"/>
    <w:rsid w:val="00043A21"/>
    <w:rsid w:val="00043CC2"/>
    <w:rsid w:val="00043F8B"/>
    <w:rsid w:val="0004415D"/>
    <w:rsid w:val="00044263"/>
    <w:rsid w:val="00044283"/>
    <w:rsid w:val="00044476"/>
    <w:rsid w:val="00044729"/>
    <w:rsid w:val="00044747"/>
    <w:rsid w:val="00044957"/>
    <w:rsid w:val="0004537E"/>
    <w:rsid w:val="000454AA"/>
    <w:rsid w:val="0004557C"/>
    <w:rsid w:val="00045646"/>
    <w:rsid w:val="00045A83"/>
    <w:rsid w:val="000462CD"/>
    <w:rsid w:val="000463F2"/>
    <w:rsid w:val="000463FE"/>
    <w:rsid w:val="0004643B"/>
    <w:rsid w:val="00046823"/>
    <w:rsid w:val="000469E4"/>
    <w:rsid w:val="00046B2E"/>
    <w:rsid w:val="00046EB8"/>
    <w:rsid w:val="000470A8"/>
    <w:rsid w:val="0004732A"/>
    <w:rsid w:val="00047364"/>
    <w:rsid w:val="000474EC"/>
    <w:rsid w:val="00047766"/>
    <w:rsid w:val="00047F56"/>
    <w:rsid w:val="00050345"/>
    <w:rsid w:val="000504FC"/>
    <w:rsid w:val="00050BA3"/>
    <w:rsid w:val="00050BAF"/>
    <w:rsid w:val="00050F42"/>
    <w:rsid w:val="0005139F"/>
    <w:rsid w:val="00051439"/>
    <w:rsid w:val="0005159E"/>
    <w:rsid w:val="00051632"/>
    <w:rsid w:val="00051BE7"/>
    <w:rsid w:val="00051DA0"/>
    <w:rsid w:val="0005213D"/>
    <w:rsid w:val="0005221B"/>
    <w:rsid w:val="0005223F"/>
    <w:rsid w:val="000524D5"/>
    <w:rsid w:val="000527AA"/>
    <w:rsid w:val="00052A6A"/>
    <w:rsid w:val="00052F2B"/>
    <w:rsid w:val="00053177"/>
    <w:rsid w:val="000534AD"/>
    <w:rsid w:val="00053AF7"/>
    <w:rsid w:val="000544F2"/>
    <w:rsid w:val="00054566"/>
    <w:rsid w:val="0005460A"/>
    <w:rsid w:val="000548DF"/>
    <w:rsid w:val="00054A6F"/>
    <w:rsid w:val="00054C4C"/>
    <w:rsid w:val="00055980"/>
    <w:rsid w:val="00055986"/>
    <w:rsid w:val="000559AF"/>
    <w:rsid w:val="000559DB"/>
    <w:rsid w:val="00055A72"/>
    <w:rsid w:val="00055FBB"/>
    <w:rsid w:val="00056242"/>
    <w:rsid w:val="000562AB"/>
    <w:rsid w:val="000570DC"/>
    <w:rsid w:val="000575C2"/>
    <w:rsid w:val="00057668"/>
    <w:rsid w:val="0005784B"/>
    <w:rsid w:val="00057A48"/>
    <w:rsid w:val="00057C93"/>
    <w:rsid w:val="00060413"/>
    <w:rsid w:val="000606EC"/>
    <w:rsid w:val="000609C2"/>
    <w:rsid w:val="00060BCC"/>
    <w:rsid w:val="000612A5"/>
    <w:rsid w:val="000614F6"/>
    <w:rsid w:val="0006154F"/>
    <w:rsid w:val="0006158A"/>
    <w:rsid w:val="00061645"/>
    <w:rsid w:val="0006177A"/>
    <w:rsid w:val="00061ACC"/>
    <w:rsid w:val="00062397"/>
    <w:rsid w:val="000625F8"/>
    <w:rsid w:val="00062D1D"/>
    <w:rsid w:val="00062F34"/>
    <w:rsid w:val="000631C2"/>
    <w:rsid w:val="000631C7"/>
    <w:rsid w:val="00063268"/>
    <w:rsid w:val="000632F2"/>
    <w:rsid w:val="0006347F"/>
    <w:rsid w:val="00063B96"/>
    <w:rsid w:val="00063DD4"/>
    <w:rsid w:val="00063EE1"/>
    <w:rsid w:val="000640C4"/>
    <w:rsid w:val="0006475E"/>
    <w:rsid w:val="000647A7"/>
    <w:rsid w:val="000648DD"/>
    <w:rsid w:val="00064D39"/>
    <w:rsid w:val="000663CB"/>
    <w:rsid w:val="00066450"/>
    <w:rsid w:val="000664AB"/>
    <w:rsid w:val="000665AD"/>
    <w:rsid w:val="00066603"/>
    <w:rsid w:val="00066643"/>
    <w:rsid w:val="00066F8A"/>
    <w:rsid w:val="0006712A"/>
    <w:rsid w:val="0006749C"/>
    <w:rsid w:val="000678B0"/>
    <w:rsid w:val="00067ADA"/>
    <w:rsid w:val="00067D76"/>
    <w:rsid w:val="000700FC"/>
    <w:rsid w:val="00070274"/>
    <w:rsid w:val="0007083E"/>
    <w:rsid w:val="00070E72"/>
    <w:rsid w:val="000710BC"/>
    <w:rsid w:val="00071256"/>
    <w:rsid w:val="000712EB"/>
    <w:rsid w:val="0007165B"/>
    <w:rsid w:val="00071804"/>
    <w:rsid w:val="000718DE"/>
    <w:rsid w:val="00071940"/>
    <w:rsid w:val="00071942"/>
    <w:rsid w:val="00071ADD"/>
    <w:rsid w:val="00071C23"/>
    <w:rsid w:val="00072154"/>
    <w:rsid w:val="00072A8D"/>
    <w:rsid w:val="00072C5E"/>
    <w:rsid w:val="00072CB9"/>
    <w:rsid w:val="00072F71"/>
    <w:rsid w:val="00072FBF"/>
    <w:rsid w:val="00072FC5"/>
    <w:rsid w:val="0007325B"/>
    <w:rsid w:val="0007325D"/>
    <w:rsid w:val="00073900"/>
    <w:rsid w:val="0007412C"/>
    <w:rsid w:val="000742FB"/>
    <w:rsid w:val="000744CA"/>
    <w:rsid w:val="00074574"/>
    <w:rsid w:val="000746AA"/>
    <w:rsid w:val="000746C5"/>
    <w:rsid w:val="000748B0"/>
    <w:rsid w:val="00074D17"/>
    <w:rsid w:val="000756C7"/>
    <w:rsid w:val="00075702"/>
    <w:rsid w:val="00075DE6"/>
    <w:rsid w:val="0007632E"/>
    <w:rsid w:val="00076610"/>
    <w:rsid w:val="00076981"/>
    <w:rsid w:val="00076A53"/>
    <w:rsid w:val="00076B30"/>
    <w:rsid w:val="00076C08"/>
    <w:rsid w:val="00076CD0"/>
    <w:rsid w:val="00076FDA"/>
    <w:rsid w:val="00077217"/>
    <w:rsid w:val="00077785"/>
    <w:rsid w:val="000802BE"/>
    <w:rsid w:val="000805F8"/>
    <w:rsid w:val="00080774"/>
    <w:rsid w:val="00080D09"/>
    <w:rsid w:val="00080D36"/>
    <w:rsid w:val="00080EB5"/>
    <w:rsid w:val="00080FA1"/>
    <w:rsid w:val="00081169"/>
    <w:rsid w:val="0008158A"/>
    <w:rsid w:val="000816B0"/>
    <w:rsid w:val="00081E1F"/>
    <w:rsid w:val="000822D5"/>
    <w:rsid w:val="00082377"/>
    <w:rsid w:val="00082903"/>
    <w:rsid w:val="0008290E"/>
    <w:rsid w:val="00082994"/>
    <w:rsid w:val="000829E1"/>
    <w:rsid w:val="00082F74"/>
    <w:rsid w:val="00082FDB"/>
    <w:rsid w:val="00083097"/>
    <w:rsid w:val="000830D1"/>
    <w:rsid w:val="000831B9"/>
    <w:rsid w:val="00083522"/>
    <w:rsid w:val="00083603"/>
    <w:rsid w:val="00083DD2"/>
    <w:rsid w:val="00083DD6"/>
    <w:rsid w:val="00084274"/>
    <w:rsid w:val="0008499D"/>
    <w:rsid w:val="00084A84"/>
    <w:rsid w:val="00084D3F"/>
    <w:rsid w:val="00084DF8"/>
    <w:rsid w:val="00084E58"/>
    <w:rsid w:val="000851FA"/>
    <w:rsid w:val="00085217"/>
    <w:rsid w:val="0008566E"/>
    <w:rsid w:val="000864E6"/>
    <w:rsid w:val="000867F4"/>
    <w:rsid w:val="00086805"/>
    <w:rsid w:val="000869D0"/>
    <w:rsid w:val="00086A6A"/>
    <w:rsid w:val="00086E08"/>
    <w:rsid w:val="00086FF7"/>
    <w:rsid w:val="000876BE"/>
    <w:rsid w:val="000876FD"/>
    <w:rsid w:val="00087C07"/>
    <w:rsid w:val="00087E6A"/>
    <w:rsid w:val="00087FBB"/>
    <w:rsid w:val="000900F1"/>
    <w:rsid w:val="0009054F"/>
    <w:rsid w:val="00090843"/>
    <w:rsid w:val="00090F96"/>
    <w:rsid w:val="000914E6"/>
    <w:rsid w:val="00091568"/>
    <w:rsid w:val="0009156B"/>
    <w:rsid w:val="0009170B"/>
    <w:rsid w:val="00091782"/>
    <w:rsid w:val="00091B58"/>
    <w:rsid w:val="00091B71"/>
    <w:rsid w:val="00092339"/>
    <w:rsid w:val="00092379"/>
    <w:rsid w:val="00092518"/>
    <w:rsid w:val="00092CF1"/>
    <w:rsid w:val="00092DFE"/>
    <w:rsid w:val="000940CB"/>
    <w:rsid w:val="00094AF5"/>
    <w:rsid w:val="00094B12"/>
    <w:rsid w:val="00094B24"/>
    <w:rsid w:val="00094DD4"/>
    <w:rsid w:val="00095479"/>
    <w:rsid w:val="000954F8"/>
    <w:rsid w:val="000956D5"/>
    <w:rsid w:val="00095B0C"/>
    <w:rsid w:val="00095E08"/>
    <w:rsid w:val="00095FCB"/>
    <w:rsid w:val="000960D7"/>
    <w:rsid w:val="000960FE"/>
    <w:rsid w:val="00096209"/>
    <w:rsid w:val="000966B2"/>
    <w:rsid w:val="00097251"/>
    <w:rsid w:val="000977F4"/>
    <w:rsid w:val="00097994"/>
    <w:rsid w:val="00097B08"/>
    <w:rsid w:val="00097BBF"/>
    <w:rsid w:val="000A035D"/>
    <w:rsid w:val="000A0530"/>
    <w:rsid w:val="000A0732"/>
    <w:rsid w:val="000A0B96"/>
    <w:rsid w:val="000A0BF9"/>
    <w:rsid w:val="000A0E9D"/>
    <w:rsid w:val="000A147B"/>
    <w:rsid w:val="000A154C"/>
    <w:rsid w:val="000A1A5A"/>
    <w:rsid w:val="000A1CF6"/>
    <w:rsid w:val="000A210B"/>
    <w:rsid w:val="000A23DE"/>
    <w:rsid w:val="000A24AD"/>
    <w:rsid w:val="000A24D9"/>
    <w:rsid w:val="000A274B"/>
    <w:rsid w:val="000A27D9"/>
    <w:rsid w:val="000A298A"/>
    <w:rsid w:val="000A30B9"/>
    <w:rsid w:val="000A380F"/>
    <w:rsid w:val="000A3CD2"/>
    <w:rsid w:val="000A42A5"/>
    <w:rsid w:val="000A44BB"/>
    <w:rsid w:val="000A46C9"/>
    <w:rsid w:val="000A47E1"/>
    <w:rsid w:val="000A4884"/>
    <w:rsid w:val="000A4F38"/>
    <w:rsid w:val="000A58E4"/>
    <w:rsid w:val="000A5AAB"/>
    <w:rsid w:val="000A6526"/>
    <w:rsid w:val="000A67AB"/>
    <w:rsid w:val="000A67AF"/>
    <w:rsid w:val="000A6957"/>
    <w:rsid w:val="000A6D03"/>
    <w:rsid w:val="000A7401"/>
    <w:rsid w:val="000A74B7"/>
    <w:rsid w:val="000A7673"/>
    <w:rsid w:val="000A78EC"/>
    <w:rsid w:val="000A7C53"/>
    <w:rsid w:val="000A7DE2"/>
    <w:rsid w:val="000B004C"/>
    <w:rsid w:val="000B0099"/>
    <w:rsid w:val="000B0159"/>
    <w:rsid w:val="000B0177"/>
    <w:rsid w:val="000B044B"/>
    <w:rsid w:val="000B0553"/>
    <w:rsid w:val="000B0738"/>
    <w:rsid w:val="000B08D7"/>
    <w:rsid w:val="000B0A4E"/>
    <w:rsid w:val="000B0D72"/>
    <w:rsid w:val="000B1048"/>
    <w:rsid w:val="000B1849"/>
    <w:rsid w:val="000B1B1E"/>
    <w:rsid w:val="000B1C3D"/>
    <w:rsid w:val="000B1C7C"/>
    <w:rsid w:val="000B24F2"/>
    <w:rsid w:val="000B27AB"/>
    <w:rsid w:val="000B3078"/>
    <w:rsid w:val="000B3121"/>
    <w:rsid w:val="000B3525"/>
    <w:rsid w:val="000B3544"/>
    <w:rsid w:val="000B3ABD"/>
    <w:rsid w:val="000B3AE5"/>
    <w:rsid w:val="000B3B19"/>
    <w:rsid w:val="000B3F29"/>
    <w:rsid w:val="000B42F2"/>
    <w:rsid w:val="000B431C"/>
    <w:rsid w:val="000B4333"/>
    <w:rsid w:val="000B452F"/>
    <w:rsid w:val="000B4616"/>
    <w:rsid w:val="000B462D"/>
    <w:rsid w:val="000B491D"/>
    <w:rsid w:val="000B4956"/>
    <w:rsid w:val="000B525B"/>
    <w:rsid w:val="000B5275"/>
    <w:rsid w:val="000B5379"/>
    <w:rsid w:val="000B5A12"/>
    <w:rsid w:val="000B5A3B"/>
    <w:rsid w:val="000B5C1B"/>
    <w:rsid w:val="000B5DF2"/>
    <w:rsid w:val="000B5F0D"/>
    <w:rsid w:val="000B6437"/>
    <w:rsid w:val="000B64C6"/>
    <w:rsid w:val="000B6678"/>
    <w:rsid w:val="000B6BD6"/>
    <w:rsid w:val="000B6C2E"/>
    <w:rsid w:val="000B6CF5"/>
    <w:rsid w:val="000B6D11"/>
    <w:rsid w:val="000B6EE1"/>
    <w:rsid w:val="000B711B"/>
    <w:rsid w:val="000B7559"/>
    <w:rsid w:val="000B7B2B"/>
    <w:rsid w:val="000C00CE"/>
    <w:rsid w:val="000C01CD"/>
    <w:rsid w:val="000C0419"/>
    <w:rsid w:val="000C0506"/>
    <w:rsid w:val="000C0579"/>
    <w:rsid w:val="000C0AEA"/>
    <w:rsid w:val="000C0B59"/>
    <w:rsid w:val="000C1D0C"/>
    <w:rsid w:val="000C2A1A"/>
    <w:rsid w:val="000C2B6E"/>
    <w:rsid w:val="000C2C07"/>
    <w:rsid w:val="000C2FD1"/>
    <w:rsid w:val="000C301A"/>
    <w:rsid w:val="000C3060"/>
    <w:rsid w:val="000C3074"/>
    <w:rsid w:val="000C316A"/>
    <w:rsid w:val="000C31DB"/>
    <w:rsid w:val="000C3E3A"/>
    <w:rsid w:val="000C3EC0"/>
    <w:rsid w:val="000C41B0"/>
    <w:rsid w:val="000C4567"/>
    <w:rsid w:val="000C4D1D"/>
    <w:rsid w:val="000C4F40"/>
    <w:rsid w:val="000C52D1"/>
    <w:rsid w:val="000C5479"/>
    <w:rsid w:val="000C5496"/>
    <w:rsid w:val="000C5766"/>
    <w:rsid w:val="000C6086"/>
    <w:rsid w:val="000C6192"/>
    <w:rsid w:val="000C62AB"/>
    <w:rsid w:val="000C63EC"/>
    <w:rsid w:val="000C6A0C"/>
    <w:rsid w:val="000C706C"/>
    <w:rsid w:val="000C7680"/>
    <w:rsid w:val="000D00EE"/>
    <w:rsid w:val="000D079C"/>
    <w:rsid w:val="000D08DC"/>
    <w:rsid w:val="000D13E9"/>
    <w:rsid w:val="000D193B"/>
    <w:rsid w:val="000D1D99"/>
    <w:rsid w:val="000D1F59"/>
    <w:rsid w:val="000D20B0"/>
    <w:rsid w:val="000D241A"/>
    <w:rsid w:val="000D299A"/>
    <w:rsid w:val="000D2E9D"/>
    <w:rsid w:val="000D2E9F"/>
    <w:rsid w:val="000D3899"/>
    <w:rsid w:val="000D3949"/>
    <w:rsid w:val="000D3F80"/>
    <w:rsid w:val="000D4096"/>
    <w:rsid w:val="000D4279"/>
    <w:rsid w:val="000D463B"/>
    <w:rsid w:val="000D47F8"/>
    <w:rsid w:val="000D48B6"/>
    <w:rsid w:val="000D522E"/>
    <w:rsid w:val="000D52BC"/>
    <w:rsid w:val="000D52D7"/>
    <w:rsid w:val="000D5331"/>
    <w:rsid w:val="000D5431"/>
    <w:rsid w:val="000D549E"/>
    <w:rsid w:val="000D54A4"/>
    <w:rsid w:val="000D571A"/>
    <w:rsid w:val="000D5A6C"/>
    <w:rsid w:val="000D5C57"/>
    <w:rsid w:val="000D5EAA"/>
    <w:rsid w:val="000D5F8D"/>
    <w:rsid w:val="000D5FD5"/>
    <w:rsid w:val="000D6031"/>
    <w:rsid w:val="000D6522"/>
    <w:rsid w:val="000D6B2A"/>
    <w:rsid w:val="000D6CB5"/>
    <w:rsid w:val="000D6E46"/>
    <w:rsid w:val="000D6EE0"/>
    <w:rsid w:val="000D705F"/>
    <w:rsid w:val="000D731C"/>
    <w:rsid w:val="000D78E6"/>
    <w:rsid w:val="000D795C"/>
    <w:rsid w:val="000D7B76"/>
    <w:rsid w:val="000D7BA2"/>
    <w:rsid w:val="000D7BE1"/>
    <w:rsid w:val="000D7DAD"/>
    <w:rsid w:val="000E0072"/>
    <w:rsid w:val="000E04E6"/>
    <w:rsid w:val="000E0804"/>
    <w:rsid w:val="000E08F4"/>
    <w:rsid w:val="000E0A30"/>
    <w:rsid w:val="000E0C97"/>
    <w:rsid w:val="000E0E10"/>
    <w:rsid w:val="000E0EC1"/>
    <w:rsid w:val="000E112D"/>
    <w:rsid w:val="000E12E9"/>
    <w:rsid w:val="000E1847"/>
    <w:rsid w:val="000E1951"/>
    <w:rsid w:val="000E1BA5"/>
    <w:rsid w:val="000E1C2D"/>
    <w:rsid w:val="000E1F0D"/>
    <w:rsid w:val="000E1F67"/>
    <w:rsid w:val="000E28F2"/>
    <w:rsid w:val="000E2AF3"/>
    <w:rsid w:val="000E2E65"/>
    <w:rsid w:val="000E3258"/>
    <w:rsid w:val="000E33B8"/>
    <w:rsid w:val="000E380B"/>
    <w:rsid w:val="000E3DBF"/>
    <w:rsid w:val="000E418E"/>
    <w:rsid w:val="000E4458"/>
    <w:rsid w:val="000E45C2"/>
    <w:rsid w:val="000E4E55"/>
    <w:rsid w:val="000E4FF4"/>
    <w:rsid w:val="000E501E"/>
    <w:rsid w:val="000E5312"/>
    <w:rsid w:val="000E5655"/>
    <w:rsid w:val="000E5D74"/>
    <w:rsid w:val="000E618E"/>
    <w:rsid w:val="000E652C"/>
    <w:rsid w:val="000E6734"/>
    <w:rsid w:val="000E6887"/>
    <w:rsid w:val="000E6A18"/>
    <w:rsid w:val="000E6AC7"/>
    <w:rsid w:val="000E6B4C"/>
    <w:rsid w:val="000E6FE3"/>
    <w:rsid w:val="000E79C2"/>
    <w:rsid w:val="000E7CEF"/>
    <w:rsid w:val="000E7D8E"/>
    <w:rsid w:val="000F05EF"/>
    <w:rsid w:val="000F0620"/>
    <w:rsid w:val="000F09BE"/>
    <w:rsid w:val="000F109A"/>
    <w:rsid w:val="000F11AE"/>
    <w:rsid w:val="000F1570"/>
    <w:rsid w:val="000F15E2"/>
    <w:rsid w:val="000F17F8"/>
    <w:rsid w:val="000F182C"/>
    <w:rsid w:val="000F191C"/>
    <w:rsid w:val="000F192E"/>
    <w:rsid w:val="000F1A58"/>
    <w:rsid w:val="000F1AC3"/>
    <w:rsid w:val="000F1AD3"/>
    <w:rsid w:val="000F1EBB"/>
    <w:rsid w:val="000F20CF"/>
    <w:rsid w:val="000F2124"/>
    <w:rsid w:val="000F2341"/>
    <w:rsid w:val="000F2BD8"/>
    <w:rsid w:val="000F2DC5"/>
    <w:rsid w:val="000F2DE0"/>
    <w:rsid w:val="000F3179"/>
    <w:rsid w:val="000F31D4"/>
    <w:rsid w:val="000F3966"/>
    <w:rsid w:val="000F3A96"/>
    <w:rsid w:val="000F3AD6"/>
    <w:rsid w:val="000F3FB6"/>
    <w:rsid w:val="000F43B6"/>
    <w:rsid w:val="000F4522"/>
    <w:rsid w:val="000F46E1"/>
    <w:rsid w:val="000F47F6"/>
    <w:rsid w:val="000F496C"/>
    <w:rsid w:val="000F49FC"/>
    <w:rsid w:val="000F4BDE"/>
    <w:rsid w:val="000F4E4F"/>
    <w:rsid w:val="000F557C"/>
    <w:rsid w:val="000F5875"/>
    <w:rsid w:val="000F58A2"/>
    <w:rsid w:val="000F5930"/>
    <w:rsid w:val="000F598A"/>
    <w:rsid w:val="000F59F8"/>
    <w:rsid w:val="000F5A31"/>
    <w:rsid w:val="000F5B00"/>
    <w:rsid w:val="000F5EF4"/>
    <w:rsid w:val="000F60BB"/>
    <w:rsid w:val="000F6D4C"/>
    <w:rsid w:val="000F6E77"/>
    <w:rsid w:val="000F73D2"/>
    <w:rsid w:val="000F7A19"/>
    <w:rsid w:val="000F7D9B"/>
    <w:rsid w:val="000F7E4B"/>
    <w:rsid w:val="000F7E84"/>
    <w:rsid w:val="00100A47"/>
    <w:rsid w:val="00101011"/>
    <w:rsid w:val="00101462"/>
    <w:rsid w:val="001017C6"/>
    <w:rsid w:val="00101B35"/>
    <w:rsid w:val="00101BE0"/>
    <w:rsid w:val="00101FC6"/>
    <w:rsid w:val="0010229E"/>
    <w:rsid w:val="00102806"/>
    <w:rsid w:val="00102D3F"/>
    <w:rsid w:val="00102DBD"/>
    <w:rsid w:val="00102FA0"/>
    <w:rsid w:val="00103598"/>
    <w:rsid w:val="0010362A"/>
    <w:rsid w:val="001037B9"/>
    <w:rsid w:val="001039D8"/>
    <w:rsid w:val="001039F8"/>
    <w:rsid w:val="00103BAB"/>
    <w:rsid w:val="001041BC"/>
    <w:rsid w:val="001041FA"/>
    <w:rsid w:val="00104304"/>
    <w:rsid w:val="00104328"/>
    <w:rsid w:val="00104530"/>
    <w:rsid w:val="00104601"/>
    <w:rsid w:val="001046AB"/>
    <w:rsid w:val="001046F8"/>
    <w:rsid w:val="00104722"/>
    <w:rsid w:val="00104C23"/>
    <w:rsid w:val="00104C44"/>
    <w:rsid w:val="0010501C"/>
    <w:rsid w:val="00105291"/>
    <w:rsid w:val="001053BE"/>
    <w:rsid w:val="00105AE3"/>
    <w:rsid w:val="0010625B"/>
    <w:rsid w:val="001068EB"/>
    <w:rsid w:val="00106D30"/>
    <w:rsid w:val="0010732F"/>
    <w:rsid w:val="00107699"/>
    <w:rsid w:val="00107A25"/>
    <w:rsid w:val="001101BC"/>
    <w:rsid w:val="001103A8"/>
    <w:rsid w:val="001104E1"/>
    <w:rsid w:val="00110897"/>
    <w:rsid w:val="0011099F"/>
    <w:rsid w:val="001109B2"/>
    <w:rsid w:val="00110AB3"/>
    <w:rsid w:val="00110B86"/>
    <w:rsid w:val="00110E34"/>
    <w:rsid w:val="00110E80"/>
    <w:rsid w:val="00110ED0"/>
    <w:rsid w:val="0011104D"/>
    <w:rsid w:val="0011168A"/>
    <w:rsid w:val="001116F0"/>
    <w:rsid w:val="00111A6F"/>
    <w:rsid w:val="00111B26"/>
    <w:rsid w:val="00111E3C"/>
    <w:rsid w:val="00112361"/>
    <w:rsid w:val="00112647"/>
    <w:rsid w:val="00112980"/>
    <w:rsid w:val="00112D22"/>
    <w:rsid w:val="00112DE3"/>
    <w:rsid w:val="00112DF0"/>
    <w:rsid w:val="00112E18"/>
    <w:rsid w:val="00112E5B"/>
    <w:rsid w:val="00113204"/>
    <w:rsid w:val="00113257"/>
    <w:rsid w:val="0011362F"/>
    <w:rsid w:val="0011384F"/>
    <w:rsid w:val="00113B84"/>
    <w:rsid w:val="00113C3C"/>
    <w:rsid w:val="00113EA4"/>
    <w:rsid w:val="00114651"/>
    <w:rsid w:val="00114B0A"/>
    <w:rsid w:val="00114DD5"/>
    <w:rsid w:val="00114FC3"/>
    <w:rsid w:val="0011518C"/>
    <w:rsid w:val="001156C0"/>
    <w:rsid w:val="00115A31"/>
    <w:rsid w:val="00115C10"/>
    <w:rsid w:val="00115EB9"/>
    <w:rsid w:val="00115FC7"/>
    <w:rsid w:val="0011600A"/>
    <w:rsid w:val="001160F6"/>
    <w:rsid w:val="00116118"/>
    <w:rsid w:val="00116564"/>
    <w:rsid w:val="001167CB"/>
    <w:rsid w:val="001167DF"/>
    <w:rsid w:val="00116CA7"/>
    <w:rsid w:val="00116CC7"/>
    <w:rsid w:val="0011704A"/>
    <w:rsid w:val="001171A6"/>
    <w:rsid w:val="0011722F"/>
    <w:rsid w:val="0011723D"/>
    <w:rsid w:val="0011733E"/>
    <w:rsid w:val="00117522"/>
    <w:rsid w:val="001175C5"/>
    <w:rsid w:val="001179A2"/>
    <w:rsid w:val="00117FC2"/>
    <w:rsid w:val="00120532"/>
    <w:rsid w:val="00120563"/>
    <w:rsid w:val="00120700"/>
    <w:rsid w:val="001208A3"/>
    <w:rsid w:val="00120928"/>
    <w:rsid w:val="00120A3D"/>
    <w:rsid w:val="0012107B"/>
    <w:rsid w:val="00121738"/>
    <w:rsid w:val="00121764"/>
    <w:rsid w:val="001218BE"/>
    <w:rsid w:val="00121C59"/>
    <w:rsid w:val="00121CAF"/>
    <w:rsid w:val="0012260B"/>
    <w:rsid w:val="0012293A"/>
    <w:rsid w:val="00122C7F"/>
    <w:rsid w:val="00122CC9"/>
    <w:rsid w:val="00123039"/>
    <w:rsid w:val="001239E6"/>
    <w:rsid w:val="00123A36"/>
    <w:rsid w:val="00123B5D"/>
    <w:rsid w:val="00123B76"/>
    <w:rsid w:val="00123CC2"/>
    <w:rsid w:val="00123CE1"/>
    <w:rsid w:val="00123D5A"/>
    <w:rsid w:val="00123F23"/>
    <w:rsid w:val="00124766"/>
    <w:rsid w:val="00124D5F"/>
    <w:rsid w:val="001250CE"/>
    <w:rsid w:val="00125606"/>
    <w:rsid w:val="00125C0D"/>
    <w:rsid w:val="00125DB7"/>
    <w:rsid w:val="00126102"/>
    <w:rsid w:val="00126547"/>
    <w:rsid w:val="001267BE"/>
    <w:rsid w:val="00126C5B"/>
    <w:rsid w:val="00126DCF"/>
    <w:rsid w:val="001270E9"/>
    <w:rsid w:val="00127152"/>
    <w:rsid w:val="001274C8"/>
    <w:rsid w:val="00127965"/>
    <w:rsid w:val="00127BF6"/>
    <w:rsid w:val="00127EE1"/>
    <w:rsid w:val="00127FB0"/>
    <w:rsid w:val="00127FE4"/>
    <w:rsid w:val="001300A5"/>
    <w:rsid w:val="001303FD"/>
    <w:rsid w:val="00130678"/>
    <w:rsid w:val="00130802"/>
    <w:rsid w:val="0013080F"/>
    <w:rsid w:val="00130844"/>
    <w:rsid w:val="00130876"/>
    <w:rsid w:val="001308A7"/>
    <w:rsid w:val="001308F1"/>
    <w:rsid w:val="00130A2A"/>
    <w:rsid w:val="001310FC"/>
    <w:rsid w:val="00131322"/>
    <w:rsid w:val="001313DB"/>
    <w:rsid w:val="00131426"/>
    <w:rsid w:val="0013192F"/>
    <w:rsid w:val="00131FC5"/>
    <w:rsid w:val="00132047"/>
    <w:rsid w:val="001320C7"/>
    <w:rsid w:val="00132145"/>
    <w:rsid w:val="0013255C"/>
    <w:rsid w:val="001325D5"/>
    <w:rsid w:val="0013281F"/>
    <w:rsid w:val="00132844"/>
    <w:rsid w:val="00132A02"/>
    <w:rsid w:val="00132ABE"/>
    <w:rsid w:val="00132C2A"/>
    <w:rsid w:val="00132DFA"/>
    <w:rsid w:val="00132E45"/>
    <w:rsid w:val="001331F1"/>
    <w:rsid w:val="001333D3"/>
    <w:rsid w:val="001335F6"/>
    <w:rsid w:val="00133C92"/>
    <w:rsid w:val="00133E47"/>
    <w:rsid w:val="00133FA4"/>
    <w:rsid w:val="00133FDC"/>
    <w:rsid w:val="00134072"/>
    <w:rsid w:val="0013418E"/>
    <w:rsid w:val="00134474"/>
    <w:rsid w:val="001346C0"/>
    <w:rsid w:val="001348A4"/>
    <w:rsid w:val="00134A68"/>
    <w:rsid w:val="00134F6A"/>
    <w:rsid w:val="0013508B"/>
    <w:rsid w:val="00135279"/>
    <w:rsid w:val="0013571F"/>
    <w:rsid w:val="00135D59"/>
    <w:rsid w:val="00135DDC"/>
    <w:rsid w:val="00135E27"/>
    <w:rsid w:val="00136A6E"/>
    <w:rsid w:val="00136DA3"/>
    <w:rsid w:val="001371BA"/>
    <w:rsid w:val="0013740F"/>
    <w:rsid w:val="00137893"/>
    <w:rsid w:val="00137944"/>
    <w:rsid w:val="00137B8A"/>
    <w:rsid w:val="00137E54"/>
    <w:rsid w:val="001407FA"/>
    <w:rsid w:val="00140ADB"/>
    <w:rsid w:val="00140B5F"/>
    <w:rsid w:val="00140FC3"/>
    <w:rsid w:val="001411BF"/>
    <w:rsid w:val="0014127C"/>
    <w:rsid w:val="0014135B"/>
    <w:rsid w:val="00141365"/>
    <w:rsid w:val="00141528"/>
    <w:rsid w:val="00141A67"/>
    <w:rsid w:val="00141C0E"/>
    <w:rsid w:val="00141E35"/>
    <w:rsid w:val="00142792"/>
    <w:rsid w:val="001428A6"/>
    <w:rsid w:val="00142C71"/>
    <w:rsid w:val="00143555"/>
    <w:rsid w:val="001435AC"/>
    <w:rsid w:val="00143B95"/>
    <w:rsid w:val="00143BBF"/>
    <w:rsid w:val="001441B7"/>
    <w:rsid w:val="00144270"/>
    <w:rsid w:val="00144503"/>
    <w:rsid w:val="001446F7"/>
    <w:rsid w:val="001447BF"/>
    <w:rsid w:val="00144F7C"/>
    <w:rsid w:val="0014540A"/>
    <w:rsid w:val="001459BE"/>
    <w:rsid w:val="00145D33"/>
    <w:rsid w:val="0014606E"/>
    <w:rsid w:val="00146157"/>
    <w:rsid w:val="001461E8"/>
    <w:rsid w:val="00146338"/>
    <w:rsid w:val="00146429"/>
    <w:rsid w:val="001465D7"/>
    <w:rsid w:val="001467D2"/>
    <w:rsid w:val="0014686E"/>
    <w:rsid w:val="001469F8"/>
    <w:rsid w:val="00146A74"/>
    <w:rsid w:val="0014719F"/>
    <w:rsid w:val="001478D3"/>
    <w:rsid w:val="00150871"/>
    <w:rsid w:val="00150983"/>
    <w:rsid w:val="00150B0B"/>
    <w:rsid w:val="00150B9C"/>
    <w:rsid w:val="00150BAC"/>
    <w:rsid w:val="00150BDA"/>
    <w:rsid w:val="00150CF9"/>
    <w:rsid w:val="00150D02"/>
    <w:rsid w:val="00150F6B"/>
    <w:rsid w:val="00150FC7"/>
    <w:rsid w:val="00151238"/>
    <w:rsid w:val="00151320"/>
    <w:rsid w:val="001514E8"/>
    <w:rsid w:val="0015231A"/>
    <w:rsid w:val="00152383"/>
    <w:rsid w:val="0015260B"/>
    <w:rsid w:val="00152BE8"/>
    <w:rsid w:val="00152C47"/>
    <w:rsid w:val="00152C4D"/>
    <w:rsid w:val="00152E6A"/>
    <w:rsid w:val="00152F14"/>
    <w:rsid w:val="0015367B"/>
    <w:rsid w:val="00153737"/>
    <w:rsid w:val="001537B6"/>
    <w:rsid w:val="00153947"/>
    <w:rsid w:val="00153FCD"/>
    <w:rsid w:val="00153FE8"/>
    <w:rsid w:val="00154237"/>
    <w:rsid w:val="001544BD"/>
    <w:rsid w:val="001548D1"/>
    <w:rsid w:val="00154B18"/>
    <w:rsid w:val="00155174"/>
    <w:rsid w:val="00155412"/>
    <w:rsid w:val="001556A2"/>
    <w:rsid w:val="00155AA0"/>
    <w:rsid w:val="00155B4F"/>
    <w:rsid w:val="00155BA7"/>
    <w:rsid w:val="00155CD9"/>
    <w:rsid w:val="00155E74"/>
    <w:rsid w:val="00155F84"/>
    <w:rsid w:val="001560BE"/>
    <w:rsid w:val="00156112"/>
    <w:rsid w:val="0015624A"/>
    <w:rsid w:val="00156560"/>
    <w:rsid w:val="00156C44"/>
    <w:rsid w:val="00156CB3"/>
    <w:rsid w:val="001574E8"/>
    <w:rsid w:val="001578FC"/>
    <w:rsid w:val="0015790E"/>
    <w:rsid w:val="001579F4"/>
    <w:rsid w:val="001579FB"/>
    <w:rsid w:val="00157F38"/>
    <w:rsid w:val="00160AF8"/>
    <w:rsid w:val="00160B51"/>
    <w:rsid w:val="00160BD8"/>
    <w:rsid w:val="00160F31"/>
    <w:rsid w:val="0016103D"/>
    <w:rsid w:val="0016185C"/>
    <w:rsid w:val="00161AC7"/>
    <w:rsid w:val="00161BC7"/>
    <w:rsid w:val="00161BF1"/>
    <w:rsid w:val="00162394"/>
    <w:rsid w:val="0016241E"/>
    <w:rsid w:val="00162CFE"/>
    <w:rsid w:val="00162DA0"/>
    <w:rsid w:val="00162E13"/>
    <w:rsid w:val="00162E6E"/>
    <w:rsid w:val="00162F01"/>
    <w:rsid w:val="00163A31"/>
    <w:rsid w:val="00163B43"/>
    <w:rsid w:val="00163C4F"/>
    <w:rsid w:val="00163C65"/>
    <w:rsid w:val="00164047"/>
    <w:rsid w:val="00164054"/>
    <w:rsid w:val="001640B8"/>
    <w:rsid w:val="0016411D"/>
    <w:rsid w:val="0016413B"/>
    <w:rsid w:val="0016416F"/>
    <w:rsid w:val="001641EA"/>
    <w:rsid w:val="001647E6"/>
    <w:rsid w:val="00164D28"/>
    <w:rsid w:val="00164FF5"/>
    <w:rsid w:val="001653AF"/>
    <w:rsid w:val="00165729"/>
    <w:rsid w:val="001657B8"/>
    <w:rsid w:val="001659B7"/>
    <w:rsid w:val="00165CBE"/>
    <w:rsid w:val="00165F8E"/>
    <w:rsid w:val="00166356"/>
    <w:rsid w:val="001663E7"/>
    <w:rsid w:val="00166670"/>
    <w:rsid w:val="00166767"/>
    <w:rsid w:val="001668C2"/>
    <w:rsid w:val="00167052"/>
    <w:rsid w:val="00167439"/>
    <w:rsid w:val="00167627"/>
    <w:rsid w:val="0016765C"/>
    <w:rsid w:val="00167C53"/>
    <w:rsid w:val="00167F2D"/>
    <w:rsid w:val="00167F92"/>
    <w:rsid w:val="00170123"/>
    <w:rsid w:val="0017021B"/>
    <w:rsid w:val="00170268"/>
    <w:rsid w:val="001702B7"/>
    <w:rsid w:val="00170301"/>
    <w:rsid w:val="0017092B"/>
    <w:rsid w:val="0017103D"/>
    <w:rsid w:val="0017107C"/>
    <w:rsid w:val="00171112"/>
    <w:rsid w:val="00171586"/>
    <w:rsid w:val="00171602"/>
    <w:rsid w:val="001719CF"/>
    <w:rsid w:val="00171C21"/>
    <w:rsid w:val="00171D4D"/>
    <w:rsid w:val="001723C0"/>
    <w:rsid w:val="001723F5"/>
    <w:rsid w:val="001724A3"/>
    <w:rsid w:val="00172B04"/>
    <w:rsid w:val="00172E2F"/>
    <w:rsid w:val="00173208"/>
    <w:rsid w:val="00173254"/>
    <w:rsid w:val="00173466"/>
    <w:rsid w:val="001739B4"/>
    <w:rsid w:val="00173BD5"/>
    <w:rsid w:val="00173D07"/>
    <w:rsid w:val="00173F7B"/>
    <w:rsid w:val="001740D1"/>
    <w:rsid w:val="001743E8"/>
    <w:rsid w:val="001745D2"/>
    <w:rsid w:val="001749D3"/>
    <w:rsid w:val="001749EA"/>
    <w:rsid w:val="00174C17"/>
    <w:rsid w:val="00174CD9"/>
    <w:rsid w:val="001750CD"/>
    <w:rsid w:val="001750FE"/>
    <w:rsid w:val="00175122"/>
    <w:rsid w:val="0017518A"/>
    <w:rsid w:val="001753EA"/>
    <w:rsid w:val="001754F4"/>
    <w:rsid w:val="00175682"/>
    <w:rsid w:val="00175A54"/>
    <w:rsid w:val="00175D5D"/>
    <w:rsid w:val="00175D9C"/>
    <w:rsid w:val="00176061"/>
    <w:rsid w:val="00176253"/>
    <w:rsid w:val="00176824"/>
    <w:rsid w:val="00176C0A"/>
    <w:rsid w:val="00176E68"/>
    <w:rsid w:val="001772E1"/>
    <w:rsid w:val="001772FA"/>
    <w:rsid w:val="00177485"/>
    <w:rsid w:val="00177806"/>
    <w:rsid w:val="001778A0"/>
    <w:rsid w:val="001779B3"/>
    <w:rsid w:val="001779E2"/>
    <w:rsid w:val="00177E01"/>
    <w:rsid w:val="00177EF2"/>
    <w:rsid w:val="00177F01"/>
    <w:rsid w:val="0018027D"/>
    <w:rsid w:val="00180329"/>
    <w:rsid w:val="00180351"/>
    <w:rsid w:val="00180FFB"/>
    <w:rsid w:val="00181C2D"/>
    <w:rsid w:val="00181C37"/>
    <w:rsid w:val="00181CBF"/>
    <w:rsid w:val="00181CE0"/>
    <w:rsid w:val="00181CE8"/>
    <w:rsid w:val="00181D67"/>
    <w:rsid w:val="00181FEC"/>
    <w:rsid w:val="0018212B"/>
    <w:rsid w:val="00182221"/>
    <w:rsid w:val="00182243"/>
    <w:rsid w:val="00182D9D"/>
    <w:rsid w:val="001830F8"/>
    <w:rsid w:val="0018341B"/>
    <w:rsid w:val="0018349A"/>
    <w:rsid w:val="001837A3"/>
    <w:rsid w:val="00183A4F"/>
    <w:rsid w:val="0018421F"/>
    <w:rsid w:val="00184496"/>
    <w:rsid w:val="001846A6"/>
    <w:rsid w:val="0018474C"/>
    <w:rsid w:val="001847B8"/>
    <w:rsid w:val="00184A21"/>
    <w:rsid w:val="00184D8F"/>
    <w:rsid w:val="00185679"/>
    <w:rsid w:val="00186737"/>
    <w:rsid w:val="0018673B"/>
    <w:rsid w:val="00186B2E"/>
    <w:rsid w:val="00186B3E"/>
    <w:rsid w:val="00186C5C"/>
    <w:rsid w:val="00186EC1"/>
    <w:rsid w:val="00186F3C"/>
    <w:rsid w:val="00187482"/>
    <w:rsid w:val="00187486"/>
    <w:rsid w:val="00187543"/>
    <w:rsid w:val="001877BD"/>
    <w:rsid w:val="00187EAF"/>
    <w:rsid w:val="00187F73"/>
    <w:rsid w:val="0019010F"/>
    <w:rsid w:val="0019017B"/>
    <w:rsid w:val="00190546"/>
    <w:rsid w:val="00190585"/>
    <w:rsid w:val="001905F4"/>
    <w:rsid w:val="00190C80"/>
    <w:rsid w:val="00190D62"/>
    <w:rsid w:val="00190DD4"/>
    <w:rsid w:val="001917B0"/>
    <w:rsid w:val="00191C6D"/>
    <w:rsid w:val="00191EB5"/>
    <w:rsid w:val="00192507"/>
    <w:rsid w:val="001928DB"/>
    <w:rsid w:val="001928EB"/>
    <w:rsid w:val="00192DA0"/>
    <w:rsid w:val="00192F0F"/>
    <w:rsid w:val="0019346A"/>
    <w:rsid w:val="001934DF"/>
    <w:rsid w:val="001935A7"/>
    <w:rsid w:val="001939F8"/>
    <w:rsid w:val="0019413C"/>
    <w:rsid w:val="001943A8"/>
    <w:rsid w:val="00194417"/>
    <w:rsid w:val="0019454C"/>
    <w:rsid w:val="00194912"/>
    <w:rsid w:val="00194A2D"/>
    <w:rsid w:val="00194BB6"/>
    <w:rsid w:val="00194C5E"/>
    <w:rsid w:val="00195704"/>
    <w:rsid w:val="00195DA7"/>
    <w:rsid w:val="00195F84"/>
    <w:rsid w:val="00196273"/>
    <w:rsid w:val="001965F7"/>
    <w:rsid w:val="00196798"/>
    <w:rsid w:val="00196AED"/>
    <w:rsid w:val="00196D29"/>
    <w:rsid w:val="001970D7"/>
    <w:rsid w:val="00197242"/>
    <w:rsid w:val="001974E2"/>
    <w:rsid w:val="001978F6"/>
    <w:rsid w:val="00197BC1"/>
    <w:rsid w:val="00197CCA"/>
    <w:rsid w:val="001A00D5"/>
    <w:rsid w:val="001A0297"/>
    <w:rsid w:val="001A03DF"/>
    <w:rsid w:val="001A0756"/>
    <w:rsid w:val="001A07FD"/>
    <w:rsid w:val="001A0B9E"/>
    <w:rsid w:val="001A12E8"/>
    <w:rsid w:val="001A146B"/>
    <w:rsid w:val="001A17DC"/>
    <w:rsid w:val="001A1839"/>
    <w:rsid w:val="001A187C"/>
    <w:rsid w:val="001A19B9"/>
    <w:rsid w:val="001A1AD3"/>
    <w:rsid w:val="001A1C15"/>
    <w:rsid w:val="001A1C86"/>
    <w:rsid w:val="001A2170"/>
    <w:rsid w:val="001A24AD"/>
    <w:rsid w:val="001A27ED"/>
    <w:rsid w:val="001A2B59"/>
    <w:rsid w:val="001A2C6A"/>
    <w:rsid w:val="001A2F82"/>
    <w:rsid w:val="001A3052"/>
    <w:rsid w:val="001A307F"/>
    <w:rsid w:val="001A383C"/>
    <w:rsid w:val="001A386B"/>
    <w:rsid w:val="001A3A47"/>
    <w:rsid w:val="001A3AD8"/>
    <w:rsid w:val="001A3DBA"/>
    <w:rsid w:val="001A3F4F"/>
    <w:rsid w:val="001A425B"/>
    <w:rsid w:val="001A511B"/>
    <w:rsid w:val="001A584F"/>
    <w:rsid w:val="001A6061"/>
    <w:rsid w:val="001A60F2"/>
    <w:rsid w:val="001A6133"/>
    <w:rsid w:val="001A6175"/>
    <w:rsid w:val="001A6D1E"/>
    <w:rsid w:val="001A6F7E"/>
    <w:rsid w:val="001A71C4"/>
    <w:rsid w:val="001A72D1"/>
    <w:rsid w:val="001A7401"/>
    <w:rsid w:val="001A7AE3"/>
    <w:rsid w:val="001A7C04"/>
    <w:rsid w:val="001A7CA1"/>
    <w:rsid w:val="001A7E3E"/>
    <w:rsid w:val="001A7E78"/>
    <w:rsid w:val="001B0519"/>
    <w:rsid w:val="001B0BA8"/>
    <w:rsid w:val="001B0FB0"/>
    <w:rsid w:val="001B109E"/>
    <w:rsid w:val="001B1446"/>
    <w:rsid w:val="001B1913"/>
    <w:rsid w:val="001B1BEC"/>
    <w:rsid w:val="001B1F8F"/>
    <w:rsid w:val="001B205B"/>
    <w:rsid w:val="001B2143"/>
    <w:rsid w:val="001B2158"/>
    <w:rsid w:val="001B221E"/>
    <w:rsid w:val="001B2413"/>
    <w:rsid w:val="001B2475"/>
    <w:rsid w:val="001B2561"/>
    <w:rsid w:val="001B2873"/>
    <w:rsid w:val="001B28FB"/>
    <w:rsid w:val="001B2963"/>
    <w:rsid w:val="001B2A98"/>
    <w:rsid w:val="001B2D0E"/>
    <w:rsid w:val="001B33A5"/>
    <w:rsid w:val="001B4402"/>
    <w:rsid w:val="001B4531"/>
    <w:rsid w:val="001B468C"/>
    <w:rsid w:val="001B4ABD"/>
    <w:rsid w:val="001B4BB0"/>
    <w:rsid w:val="001B4BFF"/>
    <w:rsid w:val="001B4C42"/>
    <w:rsid w:val="001B4D3B"/>
    <w:rsid w:val="001B4EC6"/>
    <w:rsid w:val="001B5040"/>
    <w:rsid w:val="001B57F3"/>
    <w:rsid w:val="001B5BB7"/>
    <w:rsid w:val="001B5D19"/>
    <w:rsid w:val="001B5F12"/>
    <w:rsid w:val="001B6338"/>
    <w:rsid w:val="001B666B"/>
    <w:rsid w:val="001B66BD"/>
    <w:rsid w:val="001B69A4"/>
    <w:rsid w:val="001B6A7D"/>
    <w:rsid w:val="001B6A97"/>
    <w:rsid w:val="001B6AF2"/>
    <w:rsid w:val="001B6F9A"/>
    <w:rsid w:val="001B72F4"/>
    <w:rsid w:val="001B75F6"/>
    <w:rsid w:val="001B7B2A"/>
    <w:rsid w:val="001C007D"/>
    <w:rsid w:val="001C00EC"/>
    <w:rsid w:val="001C0281"/>
    <w:rsid w:val="001C1291"/>
    <w:rsid w:val="001C17F4"/>
    <w:rsid w:val="001C1C1B"/>
    <w:rsid w:val="001C214E"/>
    <w:rsid w:val="001C22C9"/>
    <w:rsid w:val="001C2C04"/>
    <w:rsid w:val="001C2DDE"/>
    <w:rsid w:val="001C2F8A"/>
    <w:rsid w:val="001C3246"/>
    <w:rsid w:val="001C3591"/>
    <w:rsid w:val="001C3712"/>
    <w:rsid w:val="001C3A70"/>
    <w:rsid w:val="001C3FA9"/>
    <w:rsid w:val="001C44D6"/>
    <w:rsid w:val="001C462D"/>
    <w:rsid w:val="001C4B24"/>
    <w:rsid w:val="001C4EF4"/>
    <w:rsid w:val="001C50C1"/>
    <w:rsid w:val="001C5265"/>
    <w:rsid w:val="001C52C1"/>
    <w:rsid w:val="001C54BC"/>
    <w:rsid w:val="001C5693"/>
    <w:rsid w:val="001C5C63"/>
    <w:rsid w:val="001C6128"/>
    <w:rsid w:val="001C6184"/>
    <w:rsid w:val="001C6259"/>
    <w:rsid w:val="001C626D"/>
    <w:rsid w:val="001C6567"/>
    <w:rsid w:val="001C66ED"/>
    <w:rsid w:val="001C6A19"/>
    <w:rsid w:val="001C6B6D"/>
    <w:rsid w:val="001C71EB"/>
    <w:rsid w:val="001C741B"/>
    <w:rsid w:val="001C7493"/>
    <w:rsid w:val="001C7677"/>
    <w:rsid w:val="001C78DC"/>
    <w:rsid w:val="001C79F8"/>
    <w:rsid w:val="001C7AE7"/>
    <w:rsid w:val="001C7C06"/>
    <w:rsid w:val="001C7E8F"/>
    <w:rsid w:val="001D014B"/>
    <w:rsid w:val="001D01F4"/>
    <w:rsid w:val="001D04EC"/>
    <w:rsid w:val="001D0880"/>
    <w:rsid w:val="001D08A1"/>
    <w:rsid w:val="001D12B5"/>
    <w:rsid w:val="001D1964"/>
    <w:rsid w:val="001D197D"/>
    <w:rsid w:val="001D1B89"/>
    <w:rsid w:val="001D1ECA"/>
    <w:rsid w:val="001D2222"/>
    <w:rsid w:val="001D240E"/>
    <w:rsid w:val="001D248F"/>
    <w:rsid w:val="001D27E9"/>
    <w:rsid w:val="001D2A83"/>
    <w:rsid w:val="001D319D"/>
    <w:rsid w:val="001D320A"/>
    <w:rsid w:val="001D3838"/>
    <w:rsid w:val="001D3853"/>
    <w:rsid w:val="001D38D3"/>
    <w:rsid w:val="001D3AE7"/>
    <w:rsid w:val="001D3E1A"/>
    <w:rsid w:val="001D4001"/>
    <w:rsid w:val="001D40C1"/>
    <w:rsid w:val="001D4213"/>
    <w:rsid w:val="001D4849"/>
    <w:rsid w:val="001D4877"/>
    <w:rsid w:val="001D4951"/>
    <w:rsid w:val="001D5418"/>
    <w:rsid w:val="001D5887"/>
    <w:rsid w:val="001D642C"/>
    <w:rsid w:val="001D65BB"/>
    <w:rsid w:val="001D6B04"/>
    <w:rsid w:val="001D7090"/>
    <w:rsid w:val="001D7219"/>
    <w:rsid w:val="001D7261"/>
    <w:rsid w:val="001D7438"/>
    <w:rsid w:val="001D75BD"/>
    <w:rsid w:val="001D7CC0"/>
    <w:rsid w:val="001D7FD2"/>
    <w:rsid w:val="001E010B"/>
    <w:rsid w:val="001E03D0"/>
    <w:rsid w:val="001E053E"/>
    <w:rsid w:val="001E07DE"/>
    <w:rsid w:val="001E0836"/>
    <w:rsid w:val="001E08B5"/>
    <w:rsid w:val="001E0A2F"/>
    <w:rsid w:val="001E0AE6"/>
    <w:rsid w:val="001E0DC4"/>
    <w:rsid w:val="001E0E8A"/>
    <w:rsid w:val="001E1160"/>
    <w:rsid w:val="001E12C1"/>
    <w:rsid w:val="001E168C"/>
    <w:rsid w:val="001E185A"/>
    <w:rsid w:val="001E189B"/>
    <w:rsid w:val="001E19C8"/>
    <w:rsid w:val="001E1F30"/>
    <w:rsid w:val="001E2C04"/>
    <w:rsid w:val="001E2CB4"/>
    <w:rsid w:val="001E2CBC"/>
    <w:rsid w:val="001E2F3C"/>
    <w:rsid w:val="001E2F66"/>
    <w:rsid w:val="001E3212"/>
    <w:rsid w:val="001E340F"/>
    <w:rsid w:val="001E34EB"/>
    <w:rsid w:val="001E3583"/>
    <w:rsid w:val="001E360B"/>
    <w:rsid w:val="001E3BF0"/>
    <w:rsid w:val="001E3E82"/>
    <w:rsid w:val="001E3EE5"/>
    <w:rsid w:val="001E4207"/>
    <w:rsid w:val="001E42D1"/>
    <w:rsid w:val="001E45A7"/>
    <w:rsid w:val="001E473C"/>
    <w:rsid w:val="001E49B2"/>
    <w:rsid w:val="001E4A05"/>
    <w:rsid w:val="001E4B61"/>
    <w:rsid w:val="001E5117"/>
    <w:rsid w:val="001E5695"/>
    <w:rsid w:val="001E5817"/>
    <w:rsid w:val="001E591F"/>
    <w:rsid w:val="001E5B78"/>
    <w:rsid w:val="001E5E9C"/>
    <w:rsid w:val="001E61B5"/>
    <w:rsid w:val="001E70F5"/>
    <w:rsid w:val="001E7124"/>
    <w:rsid w:val="001E741E"/>
    <w:rsid w:val="001E77E8"/>
    <w:rsid w:val="001E7C4F"/>
    <w:rsid w:val="001E7DAE"/>
    <w:rsid w:val="001E7DD2"/>
    <w:rsid w:val="001E7F8F"/>
    <w:rsid w:val="001F0136"/>
    <w:rsid w:val="001F02FD"/>
    <w:rsid w:val="001F0323"/>
    <w:rsid w:val="001F03AE"/>
    <w:rsid w:val="001F04EF"/>
    <w:rsid w:val="001F0588"/>
    <w:rsid w:val="001F0C5A"/>
    <w:rsid w:val="001F0E01"/>
    <w:rsid w:val="001F1315"/>
    <w:rsid w:val="001F1465"/>
    <w:rsid w:val="001F1BB7"/>
    <w:rsid w:val="001F1C1A"/>
    <w:rsid w:val="001F1F16"/>
    <w:rsid w:val="001F22BF"/>
    <w:rsid w:val="001F2471"/>
    <w:rsid w:val="001F299F"/>
    <w:rsid w:val="001F2AD7"/>
    <w:rsid w:val="001F3050"/>
    <w:rsid w:val="001F329B"/>
    <w:rsid w:val="001F344E"/>
    <w:rsid w:val="001F3459"/>
    <w:rsid w:val="001F3CC3"/>
    <w:rsid w:val="001F3D2B"/>
    <w:rsid w:val="001F3EB5"/>
    <w:rsid w:val="001F3ED2"/>
    <w:rsid w:val="001F41A3"/>
    <w:rsid w:val="001F42A6"/>
    <w:rsid w:val="001F42BC"/>
    <w:rsid w:val="001F4361"/>
    <w:rsid w:val="001F49CE"/>
    <w:rsid w:val="001F4B89"/>
    <w:rsid w:val="001F4D3B"/>
    <w:rsid w:val="001F5392"/>
    <w:rsid w:val="001F5859"/>
    <w:rsid w:val="001F5A18"/>
    <w:rsid w:val="001F5D3C"/>
    <w:rsid w:val="001F6107"/>
    <w:rsid w:val="001F616F"/>
    <w:rsid w:val="001F61BF"/>
    <w:rsid w:val="001F6A57"/>
    <w:rsid w:val="001F7414"/>
    <w:rsid w:val="001F7491"/>
    <w:rsid w:val="001F754F"/>
    <w:rsid w:val="001F7551"/>
    <w:rsid w:val="001F77E4"/>
    <w:rsid w:val="001F7806"/>
    <w:rsid w:val="001F7B15"/>
    <w:rsid w:val="0020038E"/>
    <w:rsid w:val="0020046F"/>
    <w:rsid w:val="0020060E"/>
    <w:rsid w:val="00200C56"/>
    <w:rsid w:val="00200C95"/>
    <w:rsid w:val="00200E55"/>
    <w:rsid w:val="00200E61"/>
    <w:rsid w:val="002014BB"/>
    <w:rsid w:val="002014BD"/>
    <w:rsid w:val="0020164E"/>
    <w:rsid w:val="002018D2"/>
    <w:rsid w:val="0020194F"/>
    <w:rsid w:val="00201AF2"/>
    <w:rsid w:val="00201B92"/>
    <w:rsid w:val="00201BD7"/>
    <w:rsid w:val="00201E49"/>
    <w:rsid w:val="00202A74"/>
    <w:rsid w:val="00202E57"/>
    <w:rsid w:val="00203163"/>
    <w:rsid w:val="00203621"/>
    <w:rsid w:val="002037CC"/>
    <w:rsid w:val="00203AF4"/>
    <w:rsid w:val="00203B93"/>
    <w:rsid w:val="00203E94"/>
    <w:rsid w:val="00203F76"/>
    <w:rsid w:val="00204C89"/>
    <w:rsid w:val="00204EE6"/>
    <w:rsid w:val="002053D7"/>
    <w:rsid w:val="002056F7"/>
    <w:rsid w:val="0020600F"/>
    <w:rsid w:val="00206468"/>
    <w:rsid w:val="002064DE"/>
    <w:rsid w:val="00206706"/>
    <w:rsid w:val="002069F4"/>
    <w:rsid w:val="00207042"/>
    <w:rsid w:val="002071FD"/>
    <w:rsid w:val="00207CEA"/>
    <w:rsid w:val="00207E5B"/>
    <w:rsid w:val="00207E88"/>
    <w:rsid w:val="0021011C"/>
    <w:rsid w:val="0021026B"/>
    <w:rsid w:val="002105CB"/>
    <w:rsid w:val="00210A6E"/>
    <w:rsid w:val="00210B4B"/>
    <w:rsid w:val="00210D56"/>
    <w:rsid w:val="00210D9E"/>
    <w:rsid w:val="00210EF4"/>
    <w:rsid w:val="00210F93"/>
    <w:rsid w:val="002112B1"/>
    <w:rsid w:val="002112CC"/>
    <w:rsid w:val="002114F1"/>
    <w:rsid w:val="00211855"/>
    <w:rsid w:val="00211BCE"/>
    <w:rsid w:val="002124A9"/>
    <w:rsid w:val="002124DC"/>
    <w:rsid w:val="002125BD"/>
    <w:rsid w:val="00212D6A"/>
    <w:rsid w:val="00212EBD"/>
    <w:rsid w:val="00212F3E"/>
    <w:rsid w:val="002130C3"/>
    <w:rsid w:val="002131D1"/>
    <w:rsid w:val="002132C9"/>
    <w:rsid w:val="00213338"/>
    <w:rsid w:val="0021347E"/>
    <w:rsid w:val="0021355A"/>
    <w:rsid w:val="002135AF"/>
    <w:rsid w:val="00213892"/>
    <w:rsid w:val="00213A0F"/>
    <w:rsid w:val="00213D22"/>
    <w:rsid w:val="00213DC2"/>
    <w:rsid w:val="00213EE0"/>
    <w:rsid w:val="002144EB"/>
    <w:rsid w:val="002149F8"/>
    <w:rsid w:val="00215192"/>
    <w:rsid w:val="00215608"/>
    <w:rsid w:val="00215920"/>
    <w:rsid w:val="002159A7"/>
    <w:rsid w:val="00215AC1"/>
    <w:rsid w:val="00215EBC"/>
    <w:rsid w:val="0021652B"/>
    <w:rsid w:val="002165D1"/>
    <w:rsid w:val="00216761"/>
    <w:rsid w:val="00216815"/>
    <w:rsid w:val="002168D2"/>
    <w:rsid w:val="002168F5"/>
    <w:rsid w:val="00216BCB"/>
    <w:rsid w:val="00216C2D"/>
    <w:rsid w:val="00217407"/>
    <w:rsid w:val="00217531"/>
    <w:rsid w:val="00217ABC"/>
    <w:rsid w:val="00217F6F"/>
    <w:rsid w:val="002202F7"/>
    <w:rsid w:val="00220328"/>
    <w:rsid w:val="00220350"/>
    <w:rsid w:val="00220B2A"/>
    <w:rsid w:val="00220C4E"/>
    <w:rsid w:val="00220D46"/>
    <w:rsid w:val="00220D64"/>
    <w:rsid w:val="00220D7B"/>
    <w:rsid w:val="0022179F"/>
    <w:rsid w:val="00221AA9"/>
    <w:rsid w:val="00221D88"/>
    <w:rsid w:val="0022232B"/>
    <w:rsid w:val="002225BC"/>
    <w:rsid w:val="002226DB"/>
    <w:rsid w:val="0022271C"/>
    <w:rsid w:val="00222A07"/>
    <w:rsid w:val="00222DC4"/>
    <w:rsid w:val="00222E63"/>
    <w:rsid w:val="00223044"/>
    <w:rsid w:val="002231E6"/>
    <w:rsid w:val="0022379B"/>
    <w:rsid w:val="00223C04"/>
    <w:rsid w:val="00223C59"/>
    <w:rsid w:val="00223CC5"/>
    <w:rsid w:val="00223F83"/>
    <w:rsid w:val="0022424A"/>
    <w:rsid w:val="002242CC"/>
    <w:rsid w:val="002246EA"/>
    <w:rsid w:val="00224764"/>
    <w:rsid w:val="0022481D"/>
    <w:rsid w:val="0022494B"/>
    <w:rsid w:val="00224C5D"/>
    <w:rsid w:val="002256C2"/>
    <w:rsid w:val="00225A80"/>
    <w:rsid w:val="00225E3D"/>
    <w:rsid w:val="0022608B"/>
    <w:rsid w:val="0022649E"/>
    <w:rsid w:val="002269A7"/>
    <w:rsid w:val="00226DB7"/>
    <w:rsid w:val="0022730C"/>
    <w:rsid w:val="00227386"/>
    <w:rsid w:val="00227594"/>
    <w:rsid w:val="0022789F"/>
    <w:rsid w:val="0022794D"/>
    <w:rsid w:val="00227CB8"/>
    <w:rsid w:val="002308B9"/>
    <w:rsid w:val="00230F3F"/>
    <w:rsid w:val="00231011"/>
    <w:rsid w:val="002311C5"/>
    <w:rsid w:val="002313BC"/>
    <w:rsid w:val="0023145F"/>
    <w:rsid w:val="0023146F"/>
    <w:rsid w:val="002314A4"/>
    <w:rsid w:val="00231F9E"/>
    <w:rsid w:val="00232324"/>
    <w:rsid w:val="00232BA9"/>
    <w:rsid w:val="00232C1C"/>
    <w:rsid w:val="00232CE1"/>
    <w:rsid w:val="00233176"/>
    <w:rsid w:val="002331BC"/>
    <w:rsid w:val="00233278"/>
    <w:rsid w:val="002333AD"/>
    <w:rsid w:val="0023357D"/>
    <w:rsid w:val="00233965"/>
    <w:rsid w:val="002339DC"/>
    <w:rsid w:val="00233BBD"/>
    <w:rsid w:val="00233C11"/>
    <w:rsid w:val="00233C97"/>
    <w:rsid w:val="00233E16"/>
    <w:rsid w:val="002341D0"/>
    <w:rsid w:val="0023425E"/>
    <w:rsid w:val="002342FF"/>
    <w:rsid w:val="00234548"/>
    <w:rsid w:val="0023460B"/>
    <w:rsid w:val="00234BC5"/>
    <w:rsid w:val="002352A5"/>
    <w:rsid w:val="0023538A"/>
    <w:rsid w:val="002357B5"/>
    <w:rsid w:val="0023595D"/>
    <w:rsid w:val="002359D6"/>
    <w:rsid w:val="00235C2D"/>
    <w:rsid w:val="00236069"/>
    <w:rsid w:val="00236162"/>
    <w:rsid w:val="00236347"/>
    <w:rsid w:val="0023645C"/>
    <w:rsid w:val="00236D08"/>
    <w:rsid w:val="00236F13"/>
    <w:rsid w:val="00237037"/>
    <w:rsid w:val="00237060"/>
    <w:rsid w:val="00237E13"/>
    <w:rsid w:val="0024011B"/>
    <w:rsid w:val="002401F9"/>
    <w:rsid w:val="002403CA"/>
    <w:rsid w:val="002403E4"/>
    <w:rsid w:val="0024054E"/>
    <w:rsid w:val="002406F0"/>
    <w:rsid w:val="0024072A"/>
    <w:rsid w:val="00240896"/>
    <w:rsid w:val="00240FBE"/>
    <w:rsid w:val="002411F7"/>
    <w:rsid w:val="002412CF"/>
    <w:rsid w:val="00241B7F"/>
    <w:rsid w:val="00241BCA"/>
    <w:rsid w:val="00241C8E"/>
    <w:rsid w:val="002420B1"/>
    <w:rsid w:val="00242333"/>
    <w:rsid w:val="0024248A"/>
    <w:rsid w:val="00242AD3"/>
    <w:rsid w:val="00242DFA"/>
    <w:rsid w:val="00242E73"/>
    <w:rsid w:val="00242EC0"/>
    <w:rsid w:val="002430C0"/>
    <w:rsid w:val="002431F6"/>
    <w:rsid w:val="00243565"/>
    <w:rsid w:val="00243887"/>
    <w:rsid w:val="002441EF"/>
    <w:rsid w:val="00244356"/>
    <w:rsid w:val="002444CE"/>
    <w:rsid w:val="0024465D"/>
    <w:rsid w:val="00244776"/>
    <w:rsid w:val="00244797"/>
    <w:rsid w:val="0024480E"/>
    <w:rsid w:val="00244B65"/>
    <w:rsid w:val="00244C16"/>
    <w:rsid w:val="00244D82"/>
    <w:rsid w:val="00244EDB"/>
    <w:rsid w:val="00245019"/>
    <w:rsid w:val="0024531A"/>
    <w:rsid w:val="002453DA"/>
    <w:rsid w:val="002456DE"/>
    <w:rsid w:val="0024592F"/>
    <w:rsid w:val="00245E01"/>
    <w:rsid w:val="00245E87"/>
    <w:rsid w:val="00246425"/>
    <w:rsid w:val="00246449"/>
    <w:rsid w:val="002467FF"/>
    <w:rsid w:val="00246838"/>
    <w:rsid w:val="002468C1"/>
    <w:rsid w:val="00246AF6"/>
    <w:rsid w:val="0024724E"/>
    <w:rsid w:val="002474D1"/>
    <w:rsid w:val="00247680"/>
    <w:rsid w:val="00247877"/>
    <w:rsid w:val="00247CE4"/>
    <w:rsid w:val="00250262"/>
    <w:rsid w:val="002505BF"/>
    <w:rsid w:val="002509CF"/>
    <w:rsid w:val="00250A01"/>
    <w:rsid w:val="00250D1B"/>
    <w:rsid w:val="00250DE6"/>
    <w:rsid w:val="00250E07"/>
    <w:rsid w:val="00252073"/>
    <w:rsid w:val="002526D8"/>
    <w:rsid w:val="00252921"/>
    <w:rsid w:val="00252DA3"/>
    <w:rsid w:val="00252EE0"/>
    <w:rsid w:val="00252F7C"/>
    <w:rsid w:val="00253025"/>
    <w:rsid w:val="00253059"/>
    <w:rsid w:val="0025310B"/>
    <w:rsid w:val="002533FC"/>
    <w:rsid w:val="00253704"/>
    <w:rsid w:val="002537DB"/>
    <w:rsid w:val="00253B32"/>
    <w:rsid w:val="00253FA4"/>
    <w:rsid w:val="002540AA"/>
    <w:rsid w:val="002545C2"/>
    <w:rsid w:val="002548EF"/>
    <w:rsid w:val="00254D98"/>
    <w:rsid w:val="00254F30"/>
    <w:rsid w:val="002553C7"/>
    <w:rsid w:val="0025547F"/>
    <w:rsid w:val="0025555B"/>
    <w:rsid w:val="002556C9"/>
    <w:rsid w:val="00255AB3"/>
    <w:rsid w:val="00255B15"/>
    <w:rsid w:val="00255C3F"/>
    <w:rsid w:val="00256966"/>
    <w:rsid w:val="00256C31"/>
    <w:rsid w:val="00256F06"/>
    <w:rsid w:val="00257AC4"/>
    <w:rsid w:val="00257C4F"/>
    <w:rsid w:val="00257D89"/>
    <w:rsid w:val="00260072"/>
    <w:rsid w:val="002600E8"/>
    <w:rsid w:val="00260183"/>
    <w:rsid w:val="0026021A"/>
    <w:rsid w:val="002602A3"/>
    <w:rsid w:val="0026036A"/>
    <w:rsid w:val="0026049C"/>
    <w:rsid w:val="002605FC"/>
    <w:rsid w:val="00260918"/>
    <w:rsid w:val="00260E73"/>
    <w:rsid w:val="0026142E"/>
    <w:rsid w:val="0026144C"/>
    <w:rsid w:val="00261610"/>
    <w:rsid w:val="00261AFA"/>
    <w:rsid w:val="00261B4D"/>
    <w:rsid w:val="00261DAF"/>
    <w:rsid w:val="00261F29"/>
    <w:rsid w:val="00261FD1"/>
    <w:rsid w:val="002622A4"/>
    <w:rsid w:val="002623E9"/>
    <w:rsid w:val="00262524"/>
    <w:rsid w:val="00262584"/>
    <w:rsid w:val="00262824"/>
    <w:rsid w:val="00262894"/>
    <w:rsid w:val="002630A3"/>
    <w:rsid w:val="0026318D"/>
    <w:rsid w:val="00263604"/>
    <w:rsid w:val="00263797"/>
    <w:rsid w:val="00263869"/>
    <w:rsid w:val="00263D49"/>
    <w:rsid w:val="00263F19"/>
    <w:rsid w:val="00263F66"/>
    <w:rsid w:val="002640D0"/>
    <w:rsid w:val="00264144"/>
    <w:rsid w:val="002643F8"/>
    <w:rsid w:val="00264433"/>
    <w:rsid w:val="0026477F"/>
    <w:rsid w:val="00264994"/>
    <w:rsid w:val="00264C35"/>
    <w:rsid w:val="00264E12"/>
    <w:rsid w:val="00264FA0"/>
    <w:rsid w:val="00264FA9"/>
    <w:rsid w:val="002652FF"/>
    <w:rsid w:val="00265454"/>
    <w:rsid w:val="002656D5"/>
    <w:rsid w:val="00265878"/>
    <w:rsid w:val="00265EA3"/>
    <w:rsid w:val="00265FFC"/>
    <w:rsid w:val="0026632A"/>
    <w:rsid w:val="00266554"/>
    <w:rsid w:val="00266711"/>
    <w:rsid w:val="00266810"/>
    <w:rsid w:val="002669F4"/>
    <w:rsid w:val="00266E1E"/>
    <w:rsid w:val="00267230"/>
    <w:rsid w:val="002677E3"/>
    <w:rsid w:val="00267928"/>
    <w:rsid w:val="00267B96"/>
    <w:rsid w:val="00267E61"/>
    <w:rsid w:val="002700D7"/>
    <w:rsid w:val="0027027E"/>
    <w:rsid w:val="00270288"/>
    <w:rsid w:val="002702E9"/>
    <w:rsid w:val="00270550"/>
    <w:rsid w:val="002705D2"/>
    <w:rsid w:val="002707BF"/>
    <w:rsid w:val="00270835"/>
    <w:rsid w:val="00270924"/>
    <w:rsid w:val="00270F24"/>
    <w:rsid w:val="00271142"/>
    <w:rsid w:val="0027127B"/>
    <w:rsid w:val="002712C3"/>
    <w:rsid w:val="002716CB"/>
    <w:rsid w:val="00271A5B"/>
    <w:rsid w:val="0027221C"/>
    <w:rsid w:val="002722D5"/>
    <w:rsid w:val="0027237F"/>
    <w:rsid w:val="002724B5"/>
    <w:rsid w:val="00272A04"/>
    <w:rsid w:val="002735BE"/>
    <w:rsid w:val="0027360E"/>
    <w:rsid w:val="00274580"/>
    <w:rsid w:val="00274846"/>
    <w:rsid w:val="002748EC"/>
    <w:rsid w:val="0027493F"/>
    <w:rsid w:val="002750CE"/>
    <w:rsid w:val="002759C3"/>
    <w:rsid w:val="002759C8"/>
    <w:rsid w:val="00275B38"/>
    <w:rsid w:val="00275D3E"/>
    <w:rsid w:val="00276167"/>
    <w:rsid w:val="00276245"/>
    <w:rsid w:val="00276445"/>
    <w:rsid w:val="002765E7"/>
    <w:rsid w:val="002765F6"/>
    <w:rsid w:val="00276CA2"/>
    <w:rsid w:val="00276E42"/>
    <w:rsid w:val="00277143"/>
    <w:rsid w:val="00277F09"/>
    <w:rsid w:val="00277F40"/>
    <w:rsid w:val="0028000D"/>
    <w:rsid w:val="002806DC"/>
    <w:rsid w:val="0028098B"/>
    <w:rsid w:val="00280B38"/>
    <w:rsid w:val="00280DBB"/>
    <w:rsid w:val="00281078"/>
    <w:rsid w:val="00281ACF"/>
    <w:rsid w:val="00281B24"/>
    <w:rsid w:val="00281EF5"/>
    <w:rsid w:val="002823D4"/>
    <w:rsid w:val="0028276C"/>
    <w:rsid w:val="00282A38"/>
    <w:rsid w:val="0028300D"/>
    <w:rsid w:val="00283132"/>
    <w:rsid w:val="0028343E"/>
    <w:rsid w:val="00283595"/>
    <w:rsid w:val="00283A82"/>
    <w:rsid w:val="00283B19"/>
    <w:rsid w:val="0028435F"/>
    <w:rsid w:val="00284530"/>
    <w:rsid w:val="00284660"/>
    <w:rsid w:val="00284705"/>
    <w:rsid w:val="00284900"/>
    <w:rsid w:val="00284C1C"/>
    <w:rsid w:val="00284CA4"/>
    <w:rsid w:val="00285144"/>
    <w:rsid w:val="00285286"/>
    <w:rsid w:val="0028555F"/>
    <w:rsid w:val="00285567"/>
    <w:rsid w:val="00285889"/>
    <w:rsid w:val="00285AFA"/>
    <w:rsid w:val="00285BB4"/>
    <w:rsid w:val="00285E0A"/>
    <w:rsid w:val="00285EA9"/>
    <w:rsid w:val="00286151"/>
    <w:rsid w:val="002862B2"/>
    <w:rsid w:val="0028684E"/>
    <w:rsid w:val="00286ABB"/>
    <w:rsid w:val="00286B0C"/>
    <w:rsid w:val="00286BA0"/>
    <w:rsid w:val="00286CB0"/>
    <w:rsid w:val="00286D19"/>
    <w:rsid w:val="00286E81"/>
    <w:rsid w:val="00287244"/>
    <w:rsid w:val="002875C9"/>
    <w:rsid w:val="0028764E"/>
    <w:rsid w:val="00287CB7"/>
    <w:rsid w:val="00287DC1"/>
    <w:rsid w:val="00287EDC"/>
    <w:rsid w:val="002900A3"/>
    <w:rsid w:val="002906A7"/>
    <w:rsid w:val="002911CB"/>
    <w:rsid w:val="0029160E"/>
    <w:rsid w:val="0029167F"/>
    <w:rsid w:val="002920A6"/>
    <w:rsid w:val="002924E0"/>
    <w:rsid w:val="0029264D"/>
    <w:rsid w:val="00292E6E"/>
    <w:rsid w:val="00293215"/>
    <w:rsid w:val="002936C4"/>
    <w:rsid w:val="002937CA"/>
    <w:rsid w:val="00293ADA"/>
    <w:rsid w:val="00294014"/>
    <w:rsid w:val="002940E2"/>
    <w:rsid w:val="00294513"/>
    <w:rsid w:val="00294716"/>
    <w:rsid w:val="0029476D"/>
    <w:rsid w:val="00294ECF"/>
    <w:rsid w:val="00294F4C"/>
    <w:rsid w:val="00295074"/>
    <w:rsid w:val="00295081"/>
    <w:rsid w:val="00295355"/>
    <w:rsid w:val="00295627"/>
    <w:rsid w:val="00295ED0"/>
    <w:rsid w:val="00295F2D"/>
    <w:rsid w:val="00296420"/>
    <w:rsid w:val="00296430"/>
    <w:rsid w:val="002965A3"/>
    <w:rsid w:val="002965DD"/>
    <w:rsid w:val="00296816"/>
    <w:rsid w:val="00296870"/>
    <w:rsid w:val="00296AE2"/>
    <w:rsid w:val="00296C6B"/>
    <w:rsid w:val="002975B1"/>
    <w:rsid w:val="00297617"/>
    <w:rsid w:val="00297B61"/>
    <w:rsid w:val="00297BE1"/>
    <w:rsid w:val="002A0697"/>
    <w:rsid w:val="002A0EF3"/>
    <w:rsid w:val="002A0F87"/>
    <w:rsid w:val="002A159A"/>
    <w:rsid w:val="002A1C41"/>
    <w:rsid w:val="002A23C3"/>
    <w:rsid w:val="002A27BC"/>
    <w:rsid w:val="002A27D7"/>
    <w:rsid w:val="002A2A79"/>
    <w:rsid w:val="002A2AF7"/>
    <w:rsid w:val="002A2BD5"/>
    <w:rsid w:val="002A2C06"/>
    <w:rsid w:val="002A2C2F"/>
    <w:rsid w:val="002A2F95"/>
    <w:rsid w:val="002A3079"/>
    <w:rsid w:val="002A3401"/>
    <w:rsid w:val="002A4232"/>
    <w:rsid w:val="002A46FB"/>
    <w:rsid w:val="002A4832"/>
    <w:rsid w:val="002A4D5C"/>
    <w:rsid w:val="002A54E5"/>
    <w:rsid w:val="002A58E3"/>
    <w:rsid w:val="002A6012"/>
    <w:rsid w:val="002A625F"/>
    <w:rsid w:val="002A63F7"/>
    <w:rsid w:val="002A67A8"/>
    <w:rsid w:val="002A6A84"/>
    <w:rsid w:val="002A6B9B"/>
    <w:rsid w:val="002A6D21"/>
    <w:rsid w:val="002A6F98"/>
    <w:rsid w:val="002A72FB"/>
    <w:rsid w:val="002A7305"/>
    <w:rsid w:val="002A77CE"/>
    <w:rsid w:val="002A784D"/>
    <w:rsid w:val="002A78B4"/>
    <w:rsid w:val="002A7ACA"/>
    <w:rsid w:val="002A7B62"/>
    <w:rsid w:val="002A7FD6"/>
    <w:rsid w:val="002B0008"/>
    <w:rsid w:val="002B0262"/>
    <w:rsid w:val="002B0382"/>
    <w:rsid w:val="002B0562"/>
    <w:rsid w:val="002B0752"/>
    <w:rsid w:val="002B0949"/>
    <w:rsid w:val="002B09EF"/>
    <w:rsid w:val="002B0AC3"/>
    <w:rsid w:val="002B0D09"/>
    <w:rsid w:val="002B0D98"/>
    <w:rsid w:val="002B0E95"/>
    <w:rsid w:val="002B1F7A"/>
    <w:rsid w:val="002B2122"/>
    <w:rsid w:val="002B24BD"/>
    <w:rsid w:val="002B24CA"/>
    <w:rsid w:val="002B24D7"/>
    <w:rsid w:val="002B2564"/>
    <w:rsid w:val="002B2CBE"/>
    <w:rsid w:val="002B3112"/>
    <w:rsid w:val="002B3805"/>
    <w:rsid w:val="002B386D"/>
    <w:rsid w:val="002B3E75"/>
    <w:rsid w:val="002B3E9E"/>
    <w:rsid w:val="002B42F7"/>
    <w:rsid w:val="002B43CA"/>
    <w:rsid w:val="002B46AF"/>
    <w:rsid w:val="002B46DF"/>
    <w:rsid w:val="002B5CAF"/>
    <w:rsid w:val="002B6022"/>
    <w:rsid w:val="002B62F0"/>
    <w:rsid w:val="002B64F2"/>
    <w:rsid w:val="002B6A98"/>
    <w:rsid w:val="002B6C68"/>
    <w:rsid w:val="002B7075"/>
    <w:rsid w:val="002B716E"/>
    <w:rsid w:val="002B7333"/>
    <w:rsid w:val="002B75DA"/>
    <w:rsid w:val="002B77DA"/>
    <w:rsid w:val="002B784A"/>
    <w:rsid w:val="002B7C57"/>
    <w:rsid w:val="002C03E3"/>
    <w:rsid w:val="002C0403"/>
    <w:rsid w:val="002C0455"/>
    <w:rsid w:val="002C0512"/>
    <w:rsid w:val="002C059B"/>
    <w:rsid w:val="002C07C2"/>
    <w:rsid w:val="002C08EF"/>
    <w:rsid w:val="002C1067"/>
    <w:rsid w:val="002C14F1"/>
    <w:rsid w:val="002C15EA"/>
    <w:rsid w:val="002C16F7"/>
    <w:rsid w:val="002C1A35"/>
    <w:rsid w:val="002C1ABD"/>
    <w:rsid w:val="002C1BE7"/>
    <w:rsid w:val="002C1CE6"/>
    <w:rsid w:val="002C2043"/>
    <w:rsid w:val="002C25B9"/>
    <w:rsid w:val="002C281E"/>
    <w:rsid w:val="002C2846"/>
    <w:rsid w:val="002C2BAA"/>
    <w:rsid w:val="002C2ECC"/>
    <w:rsid w:val="002C33A0"/>
    <w:rsid w:val="002C3751"/>
    <w:rsid w:val="002C3833"/>
    <w:rsid w:val="002C3BC6"/>
    <w:rsid w:val="002C3C44"/>
    <w:rsid w:val="002C3FE5"/>
    <w:rsid w:val="002C4551"/>
    <w:rsid w:val="002C47BB"/>
    <w:rsid w:val="002C4C76"/>
    <w:rsid w:val="002C4EBD"/>
    <w:rsid w:val="002C4EFD"/>
    <w:rsid w:val="002C5419"/>
    <w:rsid w:val="002C54D3"/>
    <w:rsid w:val="002C54D6"/>
    <w:rsid w:val="002C5516"/>
    <w:rsid w:val="002C55E8"/>
    <w:rsid w:val="002C58DA"/>
    <w:rsid w:val="002C5FB8"/>
    <w:rsid w:val="002C63F2"/>
    <w:rsid w:val="002C6476"/>
    <w:rsid w:val="002C6B90"/>
    <w:rsid w:val="002C6DD5"/>
    <w:rsid w:val="002C6EA5"/>
    <w:rsid w:val="002C6F3A"/>
    <w:rsid w:val="002C70E3"/>
    <w:rsid w:val="002C711F"/>
    <w:rsid w:val="002C727A"/>
    <w:rsid w:val="002C72F5"/>
    <w:rsid w:val="002C750B"/>
    <w:rsid w:val="002C76B9"/>
    <w:rsid w:val="002C771F"/>
    <w:rsid w:val="002C77A5"/>
    <w:rsid w:val="002C7886"/>
    <w:rsid w:val="002C7D36"/>
    <w:rsid w:val="002C7EC8"/>
    <w:rsid w:val="002D0351"/>
    <w:rsid w:val="002D08D2"/>
    <w:rsid w:val="002D10A0"/>
    <w:rsid w:val="002D14A3"/>
    <w:rsid w:val="002D16ED"/>
    <w:rsid w:val="002D1CE3"/>
    <w:rsid w:val="002D1E97"/>
    <w:rsid w:val="002D1EE2"/>
    <w:rsid w:val="002D1F88"/>
    <w:rsid w:val="002D2071"/>
    <w:rsid w:val="002D20AC"/>
    <w:rsid w:val="002D2545"/>
    <w:rsid w:val="002D2A75"/>
    <w:rsid w:val="002D2F4D"/>
    <w:rsid w:val="002D2F86"/>
    <w:rsid w:val="002D3002"/>
    <w:rsid w:val="002D3380"/>
    <w:rsid w:val="002D34E8"/>
    <w:rsid w:val="002D38F4"/>
    <w:rsid w:val="002D3964"/>
    <w:rsid w:val="002D3CD8"/>
    <w:rsid w:val="002D405E"/>
    <w:rsid w:val="002D409C"/>
    <w:rsid w:val="002D4476"/>
    <w:rsid w:val="002D4BB1"/>
    <w:rsid w:val="002D4D6D"/>
    <w:rsid w:val="002D4DEC"/>
    <w:rsid w:val="002D4E81"/>
    <w:rsid w:val="002D4EAC"/>
    <w:rsid w:val="002D4F0D"/>
    <w:rsid w:val="002D4F3D"/>
    <w:rsid w:val="002D514A"/>
    <w:rsid w:val="002D51BF"/>
    <w:rsid w:val="002D52C5"/>
    <w:rsid w:val="002D537F"/>
    <w:rsid w:val="002D586B"/>
    <w:rsid w:val="002D59EB"/>
    <w:rsid w:val="002D5C1D"/>
    <w:rsid w:val="002D5CDD"/>
    <w:rsid w:val="002D6134"/>
    <w:rsid w:val="002D637B"/>
    <w:rsid w:val="002D6567"/>
    <w:rsid w:val="002D6585"/>
    <w:rsid w:val="002D6661"/>
    <w:rsid w:val="002D6C21"/>
    <w:rsid w:val="002D6E63"/>
    <w:rsid w:val="002D70D0"/>
    <w:rsid w:val="002D72D8"/>
    <w:rsid w:val="002D74DD"/>
    <w:rsid w:val="002E01F1"/>
    <w:rsid w:val="002E042B"/>
    <w:rsid w:val="002E0563"/>
    <w:rsid w:val="002E0710"/>
    <w:rsid w:val="002E0D1D"/>
    <w:rsid w:val="002E1067"/>
    <w:rsid w:val="002E1451"/>
    <w:rsid w:val="002E15EE"/>
    <w:rsid w:val="002E16E2"/>
    <w:rsid w:val="002E16E7"/>
    <w:rsid w:val="002E1946"/>
    <w:rsid w:val="002E1E7B"/>
    <w:rsid w:val="002E1EA7"/>
    <w:rsid w:val="002E1F3D"/>
    <w:rsid w:val="002E21C0"/>
    <w:rsid w:val="002E2689"/>
    <w:rsid w:val="002E26D2"/>
    <w:rsid w:val="002E29F8"/>
    <w:rsid w:val="002E2C4D"/>
    <w:rsid w:val="002E385D"/>
    <w:rsid w:val="002E41B0"/>
    <w:rsid w:val="002E42FC"/>
    <w:rsid w:val="002E44A5"/>
    <w:rsid w:val="002E45D1"/>
    <w:rsid w:val="002E4642"/>
    <w:rsid w:val="002E4658"/>
    <w:rsid w:val="002E510B"/>
    <w:rsid w:val="002E519A"/>
    <w:rsid w:val="002E51C7"/>
    <w:rsid w:val="002E55DD"/>
    <w:rsid w:val="002E5896"/>
    <w:rsid w:val="002E600C"/>
    <w:rsid w:val="002E6278"/>
    <w:rsid w:val="002E6A27"/>
    <w:rsid w:val="002E6B59"/>
    <w:rsid w:val="002E710B"/>
    <w:rsid w:val="002E71E5"/>
    <w:rsid w:val="002E760E"/>
    <w:rsid w:val="002E7871"/>
    <w:rsid w:val="002E7A2B"/>
    <w:rsid w:val="002E7D36"/>
    <w:rsid w:val="002F0347"/>
    <w:rsid w:val="002F048F"/>
    <w:rsid w:val="002F0B34"/>
    <w:rsid w:val="002F117B"/>
    <w:rsid w:val="002F13AB"/>
    <w:rsid w:val="002F15F2"/>
    <w:rsid w:val="002F21A3"/>
    <w:rsid w:val="002F23D6"/>
    <w:rsid w:val="002F271D"/>
    <w:rsid w:val="002F2A4E"/>
    <w:rsid w:val="002F2D1F"/>
    <w:rsid w:val="002F331A"/>
    <w:rsid w:val="002F3392"/>
    <w:rsid w:val="002F389A"/>
    <w:rsid w:val="002F4657"/>
    <w:rsid w:val="002F47BE"/>
    <w:rsid w:val="002F48FC"/>
    <w:rsid w:val="002F4972"/>
    <w:rsid w:val="002F4BAC"/>
    <w:rsid w:val="002F4F61"/>
    <w:rsid w:val="002F5187"/>
    <w:rsid w:val="002F5618"/>
    <w:rsid w:val="002F5DA5"/>
    <w:rsid w:val="002F5FA2"/>
    <w:rsid w:val="002F603B"/>
    <w:rsid w:val="002F6154"/>
    <w:rsid w:val="002F618D"/>
    <w:rsid w:val="002F648B"/>
    <w:rsid w:val="002F683F"/>
    <w:rsid w:val="002F6934"/>
    <w:rsid w:val="002F6A66"/>
    <w:rsid w:val="002F6B6B"/>
    <w:rsid w:val="002F709D"/>
    <w:rsid w:val="002F7BE3"/>
    <w:rsid w:val="002F7D1A"/>
    <w:rsid w:val="002F7E5B"/>
    <w:rsid w:val="00300476"/>
    <w:rsid w:val="00300901"/>
    <w:rsid w:val="00300D0A"/>
    <w:rsid w:val="00301246"/>
    <w:rsid w:val="003013E3"/>
    <w:rsid w:val="00301580"/>
    <w:rsid w:val="0030182E"/>
    <w:rsid w:val="00301ACA"/>
    <w:rsid w:val="00301B50"/>
    <w:rsid w:val="00301CCB"/>
    <w:rsid w:val="00301D24"/>
    <w:rsid w:val="00301D66"/>
    <w:rsid w:val="003020B8"/>
    <w:rsid w:val="003020FD"/>
    <w:rsid w:val="0030218A"/>
    <w:rsid w:val="0030223F"/>
    <w:rsid w:val="00302D02"/>
    <w:rsid w:val="003030E5"/>
    <w:rsid w:val="00303453"/>
    <w:rsid w:val="00303497"/>
    <w:rsid w:val="003035DA"/>
    <w:rsid w:val="00303638"/>
    <w:rsid w:val="003037C3"/>
    <w:rsid w:val="003049A1"/>
    <w:rsid w:val="00304CE0"/>
    <w:rsid w:val="00304D8A"/>
    <w:rsid w:val="0030524B"/>
    <w:rsid w:val="003053A3"/>
    <w:rsid w:val="003054F1"/>
    <w:rsid w:val="003056C9"/>
    <w:rsid w:val="00305D37"/>
    <w:rsid w:val="00305DB8"/>
    <w:rsid w:val="00305E5C"/>
    <w:rsid w:val="00306BED"/>
    <w:rsid w:val="00306DC6"/>
    <w:rsid w:val="00306FA8"/>
    <w:rsid w:val="003070F7"/>
    <w:rsid w:val="0030727B"/>
    <w:rsid w:val="0030734B"/>
    <w:rsid w:val="0030749F"/>
    <w:rsid w:val="00307565"/>
    <w:rsid w:val="0030759B"/>
    <w:rsid w:val="00307662"/>
    <w:rsid w:val="0030790A"/>
    <w:rsid w:val="00307D92"/>
    <w:rsid w:val="00307F9D"/>
    <w:rsid w:val="003101BA"/>
    <w:rsid w:val="003101FF"/>
    <w:rsid w:val="00310327"/>
    <w:rsid w:val="0031049C"/>
    <w:rsid w:val="003104FE"/>
    <w:rsid w:val="00311014"/>
    <w:rsid w:val="003111F9"/>
    <w:rsid w:val="00311280"/>
    <w:rsid w:val="003114D8"/>
    <w:rsid w:val="0031157E"/>
    <w:rsid w:val="00311771"/>
    <w:rsid w:val="00311A12"/>
    <w:rsid w:val="00312057"/>
    <w:rsid w:val="00312348"/>
    <w:rsid w:val="00312470"/>
    <w:rsid w:val="003124F8"/>
    <w:rsid w:val="003128B0"/>
    <w:rsid w:val="00312926"/>
    <w:rsid w:val="00312A1D"/>
    <w:rsid w:val="00312EA1"/>
    <w:rsid w:val="003130E0"/>
    <w:rsid w:val="003133E9"/>
    <w:rsid w:val="00313648"/>
    <w:rsid w:val="0031392F"/>
    <w:rsid w:val="00313A3F"/>
    <w:rsid w:val="00313E74"/>
    <w:rsid w:val="00313EE7"/>
    <w:rsid w:val="003140E8"/>
    <w:rsid w:val="00314270"/>
    <w:rsid w:val="003145BE"/>
    <w:rsid w:val="003148E0"/>
    <w:rsid w:val="00314908"/>
    <w:rsid w:val="00314B85"/>
    <w:rsid w:val="00314DC4"/>
    <w:rsid w:val="00315017"/>
    <w:rsid w:val="0031544A"/>
    <w:rsid w:val="0031568B"/>
    <w:rsid w:val="00316612"/>
    <w:rsid w:val="0031661D"/>
    <w:rsid w:val="0031662B"/>
    <w:rsid w:val="0031679F"/>
    <w:rsid w:val="003169C3"/>
    <w:rsid w:val="00316CF4"/>
    <w:rsid w:val="00316D5A"/>
    <w:rsid w:val="00316D66"/>
    <w:rsid w:val="00316E8F"/>
    <w:rsid w:val="00316F7E"/>
    <w:rsid w:val="00317064"/>
    <w:rsid w:val="003175BE"/>
    <w:rsid w:val="0031766E"/>
    <w:rsid w:val="00317803"/>
    <w:rsid w:val="00317CEC"/>
    <w:rsid w:val="003203CF"/>
    <w:rsid w:val="00320696"/>
    <w:rsid w:val="0032071B"/>
    <w:rsid w:val="00320966"/>
    <w:rsid w:val="00320BCC"/>
    <w:rsid w:val="00320C90"/>
    <w:rsid w:val="0032114B"/>
    <w:rsid w:val="00321254"/>
    <w:rsid w:val="00321C0E"/>
    <w:rsid w:val="00321C3B"/>
    <w:rsid w:val="00321CB7"/>
    <w:rsid w:val="00321DA4"/>
    <w:rsid w:val="00321ED4"/>
    <w:rsid w:val="00321FDA"/>
    <w:rsid w:val="00322877"/>
    <w:rsid w:val="00322C6D"/>
    <w:rsid w:val="00322FAB"/>
    <w:rsid w:val="00322FDD"/>
    <w:rsid w:val="003230D0"/>
    <w:rsid w:val="003231AB"/>
    <w:rsid w:val="00323573"/>
    <w:rsid w:val="00323992"/>
    <w:rsid w:val="00323DCE"/>
    <w:rsid w:val="00323E7D"/>
    <w:rsid w:val="003243E9"/>
    <w:rsid w:val="00324D30"/>
    <w:rsid w:val="00325794"/>
    <w:rsid w:val="00325A41"/>
    <w:rsid w:val="00325DD0"/>
    <w:rsid w:val="00325E69"/>
    <w:rsid w:val="00326074"/>
    <w:rsid w:val="003260EA"/>
    <w:rsid w:val="00326169"/>
    <w:rsid w:val="00326565"/>
    <w:rsid w:val="00326DA5"/>
    <w:rsid w:val="00326EC8"/>
    <w:rsid w:val="00326F9A"/>
    <w:rsid w:val="0032707E"/>
    <w:rsid w:val="00327453"/>
    <w:rsid w:val="0032747B"/>
    <w:rsid w:val="00327508"/>
    <w:rsid w:val="00327D7B"/>
    <w:rsid w:val="00327DEE"/>
    <w:rsid w:val="00327DFD"/>
    <w:rsid w:val="00327E6E"/>
    <w:rsid w:val="00330083"/>
    <w:rsid w:val="003301E5"/>
    <w:rsid w:val="00330274"/>
    <w:rsid w:val="003303F6"/>
    <w:rsid w:val="00330441"/>
    <w:rsid w:val="003304F3"/>
    <w:rsid w:val="00330742"/>
    <w:rsid w:val="0033097D"/>
    <w:rsid w:val="003309E8"/>
    <w:rsid w:val="00330B2E"/>
    <w:rsid w:val="00330CD5"/>
    <w:rsid w:val="00330D19"/>
    <w:rsid w:val="00331055"/>
    <w:rsid w:val="003314E3"/>
    <w:rsid w:val="00331503"/>
    <w:rsid w:val="0033157C"/>
    <w:rsid w:val="0033158E"/>
    <w:rsid w:val="00331756"/>
    <w:rsid w:val="00331AF3"/>
    <w:rsid w:val="00331C7A"/>
    <w:rsid w:val="00331E44"/>
    <w:rsid w:val="00331EC2"/>
    <w:rsid w:val="00331ED1"/>
    <w:rsid w:val="0033232A"/>
    <w:rsid w:val="003323FA"/>
    <w:rsid w:val="00332680"/>
    <w:rsid w:val="003327CB"/>
    <w:rsid w:val="00332D30"/>
    <w:rsid w:val="00332E28"/>
    <w:rsid w:val="00332FDD"/>
    <w:rsid w:val="00333039"/>
    <w:rsid w:val="00333138"/>
    <w:rsid w:val="00333549"/>
    <w:rsid w:val="00333A24"/>
    <w:rsid w:val="00333D4D"/>
    <w:rsid w:val="00333FD3"/>
    <w:rsid w:val="0033401B"/>
    <w:rsid w:val="003344DE"/>
    <w:rsid w:val="0033474F"/>
    <w:rsid w:val="00334892"/>
    <w:rsid w:val="00334E90"/>
    <w:rsid w:val="00334EF7"/>
    <w:rsid w:val="0033509B"/>
    <w:rsid w:val="003352E4"/>
    <w:rsid w:val="00335417"/>
    <w:rsid w:val="00335A18"/>
    <w:rsid w:val="00335D71"/>
    <w:rsid w:val="00336546"/>
    <w:rsid w:val="00336C68"/>
    <w:rsid w:val="003374D0"/>
    <w:rsid w:val="003375CE"/>
    <w:rsid w:val="00337990"/>
    <w:rsid w:val="003379E5"/>
    <w:rsid w:val="00337EE0"/>
    <w:rsid w:val="00340109"/>
    <w:rsid w:val="003401FC"/>
    <w:rsid w:val="003403FF"/>
    <w:rsid w:val="003405FA"/>
    <w:rsid w:val="00340655"/>
    <w:rsid w:val="0034086F"/>
    <w:rsid w:val="003410B0"/>
    <w:rsid w:val="003411D0"/>
    <w:rsid w:val="003415A0"/>
    <w:rsid w:val="00341CDB"/>
    <w:rsid w:val="00341F07"/>
    <w:rsid w:val="003425F2"/>
    <w:rsid w:val="003427CF"/>
    <w:rsid w:val="003428E0"/>
    <w:rsid w:val="0034298C"/>
    <w:rsid w:val="00342A8B"/>
    <w:rsid w:val="00342C40"/>
    <w:rsid w:val="00342ED3"/>
    <w:rsid w:val="0034311B"/>
    <w:rsid w:val="003432CF"/>
    <w:rsid w:val="00343522"/>
    <w:rsid w:val="00343754"/>
    <w:rsid w:val="00343C28"/>
    <w:rsid w:val="003445FC"/>
    <w:rsid w:val="003446B3"/>
    <w:rsid w:val="00344797"/>
    <w:rsid w:val="00344A91"/>
    <w:rsid w:val="00344D3C"/>
    <w:rsid w:val="00344FB0"/>
    <w:rsid w:val="0034506E"/>
    <w:rsid w:val="003450CE"/>
    <w:rsid w:val="00345121"/>
    <w:rsid w:val="00345744"/>
    <w:rsid w:val="003457C1"/>
    <w:rsid w:val="00345829"/>
    <w:rsid w:val="0034591E"/>
    <w:rsid w:val="00345CFC"/>
    <w:rsid w:val="00345FE3"/>
    <w:rsid w:val="003463E3"/>
    <w:rsid w:val="0034670B"/>
    <w:rsid w:val="00346710"/>
    <w:rsid w:val="00346719"/>
    <w:rsid w:val="003467CE"/>
    <w:rsid w:val="0034687B"/>
    <w:rsid w:val="00346B29"/>
    <w:rsid w:val="00346C4F"/>
    <w:rsid w:val="00346CF1"/>
    <w:rsid w:val="00346D60"/>
    <w:rsid w:val="00346F04"/>
    <w:rsid w:val="00347500"/>
    <w:rsid w:val="00347602"/>
    <w:rsid w:val="0034762E"/>
    <w:rsid w:val="00347CE6"/>
    <w:rsid w:val="00347DD7"/>
    <w:rsid w:val="003502D7"/>
    <w:rsid w:val="003504AA"/>
    <w:rsid w:val="003510D1"/>
    <w:rsid w:val="00351263"/>
    <w:rsid w:val="003513F0"/>
    <w:rsid w:val="00351445"/>
    <w:rsid w:val="00351867"/>
    <w:rsid w:val="00351AE1"/>
    <w:rsid w:val="00351D13"/>
    <w:rsid w:val="00351D37"/>
    <w:rsid w:val="00352381"/>
    <w:rsid w:val="0035253D"/>
    <w:rsid w:val="00352854"/>
    <w:rsid w:val="00352AB3"/>
    <w:rsid w:val="00352C91"/>
    <w:rsid w:val="003530FB"/>
    <w:rsid w:val="0035424D"/>
    <w:rsid w:val="00354523"/>
    <w:rsid w:val="003545E5"/>
    <w:rsid w:val="00354718"/>
    <w:rsid w:val="00354C2B"/>
    <w:rsid w:val="00354D69"/>
    <w:rsid w:val="00354E2C"/>
    <w:rsid w:val="00354F53"/>
    <w:rsid w:val="00355785"/>
    <w:rsid w:val="00355A5D"/>
    <w:rsid w:val="00355BB7"/>
    <w:rsid w:val="00355CE2"/>
    <w:rsid w:val="00355D12"/>
    <w:rsid w:val="00355FA0"/>
    <w:rsid w:val="0035601C"/>
    <w:rsid w:val="0035629A"/>
    <w:rsid w:val="00356383"/>
    <w:rsid w:val="00356782"/>
    <w:rsid w:val="0035689E"/>
    <w:rsid w:val="00356F00"/>
    <w:rsid w:val="00356F02"/>
    <w:rsid w:val="00356F1F"/>
    <w:rsid w:val="00357185"/>
    <w:rsid w:val="0035733F"/>
    <w:rsid w:val="00357345"/>
    <w:rsid w:val="003579F3"/>
    <w:rsid w:val="00357C79"/>
    <w:rsid w:val="00357CEC"/>
    <w:rsid w:val="00357E5E"/>
    <w:rsid w:val="00357ED8"/>
    <w:rsid w:val="00357FE1"/>
    <w:rsid w:val="00360734"/>
    <w:rsid w:val="00360778"/>
    <w:rsid w:val="0036089E"/>
    <w:rsid w:val="00360D97"/>
    <w:rsid w:val="00361732"/>
    <w:rsid w:val="00361A6F"/>
    <w:rsid w:val="00361D53"/>
    <w:rsid w:val="00361E82"/>
    <w:rsid w:val="00361F93"/>
    <w:rsid w:val="00361FBB"/>
    <w:rsid w:val="0036242B"/>
    <w:rsid w:val="003625B4"/>
    <w:rsid w:val="003627CD"/>
    <w:rsid w:val="003627E1"/>
    <w:rsid w:val="0036280E"/>
    <w:rsid w:val="00362F69"/>
    <w:rsid w:val="00362FF8"/>
    <w:rsid w:val="0036336D"/>
    <w:rsid w:val="0036368C"/>
    <w:rsid w:val="003637F0"/>
    <w:rsid w:val="00363B45"/>
    <w:rsid w:val="00363E54"/>
    <w:rsid w:val="003641F9"/>
    <w:rsid w:val="00364204"/>
    <w:rsid w:val="003642B8"/>
    <w:rsid w:val="003643A3"/>
    <w:rsid w:val="00364441"/>
    <w:rsid w:val="00364A93"/>
    <w:rsid w:val="00364BD0"/>
    <w:rsid w:val="00364E33"/>
    <w:rsid w:val="003650B5"/>
    <w:rsid w:val="003651C1"/>
    <w:rsid w:val="00365429"/>
    <w:rsid w:val="00365462"/>
    <w:rsid w:val="003654EE"/>
    <w:rsid w:val="003656F1"/>
    <w:rsid w:val="00365A54"/>
    <w:rsid w:val="00365D43"/>
    <w:rsid w:val="00365D60"/>
    <w:rsid w:val="00365DC7"/>
    <w:rsid w:val="00365F73"/>
    <w:rsid w:val="003662B3"/>
    <w:rsid w:val="0036675F"/>
    <w:rsid w:val="003668CB"/>
    <w:rsid w:val="003668DB"/>
    <w:rsid w:val="00366E30"/>
    <w:rsid w:val="00366F14"/>
    <w:rsid w:val="00367037"/>
    <w:rsid w:val="00367331"/>
    <w:rsid w:val="003674AB"/>
    <w:rsid w:val="00367CA6"/>
    <w:rsid w:val="00367DA0"/>
    <w:rsid w:val="00367E41"/>
    <w:rsid w:val="0037024F"/>
    <w:rsid w:val="00370BC9"/>
    <w:rsid w:val="0037117A"/>
    <w:rsid w:val="00371BC1"/>
    <w:rsid w:val="00371C77"/>
    <w:rsid w:val="00371DB3"/>
    <w:rsid w:val="00371E48"/>
    <w:rsid w:val="00371F72"/>
    <w:rsid w:val="00372A3A"/>
    <w:rsid w:val="00372E5D"/>
    <w:rsid w:val="00372E84"/>
    <w:rsid w:val="0037328C"/>
    <w:rsid w:val="00373334"/>
    <w:rsid w:val="0037353D"/>
    <w:rsid w:val="00373AE1"/>
    <w:rsid w:val="00373DD8"/>
    <w:rsid w:val="00373E13"/>
    <w:rsid w:val="0037400A"/>
    <w:rsid w:val="00374070"/>
    <w:rsid w:val="0037434D"/>
    <w:rsid w:val="003744DA"/>
    <w:rsid w:val="0037478B"/>
    <w:rsid w:val="00374981"/>
    <w:rsid w:val="00374B27"/>
    <w:rsid w:val="00374B8F"/>
    <w:rsid w:val="00374D75"/>
    <w:rsid w:val="003750BA"/>
    <w:rsid w:val="003757C4"/>
    <w:rsid w:val="003759B0"/>
    <w:rsid w:val="00375A9D"/>
    <w:rsid w:val="00375C6C"/>
    <w:rsid w:val="00376FE5"/>
    <w:rsid w:val="003770C2"/>
    <w:rsid w:val="003771B9"/>
    <w:rsid w:val="0037758C"/>
    <w:rsid w:val="00377727"/>
    <w:rsid w:val="00377859"/>
    <w:rsid w:val="00377ABE"/>
    <w:rsid w:val="00377C51"/>
    <w:rsid w:val="00377D59"/>
    <w:rsid w:val="0038060C"/>
    <w:rsid w:val="00380692"/>
    <w:rsid w:val="003807CB"/>
    <w:rsid w:val="00380B7F"/>
    <w:rsid w:val="0038131C"/>
    <w:rsid w:val="00381403"/>
    <w:rsid w:val="00381421"/>
    <w:rsid w:val="0038175D"/>
    <w:rsid w:val="00381F96"/>
    <w:rsid w:val="003821B9"/>
    <w:rsid w:val="003825C0"/>
    <w:rsid w:val="0038266A"/>
    <w:rsid w:val="003829ED"/>
    <w:rsid w:val="00382EDF"/>
    <w:rsid w:val="00382F4C"/>
    <w:rsid w:val="0038340A"/>
    <w:rsid w:val="003836EC"/>
    <w:rsid w:val="00383BE7"/>
    <w:rsid w:val="0038414E"/>
    <w:rsid w:val="00384DDE"/>
    <w:rsid w:val="00384FF1"/>
    <w:rsid w:val="003855D7"/>
    <w:rsid w:val="00385609"/>
    <w:rsid w:val="00385725"/>
    <w:rsid w:val="003858FF"/>
    <w:rsid w:val="00385B13"/>
    <w:rsid w:val="0038654B"/>
    <w:rsid w:val="00386613"/>
    <w:rsid w:val="00386D56"/>
    <w:rsid w:val="0038715A"/>
    <w:rsid w:val="00387218"/>
    <w:rsid w:val="00387220"/>
    <w:rsid w:val="00387418"/>
    <w:rsid w:val="0038767A"/>
    <w:rsid w:val="00387AA5"/>
    <w:rsid w:val="00387D12"/>
    <w:rsid w:val="0039016C"/>
    <w:rsid w:val="00390293"/>
    <w:rsid w:val="0039053A"/>
    <w:rsid w:val="00390566"/>
    <w:rsid w:val="003905E2"/>
    <w:rsid w:val="00390AF3"/>
    <w:rsid w:val="00390C34"/>
    <w:rsid w:val="00390FCB"/>
    <w:rsid w:val="003916AB"/>
    <w:rsid w:val="003916AC"/>
    <w:rsid w:val="0039171E"/>
    <w:rsid w:val="00391CE8"/>
    <w:rsid w:val="00391E79"/>
    <w:rsid w:val="0039227B"/>
    <w:rsid w:val="00392C46"/>
    <w:rsid w:val="00392F90"/>
    <w:rsid w:val="0039307A"/>
    <w:rsid w:val="00393207"/>
    <w:rsid w:val="00393306"/>
    <w:rsid w:val="0039347A"/>
    <w:rsid w:val="003936AF"/>
    <w:rsid w:val="0039374D"/>
    <w:rsid w:val="00393869"/>
    <w:rsid w:val="00393BF6"/>
    <w:rsid w:val="00393D53"/>
    <w:rsid w:val="00393F04"/>
    <w:rsid w:val="0039424F"/>
    <w:rsid w:val="00394978"/>
    <w:rsid w:val="00394AF3"/>
    <w:rsid w:val="00394AF9"/>
    <w:rsid w:val="00394E63"/>
    <w:rsid w:val="00395F26"/>
    <w:rsid w:val="003960F1"/>
    <w:rsid w:val="00396335"/>
    <w:rsid w:val="00396494"/>
    <w:rsid w:val="003964DC"/>
    <w:rsid w:val="003964F3"/>
    <w:rsid w:val="003967EC"/>
    <w:rsid w:val="003968F9"/>
    <w:rsid w:val="0039693E"/>
    <w:rsid w:val="00396BD7"/>
    <w:rsid w:val="00396D1B"/>
    <w:rsid w:val="00396D96"/>
    <w:rsid w:val="003970EE"/>
    <w:rsid w:val="003971BD"/>
    <w:rsid w:val="0039756E"/>
    <w:rsid w:val="00397B73"/>
    <w:rsid w:val="00397B77"/>
    <w:rsid w:val="00397BC4"/>
    <w:rsid w:val="00397F95"/>
    <w:rsid w:val="003A0366"/>
    <w:rsid w:val="003A08FE"/>
    <w:rsid w:val="003A0971"/>
    <w:rsid w:val="003A0A4C"/>
    <w:rsid w:val="003A0DC6"/>
    <w:rsid w:val="003A0EC2"/>
    <w:rsid w:val="003A0FF8"/>
    <w:rsid w:val="003A10EB"/>
    <w:rsid w:val="003A1587"/>
    <w:rsid w:val="003A15DB"/>
    <w:rsid w:val="003A1ECB"/>
    <w:rsid w:val="003A2009"/>
    <w:rsid w:val="003A208D"/>
    <w:rsid w:val="003A2384"/>
    <w:rsid w:val="003A2402"/>
    <w:rsid w:val="003A242B"/>
    <w:rsid w:val="003A24E4"/>
    <w:rsid w:val="003A281F"/>
    <w:rsid w:val="003A2A91"/>
    <w:rsid w:val="003A2B40"/>
    <w:rsid w:val="003A2FA2"/>
    <w:rsid w:val="003A33D3"/>
    <w:rsid w:val="003A342C"/>
    <w:rsid w:val="003A377B"/>
    <w:rsid w:val="003A3A6B"/>
    <w:rsid w:val="003A3BF3"/>
    <w:rsid w:val="003A3D11"/>
    <w:rsid w:val="003A41E6"/>
    <w:rsid w:val="003A4532"/>
    <w:rsid w:val="003A48B3"/>
    <w:rsid w:val="003A4BB6"/>
    <w:rsid w:val="003A59BD"/>
    <w:rsid w:val="003A5A9E"/>
    <w:rsid w:val="003A6416"/>
    <w:rsid w:val="003A645F"/>
    <w:rsid w:val="003A6715"/>
    <w:rsid w:val="003A67F0"/>
    <w:rsid w:val="003A69D2"/>
    <w:rsid w:val="003A6B99"/>
    <w:rsid w:val="003A6B9C"/>
    <w:rsid w:val="003A6BE3"/>
    <w:rsid w:val="003A6BE7"/>
    <w:rsid w:val="003A6ECA"/>
    <w:rsid w:val="003A77CA"/>
    <w:rsid w:val="003A77FA"/>
    <w:rsid w:val="003A79FE"/>
    <w:rsid w:val="003A7A3E"/>
    <w:rsid w:val="003A7C32"/>
    <w:rsid w:val="003A7C66"/>
    <w:rsid w:val="003A7FCC"/>
    <w:rsid w:val="003B03BC"/>
    <w:rsid w:val="003B08DE"/>
    <w:rsid w:val="003B0A2C"/>
    <w:rsid w:val="003B0E1E"/>
    <w:rsid w:val="003B10F1"/>
    <w:rsid w:val="003B12E4"/>
    <w:rsid w:val="003B14A7"/>
    <w:rsid w:val="003B1D10"/>
    <w:rsid w:val="003B2207"/>
    <w:rsid w:val="003B2540"/>
    <w:rsid w:val="003B2674"/>
    <w:rsid w:val="003B2B0E"/>
    <w:rsid w:val="003B2CD6"/>
    <w:rsid w:val="003B2CD7"/>
    <w:rsid w:val="003B2E8E"/>
    <w:rsid w:val="003B2EDA"/>
    <w:rsid w:val="003B30F6"/>
    <w:rsid w:val="003B35E5"/>
    <w:rsid w:val="003B3821"/>
    <w:rsid w:val="003B38A7"/>
    <w:rsid w:val="003B3950"/>
    <w:rsid w:val="003B3FDF"/>
    <w:rsid w:val="003B4057"/>
    <w:rsid w:val="003B4333"/>
    <w:rsid w:val="003B4876"/>
    <w:rsid w:val="003B4F00"/>
    <w:rsid w:val="003B4F75"/>
    <w:rsid w:val="003B5D65"/>
    <w:rsid w:val="003B625C"/>
    <w:rsid w:val="003B6685"/>
    <w:rsid w:val="003B6752"/>
    <w:rsid w:val="003B6840"/>
    <w:rsid w:val="003B6DD8"/>
    <w:rsid w:val="003B71B2"/>
    <w:rsid w:val="003B73E5"/>
    <w:rsid w:val="003B740C"/>
    <w:rsid w:val="003B77BC"/>
    <w:rsid w:val="003B7800"/>
    <w:rsid w:val="003B79DE"/>
    <w:rsid w:val="003B7AE2"/>
    <w:rsid w:val="003B7B24"/>
    <w:rsid w:val="003B7CCB"/>
    <w:rsid w:val="003B7CCF"/>
    <w:rsid w:val="003B7DA8"/>
    <w:rsid w:val="003C02C4"/>
    <w:rsid w:val="003C033B"/>
    <w:rsid w:val="003C03B7"/>
    <w:rsid w:val="003C0451"/>
    <w:rsid w:val="003C0A4F"/>
    <w:rsid w:val="003C0A75"/>
    <w:rsid w:val="003C0DC1"/>
    <w:rsid w:val="003C1254"/>
    <w:rsid w:val="003C141B"/>
    <w:rsid w:val="003C1ED0"/>
    <w:rsid w:val="003C1EDD"/>
    <w:rsid w:val="003C2017"/>
    <w:rsid w:val="003C2417"/>
    <w:rsid w:val="003C2546"/>
    <w:rsid w:val="003C2AC0"/>
    <w:rsid w:val="003C311A"/>
    <w:rsid w:val="003C36E0"/>
    <w:rsid w:val="003C37AF"/>
    <w:rsid w:val="003C3C1D"/>
    <w:rsid w:val="003C4523"/>
    <w:rsid w:val="003C472F"/>
    <w:rsid w:val="003C4784"/>
    <w:rsid w:val="003C4B80"/>
    <w:rsid w:val="003C4D05"/>
    <w:rsid w:val="003C51FF"/>
    <w:rsid w:val="003C5C66"/>
    <w:rsid w:val="003C5CEA"/>
    <w:rsid w:val="003C5FC4"/>
    <w:rsid w:val="003C6196"/>
    <w:rsid w:val="003C6437"/>
    <w:rsid w:val="003C6D2B"/>
    <w:rsid w:val="003C6D9D"/>
    <w:rsid w:val="003C71D2"/>
    <w:rsid w:val="003C73E1"/>
    <w:rsid w:val="003C7994"/>
    <w:rsid w:val="003C7A34"/>
    <w:rsid w:val="003C7FAA"/>
    <w:rsid w:val="003D04E2"/>
    <w:rsid w:val="003D0909"/>
    <w:rsid w:val="003D0AA1"/>
    <w:rsid w:val="003D0ECC"/>
    <w:rsid w:val="003D117D"/>
    <w:rsid w:val="003D1552"/>
    <w:rsid w:val="003D1632"/>
    <w:rsid w:val="003D1726"/>
    <w:rsid w:val="003D17F6"/>
    <w:rsid w:val="003D1D44"/>
    <w:rsid w:val="003D1DB3"/>
    <w:rsid w:val="003D1DDB"/>
    <w:rsid w:val="003D1DEE"/>
    <w:rsid w:val="003D1F33"/>
    <w:rsid w:val="003D2182"/>
    <w:rsid w:val="003D2356"/>
    <w:rsid w:val="003D23FD"/>
    <w:rsid w:val="003D2954"/>
    <w:rsid w:val="003D2A28"/>
    <w:rsid w:val="003D2DBA"/>
    <w:rsid w:val="003D2E96"/>
    <w:rsid w:val="003D3203"/>
    <w:rsid w:val="003D3357"/>
    <w:rsid w:val="003D41F0"/>
    <w:rsid w:val="003D4F19"/>
    <w:rsid w:val="003D5099"/>
    <w:rsid w:val="003D520A"/>
    <w:rsid w:val="003D562E"/>
    <w:rsid w:val="003D593B"/>
    <w:rsid w:val="003D5A6F"/>
    <w:rsid w:val="003D5D6B"/>
    <w:rsid w:val="003D63DA"/>
    <w:rsid w:val="003D64E9"/>
    <w:rsid w:val="003D650A"/>
    <w:rsid w:val="003D690B"/>
    <w:rsid w:val="003D6D18"/>
    <w:rsid w:val="003D71A4"/>
    <w:rsid w:val="003E06D9"/>
    <w:rsid w:val="003E096D"/>
    <w:rsid w:val="003E0ADE"/>
    <w:rsid w:val="003E0EB8"/>
    <w:rsid w:val="003E1104"/>
    <w:rsid w:val="003E110F"/>
    <w:rsid w:val="003E1506"/>
    <w:rsid w:val="003E1914"/>
    <w:rsid w:val="003E1BF9"/>
    <w:rsid w:val="003E1C4A"/>
    <w:rsid w:val="003E1DFE"/>
    <w:rsid w:val="003E202A"/>
    <w:rsid w:val="003E2394"/>
    <w:rsid w:val="003E26BA"/>
    <w:rsid w:val="003E2D36"/>
    <w:rsid w:val="003E33E3"/>
    <w:rsid w:val="003E33FF"/>
    <w:rsid w:val="003E39A3"/>
    <w:rsid w:val="003E3DDB"/>
    <w:rsid w:val="003E3EE8"/>
    <w:rsid w:val="003E49B0"/>
    <w:rsid w:val="003E4A13"/>
    <w:rsid w:val="003E4C74"/>
    <w:rsid w:val="003E4F49"/>
    <w:rsid w:val="003E52C4"/>
    <w:rsid w:val="003E5364"/>
    <w:rsid w:val="003E568E"/>
    <w:rsid w:val="003E5C32"/>
    <w:rsid w:val="003E6585"/>
    <w:rsid w:val="003E6887"/>
    <w:rsid w:val="003E6F77"/>
    <w:rsid w:val="003E7022"/>
    <w:rsid w:val="003E7596"/>
    <w:rsid w:val="003E7956"/>
    <w:rsid w:val="003E7B34"/>
    <w:rsid w:val="003E7D21"/>
    <w:rsid w:val="003E7D83"/>
    <w:rsid w:val="003E7F3B"/>
    <w:rsid w:val="003E7F44"/>
    <w:rsid w:val="003F0418"/>
    <w:rsid w:val="003F04A8"/>
    <w:rsid w:val="003F054C"/>
    <w:rsid w:val="003F0BD5"/>
    <w:rsid w:val="003F0F66"/>
    <w:rsid w:val="003F160E"/>
    <w:rsid w:val="003F18F5"/>
    <w:rsid w:val="003F2484"/>
    <w:rsid w:val="003F24CC"/>
    <w:rsid w:val="003F29D6"/>
    <w:rsid w:val="003F2A46"/>
    <w:rsid w:val="003F2D0C"/>
    <w:rsid w:val="003F3027"/>
    <w:rsid w:val="003F370E"/>
    <w:rsid w:val="003F37AE"/>
    <w:rsid w:val="003F39BB"/>
    <w:rsid w:val="003F49D9"/>
    <w:rsid w:val="003F4AEF"/>
    <w:rsid w:val="003F4BCA"/>
    <w:rsid w:val="003F4CDE"/>
    <w:rsid w:val="003F5142"/>
    <w:rsid w:val="003F51D2"/>
    <w:rsid w:val="003F5632"/>
    <w:rsid w:val="003F5A2E"/>
    <w:rsid w:val="003F5EB3"/>
    <w:rsid w:val="003F616B"/>
    <w:rsid w:val="003F6A8F"/>
    <w:rsid w:val="003F6FE1"/>
    <w:rsid w:val="003F751D"/>
    <w:rsid w:val="003F76D0"/>
    <w:rsid w:val="003F777C"/>
    <w:rsid w:val="003F7C6C"/>
    <w:rsid w:val="0040025E"/>
    <w:rsid w:val="00400353"/>
    <w:rsid w:val="00400BCB"/>
    <w:rsid w:val="0040160F"/>
    <w:rsid w:val="00401BD5"/>
    <w:rsid w:val="0040221C"/>
    <w:rsid w:val="004026F9"/>
    <w:rsid w:val="0040275F"/>
    <w:rsid w:val="004027F0"/>
    <w:rsid w:val="00402816"/>
    <w:rsid w:val="00402B33"/>
    <w:rsid w:val="00402B55"/>
    <w:rsid w:val="00402FAB"/>
    <w:rsid w:val="004038D1"/>
    <w:rsid w:val="00403E60"/>
    <w:rsid w:val="00403F38"/>
    <w:rsid w:val="00404242"/>
    <w:rsid w:val="004042DE"/>
    <w:rsid w:val="004042EF"/>
    <w:rsid w:val="00404621"/>
    <w:rsid w:val="004049EF"/>
    <w:rsid w:val="004049FB"/>
    <w:rsid w:val="00404E32"/>
    <w:rsid w:val="00404EC5"/>
    <w:rsid w:val="00404F3B"/>
    <w:rsid w:val="00405902"/>
    <w:rsid w:val="00405911"/>
    <w:rsid w:val="00405985"/>
    <w:rsid w:val="004059F3"/>
    <w:rsid w:val="00405C71"/>
    <w:rsid w:val="00405DCF"/>
    <w:rsid w:val="00405DE3"/>
    <w:rsid w:val="00405E50"/>
    <w:rsid w:val="004060F5"/>
    <w:rsid w:val="004067D0"/>
    <w:rsid w:val="00406838"/>
    <w:rsid w:val="00406AEA"/>
    <w:rsid w:val="00406C87"/>
    <w:rsid w:val="00406E20"/>
    <w:rsid w:val="00406EE9"/>
    <w:rsid w:val="00406FE7"/>
    <w:rsid w:val="0040733D"/>
    <w:rsid w:val="00407493"/>
    <w:rsid w:val="00407C08"/>
    <w:rsid w:val="00407D7B"/>
    <w:rsid w:val="00407DBA"/>
    <w:rsid w:val="00407DD5"/>
    <w:rsid w:val="00407DE4"/>
    <w:rsid w:val="00407F94"/>
    <w:rsid w:val="0041005D"/>
    <w:rsid w:val="00410CD7"/>
    <w:rsid w:val="00410EAB"/>
    <w:rsid w:val="00411123"/>
    <w:rsid w:val="00411681"/>
    <w:rsid w:val="00411689"/>
    <w:rsid w:val="00411807"/>
    <w:rsid w:val="00411A89"/>
    <w:rsid w:val="00411DD8"/>
    <w:rsid w:val="00411E5F"/>
    <w:rsid w:val="00412169"/>
    <w:rsid w:val="0041228B"/>
    <w:rsid w:val="00412431"/>
    <w:rsid w:val="004125E2"/>
    <w:rsid w:val="00413136"/>
    <w:rsid w:val="00413272"/>
    <w:rsid w:val="0041356A"/>
    <w:rsid w:val="00413690"/>
    <w:rsid w:val="00413725"/>
    <w:rsid w:val="00413760"/>
    <w:rsid w:val="00413DDD"/>
    <w:rsid w:val="00414073"/>
    <w:rsid w:val="00414099"/>
    <w:rsid w:val="004142CA"/>
    <w:rsid w:val="0041442F"/>
    <w:rsid w:val="0041461F"/>
    <w:rsid w:val="004147A4"/>
    <w:rsid w:val="00414E1B"/>
    <w:rsid w:val="00414EF9"/>
    <w:rsid w:val="00414F48"/>
    <w:rsid w:val="00415400"/>
    <w:rsid w:val="004154EB"/>
    <w:rsid w:val="00415BF1"/>
    <w:rsid w:val="00415DF8"/>
    <w:rsid w:val="00415F7B"/>
    <w:rsid w:val="0041624B"/>
    <w:rsid w:val="004162F9"/>
    <w:rsid w:val="00416732"/>
    <w:rsid w:val="0041685F"/>
    <w:rsid w:val="00416D69"/>
    <w:rsid w:val="004170C2"/>
    <w:rsid w:val="004175CA"/>
    <w:rsid w:val="004178E3"/>
    <w:rsid w:val="00417A3E"/>
    <w:rsid w:val="00417AD4"/>
    <w:rsid w:val="00417BF7"/>
    <w:rsid w:val="00417DD6"/>
    <w:rsid w:val="00417E66"/>
    <w:rsid w:val="00417FA4"/>
    <w:rsid w:val="0042006A"/>
    <w:rsid w:val="0042023F"/>
    <w:rsid w:val="004207FE"/>
    <w:rsid w:val="00420DF2"/>
    <w:rsid w:val="00421274"/>
    <w:rsid w:val="004213DA"/>
    <w:rsid w:val="004214D4"/>
    <w:rsid w:val="004217B9"/>
    <w:rsid w:val="00421935"/>
    <w:rsid w:val="00421AE8"/>
    <w:rsid w:val="004221BA"/>
    <w:rsid w:val="00422614"/>
    <w:rsid w:val="00422629"/>
    <w:rsid w:val="00422693"/>
    <w:rsid w:val="00422AB6"/>
    <w:rsid w:val="00422CA0"/>
    <w:rsid w:val="00422EDC"/>
    <w:rsid w:val="0042335B"/>
    <w:rsid w:val="00423856"/>
    <w:rsid w:val="004238A1"/>
    <w:rsid w:val="00423935"/>
    <w:rsid w:val="00423BC4"/>
    <w:rsid w:val="00423D73"/>
    <w:rsid w:val="00423F48"/>
    <w:rsid w:val="00424208"/>
    <w:rsid w:val="00424404"/>
    <w:rsid w:val="004247FB"/>
    <w:rsid w:val="00424818"/>
    <w:rsid w:val="00424AB9"/>
    <w:rsid w:val="00424DDB"/>
    <w:rsid w:val="00424F4B"/>
    <w:rsid w:val="00425118"/>
    <w:rsid w:val="0042527B"/>
    <w:rsid w:val="00425481"/>
    <w:rsid w:val="004255F9"/>
    <w:rsid w:val="004259DB"/>
    <w:rsid w:val="00425C56"/>
    <w:rsid w:val="004269D2"/>
    <w:rsid w:val="00426AE8"/>
    <w:rsid w:val="00426C17"/>
    <w:rsid w:val="00427807"/>
    <w:rsid w:val="004278EE"/>
    <w:rsid w:val="00427D99"/>
    <w:rsid w:val="0043005E"/>
    <w:rsid w:val="00430463"/>
    <w:rsid w:val="00430526"/>
    <w:rsid w:val="00430B0A"/>
    <w:rsid w:val="00430CD0"/>
    <w:rsid w:val="00430D7D"/>
    <w:rsid w:val="00430FA4"/>
    <w:rsid w:val="00431200"/>
    <w:rsid w:val="00431301"/>
    <w:rsid w:val="0043144E"/>
    <w:rsid w:val="004315E3"/>
    <w:rsid w:val="004315FD"/>
    <w:rsid w:val="00431A43"/>
    <w:rsid w:val="00431B77"/>
    <w:rsid w:val="00431CB7"/>
    <w:rsid w:val="00431ED2"/>
    <w:rsid w:val="00431EF9"/>
    <w:rsid w:val="00432015"/>
    <w:rsid w:val="0043232D"/>
    <w:rsid w:val="00432417"/>
    <w:rsid w:val="004324BF"/>
    <w:rsid w:val="00432C58"/>
    <w:rsid w:val="00432C7C"/>
    <w:rsid w:val="00432CD0"/>
    <w:rsid w:val="00432CEE"/>
    <w:rsid w:val="00432D02"/>
    <w:rsid w:val="004330C0"/>
    <w:rsid w:val="0043322D"/>
    <w:rsid w:val="00433406"/>
    <w:rsid w:val="0043363B"/>
    <w:rsid w:val="00433749"/>
    <w:rsid w:val="0043377F"/>
    <w:rsid w:val="004337FD"/>
    <w:rsid w:val="00433ADD"/>
    <w:rsid w:val="004342A4"/>
    <w:rsid w:val="004345B8"/>
    <w:rsid w:val="00434852"/>
    <w:rsid w:val="00434A80"/>
    <w:rsid w:val="00434E82"/>
    <w:rsid w:val="00434F1B"/>
    <w:rsid w:val="00435455"/>
    <w:rsid w:val="004357AE"/>
    <w:rsid w:val="004359AD"/>
    <w:rsid w:val="00435B59"/>
    <w:rsid w:val="00435C2D"/>
    <w:rsid w:val="004361D9"/>
    <w:rsid w:val="00436976"/>
    <w:rsid w:val="00436C7A"/>
    <w:rsid w:val="0043710C"/>
    <w:rsid w:val="00437A44"/>
    <w:rsid w:val="00437BCC"/>
    <w:rsid w:val="004401D7"/>
    <w:rsid w:val="004402C7"/>
    <w:rsid w:val="00440383"/>
    <w:rsid w:val="004404C2"/>
    <w:rsid w:val="004407A0"/>
    <w:rsid w:val="004408AD"/>
    <w:rsid w:val="004409F0"/>
    <w:rsid w:val="004412AF"/>
    <w:rsid w:val="00441503"/>
    <w:rsid w:val="00441611"/>
    <w:rsid w:val="00441A9C"/>
    <w:rsid w:val="00441B6D"/>
    <w:rsid w:val="00441BEB"/>
    <w:rsid w:val="00441DB6"/>
    <w:rsid w:val="00441DD2"/>
    <w:rsid w:val="00441EFE"/>
    <w:rsid w:val="0044201A"/>
    <w:rsid w:val="0044201F"/>
    <w:rsid w:val="004422C3"/>
    <w:rsid w:val="0044286C"/>
    <w:rsid w:val="00442A41"/>
    <w:rsid w:val="00442BA4"/>
    <w:rsid w:val="00442DC8"/>
    <w:rsid w:val="00442F72"/>
    <w:rsid w:val="00443073"/>
    <w:rsid w:val="00443255"/>
    <w:rsid w:val="00443BCB"/>
    <w:rsid w:val="00443FFE"/>
    <w:rsid w:val="00444195"/>
    <w:rsid w:val="004441BD"/>
    <w:rsid w:val="0044427F"/>
    <w:rsid w:val="004443E3"/>
    <w:rsid w:val="00444D9D"/>
    <w:rsid w:val="00445374"/>
    <w:rsid w:val="0044539F"/>
    <w:rsid w:val="00445BE5"/>
    <w:rsid w:val="00446083"/>
    <w:rsid w:val="004460BA"/>
    <w:rsid w:val="0044645F"/>
    <w:rsid w:val="00446910"/>
    <w:rsid w:val="004469A7"/>
    <w:rsid w:val="00446AC9"/>
    <w:rsid w:val="00446B81"/>
    <w:rsid w:val="00446CE3"/>
    <w:rsid w:val="00446FBB"/>
    <w:rsid w:val="00447227"/>
    <w:rsid w:val="004472A8"/>
    <w:rsid w:val="0044757F"/>
    <w:rsid w:val="0044794A"/>
    <w:rsid w:val="0044798E"/>
    <w:rsid w:val="00447A98"/>
    <w:rsid w:val="00450089"/>
    <w:rsid w:val="0045031C"/>
    <w:rsid w:val="004507B6"/>
    <w:rsid w:val="00450899"/>
    <w:rsid w:val="00450B05"/>
    <w:rsid w:val="00450BE0"/>
    <w:rsid w:val="00450C7C"/>
    <w:rsid w:val="00450CBD"/>
    <w:rsid w:val="00450E55"/>
    <w:rsid w:val="00450EBC"/>
    <w:rsid w:val="00450FDB"/>
    <w:rsid w:val="004511DA"/>
    <w:rsid w:val="004513C2"/>
    <w:rsid w:val="00451836"/>
    <w:rsid w:val="00451C2A"/>
    <w:rsid w:val="00451E80"/>
    <w:rsid w:val="00451ECB"/>
    <w:rsid w:val="00452043"/>
    <w:rsid w:val="00452233"/>
    <w:rsid w:val="0045243A"/>
    <w:rsid w:val="00452803"/>
    <w:rsid w:val="0045292D"/>
    <w:rsid w:val="00452B0C"/>
    <w:rsid w:val="00452DDA"/>
    <w:rsid w:val="00452DF1"/>
    <w:rsid w:val="0045395C"/>
    <w:rsid w:val="00453BBB"/>
    <w:rsid w:val="00453DEB"/>
    <w:rsid w:val="0045417A"/>
    <w:rsid w:val="00454400"/>
    <w:rsid w:val="00454625"/>
    <w:rsid w:val="00454632"/>
    <w:rsid w:val="00454B7A"/>
    <w:rsid w:val="00455228"/>
    <w:rsid w:val="00455230"/>
    <w:rsid w:val="00455284"/>
    <w:rsid w:val="00455297"/>
    <w:rsid w:val="00455B38"/>
    <w:rsid w:val="00455D2A"/>
    <w:rsid w:val="00455D64"/>
    <w:rsid w:val="00455DE2"/>
    <w:rsid w:val="00455EB0"/>
    <w:rsid w:val="00455F62"/>
    <w:rsid w:val="004560C8"/>
    <w:rsid w:val="004561CC"/>
    <w:rsid w:val="00456347"/>
    <w:rsid w:val="00456352"/>
    <w:rsid w:val="00456649"/>
    <w:rsid w:val="00456699"/>
    <w:rsid w:val="00456963"/>
    <w:rsid w:val="00456F62"/>
    <w:rsid w:val="00457026"/>
    <w:rsid w:val="0045713E"/>
    <w:rsid w:val="004571D4"/>
    <w:rsid w:val="004572C9"/>
    <w:rsid w:val="0045730E"/>
    <w:rsid w:val="004576BB"/>
    <w:rsid w:val="00457A09"/>
    <w:rsid w:val="00457A9E"/>
    <w:rsid w:val="00457BD6"/>
    <w:rsid w:val="00457F05"/>
    <w:rsid w:val="00457FB5"/>
    <w:rsid w:val="00460174"/>
    <w:rsid w:val="004603C9"/>
    <w:rsid w:val="00460ACE"/>
    <w:rsid w:val="00460B19"/>
    <w:rsid w:val="00461156"/>
    <w:rsid w:val="004612CE"/>
    <w:rsid w:val="00461373"/>
    <w:rsid w:val="00461B41"/>
    <w:rsid w:val="00461D1C"/>
    <w:rsid w:val="00462017"/>
    <w:rsid w:val="00462278"/>
    <w:rsid w:val="00462307"/>
    <w:rsid w:val="00462A3D"/>
    <w:rsid w:val="00462AE3"/>
    <w:rsid w:val="00462DB9"/>
    <w:rsid w:val="00462DE4"/>
    <w:rsid w:val="0046334A"/>
    <w:rsid w:val="004633D6"/>
    <w:rsid w:val="004634F8"/>
    <w:rsid w:val="0046357D"/>
    <w:rsid w:val="00463808"/>
    <w:rsid w:val="004638EC"/>
    <w:rsid w:val="0046447A"/>
    <w:rsid w:val="00464634"/>
    <w:rsid w:val="004647AF"/>
    <w:rsid w:val="004648AC"/>
    <w:rsid w:val="00464978"/>
    <w:rsid w:val="004649C0"/>
    <w:rsid w:val="00464B8E"/>
    <w:rsid w:val="00464BDD"/>
    <w:rsid w:val="00464D48"/>
    <w:rsid w:val="0046517B"/>
    <w:rsid w:val="004658F8"/>
    <w:rsid w:val="00465B5A"/>
    <w:rsid w:val="00465B9A"/>
    <w:rsid w:val="00465F18"/>
    <w:rsid w:val="0046648F"/>
    <w:rsid w:val="00466971"/>
    <w:rsid w:val="00466AD8"/>
    <w:rsid w:val="00466B48"/>
    <w:rsid w:val="00466FC6"/>
    <w:rsid w:val="00467606"/>
    <w:rsid w:val="0046771F"/>
    <w:rsid w:val="00467831"/>
    <w:rsid w:val="00467D4F"/>
    <w:rsid w:val="00470F08"/>
    <w:rsid w:val="00470F71"/>
    <w:rsid w:val="0047122F"/>
    <w:rsid w:val="004713D1"/>
    <w:rsid w:val="00471B10"/>
    <w:rsid w:val="00471D6A"/>
    <w:rsid w:val="0047212E"/>
    <w:rsid w:val="00472135"/>
    <w:rsid w:val="00472620"/>
    <w:rsid w:val="004726FB"/>
    <w:rsid w:val="004727E8"/>
    <w:rsid w:val="00472B78"/>
    <w:rsid w:val="00472C59"/>
    <w:rsid w:val="00472E31"/>
    <w:rsid w:val="0047378E"/>
    <w:rsid w:val="004738AA"/>
    <w:rsid w:val="004739E1"/>
    <w:rsid w:val="00473CEB"/>
    <w:rsid w:val="00473EAF"/>
    <w:rsid w:val="004746C8"/>
    <w:rsid w:val="004746D6"/>
    <w:rsid w:val="0047489C"/>
    <w:rsid w:val="00474A09"/>
    <w:rsid w:val="00474BF6"/>
    <w:rsid w:val="00474CDF"/>
    <w:rsid w:val="00474D29"/>
    <w:rsid w:val="004750BF"/>
    <w:rsid w:val="004753B0"/>
    <w:rsid w:val="004754A2"/>
    <w:rsid w:val="004754AD"/>
    <w:rsid w:val="00475916"/>
    <w:rsid w:val="004759BE"/>
    <w:rsid w:val="00475AD4"/>
    <w:rsid w:val="00475C68"/>
    <w:rsid w:val="00475D66"/>
    <w:rsid w:val="00475DDA"/>
    <w:rsid w:val="00475E53"/>
    <w:rsid w:val="0047606F"/>
    <w:rsid w:val="004760AA"/>
    <w:rsid w:val="0047613C"/>
    <w:rsid w:val="004761D3"/>
    <w:rsid w:val="00476203"/>
    <w:rsid w:val="0047641F"/>
    <w:rsid w:val="00476663"/>
    <w:rsid w:val="004767CB"/>
    <w:rsid w:val="0047689E"/>
    <w:rsid w:val="00476CDE"/>
    <w:rsid w:val="00477031"/>
    <w:rsid w:val="004770F3"/>
    <w:rsid w:val="004774B6"/>
    <w:rsid w:val="00477721"/>
    <w:rsid w:val="00477B6F"/>
    <w:rsid w:val="00477BD6"/>
    <w:rsid w:val="00477DDB"/>
    <w:rsid w:val="00480002"/>
    <w:rsid w:val="00480098"/>
    <w:rsid w:val="004800BE"/>
    <w:rsid w:val="00480249"/>
    <w:rsid w:val="00480780"/>
    <w:rsid w:val="00480923"/>
    <w:rsid w:val="00480A06"/>
    <w:rsid w:val="00480FDD"/>
    <w:rsid w:val="00481049"/>
    <w:rsid w:val="004815FD"/>
    <w:rsid w:val="0048162D"/>
    <w:rsid w:val="00481690"/>
    <w:rsid w:val="00481E3A"/>
    <w:rsid w:val="00481EB7"/>
    <w:rsid w:val="00482189"/>
    <w:rsid w:val="004824E9"/>
    <w:rsid w:val="0048277E"/>
    <w:rsid w:val="004828DF"/>
    <w:rsid w:val="004829C0"/>
    <w:rsid w:val="00482D6F"/>
    <w:rsid w:val="00482D76"/>
    <w:rsid w:val="004831B5"/>
    <w:rsid w:val="00483526"/>
    <w:rsid w:val="00483716"/>
    <w:rsid w:val="0048378D"/>
    <w:rsid w:val="00483E34"/>
    <w:rsid w:val="00483F1E"/>
    <w:rsid w:val="004842E9"/>
    <w:rsid w:val="00484761"/>
    <w:rsid w:val="004849FA"/>
    <w:rsid w:val="00484F47"/>
    <w:rsid w:val="004851FA"/>
    <w:rsid w:val="00485301"/>
    <w:rsid w:val="004853D6"/>
    <w:rsid w:val="0048571D"/>
    <w:rsid w:val="004860FA"/>
    <w:rsid w:val="00486192"/>
    <w:rsid w:val="0048696A"/>
    <w:rsid w:val="00486C95"/>
    <w:rsid w:val="00486E42"/>
    <w:rsid w:val="00486E46"/>
    <w:rsid w:val="004870B5"/>
    <w:rsid w:val="004870FA"/>
    <w:rsid w:val="00487502"/>
    <w:rsid w:val="00487637"/>
    <w:rsid w:val="004877CD"/>
    <w:rsid w:val="00487B82"/>
    <w:rsid w:val="00487B8E"/>
    <w:rsid w:val="0049006A"/>
    <w:rsid w:val="0049008D"/>
    <w:rsid w:val="00490199"/>
    <w:rsid w:val="00490239"/>
    <w:rsid w:val="00490513"/>
    <w:rsid w:val="0049144D"/>
    <w:rsid w:val="00491E77"/>
    <w:rsid w:val="00491EF3"/>
    <w:rsid w:val="0049215E"/>
    <w:rsid w:val="00492475"/>
    <w:rsid w:val="00492500"/>
    <w:rsid w:val="004929E4"/>
    <w:rsid w:val="00492A25"/>
    <w:rsid w:val="00492E44"/>
    <w:rsid w:val="00492EB8"/>
    <w:rsid w:val="004930ED"/>
    <w:rsid w:val="00493793"/>
    <w:rsid w:val="00493D8F"/>
    <w:rsid w:val="00493D93"/>
    <w:rsid w:val="00494005"/>
    <w:rsid w:val="00494183"/>
    <w:rsid w:val="004942B2"/>
    <w:rsid w:val="004944B9"/>
    <w:rsid w:val="00494AF5"/>
    <w:rsid w:val="00494B72"/>
    <w:rsid w:val="00494C6E"/>
    <w:rsid w:val="00494ED1"/>
    <w:rsid w:val="004950A8"/>
    <w:rsid w:val="00495295"/>
    <w:rsid w:val="0049551E"/>
    <w:rsid w:val="00495546"/>
    <w:rsid w:val="00495F8B"/>
    <w:rsid w:val="004960A3"/>
    <w:rsid w:val="00496893"/>
    <w:rsid w:val="0049694E"/>
    <w:rsid w:val="00496A68"/>
    <w:rsid w:val="00496DB8"/>
    <w:rsid w:val="00496DC8"/>
    <w:rsid w:val="0049733A"/>
    <w:rsid w:val="00497380"/>
    <w:rsid w:val="004977DD"/>
    <w:rsid w:val="004978E8"/>
    <w:rsid w:val="004979E6"/>
    <w:rsid w:val="00497FAA"/>
    <w:rsid w:val="004A00E6"/>
    <w:rsid w:val="004A026F"/>
    <w:rsid w:val="004A0468"/>
    <w:rsid w:val="004A050E"/>
    <w:rsid w:val="004A087B"/>
    <w:rsid w:val="004A0C85"/>
    <w:rsid w:val="004A1243"/>
    <w:rsid w:val="004A12DE"/>
    <w:rsid w:val="004A15DB"/>
    <w:rsid w:val="004A195D"/>
    <w:rsid w:val="004A19D5"/>
    <w:rsid w:val="004A1CDA"/>
    <w:rsid w:val="004A1EFA"/>
    <w:rsid w:val="004A1F7B"/>
    <w:rsid w:val="004A21DB"/>
    <w:rsid w:val="004A22E4"/>
    <w:rsid w:val="004A2740"/>
    <w:rsid w:val="004A3554"/>
    <w:rsid w:val="004A388B"/>
    <w:rsid w:val="004A38F2"/>
    <w:rsid w:val="004A3C5F"/>
    <w:rsid w:val="004A3C80"/>
    <w:rsid w:val="004A4B91"/>
    <w:rsid w:val="004A4FAE"/>
    <w:rsid w:val="004A5082"/>
    <w:rsid w:val="004A52A5"/>
    <w:rsid w:val="004A54A0"/>
    <w:rsid w:val="004A57A2"/>
    <w:rsid w:val="004A58C7"/>
    <w:rsid w:val="004A6475"/>
    <w:rsid w:val="004A6789"/>
    <w:rsid w:val="004A67EC"/>
    <w:rsid w:val="004A6964"/>
    <w:rsid w:val="004A6A6F"/>
    <w:rsid w:val="004A6CE3"/>
    <w:rsid w:val="004A6E42"/>
    <w:rsid w:val="004A70F8"/>
    <w:rsid w:val="004A737C"/>
    <w:rsid w:val="004A786C"/>
    <w:rsid w:val="004A7C49"/>
    <w:rsid w:val="004A7FC9"/>
    <w:rsid w:val="004B03BD"/>
    <w:rsid w:val="004B03D2"/>
    <w:rsid w:val="004B05A7"/>
    <w:rsid w:val="004B0AED"/>
    <w:rsid w:val="004B0E2A"/>
    <w:rsid w:val="004B0F7C"/>
    <w:rsid w:val="004B12B5"/>
    <w:rsid w:val="004B1973"/>
    <w:rsid w:val="004B1E46"/>
    <w:rsid w:val="004B2121"/>
    <w:rsid w:val="004B26BF"/>
    <w:rsid w:val="004B291F"/>
    <w:rsid w:val="004B2D1A"/>
    <w:rsid w:val="004B2D56"/>
    <w:rsid w:val="004B2DDC"/>
    <w:rsid w:val="004B2FC7"/>
    <w:rsid w:val="004B31B9"/>
    <w:rsid w:val="004B3353"/>
    <w:rsid w:val="004B341D"/>
    <w:rsid w:val="004B3A36"/>
    <w:rsid w:val="004B3B96"/>
    <w:rsid w:val="004B3C23"/>
    <w:rsid w:val="004B3CF7"/>
    <w:rsid w:val="004B43B0"/>
    <w:rsid w:val="004B4494"/>
    <w:rsid w:val="004B4718"/>
    <w:rsid w:val="004B4A51"/>
    <w:rsid w:val="004B5067"/>
    <w:rsid w:val="004B5248"/>
    <w:rsid w:val="004B54E5"/>
    <w:rsid w:val="004B5D8A"/>
    <w:rsid w:val="004B5DC1"/>
    <w:rsid w:val="004B6218"/>
    <w:rsid w:val="004B697C"/>
    <w:rsid w:val="004B6DE7"/>
    <w:rsid w:val="004B7585"/>
    <w:rsid w:val="004B76E6"/>
    <w:rsid w:val="004B7B44"/>
    <w:rsid w:val="004B7E59"/>
    <w:rsid w:val="004C0266"/>
    <w:rsid w:val="004C0B82"/>
    <w:rsid w:val="004C117D"/>
    <w:rsid w:val="004C15F8"/>
    <w:rsid w:val="004C16A4"/>
    <w:rsid w:val="004C19F6"/>
    <w:rsid w:val="004C1B9F"/>
    <w:rsid w:val="004C1BBD"/>
    <w:rsid w:val="004C1DCF"/>
    <w:rsid w:val="004C1EB7"/>
    <w:rsid w:val="004C1F1E"/>
    <w:rsid w:val="004C23B8"/>
    <w:rsid w:val="004C2637"/>
    <w:rsid w:val="004C26AB"/>
    <w:rsid w:val="004C2A9D"/>
    <w:rsid w:val="004C2B02"/>
    <w:rsid w:val="004C33F8"/>
    <w:rsid w:val="004C3488"/>
    <w:rsid w:val="004C367B"/>
    <w:rsid w:val="004C386B"/>
    <w:rsid w:val="004C3ADA"/>
    <w:rsid w:val="004C3FC3"/>
    <w:rsid w:val="004C4115"/>
    <w:rsid w:val="004C4653"/>
    <w:rsid w:val="004C4699"/>
    <w:rsid w:val="004C54B3"/>
    <w:rsid w:val="004C5627"/>
    <w:rsid w:val="004C5C5F"/>
    <w:rsid w:val="004C605B"/>
    <w:rsid w:val="004C61C8"/>
    <w:rsid w:val="004C6600"/>
    <w:rsid w:val="004C6A2C"/>
    <w:rsid w:val="004C6C93"/>
    <w:rsid w:val="004C78A3"/>
    <w:rsid w:val="004D0269"/>
    <w:rsid w:val="004D03AD"/>
    <w:rsid w:val="004D053B"/>
    <w:rsid w:val="004D05AD"/>
    <w:rsid w:val="004D18C9"/>
    <w:rsid w:val="004D1E71"/>
    <w:rsid w:val="004D205E"/>
    <w:rsid w:val="004D2273"/>
    <w:rsid w:val="004D22DB"/>
    <w:rsid w:val="004D2567"/>
    <w:rsid w:val="004D2675"/>
    <w:rsid w:val="004D26DA"/>
    <w:rsid w:val="004D2896"/>
    <w:rsid w:val="004D28D8"/>
    <w:rsid w:val="004D2C69"/>
    <w:rsid w:val="004D2D10"/>
    <w:rsid w:val="004D2D36"/>
    <w:rsid w:val="004D2E60"/>
    <w:rsid w:val="004D2F98"/>
    <w:rsid w:val="004D3163"/>
    <w:rsid w:val="004D340B"/>
    <w:rsid w:val="004D3425"/>
    <w:rsid w:val="004D3AFE"/>
    <w:rsid w:val="004D3BD1"/>
    <w:rsid w:val="004D4477"/>
    <w:rsid w:val="004D458D"/>
    <w:rsid w:val="004D4645"/>
    <w:rsid w:val="004D4A41"/>
    <w:rsid w:val="004D4EE9"/>
    <w:rsid w:val="004D52B5"/>
    <w:rsid w:val="004D544C"/>
    <w:rsid w:val="004D564E"/>
    <w:rsid w:val="004D5654"/>
    <w:rsid w:val="004D5F12"/>
    <w:rsid w:val="004D615F"/>
    <w:rsid w:val="004D643E"/>
    <w:rsid w:val="004D65A9"/>
    <w:rsid w:val="004D68DD"/>
    <w:rsid w:val="004D6D75"/>
    <w:rsid w:val="004D6F07"/>
    <w:rsid w:val="004D7425"/>
    <w:rsid w:val="004D7539"/>
    <w:rsid w:val="004D79DE"/>
    <w:rsid w:val="004D7D24"/>
    <w:rsid w:val="004E0127"/>
    <w:rsid w:val="004E0BFE"/>
    <w:rsid w:val="004E0C92"/>
    <w:rsid w:val="004E0CB0"/>
    <w:rsid w:val="004E11AA"/>
    <w:rsid w:val="004E1292"/>
    <w:rsid w:val="004E168C"/>
    <w:rsid w:val="004E1A9F"/>
    <w:rsid w:val="004E1AB0"/>
    <w:rsid w:val="004E1E20"/>
    <w:rsid w:val="004E1F49"/>
    <w:rsid w:val="004E20D1"/>
    <w:rsid w:val="004E290B"/>
    <w:rsid w:val="004E2C9D"/>
    <w:rsid w:val="004E2CF2"/>
    <w:rsid w:val="004E2EE1"/>
    <w:rsid w:val="004E3609"/>
    <w:rsid w:val="004E4074"/>
    <w:rsid w:val="004E4183"/>
    <w:rsid w:val="004E423D"/>
    <w:rsid w:val="004E4466"/>
    <w:rsid w:val="004E483C"/>
    <w:rsid w:val="004E4F3E"/>
    <w:rsid w:val="004E50E0"/>
    <w:rsid w:val="004E545D"/>
    <w:rsid w:val="004E54A5"/>
    <w:rsid w:val="004E54D6"/>
    <w:rsid w:val="004E5668"/>
    <w:rsid w:val="004E5A23"/>
    <w:rsid w:val="004E5CF8"/>
    <w:rsid w:val="004E5DEB"/>
    <w:rsid w:val="004E5E4E"/>
    <w:rsid w:val="004E5F3A"/>
    <w:rsid w:val="004E6034"/>
    <w:rsid w:val="004E6174"/>
    <w:rsid w:val="004E627C"/>
    <w:rsid w:val="004E6840"/>
    <w:rsid w:val="004E6A69"/>
    <w:rsid w:val="004E6F41"/>
    <w:rsid w:val="004E7095"/>
    <w:rsid w:val="004E79C3"/>
    <w:rsid w:val="004E7D4F"/>
    <w:rsid w:val="004F01C8"/>
    <w:rsid w:val="004F0389"/>
    <w:rsid w:val="004F06CC"/>
    <w:rsid w:val="004F0AB2"/>
    <w:rsid w:val="004F0D34"/>
    <w:rsid w:val="004F0ECE"/>
    <w:rsid w:val="004F13E0"/>
    <w:rsid w:val="004F1944"/>
    <w:rsid w:val="004F1D9B"/>
    <w:rsid w:val="004F1EFF"/>
    <w:rsid w:val="004F20EA"/>
    <w:rsid w:val="004F239A"/>
    <w:rsid w:val="004F258A"/>
    <w:rsid w:val="004F2838"/>
    <w:rsid w:val="004F2AEA"/>
    <w:rsid w:val="004F2C74"/>
    <w:rsid w:val="004F364F"/>
    <w:rsid w:val="004F3858"/>
    <w:rsid w:val="004F387B"/>
    <w:rsid w:val="004F390B"/>
    <w:rsid w:val="004F3992"/>
    <w:rsid w:val="004F3D74"/>
    <w:rsid w:val="004F3DCF"/>
    <w:rsid w:val="004F3FB6"/>
    <w:rsid w:val="004F40AE"/>
    <w:rsid w:val="004F40D5"/>
    <w:rsid w:val="004F44E3"/>
    <w:rsid w:val="004F450E"/>
    <w:rsid w:val="004F48CA"/>
    <w:rsid w:val="004F4966"/>
    <w:rsid w:val="004F4D0D"/>
    <w:rsid w:val="004F50AD"/>
    <w:rsid w:val="004F54C0"/>
    <w:rsid w:val="004F5A6A"/>
    <w:rsid w:val="004F5C1E"/>
    <w:rsid w:val="004F5C54"/>
    <w:rsid w:val="004F6009"/>
    <w:rsid w:val="004F60B9"/>
    <w:rsid w:val="004F63D1"/>
    <w:rsid w:val="004F6578"/>
    <w:rsid w:val="004F66EE"/>
    <w:rsid w:val="004F6811"/>
    <w:rsid w:val="004F6908"/>
    <w:rsid w:val="004F6975"/>
    <w:rsid w:val="004F6F26"/>
    <w:rsid w:val="004F70F3"/>
    <w:rsid w:val="004F73E0"/>
    <w:rsid w:val="004F74A1"/>
    <w:rsid w:val="004F78C9"/>
    <w:rsid w:val="004F7B84"/>
    <w:rsid w:val="004F7CEE"/>
    <w:rsid w:val="0050038E"/>
    <w:rsid w:val="00500533"/>
    <w:rsid w:val="0050087F"/>
    <w:rsid w:val="00500DCB"/>
    <w:rsid w:val="00500E59"/>
    <w:rsid w:val="005010D4"/>
    <w:rsid w:val="005014F9"/>
    <w:rsid w:val="00501A57"/>
    <w:rsid w:val="00501E22"/>
    <w:rsid w:val="00501F9D"/>
    <w:rsid w:val="005024D6"/>
    <w:rsid w:val="00502908"/>
    <w:rsid w:val="005029DD"/>
    <w:rsid w:val="00502E09"/>
    <w:rsid w:val="00502EAB"/>
    <w:rsid w:val="0050343B"/>
    <w:rsid w:val="0050347C"/>
    <w:rsid w:val="00503CCB"/>
    <w:rsid w:val="00504028"/>
    <w:rsid w:val="005041C6"/>
    <w:rsid w:val="00504598"/>
    <w:rsid w:val="00504918"/>
    <w:rsid w:val="0050509C"/>
    <w:rsid w:val="005056ED"/>
    <w:rsid w:val="00505803"/>
    <w:rsid w:val="00505DD4"/>
    <w:rsid w:val="00506066"/>
    <w:rsid w:val="00506745"/>
    <w:rsid w:val="00506867"/>
    <w:rsid w:val="005069AB"/>
    <w:rsid w:val="00506B54"/>
    <w:rsid w:val="00506D02"/>
    <w:rsid w:val="005073DF"/>
    <w:rsid w:val="0050748C"/>
    <w:rsid w:val="0050751D"/>
    <w:rsid w:val="0050755B"/>
    <w:rsid w:val="00507564"/>
    <w:rsid w:val="005075B7"/>
    <w:rsid w:val="005075F9"/>
    <w:rsid w:val="00507796"/>
    <w:rsid w:val="00507797"/>
    <w:rsid w:val="00507C52"/>
    <w:rsid w:val="00507F7F"/>
    <w:rsid w:val="00510038"/>
    <w:rsid w:val="00510203"/>
    <w:rsid w:val="00510625"/>
    <w:rsid w:val="0051078E"/>
    <w:rsid w:val="005109DD"/>
    <w:rsid w:val="00510BAE"/>
    <w:rsid w:val="005110AD"/>
    <w:rsid w:val="005111EB"/>
    <w:rsid w:val="005115FC"/>
    <w:rsid w:val="00511797"/>
    <w:rsid w:val="005117F4"/>
    <w:rsid w:val="005118C7"/>
    <w:rsid w:val="00511933"/>
    <w:rsid w:val="00511FB5"/>
    <w:rsid w:val="005125AE"/>
    <w:rsid w:val="005126BC"/>
    <w:rsid w:val="00512BD0"/>
    <w:rsid w:val="00512D4E"/>
    <w:rsid w:val="00513300"/>
    <w:rsid w:val="00513542"/>
    <w:rsid w:val="005137A0"/>
    <w:rsid w:val="00513930"/>
    <w:rsid w:val="00513F4D"/>
    <w:rsid w:val="00514384"/>
    <w:rsid w:val="0051453C"/>
    <w:rsid w:val="005145A1"/>
    <w:rsid w:val="00514917"/>
    <w:rsid w:val="00514A58"/>
    <w:rsid w:val="00514D37"/>
    <w:rsid w:val="00514F7D"/>
    <w:rsid w:val="0051519A"/>
    <w:rsid w:val="00515D98"/>
    <w:rsid w:val="00515DCF"/>
    <w:rsid w:val="00515E1D"/>
    <w:rsid w:val="005160DC"/>
    <w:rsid w:val="005165EE"/>
    <w:rsid w:val="00516DE3"/>
    <w:rsid w:val="00517935"/>
    <w:rsid w:val="00517B3C"/>
    <w:rsid w:val="00517B6A"/>
    <w:rsid w:val="00517E8E"/>
    <w:rsid w:val="0052019B"/>
    <w:rsid w:val="005201BC"/>
    <w:rsid w:val="005207A2"/>
    <w:rsid w:val="005208B8"/>
    <w:rsid w:val="00521226"/>
    <w:rsid w:val="005213E9"/>
    <w:rsid w:val="00521639"/>
    <w:rsid w:val="00521877"/>
    <w:rsid w:val="00522214"/>
    <w:rsid w:val="005223D7"/>
    <w:rsid w:val="00522402"/>
    <w:rsid w:val="005225DA"/>
    <w:rsid w:val="005226CB"/>
    <w:rsid w:val="005227CA"/>
    <w:rsid w:val="00522953"/>
    <w:rsid w:val="0052312D"/>
    <w:rsid w:val="005234B4"/>
    <w:rsid w:val="005235A8"/>
    <w:rsid w:val="005238AF"/>
    <w:rsid w:val="005238BF"/>
    <w:rsid w:val="00523B82"/>
    <w:rsid w:val="00523F24"/>
    <w:rsid w:val="00524039"/>
    <w:rsid w:val="005246B5"/>
    <w:rsid w:val="00524850"/>
    <w:rsid w:val="00524C0F"/>
    <w:rsid w:val="00524C1F"/>
    <w:rsid w:val="00524CC0"/>
    <w:rsid w:val="00524DAD"/>
    <w:rsid w:val="00524FD6"/>
    <w:rsid w:val="005251D0"/>
    <w:rsid w:val="005255D9"/>
    <w:rsid w:val="00525907"/>
    <w:rsid w:val="00525DB6"/>
    <w:rsid w:val="00525DCD"/>
    <w:rsid w:val="00525F5C"/>
    <w:rsid w:val="00525F8D"/>
    <w:rsid w:val="00526086"/>
    <w:rsid w:val="00526405"/>
    <w:rsid w:val="0052641F"/>
    <w:rsid w:val="005264A3"/>
    <w:rsid w:val="00526577"/>
    <w:rsid w:val="00526C81"/>
    <w:rsid w:val="00526FC8"/>
    <w:rsid w:val="005272F6"/>
    <w:rsid w:val="005273E1"/>
    <w:rsid w:val="005275A2"/>
    <w:rsid w:val="005276CF"/>
    <w:rsid w:val="00527920"/>
    <w:rsid w:val="00527CE4"/>
    <w:rsid w:val="00530327"/>
    <w:rsid w:val="005308CE"/>
    <w:rsid w:val="005309B9"/>
    <w:rsid w:val="00530BEE"/>
    <w:rsid w:val="00530C15"/>
    <w:rsid w:val="00530D92"/>
    <w:rsid w:val="00530E75"/>
    <w:rsid w:val="0053110E"/>
    <w:rsid w:val="00531484"/>
    <w:rsid w:val="005315B9"/>
    <w:rsid w:val="005316D3"/>
    <w:rsid w:val="00531A22"/>
    <w:rsid w:val="00531A8C"/>
    <w:rsid w:val="00531B8B"/>
    <w:rsid w:val="00531CA2"/>
    <w:rsid w:val="00532034"/>
    <w:rsid w:val="00532568"/>
    <w:rsid w:val="005333F6"/>
    <w:rsid w:val="00533B49"/>
    <w:rsid w:val="00533EFF"/>
    <w:rsid w:val="00533F68"/>
    <w:rsid w:val="00533F9B"/>
    <w:rsid w:val="00534127"/>
    <w:rsid w:val="00534180"/>
    <w:rsid w:val="00534290"/>
    <w:rsid w:val="005342DE"/>
    <w:rsid w:val="00534300"/>
    <w:rsid w:val="005343F2"/>
    <w:rsid w:val="00534612"/>
    <w:rsid w:val="0053485E"/>
    <w:rsid w:val="00534A73"/>
    <w:rsid w:val="00534AF1"/>
    <w:rsid w:val="00534B49"/>
    <w:rsid w:val="005351FF"/>
    <w:rsid w:val="0053527B"/>
    <w:rsid w:val="00535528"/>
    <w:rsid w:val="00535668"/>
    <w:rsid w:val="005357CD"/>
    <w:rsid w:val="00535C7B"/>
    <w:rsid w:val="00536056"/>
    <w:rsid w:val="00536117"/>
    <w:rsid w:val="0053663A"/>
    <w:rsid w:val="0053679A"/>
    <w:rsid w:val="00536826"/>
    <w:rsid w:val="00536886"/>
    <w:rsid w:val="00536C11"/>
    <w:rsid w:val="00536DB1"/>
    <w:rsid w:val="00536FFA"/>
    <w:rsid w:val="00537058"/>
    <w:rsid w:val="005372B6"/>
    <w:rsid w:val="00537769"/>
    <w:rsid w:val="005377C9"/>
    <w:rsid w:val="00537BDE"/>
    <w:rsid w:val="00537C52"/>
    <w:rsid w:val="00537F74"/>
    <w:rsid w:val="005403C6"/>
    <w:rsid w:val="00540415"/>
    <w:rsid w:val="00540722"/>
    <w:rsid w:val="005408F0"/>
    <w:rsid w:val="00540EE2"/>
    <w:rsid w:val="00541255"/>
    <w:rsid w:val="0054146E"/>
    <w:rsid w:val="00541853"/>
    <w:rsid w:val="0054193B"/>
    <w:rsid w:val="0054197E"/>
    <w:rsid w:val="005419C6"/>
    <w:rsid w:val="00541AD3"/>
    <w:rsid w:val="00541C38"/>
    <w:rsid w:val="0054215E"/>
    <w:rsid w:val="00542286"/>
    <w:rsid w:val="00542576"/>
    <w:rsid w:val="0054279D"/>
    <w:rsid w:val="00542A3E"/>
    <w:rsid w:val="00542A52"/>
    <w:rsid w:val="00542A62"/>
    <w:rsid w:val="00542B46"/>
    <w:rsid w:val="00542BEE"/>
    <w:rsid w:val="00543378"/>
    <w:rsid w:val="00543880"/>
    <w:rsid w:val="0054398D"/>
    <w:rsid w:val="00543D22"/>
    <w:rsid w:val="00543F0E"/>
    <w:rsid w:val="0054476A"/>
    <w:rsid w:val="00544771"/>
    <w:rsid w:val="00544836"/>
    <w:rsid w:val="00544A34"/>
    <w:rsid w:val="00544B15"/>
    <w:rsid w:val="00544CA1"/>
    <w:rsid w:val="00544F48"/>
    <w:rsid w:val="00544FBC"/>
    <w:rsid w:val="00545286"/>
    <w:rsid w:val="005453EC"/>
    <w:rsid w:val="00545470"/>
    <w:rsid w:val="00545485"/>
    <w:rsid w:val="005455CB"/>
    <w:rsid w:val="0054572A"/>
    <w:rsid w:val="0054577C"/>
    <w:rsid w:val="0054589B"/>
    <w:rsid w:val="00545BC9"/>
    <w:rsid w:val="00545D3E"/>
    <w:rsid w:val="0054616F"/>
    <w:rsid w:val="005462FA"/>
    <w:rsid w:val="00546535"/>
    <w:rsid w:val="0054672D"/>
    <w:rsid w:val="005469BD"/>
    <w:rsid w:val="00546AB9"/>
    <w:rsid w:val="00546DF0"/>
    <w:rsid w:val="00546E94"/>
    <w:rsid w:val="00546F19"/>
    <w:rsid w:val="00547269"/>
    <w:rsid w:val="00547568"/>
    <w:rsid w:val="00550403"/>
    <w:rsid w:val="00550C22"/>
    <w:rsid w:val="00550ED9"/>
    <w:rsid w:val="00551097"/>
    <w:rsid w:val="005517A7"/>
    <w:rsid w:val="005518A3"/>
    <w:rsid w:val="00551EB4"/>
    <w:rsid w:val="0055239D"/>
    <w:rsid w:val="005526DC"/>
    <w:rsid w:val="0055287C"/>
    <w:rsid w:val="00552E46"/>
    <w:rsid w:val="00553384"/>
    <w:rsid w:val="005537FE"/>
    <w:rsid w:val="005539BB"/>
    <w:rsid w:val="00553F1D"/>
    <w:rsid w:val="0055455D"/>
    <w:rsid w:val="0055488D"/>
    <w:rsid w:val="00554A04"/>
    <w:rsid w:val="00554CF8"/>
    <w:rsid w:val="00554D4E"/>
    <w:rsid w:val="005551CA"/>
    <w:rsid w:val="00555208"/>
    <w:rsid w:val="00555302"/>
    <w:rsid w:val="005554C7"/>
    <w:rsid w:val="0055568F"/>
    <w:rsid w:val="0055587A"/>
    <w:rsid w:val="005566BB"/>
    <w:rsid w:val="00556838"/>
    <w:rsid w:val="00556895"/>
    <w:rsid w:val="005570D4"/>
    <w:rsid w:val="005570E1"/>
    <w:rsid w:val="005572BC"/>
    <w:rsid w:val="00557A18"/>
    <w:rsid w:val="00557BA6"/>
    <w:rsid w:val="00557CD2"/>
    <w:rsid w:val="00557D0D"/>
    <w:rsid w:val="00557E49"/>
    <w:rsid w:val="0056027D"/>
    <w:rsid w:val="00560857"/>
    <w:rsid w:val="00560985"/>
    <w:rsid w:val="00560A48"/>
    <w:rsid w:val="00560B96"/>
    <w:rsid w:val="00560F26"/>
    <w:rsid w:val="00560F34"/>
    <w:rsid w:val="00560F5C"/>
    <w:rsid w:val="005610C2"/>
    <w:rsid w:val="0056124E"/>
    <w:rsid w:val="0056138E"/>
    <w:rsid w:val="005617BE"/>
    <w:rsid w:val="0056183C"/>
    <w:rsid w:val="005619BD"/>
    <w:rsid w:val="00561D77"/>
    <w:rsid w:val="00561E5E"/>
    <w:rsid w:val="00561ED5"/>
    <w:rsid w:val="0056224E"/>
    <w:rsid w:val="005622A5"/>
    <w:rsid w:val="005623B0"/>
    <w:rsid w:val="005625C3"/>
    <w:rsid w:val="0056291A"/>
    <w:rsid w:val="005629A8"/>
    <w:rsid w:val="00562D82"/>
    <w:rsid w:val="00562E30"/>
    <w:rsid w:val="0056321A"/>
    <w:rsid w:val="0056387F"/>
    <w:rsid w:val="0056399F"/>
    <w:rsid w:val="0056400A"/>
    <w:rsid w:val="00564068"/>
    <w:rsid w:val="005641E9"/>
    <w:rsid w:val="0056424E"/>
    <w:rsid w:val="005642E6"/>
    <w:rsid w:val="005642FD"/>
    <w:rsid w:val="00564771"/>
    <w:rsid w:val="0056489B"/>
    <w:rsid w:val="00564BD8"/>
    <w:rsid w:val="00564D59"/>
    <w:rsid w:val="005650B9"/>
    <w:rsid w:val="005651EE"/>
    <w:rsid w:val="005660BB"/>
    <w:rsid w:val="005664D4"/>
    <w:rsid w:val="0056694F"/>
    <w:rsid w:val="005669A5"/>
    <w:rsid w:val="00566E14"/>
    <w:rsid w:val="00567079"/>
    <w:rsid w:val="005672B4"/>
    <w:rsid w:val="005672C4"/>
    <w:rsid w:val="0056787B"/>
    <w:rsid w:val="005678D5"/>
    <w:rsid w:val="00567A35"/>
    <w:rsid w:val="00567C61"/>
    <w:rsid w:val="0057024E"/>
    <w:rsid w:val="0057106F"/>
    <w:rsid w:val="00571094"/>
    <w:rsid w:val="005712B1"/>
    <w:rsid w:val="00571380"/>
    <w:rsid w:val="00571526"/>
    <w:rsid w:val="00571536"/>
    <w:rsid w:val="00571A84"/>
    <w:rsid w:val="00571C82"/>
    <w:rsid w:val="00572134"/>
    <w:rsid w:val="005722AC"/>
    <w:rsid w:val="0057250F"/>
    <w:rsid w:val="005725C6"/>
    <w:rsid w:val="005728B0"/>
    <w:rsid w:val="00572D88"/>
    <w:rsid w:val="00572FE2"/>
    <w:rsid w:val="00573341"/>
    <w:rsid w:val="0057387C"/>
    <w:rsid w:val="00573D37"/>
    <w:rsid w:val="0057414D"/>
    <w:rsid w:val="0057476F"/>
    <w:rsid w:val="00574882"/>
    <w:rsid w:val="00575129"/>
    <w:rsid w:val="005751CB"/>
    <w:rsid w:val="00575358"/>
    <w:rsid w:val="0057550C"/>
    <w:rsid w:val="0057590C"/>
    <w:rsid w:val="005759F6"/>
    <w:rsid w:val="00575B1D"/>
    <w:rsid w:val="0057686C"/>
    <w:rsid w:val="005769E1"/>
    <w:rsid w:val="0057728B"/>
    <w:rsid w:val="0057743E"/>
    <w:rsid w:val="00577679"/>
    <w:rsid w:val="0057777A"/>
    <w:rsid w:val="0057785E"/>
    <w:rsid w:val="00577B1B"/>
    <w:rsid w:val="00577D63"/>
    <w:rsid w:val="00577F6D"/>
    <w:rsid w:val="00580270"/>
    <w:rsid w:val="0058056B"/>
    <w:rsid w:val="0058073F"/>
    <w:rsid w:val="005807E4"/>
    <w:rsid w:val="00580855"/>
    <w:rsid w:val="005809AB"/>
    <w:rsid w:val="00580B59"/>
    <w:rsid w:val="00580E67"/>
    <w:rsid w:val="00581182"/>
    <w:rsid w:val="00581772"/>
    <w:rsid w:val="0058186B"/>
    <w:rsid w:val="00581AC9"/>
    <w:rsid w:val="0058206C"/>
    <w:rsid w:val="0058237A"/>
    <w:rsid w:val="00582A1D"/>
    <w:rsid w:val="00582C5B"/>
    <w:rsid w:val="00582D61"/>
    <w:rsid w:val="005830C4"/>
    <w:rsid w:val="005831CF"/>
    <w:rsid w:val="005834E2"/>
    <w:rsid w:val="005835BC"/>
    <w:rsid w:val="0058361C"/>
    <w:rsid w:val="005836F7"/>
    <w:rsid w:val="00583A82"/>
    <w:rsid w:val="00583D52"/>
    <w:rsid w:val="00583E19"/>
    <w:rsid w:val="00583F63"/>
    <w:rsid w:val="00584129"/>
    <w:rsid w:val="0058423A"/>
    <w:rsid w:val="00584270"/>
    <w:rsid w:val="00584BA2"/>
    <w:rsid w:val="00584BD6"/>
    <w:rsid w:val="00584E0B"/>
    <w:rsid w:val="00584E7F"/>
    <w:rsid w:val="00584F0A"/>
    <w:rsid w:val="005854F2"/>
    <w:rsid w:val="00585A35"/>
    <w:rsid w:val="00585DF6"/>
    <w:rsid w:val="00585E34"/>
    <w:rsid w:val="00585FA2"/>
    <w:rsid w:val="00586364"/>
    <w:rsid w:val="00586419"/>
    <w:rsid w:val="0058665B"/>
    <w:rsid w:val="00586845"/>
    <w:rsid w:val="00586CD6"/>
    <w:rsid w:val="00587438"/>
    <w:rsid w:val="00587F02"/>
    <w:rsid w:val="005902CC"/>
    <w:rsid w:val="005907D4"/>
    <w:rsid w:val="0059098E"/>
    <w:rsid w:val="005909A6"/>
    <w:rsid w:val="00590C6E"/>
    <w:rsid w:val="00590D96"/>
    <w:rsid w:val="005911CB"/>
    <w:rsid w:val="00591715"/>
    <w:rsid w:val="005918AA"/>
    <w:rsid w:val="00591B83"/>
    <w:rsid w:val="00591BF7"/>
    <w:rsid w:val="00591CC7"/>
    <w:rsid w:val="0059243E"/>
    <w:rsid w:val="0059246F"/>
    <w:rsid w:val="00592604"/>
    <w:rsid w:val="005927A5"/>
    <w:rsid w:val="0059282A"/>
    <w:rsid w:val="0059288D"/>
    <w:rsid w:val="005928BB"/>
    <w:rsid w:val="00592BA1"/>
    <w:rsid w:val="00592BA6"/>
    <w:rsid w:val="00592DA2"/>
    <w:rsid w:val="005932F7"/>
    <w:rsid w:val="005933EF"/>
    <w:rsid w:val="00593E5E"/>
    <w:rsid w:val="00593E61"/>
    <w:rsid w:val="00594673"/>
    <w:rsid w:val="00594723"/>
    <w:rsid w:val="00594BA1"/>
    <w:rsid w:val="00594C2E"/>
    <w:rsid w:val="00594C60"/>
    <w:rsid w:val="00594CBC"/>
    <w:rsid w:val="00594D74"/>
    <w:rsid w:val="00594DF2"/>
    <w:rsid w:val="00594EDD"/>
    <w:rsid w:val="0059511E"/>
    <w:rsid w:val="00595E29"/>
    <w:rsid w:val="00595E3B"/>
    <w:rsid w:val="00597009"/>
    <w:rsid w:val="00597183"/>
    <w:rsid w:val="0059738C"/>
    <w:rsid w:val="00597544"/>
    <w:rsid w:val="005977D3"/>
    <w:rsid w:val="00597897"/>
    <w:rsid w:val="00597EC4"/>
    <w:rsid w:val="00597F23"/>
    <w:rsid w:val="005A02C2"/>
    <w:rsid w:val="005A0668"/>
    <w:rsid w:val="005A080D"/>
    <w:rsid w:val="005A0A76"/>
    <w:rsid w:val="005A1335"/>
    <w:rsid w:val="005A17BC"/>
    <w:rsid w:val="005A17F7"/>
    <w:rsid w:val="005A1B9B"/>
    <w:rsid w:val="005A1C7F"/>
    <w:rsid w:val="005A1E79"/>
    <w:rsid w:val="005A2065"/>
    <w:rsid w:val="005A25AC"/>
    <w:rsid w:val="005A28B1"/>
    <w:rsid w:val="005A28C9"/>
    <w:rsid w:val="005A2A56"/>
    <w:rsid w:val="005A2B77"/>
    <w:rsid w:val="005A2D05"/>
    <w:rsid w:val="005A2E3E"/>
    <w:rsid w:val="005A2E86"/>
    <w:rsid w:val="005A2FDF"/>
    <w:rsid w:val="005A3379"/>
    <w:rsid w:val="005A3869"/>
    <w:rsid w:val="005A3932"/>
    <w:rsid w:val="005A3961"/>
    <w:rsid w:val="005A402F"/>
    <w:rsid w:val="005A452C"/>
    <w:rsid w:val="005A46AA"/>
    <w:rsid w:val="005A4BAB"/>
    <w:rsid w:val="005A4D2F"/>
    <w:rsid w:val="005A4FB1"/>
    <w:rsid w:val="005A54C3"/>
    <w:rsid w:val="005A5711"/>
    <w:rsid w:val="005A57EB"/>
    <w:rsid w:val="005A5C68"/>
    <w:rsid w:val="005A5C88"/>
    <w:rsid w:val="005A5DE8"/>
    <w:rsid w:val="005A62AC"/>
    <w:rsid w:val="005A63B4"/>
    <w:rsid w:val="005A6B4C"/>
    <w:rsid w:val="005A6E0C"/>
    <w:rsid w:val="005A70BC"/>
    <w:rsid w:val="005A70CC"/>
    <w:rsid w:val="005A7D25"/>
    <w:rsid w:val="005B0076"/>
    <w:rsid w:val="005B01E7"/>
    <w:rsid w:val="005B03D1"/>
    <w:rsid w:val="005B0417"/>
    <w:rsid w:val="005B044A"/>
    <w:rsid w:val="005B0500"/>
    <w:rsid w:val="005B06F8"/>
    <w:rsid w:val="005B08F0"/>
    <w:rsid w:val="005B0B11"/>
    <w:rsid w:val="005B0E7F"/>
    <w:rsid w:val="005B0F6D"/>
    <w:rsid w:val="005B11FE"/>
    <w:rsid w:val="005B13E6"/>
    <w:rsid w:val="005B168A"/>
    <w:rsid w:val="005B16FC"/>
    <w:rsid w:val="005B1EB1"/>
    <w:rsid w:val="005B2276"/>
    <w:rsid w:val="005B233D"/>
    <w:rsid w:val="005B23FA"/>
    <w:rsid w:val="005B2796"/>
    <w:rsid w:val="005B295A"/>
    <w:rsid w:val="005B2BBB"/>
    <w:rsid w:val="005B2F6C"/>
    <w:rsid w:val="005B30F4"/>
    <w:rsid w:val="005B319E"/>
    <w:rsid w:val="005B31C3"/>
    <w:rsid w:val="005B357E"/>
    <w:rsid w:val="005B376D"/>
    <w:rsid w:val="005B387B"/>
    <w:rsid w:val="005B4017"/>
    <w:rsid w:val="005B410A"/>
    <w:rsid w:val="005B477E"/>
    <w:rsid w:val="005B48B1"/>
    <w:rsid w:val="005B4966"/>
    <w:rsid w:val="005B498C"/>
    <w:rsid w:val="005B4C8E"/>
    <w:rsid w:val="005B4E1D"/>
    <w:rsid w:val="005B4EDA"/>
    <w:rsid w:val="005B4F30"/>
    <w:rsid w:val="005B539D"/>
    <w:rsid w:val="005B5403"/>
    <w:rsid w:val="005B56AE"/>
    <w:rsid w:val="005B57A0"/>
    <w:rsid w:val="005B5AB3"/>
    <w:rsid w:val="005B5D8E"/>
    <w:rsid w:val="005B6337"/>
    <w:rsid w:val="005B637D"/>
    <w:rsid w:val="005B649B"/>
    <w:rsid w:val="005B6868"/>
    <w:rsid w:val="005B6991"/>
    <w:rsid w:val="005B6BBC"/>
    <w:rsid w:val="005B6DE2"/>
    <w:rsid w:val="005B6F02"/>
    <w:rsid w:val="005B77F8"/>
    <w:rsid w:val="005B7890"/>
    <w:rsid w:val="005B79A5"/>
    <w:rsid w:val="005B7D1B"/>
    <w:rsid w:val="005B7D66"/>
    <w:rsid w:val="005C0061"/>
    <w:rsid w:val="005C00CB"/>
    <w:rsid w:val="005C02A2"/>
    <w:rsid w:val="005C0395"/>
    <w:rsid w:val="005C03BA"/>
    <w:rsid w:val="005C03C5"/>
    <w:rsid w:val="005C04DC"/>
    <w:rsid w:val="005C08B6"/>
    <w:rsid w:val="005C0902"/>
    <w:rsid w:val="005C092E"/>
    <w:rsid w:val="005C0DC6"/>
    <w:rsid w:val="005C1090"/>
    <w:rsid w:val="005C13DB"/>
    <w:rsid w:val="005C1569"/>
    <w:rsid w:val="005C15EB"/>
    <w:rsid w:val="005C19F6"/>
    <w:rsid w:val="005C1B73"/>
    <w:rsid w:val="005C1CD2"/>
    <w:rsid w:val="005C1E97"/>
    <w:rsid w:val="005C2002"/>
    <w:rsid w:val="005C229D"/>
    <w:rsid w:val="005C29E9"/>
    <w:rsid w:val="005C2BB4"/>
    <w:rsid w:val="005C2E58"/>
    <w:rsid w:val="005C315A"/>
    <w:rsid w:val="005C3371"/>
    <w:rsid w:val="005C3F50"/>
    <w:rsid w:val="005C4181"/>
    <w:rsid w:val="005C447E"/>
    <w:rsid w:val="005C44B8"/>
    <w:rsid w:val="005C47F9"/>
    <w:rsid w:val="005C4B67"/>
    <w:rsid w:val="005C4C8F"/>
    <w:rsid w:val="005C4D11"/>
    <w:rsid w:val="005C4EEE"/>
    <w:rsid w:val="005C504E"/>
    <w:rsid w:val="005C518F"/>
    <w:rsid w:val="005C5519"/>
    <w:rsid w:val="005C565B"/>
    <w:rsid w:val="005C56AE"/>
    <w:rsid w:val="005C595F"/>
    <w:rsid w:val="005C5A69"/>
    <w:rsid w:val="005C5B6A"/>
    <w:rsid w:val="005C6079"/>
    <w:rsid w:val="005C60C5"/>
    <w:rsid w:val="005C646B"/>
    <w:rsid w:val="005C6646"/>
    <w:rsid w:val="005C6763"/>
    <w:rsid w:val="005C6CC7"/>
    <w:rsid w:val="005C7063"/>
    <w:rsid w:val="005C738D"/>
    <w:rsid w:val="005C7854"/>
    <w:rsid w:val="005C7A10"/>
    <w:rsid w:val="005C7B8A"/>
    <w:rsid w:val="005C7D65"/>
    <w:rsid w:val="005C7F4B"/>
    <w:rsid w:val="005D008D"/>
    <w:rsid w:val="005D04C8"/>
    <w:rsid w:val="005D0500"/>
    <w:rsid w:val="005D0548"/>
    <w:rsid w:val="005D095D"/>
    <w:rsid w:val="005D0F89"/>
    <w:rsid w:val="005D10E6"/>
    <w:rsid w:val="005D1243"/>
    <w:rsid w:val="005D1577"/>
    <w:rsid w:val="005D1606"/>
    <w:rsid w:val="005D1C34"/>
    <w:rsid w:val="005D1E6A"/>
    <w:rsid w:val="005D3174"/>
    <w:rsid w:val="005D33C6"/>
    <w:rsid w:val="005D34AA"/>
    <w:rsid w:val="005D3AAE"/>
    <w:rsid w:val="005D4511"/>
    <w:rsid w:val="005D478B"/>
    <w:rsid w:val="005D4B84"/>
    <w:rsid w:val="005D4D7F"/>
    <w:rsid w:val="005D51C9"/>
    <w:rsid w:val="005D54B0"/>
    <w:rsid w:val="005D577B"/>
    <w:rsid w:val="005D58C5"/>
    <w:rsid w:val="005D5A7B"/>
    <w:rsid w:val="005D5F8E"/>
    <w:rsid w:val="005D615E"/>
    <w:rsid w:val="005D620C"/>
    <w:rsid w:val="005D626D"/>
    <w:rsid w:val="005D63D6"/>
    <w:rsid w:val="005D6BAB"/>
    <w:rsid w:val="005D6C66"/>
    <w:rsid w:val="005D6FC2"/>
    <w:rsid w:val="005D701C"/>
    <w:rsid w:val="005D7468"/>
    <w:rsid w:val="005D759C"/>
    <w:rsid w:val="005D7997"/>
    <w:rsid w:val="005D79A0"/>
    <w:rsid w:val="005E0255"/>
    <w:rsid w:val="005E03E9"/>
    <w:rsid w:val="005E0968"/>
    <w:rsid w:val="005E0997"/>
    <w:rsid w:val="005E0B92"/>
    <w:rsid w:val="005E0BEF"/>
    <w:rsid w:val="005E0C81"/>
    <w:rsid w:val="005E0CAB"/>
    <w:rsid w:val="005E172E"/>
    <w:rsid w:val="005E22B2"/>
    <w:rsid w:val="005E2A28"/>
    <w:rsid w:val="005E2AFA"/>
    <w:rsid w:val="005E375F"/>
    <w:rsid w:val="005E3B42"/>
    <w:rsid w:val="005E3C3D"/>
    <w:rsid w:val="005E41E8"/>
    <w:rsid w:val="005E45C8"/>
    <w:rsid w:val="005E4641"/>
    <w:rsid w:val="005E49CF"/>
    <w:rsid w:val="005E5036"/>
    <w:rsid w:val="005E5100"/>
    <w:rsid w:val="005E518F"/>
    <w:rsid w:val="005E51D5"/>
    <w:rsid w:val="005E53C4"/>
    <w:rsid w:val="005E5518"/>
    <w:rsid w:val="005E5670"/>
    <w:rsid w:val="005E5B58"/>
    <w:rsid w:val="005E5FED"/>
    <w:rsid w:val="005E6187"/>
    <w:rsid w:val="005E624A"/>
    <w:rsid w:val="005E62CF"/>
    <w:rsid w:val="005E6601"/>
    <w:rsid w:val="005E67F6"/>
    <w:rsid w:val="005E6F86"/>
    <w:rsid w:val="005E6F99"/>
    <w:rsid w:val="005E6FA8"/>
    <w:rsid w:val="005E7283"/>
    <w:rsid w:val="005F00F0"/>
    <w:rsid w:val="005F0153"/>
    <w:rsid w:val="005F0876"/>
    <w:rsid w:val="005F1E34"/>
    <w:rsid w:val="005F1E69"/>
    <w:rsid w:val="005F1FB0"/>
    <w:rsid w:val="005F2006"/>
    <w:rsid w:val="005F3369"/>
    <w:rsid w:val="005F369E"/>
    <w:rsid w:val="005F380C"/>
    <w:rsid w:val="005F416E"/>
    <w:rsid w:val="005F43E1"/>
    <w:rsid w:val="005F4663"/>
    <w:rsid w:val="005F471A"/>
    <w:rsid w:val="005F478A"/>
    <w:rsid w:val="005F4EAD"/>
    <w:rsid w:val="005F4F79"/>
    <w:rsid w:val="005F5026"/>
    <w:rsid w:val="005F50CC"/>
    <w:rsid w:val="005F53DC"/>
    <w:rsid w:val="005F5400"/>
    <w:rsid w:val="005F55A9"/>
    <w:rsid w:val="005F5750"/>
    <w:rsid w:val="005F5862"/>
    <w:rsid w:val="005F58EF"/>
    <w:rsid w:val="005F5E70"/>
    <w:rsid w:val="005F5E8F"/>
    <w:rsid w:val="005F6675"/>
    <w:rsid w:val="005F6815"/>
    <w:rsid w:val="005F6FF8"/>
    <w:rsid w:val="005F7022"/>
    <w:rsid w:val="005F7549"/>
    <w:rsid w:val="005F767C"/>
    <w:rsid w:val="005F7905"/>
    <w:rsid w:val="005F7A1C"/>
    <w:rsid w:val="005F7BA1"/>
    <w:rsid w:val="005F7CBA"/>
    <w:rsid w:val="006000DB"/>
    <w:rsid w:val="00600442"/>
    <w:rsid w:val="0060047E"/>
    <w:rsid w:val="00600899"/>
    <w:rsid w:val="00600C75"/>
    <w:rsid w:val="00600DA8"/>
    <w:rsid w:val="00600E90"/>
    <w:rsid w:val="0060122C"/>
    <w:rsid w:val="0060124C"/>
    <w:rsid w:val="0060131B"/>
    <w:rsid w:val="00601874"/>
    <w:rsid w:val="00601A94"/>
    <w:rsid w:val="00601B09"/>
    <w:rsid w:val="00601BC6"/>
    <w:rsid w:val="00601C16"/>
    <w:rsid w:val="00601DEC"/>
    <w:rsid w:val="0060219A"/>
    <w:rsid w:val="00602FED"/>
    <w:rsid w:val="00603160"/>
    <w:rsid w:val="006031C4"/>
    <w:rsid w:val="00603A1D"/>
    <w:rsid w:val="00603C21"/>
    <w:rsid w:val="00603CF2"/>
    <w:rsid w:val="00603CF7"/>
    <w:rsid w:val="00604308"/>
    <w:rsid w:val="00604670"/>
    <w:rsid w:val="0060477C"/>
    <w:rsid w:val="00604BD9"/>
    <w:rsid w:val="00604D0A"/>
    <w:rsid w:val="00605033"/>
    <w:rsid w:val="006053CD"/>
    <w:rsid w:val="0060576F"/>
    <w:rsid w:val="00605C52"/>
    <w:rsid w:val="00605E18"/>
    <w:rsid w:val="00605FE6"/>
    <w:rsid w:val="006060D2"/>
    <w:rsid w:val="00606931"/>
    <w:rsid w:val="00606A3D"/>
    <w:rsid w:val="00606AC8"/>
    <w:rsid w:val="00606C79"/>
    <w:rsid w:val="00606D7A"/>
    <w:rsid w:val="006076F6"/>
    <w:rsid w:val="006077E1"/>
    <w:rsid w:val="00607B17"/>
    <w:rsid w:val="00607D52"/>
    <w:rsid w:val="00607F32"/>
    <w:rsid w:val="00607F4D"/>
    <w:rsid w:val="00610032"/>
    <w:rsid w:val="00610D95"/>
    <w:rsid w:val="00610DDE"/>
    <w:rsid w:val="00610E73"/>
    <w:rsid w:val="00610F92"/>
    <w:rsid w:val="00610FA4"/>
    <w:rsid w:val="006111DF"/>
    <w:rsid w:val="006112B9"/>
    <w:rsid w:val="00611403"/>
    <w:rsid w:val="0061188C"/>
    <w:rsid w:val="0061199E"/>
    <w:rsid w:val="00611A38"/>
    <w:rsid w:val="00611F93"/>
    <w:rsid w:val="00612014"/>
    <w:rsid w:val="00612430"/>
    <w:rsid w:val="0061244E"/>
    <w:rsid w:val="006125DE"/>
    <w:rsid w:val="0061292D"/>
    <w:rsid w:val="00612FE6"/>
    <w:rsid w:val="00613192"/>
    <w:rsid w:val="006131F9"/>
    <w:rsid w:val="00613447"/>
    <w:rsid w:val="00613A43"/>
    <w:rsid w:val="00613BD0"/>
    <w:rsid w:val="00613F58"/>
    <w:rsid w:val="006140E4"/>
    <w:rsid w:val="00614334"/>
    <w:rsid w:val="006144B4"/>
    <w:rsid w:val="00614756"/>
    <w:rsid w:val="0061489B"/>
    <w:rsid w:val="00614B8A"/>
    <w:rsid w:val="00614D99"/>
    <w:rsid w:val="00615429"/>
    <w:rsid w:val="006157A2"/>
    <w:rsid w:val="0061586E"/>
    <w:rsid w:val="00615C74"/>
    <w:rsid w:val="00615CF3"/>
    <w:rsid w:val="006162DC"/>
    <w:rsid w:val="00616ABA"/>
    <w:rsid w:val="006175B0"/>
    <w:rsid w:val="0061781A"/>
    <w:rsid w:val="00617A02"/>
    <w:rsid w:val="00617A26"/>
    <w:rsid w:val="00617AF4"/>
    <w:rsid w:val="0062015D"/>
    <w:rsid w:val="006201C1"/>
    <w:rsid w:val="00620347"/>
    <w:rsid w:val="0062051E"/>
    <w:rsid w:val="00620537"/>
    <w:rsid w:val="006205E6"/>
    <w:rsid w:val="006206B6"/>
    <w:rsid w:val="00620949"/>
    <w:rsid w:val="0062096F"/>
    <w:rsid w:val="00620DA7"/>
    <w:rsid w:val="0062119A"/>
    <w:rsid w:val="00621236"/>
    <w:rsid w:val="0062130C"/>
    <w:rsid w:val="0062151F"/>
    <w:rsid w:val="006215A4"/>
    <w:rsid w:val="00621A55"/>
    <w:rsid w:val="00621AF2"/>
    <w:rsid w:val="00621FD8"/>
    <w:rsid w:val="006221FB"/>
    <w:rsid w:val="0062248C"/>
    <w:rsid w:val="00622857"/>
    <w:rsid w:val="00622E8A"/>
    <w:rsid w:val="006233AD"/>
    <w:rsid w:val="00623693"/>
    <w:rsid w:val="00623BB7"/>
    <w:rsid w:val="00623C48"/>
    <w:rsid w:val="0062408E"/>
    <w:rsid w:val="0062434F"/>
    <w:rsid w:val="0062437A"/>
    <w:rsid w:val="00624A50"/>
    <w:rsid w:val="00624DCF"/>
    <w:rsid w:val="00625199"/>
    <w:rsid w:val="00625262"/>
    <w:rsid w:val="006252D5"/>
    <w:rsid w:val="00625636"/>
    <w:rsid w:val="00625775"/>
    <w:rsid w:val="00625A9E"/>
    <w:rsid w:val="00626116"/>
    <w:rsid w:val="006267CB"/>
    <w:rsid w:val="00626CF0"/>
    <w:rsid w:val="006272BE"/>
    <w:rsid w:val="006274C5"/>
    <w:rsid w:val="006275F5"/>
    <w:rsid w:val="00627C29"/>
    <w:rsid w:val="00627DF0"/>
    <w:rsid w:val="00630160"/>
    <w:rsid w:val="00630187"/>
    <w:rsid w:val="00630326"/>
    <w:rsid w:val="006305AB"/>
    <w:rsid w:val="006307DC"/>
    <w:rsid w:val="00630F7F"/>
    <w:rsid w:val="00630FD3"/>
    <w:rsid w:val="006311AB"/>
    <w:rsid w:val="0063152E"/>
    <w:rsid w:val="00631E1B"/>
    <w:rsid w:val="006324CC"/>
    <w:rsid w:val="00632544"/>
    <w:rsid w:val="00632AC4"/>
    <w:rsid w:val="00632D55"/>
    <w:rsid w:val="00632E60"/>
    <w:rsid w:val="006333D3"/>
    <w:rsid w:val="00633700"/>
    <w:rsid w:val="00633A3C"/>
    <w:rsid w:val="00633A91"/>
    <w:rsid w:val="00633B83"/>
    <w:rsid w:val="00633ED9"/>
    <w:rsid w:val="006346B1"/>
    <w:rsid w:val="00634F59"/>
    <w:rsid w:val="00635418"/>
    <w:rsid w:val="00635826"/>
    <w:rsid w:val="006358C3"/>
    <w:rsid w:val="00635ACE"/>
    <w:rsid w:val="00635F63"/>
    <w:rsid w:val="00636D96"/>
    <w:rsid w:val="00637D12"/>
    <w:rsid w:val="00637D2E"/>
    <w:rsid w:val="00637D9F"/>
    <w:rsid w:val="00637E1D"/>
    <w:rsid w:val="006403DE"/>
    <w:rsid w:val="006405B5"/>
    <w:rsid w:val="006406A1"/>
    <w:rsid w:val="006406AF"/>
    <w:rsid w:val="00640783"/>
    <w:rsid w:val="0064084A"/>
    <w:rsid w:val="0064086A"/>
    <w:rsid w:val="00640ED9"/>
    <w:rsid w:val="00640F24"/>
    <w:rsid w:val="0064104B"/>
    <w:rsid w:val="0064139E"/>
    <w:rsid w:val="00641F5D"/>
    <w:rsid w:val="0064203F"/>
    <w:rsid w:val="00642141"/>
    <w:rsid w:val="00642480"/>
    <w:rsid w:val="00642589"/>
    <w:rsid w:val="006426B2"/>
    <w:rsid w:val="00642974"/>
    <w:rsid w:val="00643023"/>
    <w:rsid w:val="006435CC"/>
    <w:rsid w:val="006436A9"/>
    <w:rsid w:val="006438ED"/>
    <w:rsid w:val="00643EE0"/>
    <w:rsid w:val="00644726"/>
    <w:rsid w:val="006447FA"/>
    <w:rsid w:val="00644B3C"/>
    <w:rsid w:val="006450A5"/>
    <w:rsid w:val="006453CD"/>
    <w:rsid w:val="006454A4"/>
    <w:rsid w:val="006454FC"/>
    <w:rsid w:val="0064583A"/>
    <w:rsid w:val="00645884"/>
    <w:rsid w:val="00646899"/>
    <w:rsid w:val="00646DE3"/>
    <w:rsid w:val="00646E17"/>
    <w:rsid w:val="00646F35"/>
    <w:rsid w:val="00646F3C"/>
    <w:rsid w:val="00646F85"/>
    <w:rsid w:val="00647362"/>
    <w:rsid w:val="0064764E"/>
    <w:rsid w:val="00647779"/>
    <w:rsid w:val="00647800"/>
    <w:rsid w:val="00647815"/>
    <w:rsid w:val="006479C2"/>
    <w:rsid w:val="00647FC4"/>
    <w:rsid w:val="006500E2"/>
    <w:rsid w:val="006502F6"/>
    <w:rsid w:val="0065040B"/>
    <w:rsid w:val="006508C7"/>
    <w:rsid w:val="00650901"/>
    <w:rsid w:val="00650AF1"/>
    <w:rsid w:val="00651069"/>
    <w:rsid w:val="00651257"/>
    <w:rsid w:val="006516A5"/>
    <w:rsid w:val="00651800"/>
    <w:rsid w:val="00651866"/>
    <w:rsid w:val="00651AC1"/>
    <w:rsid w:val="00651B7B"/>
    <w:rsid w:val="00651E17"/>
    <w:rsid w:val="00651FF1"/>
    <w:rsid w:val="00652303"/>
    <w:rsid w:val="006528C1"/>
    <w:rsid w:val="00652A38"/>
    <w:rsid w:val="00652C78"/>
    <w:rsid w:val="00652E6B"/>
    <w:rsid w:val="00653BD2"/>
    <w:rsid w:val="00653DCE"/>
    <w:rsid w:val="0065429F"/>
    <w:rsid w:val="0065448C"/>
    <w:rsid w:val="00655044"/>
    <w:rsid w:val="0065522B"/>
    <w:rsid w:val="00655239"/>
    <w:rsid w:val="0065532E"/>
    <w:rsid w:val="0065539B"/>
    <w:rsid w:val="00655539"/>
    <w:rsid w:val="006556ED"/>
    <w:rsid w:val="00655909"/>
    <w:rsid w:val="00655D07"/>
    <w:rsid w:val="00655F55"/>
    <w:rsid w:val="006560D9"/>
    <w:rsid w:val="00657819"/>
    <w:rsid w:val="00657DD5"/>
    <w:rsid w:val="00660140"/>
    <w:rsid w:val="00660584"/>
    <w:rsid w:val="006607BC"/>
    <w:rsid w:val="00660C23"/>
    <w:rsid w:val="00660EA1"/>
    <w:rsid w:val="00660F85"/>
    <w:rsid w:val="00661639"/>
    <w:rsid w:val="0066183A"/>
    <w:rsid w:val="006618C0"/>
    <w:rsid w:val="00661D80"/>
    <w:rsid w:val="0066256E"/>
    <w:rsid w:val="00662670"/>
    <w:rsid w:val="00662B33"/>
    <w:rsid w:val="00662D03"/>
    <w:rsid w:val="00662F69"/>
    <w:rsid w:val="00663A56"/>
    <w:rsid w:val="00664352"/>
    <w:rsid w:val="006643E2"/>
    <w:rsid w:val="00664506"/>
    <w:rsid w:val="00664740"/>
    <w:rsid w:val="006647D2"/>
    <w:rsid w:val="00664FC6"/>
    <w:rsid w:val="00665053"/>
    <w:rsid w:val="0066551E"/>
    <w:rsid w:val="006655F1"/>
    <w:rsid w:val="00665AA1"/>
    <w:rsid w:val="00665CB6"/>
    <w:rsid w:val="00665DAA"/>
    <w:rsid w:val="00665F17"/>
    <w:rsid w:val="006660B5"/>
    <w:rsid w:val="006663DC"/>
    <w:rsid w:val="00666999"/>
    <w:rsid w:val="00666CFF"/>
    <w:rsid w:val="00666FC1"/>
    <w:rsid w:val="00667174"/>
    <w:rsid w:val="0066764F"/>
    <w:rsid w:val="00667C62"/>
    <w:rsid w:val="00667D5D"/>
    <w:rsid w:val="0067033A"/>
    <w:rsid w:val="00670962"/>
    <w:rsid w:val="00670D82"/>
    <w:rsid w:val="00670E41"/>
    <w:rsid w:val="00670EF8"/>
    <w:rsid w:val="006710C2"/>
    <w:rsid w:val="0067171B"/>
    <w:rsid w:val="00671D24"/>
    <w:rsid w:val="00671DEA"/>
    <w:rsid w:val="00672228"/>
    <w:rsid w:val="00672CEC"/>
    <w:rsid w:val="00672E75"/>
    <w:rsid w:val="00673947"/>
    <w:rsid w:val="00673A60"/>
    <w:rsid w:val="00673BF6"/>
    <w:rsid w:val="00674138"/>
    <w:rsid w:val="006746BC"/>
    <w:rsid w:val="00674740"/>
    <w:rsid w:val="00674819"/>
    <w:rsid w:val="006752CA"/>
    <w:rsid w:val="0067562E"/>
    <w:rsid w:val="006757DE"/>
    <w:rsid w:val="00675A02"/>
    <w:rsid w:val="00675A8C"/>
    <w:rsid w:val="00675B1B"/>
    <w:rsid w:val="00675B59"/>
    <w:rsid w:val="00675C1D"/>
    <w:rsid w:val="00675E24"/>
    <w:rsid w:val="00675F97"/>
    <w:rsid w:val="00676841"/>
    <w:rsid w:val="0067685F"/>
    <w:rsid w:val="00676995"/>
    <w:rsid w:val="00676E41"/>
    <w:rsid w:val="00676EC3"/>
    <w:rsid w:val="00676F55"/>
    <w:rsid w:val="006773CC"/>
    <w:rsid w:val="00677413"/>
    <w:rsid w:val="00677491"/>
    <w:rsid w:val="006776C9"/>
    <w:rsid w:val="00677863"/>
    <w:rsid w:val="006778B9"/>
    <w:rsid w:val="00677BF4"/>
    <w:rsid w:val="00677E38"/>
    <w:rsid w:val="00677F5B"/>
    <w:rsid w:val="00677FAF"/>
    <w:rsid w:val="006801B9"/>
    <w:rsid w:val="006803D4"/>
    <w:rsid w:val="00680497"/>
    <w:rsid w:val="006808D4"/>
    <w:rsid w:val="0068093D"/>
    <w:rsid w:val="00681087"/>
    <w:rsid w:val="0068110A"/>
    <w:rsid w:val="006817EE"/>
    <w:rsid w:val="00681CA4"/>
    <w:rsid w:val="00681DB7"/>
    <w:rsid w:val="00682080"/>
    <w:rsid w:val="006822BB"/>
    <w:rsid w:val="006824BB"/>
    <w:rsid w:val="006827D6"/>
    <w:rsid w:val="00682F9D"/>
    <w:rsid w:val="00683080"/>
    <w:rsid w:val="0068323C"/>
    <w:rsid w:val="00683558"/>
    <w:rsid w:val="0068369B"/>
    <w:rsid w:val="00683A36"/>
    <w:rsid w:val="00683C30"/>
    <w:rsid w:val="00683DD7"/>
    <w:rsid w:val="006842A3"/>
    <w:rsid w:val="0068476E"/>
    <w:rsid w:val="00684A60"/>
    <w:rsid w:val="00684B25"/>
    <w:rsid w:val="00684F66"/>
    <w:rsid w:val="006850A7"/>
    <w:rsid w:val="00685D86"/>
    <w:rsid w:val="00685D97"/>
    <w:rsid w:val="0068680C"/>
    <w:rsid w:val="00686852"/>
    <w:rsid w:val="006868B3"/>
    <w:rsid w:val="006868EC"/>
    <w:rsid w:val="00686B39"/>
    <w:rsid w:val="00686B5B"/>
    <w:rsid w:val="00687309"/>
    <w:rsid w:val="0068745A"/>
    <w:rsid w:val="006877CA"/>
    <w:rsid w:val="006879BD"/>
    <w:rsid w:val="00687B98"/>
    <w:rsid w:val="00687BE3"/>
    <w:rsid w:val="00687D9E"/>
    <w:rsid w:val="00687E7F"/>
    <w:rsid w:val="0069009C"/>
    <w:rsid w:val="00690110"/>
    <w:rsid w:val="006901F2"/>
    <w:rsid w:val="0069031D"/>
    <w:rsid w:val="00690374"/>
    <w:rsid w:val="006903F6"/>
    <w:rsid w:val="00690879"/>
    <w:rsid w:val="00691031"/>
    <w:rsid w:val="006910AE"/>
    <w:rsid w:val="006912F5"/>
    <w:rsid w:val="006916BA"/>
    <w:rsid w:val="006918E8"/>
    <w:rsid w:val="00691A73"/>
    <w:rsid w:val="00691B1D"/>
    <w:rsid w:val="00691C18"/>
    <w:rsid w:val="00691DF4"/>
    <w:rsid w:val="00692300"/>
    <w:rsid w:val="0069249F"/>
    <w:rsid w:val="006924E9"/>
    <w:rsid w:val="00692602"/>
    <w:rsid w:val="00692798"/>
    <w:rsid w:val="00692824"/>
    <w:rsid w:val="00692834"/>
    <w:rsid w:val="00693037"/>
    <w:rsid w:val="006930F8"/>
    <w:rsid w:val="00693645"/>
    <w:rsid w:val="006939D1"/>
    <w:rsid w:val="00693ED7"/>
    <w:rsid w:val="006941D6"/>
    <w:rsid w:val="0069438E"/>
    <w:rsid w:val="006944A6"/>
    <w:rsid w:val="00694508"/>
    <w:rsid w:val="00694DAF"/>
    <w:rsid w:val="00694E33"/>
    <w:rsid w:val="0069504A"/>
    <w:rsid w:val="00695187"/>
    <w:rsid w:val="00695657"/>
    <w:rsid w:val="00695723"/>
    <w:rsid w:val="006959AE"/>
    <w:rsid w:val="00695E1A"/>
    <w:rsid w:val="00695F98"/>
    <w:rsid w:val="006960CE"/>
    <w:rsid w:val="00696150"/>
    <w:rsid w:val="00696418"/>
    <w:rsid w:val="00696522"/>
    <w:rsid w:val="00696571"/>
    <w:rsid w:val="006968E2"/>
    <w:rsid w:val="006969BA"/>
    <w:rsid w:val="00696FDD"/>
    <w:rsid w:val="0069708D"/>
    <w:rsid w:val="00697097"/>
    <w:rsid w:val="0069721C"/>
    <w:rsid w:val="00697579"/>
    <w:rsid w:val="00697995"/>
    <w:rsid w:val="00697E18"/>
    <w:rsid w:val="00697E6D"/>
    <w:rsid w:val="006A0251"/>
    <w:rsid w:val="006A0410"/>
    <w:rsid w:val="006A0A21"/>
    <w:rsid w:val="006A0A62"/>
    <w:rsid w:val="006A0EDA"/>
    <w:rsid w:val="006A16A5"/>
    <w:rsid w:val="006A1C47"/>
    <w:rsid w:val="006A1E95"/>
    <w:rsid w:val="006A222F"/>
    <w:rsid w:val="006A2682"/>
    <w:rsid w:val="006A2CEA"/>
    <w:rsid w:val="006A3606"/>
    <w:rsid w:val="006A3FD6"/>
    <w:rsid w:val="006A3FEA"/>
    <w:rsid w:val="006A4746"/>
    <w:rsid w:val="006A495F"/>
    <w:rsid w:val="006A4CFA"/>
    <w:rsid w:val="006A4EEC"/>
    <w:rsid w:val="006A4F7E"/>
    <w:rsid w:val="006A572D"/>
    <w:rsid w:val="006A5B2D"/>
    <w:rsid w:val="006A5D0D"/>
    <w:rsid w:val="006A5F5E"/>
    <w:rsid w:val="006A6122"/>
    <w:rsid w:val="006A65FD"/>
    <w:rsid w:val="006A663B"/>
    <w:rsid w:val="006A6656"/>
    <w:rsid w:val="006A6669"/>
    <w:rsid w:val="006A6929"/>
    <w:rsid w:val="006A6A99"/>
    <w:rsid w:val="006A6CB8"/>
    <w:rsid w:val="006A6E3B"/>
    <w:rsid w:val="006A6FD5"/>
    <w:rsid w:val="006A7423"/>
    <w:rsid w:val="006A776D"/>
    <w:rsid w:val="006A78A3"/>
    <w:rsid w:val="006A7913"/>
    <w:rsid w:val="006B0001"/>
    <w:rsid w:val="006B0068"/>
    <w:rsid w:val="006B010C"/>
    <w:rsid w:val="006B064D"/>
    <w:rsid w:val="006B0926"/>
    <w:rsid w:val="006B1013"/>
    <w:rsid w:val="006B13EA"/>
    <w:rsid w:val="006B1500"/>
    <w:rsid w:val="006B166F"/>
    <w:rsid w:val="006B17D1"/>
    <w:rsid w:val="006B1B6E"/>
    <w:rsid w:val="006B1E43"/>
    <w:rsid w:val="006B1EF7"/>
    <w:rsid w:val="006B200E"/>
    <w:rsid w:val="006B209C"/>
    <w:rsid w:val="006B230F"/>
    <w:rsid w:val="006B262F"/>
    <w:rsid w:val="006B26DB"/>
    <w:rsid w:val="006B2843"/>
    <w:rsid w:val="006B304A"/>
    <w:rsid w:val="006B350F"/>
    <w:rsid w:val="006B3901"/>
    <w:rsid w:val="006B3C2C"/>
    <w:rsid w:val="006B3EDB"/>
    <w:rsid w:val="006B4125"/>
    <w:rsid w:val="006B4767"/>
    <w:rsid w:val="006B480F"/>
    <w:rsid w:val="006B4950"/>
    <w:rsid w:val="006B4A90"/>
    <w:rsid w:val="006B51A4"/>
    <w:rsid w:val="006B54ED"/>
    <w:rsid w:val="006B5620"/>
    <w:rsid w:val="006B6297"/>
    <w:rsid w:val="006B64CF"/>
    <w:rsid w:val="006B6842"/>
    <w:rsid w:val="006B6C39"/>
    <w:rsid w:val="006B7237"/>
    <w:rsid w:val="006B7266"/>
    <w:rsid w:val="006B7400"/>
    <w:rsid w:val="006B77CD"/>
    <w:rsid w:val="006B793C"/>
    <w:rsid w:val="006B7CFA"/>
    <w:rsid w:val="006C00B8"/>
    <w:rsid w:val="006C0348"/>
    <w:rsid w:val="006C056E"/>
    <w:rsid w:val="006C0B93"/>
    <w:rsid w:val="006C0D79"/>
    <w:rsid w:val="006C157C"/>
    <w:rsid w:val="006C1B88"/>
    <w:rsid w:val="006C1C08"/>
    <w:rsid w:val="006C1C6A"/>
    <w:rsid w:val="006C213C"/>
    <w:rsid w:val="006C21D1"/>
    <w:rsid w:val="006C226F"/>
    <w:rsid w:val="006C22F0"/>
    <w:rsid w:val="006C249C"/>
    <w:rsid w:val="006C2FC9"/>
    <w:rsid w:val="006C32B3"/>
    <w:rsid w:val="006C3469"/>
    <w:rsid w:val="006C370F"/>
    <w:rsid w:val="006C3F78"/>
    <w:rsid w:val="006C3FD7"/>
    <w:rsid w:val="006C40F5"/>
    <w:rsid w:val="006C4F63"/>
    <w:rsid w:val="006C4FF7"/>
    <w:rsid w:val="006C54CF"/>
    <w:rsid w:val="006C5849"/>
    <w:rsid w:val="006C5963"/>
    <w:rsid w:val="006C5BC1"/>
    <w:rsid w:val="006C5C4F"/>
    <w:rsid w:val="006C5C64"/>
    <w:rsid w:val="006C5D8D"/>
    <w:rsid w:val="006C617E"/>
    <w:rsid w:val="006C676D"/>
    <w:rsid w:val="006C6ACF"/>
    <w:rsid w:val="006C6D1C"/>
    <w:rsid w:val="006C6DF0"/>
    <w:rsid w:val="006C6E2D"/>
    <w:rsid w:val="006C6FE4"/>
    <w:rsid w:val="006C7014"/>
    <w:rsid w:val="006C72E5"/>
    <w:rsid w:val="006C7422"/>
    <w:rsid w:val="006C7457"/>
    <w:rsid w:val="006C7483"/>
    <w:rsid w:val="006C76F4"/>
    <w:rsid w:val="006C7A0C"/>
    <w:rsid w:val="006C7D23"/>
    <w:rsid w:val="006C7D56"/>
    <w:rsid w:val="006D011F"/>
    <w:rsid w:val="006D04CE"/>
    <w:rsid w:val="006D0C4A"/>
    <w:rsid w:val="006D0E96"/>
    <w:rsid w:val="006D10E8"/>
    <w:rsid w:val="006D12A9"/>
    <w:rsid w:val="006D1AD5"/>
    <w:rsid w:val="006D2289"/>
    <w:rsid w:val="006D2644"/>
    <w:rsid w:val="006D2664"/>
    <w:rsid w:val="006D26D2"/>
    <w:rsid w:val="006D2798"/>
    <w:rsid w:val="006D2F95"/>
    <w:rsid w:val="006D3504"/>
    <w:rsid w:val="006D3550"/>
    <w:rsid w:val="006D359A"/>
    <w:rsid w:val="006D360C"/>
    <w:rsid w:val="006D3D7B"/>
    <w:rsid w:val="006D3E0B"/>
    <w:rsid w:val="006D3F6D"/>
    <w:rsid w:val="006D423C"/>
    <w:rsid w:val="006D4457"/>
    <w:rsid w:val="006D453E"/>
    <w:rsid w:val="006D4767"/>
    <w:rsid w:val="006D4C7B"/>
    <w:rsid w:val="006D4E22"/>
    <w:rsid w:val="006D4FD2"/>
    <w:rsid w:val="006D4FD8"/>
    <w:rsid w:val="006D5976"/>
    <w:rsid w:val="006D5ABA"/>
    <w:rsid w:val="006D5EE0"/>
    <w:rsid w:val="006D6338"/>
    <w:rsid w:val="006D6BF0"/>
    <w:rsid w:val="006D6C84"/>
    <w:rsid w:val="006D71AA"/>
    <w:rsid w:val="006D74B6"/>
    <w:rsid w:val="006D7675"/>
    <w:rsid w:val="006E00C6"/>
    <w:rsid w:val="006E026C"/>
    <w:rsid w:val="006E029D"/>
    <w:rsid w:val="006E0761"/>
    <w:rsid w:val="006E0A58"/>
    <w:rsid w:val="006E0CEF"/>
    <w:rsid w:val="006E0F6B"/>
    <w:rsid w:val="006E0F7B"/>
    <w:rsid w:val="006E13FC"/>
    <w:rsid w:val="006E18BB"/>
    <w:rsid w:val="006E1908"/>
    <w:rsid w:val="006E22A8"/>
    <w:rsid w:val="006E2526"/>
    <w:rsid w:val="006E2673"/>
    <w:rsid w:val="006E29EA"/>
    <w:rsid w:val="006E2C7A"/>
    <w:rsid w:val="006E2C9A"/>
    <w:rsid w:val="006E2D16"/>
    <w:rsid w:val="006E32A2"/>
    <w:rsid w:val="006E3D9F"/>
    <w:rsid w:val="006E3EAD"/>
    <w:rsid w:val="006E45BF"/>
    <w:rsid w:val="006E49BA"/>
    <w:rsid w:val="006E5318"/>
    <w:rsid w:val="006E5623"/>
    <w:rsid w:val="006E6024"/>
    <w:rsid w:val="006E64F3"/>
    <w:rsid w:val="006E6719"/>
    <w:rsid w:val="006E6751"/>
    <w:rsid w:val="006E6CFE"/>
    <w:rsid w:val="006E71FB"/>
    <w:rsid w:val="006E722E"/>
    <w:rsid w:val="006E73DC"/>
    <w:rsid w:val="006E75A6"/>
    <w:rsid w:val="006E79C6"/>
    <w:rsid w:val="006E79D4"/>
    <w:rsid w:val="006E7D2F"/>
    <w:rsid w:val="006F0511"/>
    <w:rsid w:val="006F0653"/>
    <w:rsid w:val="006F06B6"/>
    <w:rsid w:val="006F0C0D"/>
    <w:rsid w:val="006F0D84"/>
    <w:rsid w:val="006F0E3B"/>
    <w:rsid w:val="006F1567"/>
    <w:rsid w:val="006F1879"/>
    <w:rsid w:val="006F1C05"/>
    <w:rsid w:val="006F1F76"/>
    <w:rsid w:val="006F247B"/>
    <w:rsid w:val="006F2573"/>
    <w:rsid w:val="006F29EF"/>
    <w:rsid w:val="006F2A16"/>
    <w:rsid w:val="006F2AEA"/>
    <w:rsid w:val="006F2D44"/>
    <w:rsid w:val="006F2FC4"/>
    <w:rsid w:val="006F2FC8"/>
    <w:rsid w:val="006F321A"/>
    <w:rsid w:val="006F365C"/>
    <w:rsid w:val="006F39CA"/>
    <w:rsid w:val="006F3FB5"/>
    <w:rsid w:val="006F468D"/>
    <w:rsid w:val="006F489A"/>
    <w:rsid w:val="006F4DE2"/>
    <w:rsid w:val="006F500B"/>
    <w:rsid w:val="006F50A1"/>
    <w:rsid w:val="006F52CE"/>
    <w:rsid w:val="006F550A"/>
    <w:rsid w:val="006F5628"/>
    <w:rsid w:val="006F5D61"/>
    <w:rsid w:val="006F5F93"/>
    <w:rsid w:val="006F5FE9"/>
    <w:rsid w:val="006F63F1"/>
    <w:rsid w:val="006F6602"/>
    <w:rsid w:val="006F6BCA"/>
    <w:rsid w:val="006F6C72"/>
    <w:rsid w:val="006F6E60"/>
    <w:rsid w:val="006F7114"/>
    <w:rsid w:val="006F72A2"/>
    <w:rsid w:val="00700173"/>
    <w:rsid w:val="007002C3"/>
    <w:rsid w:val="007004C1"/>
    <w:rsid w:val="007006DB"/>
    <w:rsid w:val="00700AB1"/>
    <w:rsid w:val="00700AFC"/>
    <w:rsid w:val="00700F3D"/>
    <w:rsid w:val="007016DA"/>
    <w:rsid w:val="007025D4"/>
    <w:rsid w:val="0070288C"/>
    <w:rsid w:val="00702B72"/>
    <w:rsid w:val="0070337A"/>
    <w:rsid w:val="007037DF"/>
    <w:rsid w:val="00703ADF"/>
    <w:rsid w:val="00703B1E"/>
    <w:rsid w:val="00703C2B"/>
    <w:rsid w:val="00703E48"/>
    <w:rsid w:val="00703E6F"/>
    <w:rsid w:val="00703F79"/>
    <w:rsid w:val="0070467E"/>
    <w:rsid w:val="00704985"/>
    <w:rsid w:val="00704D46"/>
    <w:rsid w:val="00704E5F"/>
    <w:rsid w:val="00705090"/>
    <w:rsid w:val="0070568A"/>
    <w:rsid w:val="007058D5"/>
    <w:rsid w:val="007059AE"/>
    <w:rsid w:val="00705EF5"/>
    <w:rsid w:val="007061A1"/>
    <w:rsid w:val="0070633A"/>
    <w:rsid w:val="00706517"/>
    <w:rsid w:val="00706DD4"/>
    <w:rsid w:val="00706EE0"/>
    <w:rsid w:val="00707291"/>
    <w:rsid w:val="00707337"/>
    <w:rsid w:val="007073D4"/>
    <w:rsid w:val="007075F5"/>
    <w:rsid w:val="00707C6A"/>
    <w:rsid w:val="00707E31"/>
    <w:rsid w:val="00711163"/>
    <w:rsid w:val="007111A7"/>
    <w:rsid w:val="00711480"/>
    <w:rsid w:val="007115F5"/>
    <w:rsid w:val="007118C4"/>
    <w:rsid w:val="00711919"/>
    <w:rsid w:val="00711AC7"/>
    <w:rsid w:val="00711B1F"/>
    <w:rsid w:val="0071231B"/>
    <w:rsid w:val="00712679"/>
    <w:rsid w:val="0071268F"/>
    <w:rsid w:val="0071275D"/>
    <w:rsid w:val="00712824"/>
    <w:rsid w:val="00712A34"/>
    <w:rsid w:val="00712AF5"/>
    <w:rsid w:val="00712C8A"/>
    <w:rsid w:val="00713489"/>
    <w:rsid w:val="0071370B"/>
    <w:rsid w:val="00713B6D"/>
    <w:rsid w:val="00713B87"/>
    <w:rsid w:val="00713D4D"/>
    <w:rsid w:val="00714295"/>
    <w:rsid w:val="00714607"/>
    <w:rsid w:val="00714B77"/>
    <w:rsid w:val="00714F47"/>
    <w:rsid w:val="00714FAD"/>
    <w:rsid w:val="00715706"/>
    <w:rsid w:val="007157E5"/>
    <w:rsid w:val="00715E9D"/>
    <w:rsid w:val="00715F7C"/>
    <w:rsid w:val="00716110"/>
    <w:rsid w:val="0071615F"/>
    <w:rsid w:val="00716192"/>
    <w:rsid w:val="007165AF"/>
    <w:rsid w:val="00716804"/>
    <w:rsid w:val="00716D1D"/>
    <w:rsid w:val="00716F59"/>
    <w:rsid w:val="007175A5"/>
    <w:rsid w:val="00717FC2"/>
    <w:rsid w:val="0072058E"/>
    <w:rsid w:val="007207BC"/>
    <w:rsid w:val="00720BFD"/>
    <w:rsid w:val="00720F51"/>
    <w:rsid w:val="007219A2"/>
    <w:rsid w:val="00721B8A"/>
    <w:rsid w:val="00721DEA"/>
    <w:rsid w:val="00721FD4"/>
    <w:rsid w:val="0072211F"/>
    <w:rsid w:val="00722328"/>
    <w:rsid w:val="00722882"/>
    <w:rsid w:val="00722A82"/>
    <w:rsid w:val="00723385"/>
    <w:rsid w:val="00723D68"/>
    <w:rsid w:val="00723F68"/>
    <w:rsid w:val="0072440C"/>
    <w:rsid w:val="0072489D"/>
    <w:rsid w:val="00724BC8"/>
    <w:rsid w:val="00724D8E"/>
    <w:rsid w:val="00724F5E"/>
    <w:rsid w:val="00725A0A"/>
    <w:rsid w:val="00725A17"/>
    <w:rsid w:val="00725CAC"/>
    <w:rsid w:val="00726759"/>
    <w:rsid w:val="00726BC5"/>
    <w:rsid w:val="00726C89"/>
    <w:rsid w:val="00726F92"/>
    <w:rsid w:val="007270CE"/>
    <w:rsid w:val="0072711D"/>
    <w:rsid w:val="0072777F"/>
    <w:rsid w:val="007279F4"/>
    <w:rsid w:val="00727A1D"/>
    <w:rsid w:val="00727BCC"/>
    <w:rsid w:val="00727FEE"/>
    <w:rsid w:val="0073005D"/>
    <w:rsid w:val="0073059F"/>
    <w:rsid w:val="0073064E"/>
    <w:rsid w:val="007307EC"/>
    <w:rsid w:val="007308EA"/>
    <w:rsid w:val="00730E95"/>
    <w:rsid w:val="007312CB"/>
    <w:rsid w:val="0073140C"/>
    <w:rsid w:val="00731477"/>
    <w:rsid w:val="00731A54"/>
    <w:rsid w:val="00731ABA"/>
    <w:rsid w:val="00731CBB"/>
    <w:rsid w:val="00731EF5"/>
    <w:rsid w:val="00731F13"/>
    <w:rsid w:val="0073233B"/>
    <w:rsid w:val="00732349"/>
    <w:rsid w:val="00732790"/>
    <w:rsid w:val="0073282C"/>
    <w:rsid w:val="007331A4"/>
    <w:rsid w:val="007331BF"/>
    <w:rsid w:val="00733785"/>
    <w:rsid w:val="007343A3"/>
    <w:rsid w:val="00734690"/>
    <w:rsid w:val="00734926"/>
    <w:rsid w:val="00734992"/>
    <w:rsid w:val="00734A47"/>
    <w:rsid w:val="00734FE6"/>
    <w:rsid w:val="007354E0"/>
    <w:rsid w:val="00735BD8"/>
    <w:rsid w:val="00736225"/>
    <w:rsid w:val="00736593"/>
    <w:rsid w:val="00736862"/>
    <w:rsid w:val="00736AB2"/>
    <w:rsid w:val="00736E07"/>
    <w:rsid w:val="0073732C"/>
    <w:rsid w:val="007373C1"/>
    <w:rsid w:val="00737928"/>
    <w:rsid w:val="00737B38"/>
    <w:rsid w:val="00737BE6"/>
    <w:rsid w:val="00737CC9"/>
    <w:rsid w:val="007405B6"/>
    <w:rsid w:val="00740973"/>
    <w:rsid w:val="00740D01"/>
    <w:rsid w:val="00740D6B"/>
    <w:rsid w:val="007416B0"/>
    <w:rsid w:val="007418B1"/>
    <w:rsid w:val="00741AC8"/>
    <w:rsid w:val="00741CF4"/>
    <w:rsid w:val="00742361"/>
    <w:rsid w:val="00742742"/>
    <w:rsid w:val="007428AE"/>
    <w:rsid w:val="007428E9"/>
    <w:rsid w:val="00742A62"/>
    <w:rsid w:val="00742ED2"/>
    <w:rsid w:val="00743498"/>
    <w:rsid w:val="007435B3"/>
    <w:rsid w:val="00743817"/>
    <w:rsid w:val="00744047"/>
    <w:rsid w:val="0074414E"/>
    <w:rsid w:val="0074476F"/>
    <w:rsid w:val="007448CD"/>
    <w:rsid w:val="00744C15"/>
    <w:rsid w:val="00745294"/>
    <w:rsid w:val="007452F5"/>
    <w:rsid w:val="007457B8"/>
    <w:rsid w:val="007457D0"/>
    <w:rsid w:val="00745C8D"/>
    <w:rsid w:val="00745D26"/>
    <w:rsid w:val="00745FB6"/>
    <w:rsid w:val="00745FDA"/>
    <w:rsid w:val="00746556"/>
    <w:rsid w:val="00746893"/>
    <w:rsid w:val="0074690D"/>
    <w:rsid w:val="007469D5"/>
    <w:rsid w:val="00746FB3"/>
    <w:rsid w:val="00747057"/>
    <w:rsid w:val="007470D4"/>
    <w:rsid w:val="00747124"/>
    <w:rsid w:val="007476B2"/>
    <w:rsid w:val="0074788B"/>
    <w:rsid w:val="007502B3"/>
    <w:rsid w:val="00750318"/>
    <w:rsid w:val="00750D9D"/>
    <w:rsid w:val="00750F47"/>
    <w:rsid w:val="0075157F"/>
    <w:rsid w:val="0075162B"/>
    <w:rsid w:val="00751762"/>
    <w:rsid w:val="007517B9"/>
    <w:rsid w:val="00751865"/>
    <w:rsid w:val="00751B3A"/>
    <w:rsid w:val="00751CF4"/>
    <w:rsid w:val="00751D62"/>
    <w:rsid w:val="007521B6"/>
    <w:rsid w:val="007524FC"/>
    <w:rsid w:val="0075267E"/>
    <w:rsid w:val="007526F4"/>
    <w:rsid w:val="00752975"/>
    <w:rsid w:val="00752998"/>
    <w:rsid w:val="00752D2C"/>
    <w:rsid w:val="00752DBE"/>
    <w:rsid w:val="00752F20"/>
    <w:rsid w:val="00752FD8"/>
    <w:rsid w:val="00753095"/>
    <w:rsid w:val="00753357"/>
    <w:rsid w:val="0075339D"/>
    <w:rsid w:val="0075388D"/>
    <w:rsid w:val="007539D2"/>
    <w:rsid w:val="00753D9D"/>
    <w:rsid w:val="00753FE4"/>
    <w:rsid w:val="00753FEC"/>
    <w:rsid w:val="00754010"/>
    <w:rsid w:val="00754062"/>
    <w:rsid w:val="007545E8"/>
    <w:rsid w:val="007545F4"/>
    <w:rsid w:val="007546DF"/>
    <w:rsid w:val="00754AF1"/>
    <w:rsid w:val="00754F78"/>
    <w:rsid w:val="00755114"/>
    <w:rsid w:val="00755322"/>
    <w:rsid w:val="007556FE"/>
    <w:rsid w:val="007558EC"/>
    <w:rsid w:val="007567C5"/>
    <w:rsid w:val="00756EA1"/>
    <w:rsid w:val="0075708B"/>
    <w:rsid w:val="00757158"/>
    <w:rsid w:val="007572E2"/>
    <w:rsid w:val="00757364"/>
    <w:rsid w:val="00757373"/>
    <w:rsid w:val="0075752C"/>
    <w:rsid w:val="00757559"/>
    <w:rsid w:val="00757C2A"/>
    <w:rsid w:val="00757D38"/>
    <w:rsid w:val="007605F4"/>
    <w:rsid w:val="00760679"/>
    <w:rsid w:val="00760A99"/>
    <w:rsid w:val="00760C02"/>
    <w:rsid w:val="00760C1C"/>
    <w:rsid w:val="00761081"/>
    <w:rsid w:val="00761089"/>
    <w:rsid w:val="007613B9"/>
    <w:rsid w:val="0076165F"/>
    <w:rsid w:val="007617CA"/>
    <w:rsid w:val="007617E2"/>
    <w:rsid w:val="00761923"/>
    <w:rsid w:val="00761BB9"/>
    <w:rsid w:val="00761E14"/>
    <w:rsid w:val="00761F0D"/>
    <w:rsid w:val="00761FA6"/>
    <w:rsid w:val="00762167"/>
    <w:rsid w:val="00762293"/>
    <w:rsid w:val="0076260C"/>
    <w:rsid w:val="007628F7"/>
    <w:rsid w:val="00762CF7"/>
    <w:rsid w:val="00762F65"/>
    <w:rsid w:val="007632E3"/>
    <w:rsid w:val="007637BC"/>
    <w:rsid w:val="00764325"/>
    <w:rsid w:val="00764411"/>
    <w:rsid w:val="007646FE"/>
    <w:rsid w:val="007649FE"/>
    <w:rsid w:val="00764F78"/>
    <w:rsid w:val="0076550A"/>
    <w:rsid w:val="00765AFA"/>
    <w:rsid w:val="00766198"/>
    <w:rsid w:val="007666B8"/>
    <w:rsid w:val="007669DE"/>
    <w:rsid w:val="00766AB7"/>
    <w:rsid w:val="00766C52"/>
    <w:rsid w:val="00766F80"/>
    <w:rsid w:val="0076765F"/>
    <w:rsid w:val="007678CD"/>
    <w:rsid w:val="00767B6C"/>
    <w:rsid w:val="00767ED5"/>
    <w:rsid w:val="007706F1"/>
    <w:rsid w:val="00771195"/>
    <w:rsid w:val="0077167C"/>
    <w:rsid w:val="00771864"/>
    <w:rsid w:val="0077203E"/>
    <w:rsid w:val="00772325"/>
    <w:rsid w:val="00772807"/>
    <w:rsid w:val="00772CF1"/>
    <w:rsid w:val="00772EE7"/>
    <w:rsid w:val="007730E5"/>
    <w:rsid w:val="00773420"/>
    <w:rsid w:val="00773429"/>
    <w:rsid w:val="007734BD"/>
    <w:rsid w:val="007735F7"/>
    <w:rsid w:val="007737AB"/>
    <w:rsid w:val="00773928"/>
    <w:rsid w:val="00773BED"/>
    <w:rsid w:val="00774119"/>
    <w:rsid w:val="007741BC"/>
    <w:rsid w:val="0077421E"/>
    <w:rsid w:val="007748E7"/>
    <w:rsid w:val="00774D57"/>
    <w:rsid w:val="00774D82"/>
    <w:rsid w:val="00774EDB"/>
    <w:rsid w:val="00775016"/>
    <w:rsid w:val="0077558A"/>
    <w:rsid w:val="00775708"/>
    <w:rsid w:val="00775788"/>
    <w:rsid w:val="00775A19"/>
    <w:rsid w:val="00775EFD"/>
    <w:rsid w:val="007760EF"/>
    <w:rsid w:val="0077635D"/>
    <w:rsid w:val="00776D65"/>
    <w:rsid w:val="00776D72"/>
    <w:rsid w:val="00776E73"/>
    <w:rsid w:val="00776FE1"/>
    <w:rsid w:val="00777060"/>
    <w:rsid w:val="00777510"/>
    <w:rsid w:val="00777847"/>
    <w:rsid w:val="00777C6F"/>
    <w:rsid w:val="0078000A"/>
    <w:rsid w:val="00780179"/>
    <w:rsid w:val="00780306"/>
    <w:rsid w:val="0078079D"/>
    <w:rsid w:val="007807D7"/>
    <w:rsid w:val="00780918"/>
    <w:rsid w:val="0078095B"/>
    <w:rsid w:val="00780D1C"/>
    <w:rsid w:val="00780D6E"/>
    <w:rsid w:val="00780E27"/>
    <w:rsid w:val="00781055"/>
    <w:rsid w:val="00781377"/>
    <w:rsid w:val="00781530"/>
    <w:rsid w:val="0078154E"/>
    <w:rsid w:val="00781605"/>
    <w:rsid w:val="007817D3"/>
    <w:rsid w:val="007818B7"/>
    <w:rsid w:val="007818E2"/>
    <w:rsid w:val="007819EE"/>
    <w:rsid w:val="00781BB7"/>
    <w:rsid w:val="00782089"/>
    <w:rsid w:val="007822D4"/>
    <w:rsid w:val="007824A7"/>
    <w:rsid w:val="00782542"/>
    <w:rsid w:val="00782759"/>
    <w:rsid w:val="00782799"/>
    <w:rsid w:val="00782B4B"/>
    <w:rsid w:val="007830FD"/>
    <w:rsid w:val="007839F7"/>
    <w:rsid w:val="00783BAB"/>
    <w:rsid w:val="00783C37"/>
    <w:rsid w:val="00783E93"/>
    <w:rsid w:val="007841A4"/>
    <w:rsid w:val="007842AA"/>
    <w:rsid w:val="00784419"/>
    <w:rsid w:val="007845B8"/>
    <w:rsid w:val="00784796"/>
    <w:rsid w:val="0078489B"/>
    <w:rsid w:val="00784BA1"/>
    <w:rsid w:val="00785597"/>
    <w:rsid w:val="007856B5"/>
    <w:rsid w:val="0078571A"/>
    <w:rsid w:val="0078576D"/>
    <w:rsid w:val="00785D11"/>
    <w:rsid w:val="00785D4C"/>
    <w:rsid w:val="00785EC4"/>
    <w:rsid w:val="00786586"/>
    <w:rsid w:val="007866AF"/>
    <w:rsid w:val="007867B0"/>
    <w:rsid w:val="00786ED2"/>
    <w:rsid w:val="00786F5C"/>
    <w:rsid w:val="00787305"/>
    <w:rsid w:val="0078752D"/>
    <w:rsid w:val="00787840"/>
    <w:rsid w:val="00787A73"/>
    <w:rsid w:val="00790173"/>
    <w:rsid w:val="00790AFF"/>
    <w:rsid w:val="00790B8C"/>
    <w:rsid w:val="00790C7B"/>
    <w:rsid w:val="00790CA1"/>
    <w:rsid w:val="00790EED"/>
    <w:rsid w:val="00790F0B"/>
    <w:rsid w:val="007911FA"/>
    <w:rsid w:val="007912CC"/>
    <w:rsid w:val="007916AF"/>
    <w:rsid w:val="0079187C"/>
    <w:rsid w:val="00791C99"/>
    <w:rsid w:val="00791D2F"/>
    <w:rsid w:val="00791D9D"/>
    <w:rsid w:val="00791ED1"/>
    <w:rsid w:val="0079318A"/>
    <w:rsid w:val="00793481"/>
    <w:rsid w:val="007935A9"/>
    <w:rsid w:val="007936A0"/>
    <w:rsid w:val="00793856"/>
    <w:rsid w:val="00793AE3"/>
    <w:rsid w:val="00793E3D"/>
    <w:rsid w:val="00794080"/>
    <w:rsid w:val="007943B3"/>
    <w:rsid w:val="007946D1"/>
    <w:rsid w:val="007949D8"/>
    <w:rsid w:val="00794B24"/>
    <w:rsid w:val="00794D1A"/>
    <w:rsid w:val="0079532E"/>
    <w:rsid w:val="00795344"/>
    <w:rsid w:val="0079538A"/>
    <w:rsid w:val="007954BF"/>
    <w:rsid w:val="0079572F"/>
    <w:rsid w:val="00795849"/>
    <w:rsid w:val="00795C18"/>
    <w:rsid w:val="00795DBB"/>
    <w:rsid w:val="007963CB"/>
    <w:rsid w:val="00796637"/>
    <w:rsid w:val="00796B25"/>
    <w:rsid w:val="00796BCA"/>
    <w:rsid w:val="00796CEA"/>
    <w:rsid w:val="00796E67"/>
    <w:rsid w:val="00796F3A"/>
    <w:rsid w:val="0079725D"/>
    <w:rsid w:val="007975F0"/>
    <w:rsid w:val="0079780A"/>
    <w:rsid w:val="00797C91"/>
    <w:rsid w:val="007A01AF"/>
    <w:rsid w:val="007A07CC"/>
    <w:rsid w:val="007A0C25"/>
    <w:rsid w:val="007A0DE4"/>
    <w:rsid w:val="007A0E85"/>
    <w:rsid w:val="007A1739"/>
    <w:rsid w:val="007A1978"/>
    <w:rsid w:val="007A19EF"/>
    <w:rsid w:val="007A1AA3"/>
    <w:rsid w:val="007A1CB7"/>
    <w:rsid w:val="007A2091"/>
    <w:rsid w:val="007A2396"/>
    <w:rsid w:val="007A282A"/>
    <w:rsid w:val="007A2A04"/>
    <w:rsid w:val="007A2C21"/>
    <w:rsid w:val="007A2E55"/>
    <w:rsid w:val="007A3189"/>
    <w:rsid w:val="007A353E"/>
    <w:rsid w:val="007A39C2"/>
    <w:rsid w:val="007A3AB2"/>
    <w:rsid w:val="007A3EFB"/>
    <w:rsid w:val="007A4284"/>
    <w:rsid w:val="007A48D3"/>
    <w:rsid w:val="007A48FD"/>
    <w:rsid w:val="007A5001"/>
    <w:rsid w:val="007A54A0"/>
    <w:rsid w:val="007A5650"/>
    <w:rsid w:val="007A5A54"/>
    <w:rsid w:val="007A5B85"/>
    <w:rsid w:val="007A5FB5"/>
    <w:rsid w:val="007A6386"/>
    <w:rsid w:val="007A66DE"/>
    <w:rsid w:val="007A6D13"/>
    <w:rsid w:val="007A6D3C"/>
    <w:rsid w:val="007A71ED"/>
    <w:rsid w:val="007A727C"/>
    <w:rsid w:val="007B07E5"/>
    <w:rsid w:val="007B0A83"/>
    <w:rsid w:val="007B0B83"/>
    <w:rsid w:val="007B0D56"/>
    <w:rsid w:val="007B0D62"/>
    <w:rsid w:val="007B102D"/>
    <w:rsid w:val="007B134F"/>
    <w:rsid w:val="007B139D"/>
    <w:rsid w:val="007B1CD2"/>
    <w:rsid w:val="007B2155"/>
    <w:rsid w:val="007B21B4"/>
    <w:rsid w:val="007B21E5"/>
    <w:rsid w:val="007B273A"/>
    <w:rsid w:val="007B2772"/>
    <w:rsid w:val="007B28FA"/>
    <w:rsid w:val="007B2C67"/>
    <w:rsid w:val="007B3600"/>
    <w:rsid w:val="007B360A"/>
    <w:rsid w:val="007B3943"/>
    <w:rsid w:val="007B3DE9"/>
    <w:rsid w:val="007B3EF4"/>
    <w:rsid w:val="007B40CE"/>
    <w:rsid w:val="007B4733"/>
    <w:rsid w:val="007B476D"/>
    <w:rsid w:val="007B47AE"/>
    <w:rsid w:val="007B4BE9"/>
    <w:rsid w:val="007B50C6"/>
    <w:rsid w:val="007B51FA"/>
    <w:rsid w:val="007B522C"/>
    <w:rsid w:val="007B5273"/>
    <w:rsid w:val="007B550F"/>
    <w:rsid w:val="007B584E"/>
    <w:rsid w:val="007B58D9"/>
    <w:rsid w:val="007B5BB5"/>
    <w:rsid w:val="007B5EAC"/>
    <w:rsid w:val="007B645E"/>
    <w:rsid w:val="007B6468"/>
    <w:rsid w:val="007B6490"/>
    <w:rsid w:val="007B67A5"/>
    <w:rsid w:val="007B6C08"/>
    <w:rsid w:val="007B6CAF"/>
    <w:rsid w:val="007B741A"/>
    <w:rsid w:val="007B74A6"/>
    <w:rsid w:val="007B775E"/>
    <w:rsid w:val="007C004D"/>
    <w:rsid w:val="007C027F"/>
    <w:rsid w:val="007C04A0"/>
    <w:rsid w:val="007C04BC"/>
    <w:rsid w:val="007C0F08"/>
    <w:rsid w:val="007C0F22"/>
    <w:rsid w:val="007C10B9"/>
    <w:rsid w:val="007C1558"/>
    <w:rsid w:val="007C187B"/>
    <w:rsid w:val="007C1B6B"/>
    <w:rsid w:val="007C1CC2"/>
    <w:rsid w:val="007C2050"/>
    <w:rsid w:val="007C205A"/>
    <w:rsid w:val="007C2181"/>
    <w:rsid w:val="007C2BDE"/>
    <w:rsid w:val="007C2E4D"/>
    <w:rsid w:val="007C3011"/>
    <w:rsid w:val="007C3250"/>
    <w:rsid w:val="007C33F0"/>
    <w:rsid w:val="007C35E5"/>
    <w:rsid w:val="007C38D8"/>
    <w:rsid w:val="007C3E87"/>
    <w:rsid w:val="007C46A7"/>
    <w:rsid w:val="007C4708"/>
    <w:rsid w:val="007C475B"/>
    <w:rsid w:val="007C47CC"/>
    <w:rsid w:val="007C48A9"/>
    <w:rsid w:val="007C5694"/>
    <w:rsid w:val="007C5905"/>
    <w:rsid w:val="007C5DE8"/>
    <w:rsid w:val="007C5E10"/>
    <w:rsid w:val="007C5E89"/>
    <w:rsid w:val="007C63F8"/>
    <w:rsid w:val="007C6775"/>
    <w:rsid w:val="007C6BFC"/>
    <w:rsid w:val="007C736B"/>
    <w:rsid w:val="007C783B"/>
    <w:rsid w:val="007C7AD9"/>
    <w:rsid w:val="007D00B5"/>
    <w:rsid w:val="007D02ED"/>
    <w:rsid w:val="007D07C7"/>
    <w:rsid w:val="007D0800"/>
    <w:rsid w:val="007D0C51"/>
    <w:rsid w:val="007D2212"/>
    <w:rsid w:val="007D2564"/>
    <w:rsid w:val="007D271B"/>
    <w:rsid w:val="007D2A1C"/>
    <w:rsid w:val="007D2A1F"/>
    <w:rsid w:val="007D2AEA"/>
    <w:rsid w:val="007D2CCA"/>
    <w:rsid w:val="007D2D24"/>
    <w:rsid w:val="007D2D4F"/>
    <w:rsid w:val="007D2EA6"/>
    <w:rsid w:val="007D304A"/>
    <w:rsid w:val="007D3337"/>
    <w:rsid w:val="007D3452"/>
    <w:rsid w:val="007D3883"/>
    <w:rsid w:val="007D3A54"/>
    <w:rsid w:val="007D3D69"/>
    <w:rsid w:val="007D4326"/>
    <w:rsid w:val="007D4438"/>
    <w:rsid w:val="007D44BD"/>
    <w:rsid w:val="007D4536"/>
    <w:rsid w:val="007D4912"/>
    <w:rsid w:val="007D4A1E"/>
    <w:rsid w:val="007D4B4C"/>
    <w:rsid w:val="007D50E6"/>
    <w:rsid w:val="007D5309"/>
    <w:rsid w:val="007D5386"/>
    <w:rsid w:val="007D5A97"/>
    <w:rsid w:val="007D670E"/>
    <w:rsid w:val="007D6EA7"/>
    <w:rsid w:val="007D7280"/>
    <w:rsid w:val="007D741F"/>
    <w:rsid w:val="007D76C0"/>
    <w:rsid w:val="007D76F2"/>
    <w:rsid w:val="007D7D16"/>
    <w:rsid w:val="007D7DA4"/>
    <w:rsid w:val="007E00C7"/>
    <w:rsid w:val="007E00E9"/>
    <w:rsid w:val="007E0220"/>
    <w:rsid w:val="007E070A"/>
    <w:rsid w:val="007E09C1"/>
    <w:rsid w:val="007E0A6E"/>
    <w:rsid w:val="007E0B04"/>
    <w:rsid w:val="007E0EBD"/>
    <w:rsid w:val="007E116B"/>
    <w:rsid w:val="007E171D"/>
    <w:rsid w:val="007E1CAD"/>
    <w:rsid w:val="007E22F1"/>
    <w:rsid w:val="007E24D4"/>
    <w:rsid w:val="007E27A5"/>
    <w:rsid w:val="007E2C5B"/>
    <w:rsid w:val="007E3B48"/>
    <w:rsid w:val="007E3CDA"/>
    <w:rsid w:val="007E4D2B"/>
    <w:rsid w:val="007E4D92"/>
    <w:rsid w:val="007E4DD5"/>
    <w:rsid w:val="007E4E8B"/>
    <w:rsid w:val="007E5045"/>
    <w:rsid w:val="007E528B"/>
    <w:rsid w:val="007E52D0"/>
    <w:rsid w:val="007E541A"/>
    <w:rsid w:val="007E594D"/>
    <w:rsid w:val="007E5BB5"/>
    <w:rsid w:val="007E60E6"/>
    <w:rsid w:val="007E63AB"/>
    <w:rsid w:val="007E677B"/>
    <w:rsid w:val="007E6D87"/>
    <w:rsid w:val="007E6D8C"/>
    <w:rsid w:val="007E7097"/>
    <w:rsid w:val="007E710D"/>
    <w:rsid w:val="007E738B"/>
    <w:rsid w:val="007E7469"/>
    <w:rsid w:val="007E7882"/>
    <w:rsid w:val="007E78D2"/>
    <w:rsid w:val="007E792A"/>
    <w:rsid w:val="007E799C"/>
    <w:rsid w:val="007E7A3F"/>
    <w:rsid w:val="007E7AC2"/>
    <w:rsid w:val="007E7D31"/>
    <w:rsid w:val="007F00D2"/>
    <w:rsid w:val="007F046F"/>
    <w:rsid w:val="007F06D0"/>
    <w:rsid w:val="007F0725"/>
    <w:rsid w:val="007F093A"/>
    <w:rsid w:val="007F094F"/>
    <w:rsid w:val="007F0F91"/>
    <w:rsid w:val="007F10A6"/>
    <w:rsid w:val="007F114A"/>
    <w:rsid w:val="007F140B"/>
    <w:rsid w:val="007F184A"/>
    <w:rsid w:val="007F18B8"/>
    <w:rsid w:val="007F1A9F"/>
    <w:rsid w:val="007F1B14"/>
    <w:rsid w:val="007F2CA9"/>
    <w:rsid w:val="007F2DB3"/>
    <w:rsid w:val="007F316B"/>
    <w:rsid w:val="007F34F0"/>
    <w:rsid w:val="007F3602"/>
    <w:rsid w:val="007F38AF"/>
    <w:rsid w:val="007F4155"/>
    <w:rsid w:val="007F4254"/>
    <w:rsid w:val="007F442C"/>
    <w:rsid w:val="007F4478"/>
    <w:rsid w:val="007F4573"/>
    <w:rsid w:val="007F49A8"/>
    <w:rsid w:val="007F4DDE"/>
    <w:rsid w:val="007F4DF7"/>
    <w:rsid w:val="007F4E18"/>
    <w:rsid w:val="007F50EF"/>
    <w:rsid w:val="007F55D3"/>
    <w:rsid w:val="007F5684"/>
    <w:rsid w:val="007F5757"/>
    <w:rsid w:val="007F5A95"/>
    <w:rsid w:val="007F5AC6"/>
    <w:rsid w:val="007F5B09"/>
    <w:rsid w:val="007F5F09"/>
    <w:rsid w:val="007F6052"/>
    <w:rsid w:val="007F61EE"/>
    <w:rsid w:val="007F6240"/>
    <w:rsid w:val="007F64B6"/>
    <w:rsid w:val="007F64D9"/>
    <w:rsid w:val="007F6F51"/>
    <w:rsid w:val="007F7038"/>
    <w:rsid w:val="007F76E0"/>
    <w:rsid w:val="007F778F"/>
    <w:rsid w:val="007F7837"/>
    <w:rsid w:val="007F78BD"/>
    <w:rsid w:val="007F7A31"/>
    <w:rsid w:val="008003D8"/>
    <w:rsid w:val="008003DD"/>
    <w:rsid w:val="00800C80"/>
    <w:rsid w:val="00800CA7"/>
    <w:rsid w:val="008013C7"/>
    <w:rsid w:val="00801548"/>
    <w:rsid w:val="00801868"/>
    <w:rsid w:val="00801C15"/>
    <w:rsid w:val="00802012"/>
    <w:rsid w:val="00802092"/>
    <w:rsid w:val="008020BA"/>
    <w:rsid w:val="008024C2"/>
    <w:rsid w:val="00802A3B"/>
    <w:rsid w:val="00803017"/>
    <w:rsid w:val="0080337B"/>
    <w:rsid w:val="008039D9"/>
    <w:rsid w:val="00803C35"/>
    <w:rsid w:val="00803DE5"/>
    <w:rsid w:val="00803E70"/>
    <w:rsid w:val="008046AF"/>
    <w:rsid w:val="008046B6"/>
    <w:rsid w:val="00804825"/>
    <w:rsid w:val="00804C32"/>
    <w:rsid w:val="008056CC"/>
    <w:rsid w:val="00805C52"/>
    <w:rsid w:val="00805EB8"/>
    <w:rsid w:val="008060DE"/>
    <w:rsid w:val="00806378"/>
    <w:rsid w:val="008063B9"/>
    <w:rsid w:val="0080686E"/>
    <w:rsid w:val="00806DDE"/>
    <w:rsid w:val="0080718F"/>
    <w:rsid w:val="008075A1"/>
    <w:rsid w:val="008076B8"/>
    <w:rsid w:val="0080798C"/>
    <w:rsid w:val="00807AB6"/>
    <w:rsid w:val="0081022A"/>
    <w:rsid w:val="00810238"/>
    <w:rsid w:val="00810398"/>
    <w:rsid w:val="00810913"/>
    <w:rsid w:val="00810A22"/>
    <w:rsid w:val="00810F07"/>
    <w:rsid w:val="00810F80"/>
    <w:rsid w:val="00811356"/>
    <w:rsid w:val="00811758"/>
    <w:rsid w:val="0081188E"/>
    <w:rsid w:val="00811EA4"/>
    <w:rsid w:val="0081257F"/>
    <w:rsid w:val="00812A8B"/>
    <w:rsid w:val="00812DDD"/>
    <w:rsid w:val="00812EF5"/>
    <w:rsid w:val="00813273"/>
    <w:rsid w:val="00813508"/>
    <w:rsid w:val="00813544"/>
    <w:rsid w:val="00813AAD"/>
    <w:rsid w:val="00814061"/>
    <w:rsid w:val="0081476E"/>
    <w:rsid w:val="00814AE2"/>
    <w:rsid w:val="00814CC3"/>
    <w:rsid w:val="00814E32"/>
    <w:rsid w:val="0081563E"/>
    <w:rsid w:val="008158EB"/>
    <w:rsid w:val="00815921"/>
    <w:rsid w:val="00815B1D"/>
    <w:rsid w:val="00815E6F"/>
    <w:rsid w:val="008160CB"/>
    <w:rsid w:val="00817233"/>
    <w:rsid w:val="008172D0"/>
    <w:rsid w:val="008174CB"/>
    <w:rsid w:val="008174CF"/>
    <w:rsid w:val="008178F7"/>
    <w:rsid w:val="0081799D"/>
    <w:rsid w:val="00820000"/>
    <w:rsid w:val="00820184"/>
    <w:rsid w:val="008201B3"/>
    <w:rsid w:val="0082053D"/>
    <w:rsid w:val="00820B66"/>
    <w:rsid w:val="00820CBF"/>
    <w:rsid w:val="00820EF9"/>
    <w:rsid w:val="008210B5"/>
    <w:rsid w:val="0082110D"/>
    <w:rsid w:val="008212F9"/>
    <w:rsid w:val="008213B5"/>
    <w:rsid w:val="0082193C"/>
    <w:rsid w:val="00821AE4"/>
    <w:rsid w:val="00821BDC"/>
    <w:rsid w:val="00821EB2"/>
    <w:rsid w:val="008220B6"/>
    <w:rsid w:val="0082212C"/>
    <w:rsid w:val="0082215C"/>
    <w:rsid w:val="0082227E"/>
    <w:rsid w:val="008228DB"/>
    <w:rsid w:val="00822EE1"/>
    <w:rsid w:val="00822F29"/>
    <w:rsid w:val="00823049"/>
    <w:rsid w:val="0082340B"/>
    <w:rsid w:val="00823972"/>
    <w:rsid w:val="00823CB9"/>
    <w:rsid w:val="00823F7F"/>
    <w:rsid w:val="00824330"/>
    <w:rsid w:val="00824782"/>
    <w:rsid w:val="00824798"/>
    <w:rsid w:val="00824863"/>
    <w:rsid w:val="00824869"/>
    <w:rsid w:val="00824980"/>
    <w:rsid w:val="00824BA7"/>
    <w:rsid w:val="008252AC"/>
    <w:rsid w:val="0082538E"/>
    <w:rsid w:val="00825584"/>
    <w:rsid w:val="008256B0"/>
    <w:rsid w:val="0082590C"/>
    <w:rsid w:val="00826139"/>
    <w:rsid w:val="00826339"/>
    <w:rsid w:val="008269B0"/>
    <w:rsid w:val="008269BE"/>
    <w:rsid w:val="00826F2E"/>
    <w:rsid w:val="0082787D"/>
    <w:rsid w:val="008278FA"/>
    <w:rsid w:val="00827F60"/>
    <w:rsid w:val="008300B4"/>
    <w:rsid w:val="00830313"/>
    <w:rsid w:val="00830440"/>
    <w:rsid w:val="00830797"/>
    <w:rsid w:val="00830EDA"/>
    <w:rsid w:val="008310D8"/>
    <w:rsid w:val="008311F0"/>
    <w:rsid w:val="008312A4"/>
    <w:rsid w:val="00831355"/>
    <w:rsid w:val="0083145F"/>
    <w:rsid w:val="00831C0D"/>
    <w:rsid w:val="00831D1A"/>
    <w:rsid w:val="00831E49"/>
    <w:rsid w:val="008322FA"/>
    <w:rsid w:val="008324A6"/>
    <w:rsid w:val="00832564"/>
    <w:rsid w:val="008329CB"/>
    <w:rsid w:val="00832B44"/>
    <w:rsid w:val="00832C66"/>
    <w:rsid w:val="0083320F"/>
    <w:rsid w:val="00833347"/>
    <w:rsid w:val="008336FC"/>
    <w:rsid w:val="008339D5"/>
    <w:rsid w:val="00833CB0"/>
    <w:rsid w:val="00834220"/>
    <w:rsid w:val="008344EB"/>
    <w:rsid w:val="00834A49"/>
    <w:rsid w:val="00834B8E"/>
    <w:rsid w:val="00834D94"/>
    <w:rsid w:val="008351D7"/>
    <w:rsid w:val="00835402"/>
    <w:rsid w:val="0083572C"/>
    <w:rsid w:val="00835EBB"/>
    <w:rsid w:val="008360B0"/>
    <w:rsid w:val="00836152"/>
    <w:rsid w:val="00836257"/>
    <w:rsid w:val="008363F6"/>
    <w:rsid w:val="00836C31"/>
    <w:rsid w:val="00837233"/>
    <w:rsid w:val="00837392"/>
    <w:rsid w:val="00837425"/>
    <w:rsid w:val="0083746A"/>
    <w:rsid w:val="00837806"/>
    <w:rsid w:val="008378A9"/>
    <w:rsid w:val="008378EC"/>
    <w:rsid w:val="0084023D"/>
    <w:rsid w:val="00840496"/>
    <w:rsid w:val="0084064E"/>
    <w:rsid w:val="00840BA7"/>
    <w:rsid w:val="00840C49"/>
    <w:rsid w:val="0084105A"/>
    <w:rsid w:val="00841075"/>
    <w:rsid w:val="008416C5"/>
    <w:rsid w:val="0084186F"/>
    <w:rsid w:val="00841C70"/>
    <w:rsid w:val="00841C9F"/>
    <w:rsid w:val="00842098"/>
    <w:rsid w:val="008420A8"/>
    <w:rsid w:val="008422AA"/>
    <w:rsid w:val="008423F6"/>
    <w:rsid w:val="008425B1"/>
    <w:rsid w:val="0084313B"/>
    <w:rsid w:val="00843697"/>
    <w:rsid w:val="00843791"/>
    <w:rsid w:val="00843816"/>
    <w:rsid w:val="00843979"/>
    <w:rsid w:val="008441BB"/>
    <w:rsid w:val="008445D3"/>
    <w:rsid w:val="008445FA"/>
    <w:rsid w:val="00844B34"/>
    <w:rsid w:val="00844D3D"/>
    <w:rsid w:val="00844E8A"/>
    <w:rsid w:val="00844EDD"/>
    <w:rsid w:val="0084581A"/>
    <w:rsid w:val="008463CC"/>
    <w:rsid w:val="00846C16"/>
    <w:rsid w:val="00846E5C"/>
    <w:rsid w:val="00846E9D"/>
    <w:rsid w:val="008470C9"/>
    <w:rsid w:val="008472E9"/>
    <w:rsid w:val="0084741A"/>
    <w:rsid w:val="0084766A"/>
    <w:rsid w:val="00847CCF"/>
    <w:rsid w:val="0085003B"/>
    <w:rsid w:val="0085005E"/>
    <w:rsid w:val="008503D8"/>
    <w:rsid w:val="008503FA"/>
    <w:rsid w:val="008505FC"/>
    <w:rsid w:val="00850828"/>
    <w:rsid w:val="00850838"/>
    <w:rsid w:val="00850975"/>
    <w:rsid w:val="008509E3"/>
    <w:rsid w:val="00850B10"/>
    <w:rsid w:val="00850D0A"/>
    <w:rsid w:val="00851355"/>
    <w:rsid w:val="0085147E"/>
    <w:rsid w:val="00851531"/>
    <w:rsid w:val="00851C17"/>
    <w:rsid w:val="00852173"/>
    <w:rsid w:val="00852E59"/>
    <w:rsid w:val="00853591"/>
    <w:rsid w:val="008536E6"/>
    <w:rsid w:val="00853CF5"/>
    <w:rsid w:val="00853E30"/>
    <w:rsid w:val="00854570"/>
    <w:rsid w:val="008547A3"/>
    <w:rsid w:val="008549A7"/>
    <w:rsid w:val="00855014"/>
    <w:rsid w:val="008550BA"/>
    <w:rsid w:val="008555D4"/>
    <w:rsid w:val="0085575D"/>
    <w:rsid w:val="0085578A"/>
    <w:rsid w:val="0085579D"/>
    <w:rsid w:val="008557FF"/>
    <w:rsid w:val="00855910"/>
    <w:rsid w:val="00855AD5"/>
    <w:rsid w:val="00855D65"/>
    <w:rsid w:val="00855D86"/>
    <w:rsid w:val="008566C4"/>
    <w:rsid w:val="00856F18"/>
    <w:rsid w:val="00857447"/>
    <w:rsid w:val="00857CE2"/>
    <w:rsid w:val="00860121"/>
    <w:rsid w:val="00860302"/>
    <w:rsid w:val="0086036C"/>
    <w:rsid w:val="0086053F"/>
    <w:rsid w:val="0086091B"/>
    <w:rsid w:val="008609E7"/>
    <w:rsid w:val="00861466"/>
    <w:rsid w:val="0086182E"/>
    <w:rsid w:val="008618D5"/>
    <w:rsid w:val="00862136"/>
    <w:rsid w:val="008625F6"/>
    <w:rsid w:val="00862818"/>
    <w:rsid w:val="00862CE1"/>
    <w:rsid w:val="00862EE6"/>
    <w:rsid w:val="008634A5"/>
    <w:rsid w:val="00863904"/>
    <w:rsid w:val="0086391C"/>
    <w:rsid w:val="00863CE4"/>
    <w:rsid w:val="008641FE"/>
    <w:rsid w:val="0086436B"/>
    <w:rsid w:val="008643E6"/>
    <w:rsid w:val="00864455"/>
    <w:rsid w:val="008645CB"/>
    <w:rsid w:val="00864A8F"/>
    <w:rsid w:val="00864BB1"/>
    <w:rsid w:val="00864C2E"/>
    <w:rsid w:val="00864D4F"/>
    <w:rsid w:val="00864E80"/>
    <w:rsid w:val="00865197"/>
    <w:rsid w:val="00865523"/>
    <w:rsid w:val="00865657"/>
    <w:rsid w:val="00865E3F"/>
    <w:rsid w:val="00865E96"/>
    <w:rsid w:val="00865F6E"/>
    <w:rsid w:val="0086609B"/>
    <w:rsid w:val="008667C6"/>
    <w:rsid w:val="00866EC3"/>
    <w:rsid w:val="0086760C"/>
    <w:rsid w:val="00867D63"/>
    <w:rsid w:val="00867E57"/>
    <w:rsid w:val="00867E82"/>
    <w:rsid w:val="0087025C"/>
    <w:rsid w:val="00870489"/>
    <w:rsid w:val="00870766"/>
    <w:rsid w:val="0087083F"/>
    <w:rsid w:val="00870859"/>
    <w:rsid w:val="008708EE"/>
    <w:rsid w:val="00870CBC"/>
    <w:rsid w:val="00870E78"/>
    <w:rsid w:val="00870EE1"/>
    <w:rsid w:val="00870F84"/>
    <w:rsid w:val="008713CE"/>
    <w:rsid w:val="008713ED"/>
    <w:rsid w:val="00871927"/>
    <w:rsid w:val="00871A69"/>
    <w:rsid w:val="00871BA9"/>
    <w:rsid w:val="00872138"/>
    <w:rsid w:val="00872139"/>
    <w:rsid w:val="00872252"/>
    <w:rsid w:val="008726DC"/>
    <w:rsid w:val="00873850"/>
    <w:rsid w:val="00873AD4"/>
    <w:rsid w:val="00873DA4"/>
    <w:rsid w:val="00873DD6"/>
    <w:rsid w:val="00873E13"/>
    <w:rsid w:val="008742EC"/>
    <w:rsid w:val="0087451C"/>
    <w:rsid w:val="00874C92"/>
    <w:rsid w:val="00874CEA"/>
    <w:rsid w:val="00874DEE"/>
    <w:rsid w:val="00874F69"/>
    <w:rsid w:val="00875484"/>
    <w:rsid w:val="0087558E"/>
    <w:rsid w:val="0087562F"/>
    <w:rsid w:val="00875BC3"/>
    <w:rsid w:val="00875E90"/>
    <w:rsid w:val="00875F89"/>
    <w:rsid w:val="008760F6"/>
    <w:rsid w:val="008765DC"/>
    <w:rsid w:val="0087694A"/>
    <w:rsid w:val="008769EF"/>
    <w:rsid w:val="008771CF"/>
    <w:rsid w:val="0087754A"/>
    <w:rsid w:val="008776B7"/>
    <w:rsid w:val="008776EB"/>
    <w:rsid w:val="0087774D"/>
    <w:rsid w:val="00877AFC"/>
    <w:rsid w:val="00877B4D"/>
    <w:rsid w:val="00877D41"/>
    <w:rsid w:val="00880797"/>
    <w:rsid w:val="00880837"/>
    <w:rsid w:val="00880973"/>
    <w:rsid w:val="008809A8"/>
    <w:rsid w:val="00880F65"/>
    <w:rsid w:val="00881257"/>
    <w:rsid w:val="008812F8"/>
    <w:rsid w:val="00881EBD"/>
    <w:rsid w:val="0088206F"/>
    <w:rsid w:val="00882114"/>
    <w:rsid w:val="0088211C"/>
    <w:rsid w:val="008823E2"/>
    <w:rsid w:val="0088251D"/>
    <w:rsid w:val="0088268A"/>
    <w:rsid w:val="0088275C"/>
    <w:rsid w:val="0088282D"/>
    <w:rsid w:val="00882ABE"/>
    <w:rsid w:val="00882D16"/>
    <w:rsid w:val="0088334D"/>
    <w:rsid w:val="0088363A"/>
    <w:rsid w:val="0088383B"/>
    <w:rsid w:val="0088384B"/>
    <w:rsid w:val="0088395D"/>
    <w:rsid w:val="00883B9E"/>
    <w:rsid w:val="00884016"/>
    <w:rsid w:val="008842D9"/>
    <w:rsid w:val="00884A2D"/>
    <w:rsid w:val="00884BCE"/>
    <w:rsid w:val="00884DC6"/>
    <w:rsid w:val="00884FB6"/>
    <w:rsid w:val="0088520F"/>
    <w:rsid w:val="00885A47"/>
    <w:rsid w:val="00885B1D"/>
    <w:rsid w:val="00885E23"/>
    <w:rsid w:val="00886200"/>
    <w:rsid w:val="008863C6"/>
    <w:rsid w:val="00886779"/>
    <w:rsid w:val="008867AC"/>
    <w:rsid w:val="00886E8D"/>
    <w:rsid w:val="0088727A"/>
    <w:rsid w:val="00887432"/>
    <w:rsid w:val="008874CE"/>
    <w:rsid w:val="00887630"/>
    <w:rsid w:val="0088770C"/>
    <w:rsid w:val="008877EA"/>
    <w:rsid w:val="00887B8B"/>
    <w:rsid w:val="008902E9"/>
    <w:rsid w:val="00890D82"/>
    <w:rsid w:val="00890E18"/>
    <w:rsid w:val="00891209"/>
    <w:rsid w:val="00891306"/>
    <w:rsid w:val="00891564"/>
    <w:rsid w:val="00891638"/>
    <w:rsid w:val="00891B14"/>
    <w:rsid w:val="00891C01"/>
    <w:rsid w:val="00891C25"/>
    <w:rsid w:val="008922C8"/>
    <w:rsid w:val="008922EE"/>
    <w:rsid w:val="00892375"/>
    <w:rsid w:val="008929AA"/>
    <w:rsid w:val="00892AB2"/>
    <w:rsid w:val="00892B83"/>
    <w:rsid w:val="00892C9C"/>
    <w:rsid w:val="00893179"/>
    <w:rsid w:val="00893698"/>
    <w:rsid w:val="0089379F"/>
    <w:rsid w:val="008939F2"/>
    <w:rsid w:val="00893B28"/>
    <w:rsid w:val="00893D7A"/>
    <w:rsid w:val="00893E47"/>
    <w:rsid w:val="00893F68"/>
    <w:rsid w:val="00894046"/>
    <w:rsid w:val="00894064"/>
    <w:rsid w:val="008940DB"/>
    <w:rsid w:val="00894410"/>
    <w:rsid w:val="0089459B"/>
    <w:rsid w:val="00894904"/>
    <w:rsid w:val="00894A35"/>
    <w:rsid w:val="00894A4A"/>
    <w:rsid w:val="00894B7B"/>
    <w:rsid w:val="00894D0D"/>
    <w:rsid w:val="00894D61"/>
    <w:rsid w:val="008955E0"/>
    <w:rsid w:val="00895696"/>
    <w:rsid w:val="008958EF"/>
    <w:rsid w:val="00895C7A"/>
    <w:rsid w:val="00895D91"/>
    <w:rsid w:val="00895F2E"/>
    <w:rsid w:val="0089628E"/>
    <w:rsid w:val="00896448"/>
    <w:rsid w:val="0089682E"/>
    <w:rsid w:val="00896AEF"/>
    <w:rsid w:val="00896BD6"/>
    <w:rsid w:val="00896FD5"/>
    <w:rsid w:val="00897346"/>
    <w:rsid w:val="00897943"/>
    <w:rsid w:val="00897AB4"/>
    <w:rsid w:val="008A040F"/>
    <w:rsid w:val="008A0421"/>
    <w:rsid w:val="008A089D"/>
    <w:rsid w:val="008A0A86"/>
    <w:rsid w:val="008A0C54"/>
    <w:rsid w:val="008A0F1D"/>
    <w:rsid w:val="008A1041"/>
    <w:rsid w:val="008A11E1"/>
    <w:rsid w:val="008A1276"/>
    <w:rsid w:val="008A143D"/>
    <w:rsid w:val="008A1923"/>
    <w:rsid w:val="008A1E06"/>
    <w:rsid w:val="008A200D"/>
    <w:rsid w:val="008A2519"/>
    <w:rsid w:val="008A2559"/>
    <w:rsid w:val="008A267A"/>
    <w:rsid w:val="008A26B3"/>
    <w:rsid w:val="008A27B9"/>
    <w:rsid w:val="008A287A"/>
    <w:rsid w:val="008A2AC6"/>
    <w:rsid w:val="008A3345"/>
    <w:rsid w:val="008A339C"/>
    <w:rsid w:val="008A33C4"/>
    <w:rsid w:val="008A34AD"/>
    <w:rsid w:val="008A3C2F"/>
    <w:rsid w:val="008A3D1D"/>
    <w:rsid w:val="008A46B0"/>
    <w:rsid w:val="008A48CA"/>
    <w:rsid w:val="008A4FAA"/>
    <w:rsid w:val="008A5417"/>
    <w:rsid w:val="008A5ED8"/>
    <w:rsid w:val="008A5F46"/>
    <w:rsid w:val="008A610E"/>
    <w:rsid w:val="008A61C9"/>
    <w:rsid w:val="008A64D6"/>
    <w:rsid w:val="008A671A"/>
    <w:rsid w:val="008A67DC"/>
    <w:rsid w:val="008A7262"/>
    <w:rsid w:val="008A7280"/>
    <w:rsid w:val="008A73F5"/>
    <w:rsid w:val="008A7CC0"/>
    <w:rsid w:val="008B0844"/>
    <w:rsid w:val="008B0899"/>
    <w:rsid w:val="008B0B62"/>
    <w:rsid w:val="008B0D8B"/>
    <w:rsid w:val="008B1005"/>
    <w:rsid w:val="008B1138"/>
    <w:rsid w:val="008B15B7"/>
    <w:rsid w:val="008B1872"/>
    <w:rsid w:val="008B1A02"/>
    <w:rsid w:val="008B2498"/>
    <w:rsid w:val="008B2EEE"/>
    <w:rsid w:val="008B3514"/>
    <w:rsid w:val="008B362F"/>
    <w:rsid w:val="008B3AF6"/>
    <w:rsid w:val="008B3C69"/>
    <w:rsid w:val="008B3DC6"/>
    <w:rsid w:val="008B4203"/>
    <w:rsid w:val="008B42F5"/>
    <w:rsid w:val="008B43D3"/>
    <w:rsid w:val="008B466E"/>
    <w:rsid w:val="008B4A9D"/>
    <w:rsid w:val="008B5CC3"/>
    <w:rsid w:val="008B5F44"/>
    <w:rsid w:val="008B6580"/>
    <w:rsid w:val="008B6953"/>
    <w:rsid w:val="008B6BA5"/>
    <w:rsid w:val="008B6D58"/>
    <w:rsid w:val="008B6E93"/>
    <w:rsid w:val="008B70B3"/>
    <w:rsid w:val="008B72E9"/>
    <w:rsid w:val="008B7320"/>
    <w:rsid w:val="008B740A"/>
    <w:rsid w:val="008B749D"/>
    <w:rsid w:val="008B7735"/>
    <w:rsid w:val="008B78E5"/>
    <w:rsid w:val="008B7CA9"/>
    <w:rsid w:val="008B7FEB"/>
    <w:rsid w:val="008C0030"/>
    <w:rsid w:val="008C0215"/>
    <w:rsid w:val="008C0D1E"/>
    <w:rsid w:val="008C0F72"/>
    <w:rsid w:val="008C0FE1"/>
    <w:rsid w:val="008C1578"/>
    <w:rsid w:val="008C17C0"/>
    <w:rsid w:val="008C2554"/>
    <w:rsid w:val="008C2749"/>
    <w:rsid w:val="008C2971"/>
    <w:rsid w:val="008C31E2"/>
    <w:rsid w:val="008C3590"/>
    <w:rsid w:val="008C3648"/>
    <w:rsid w:val="008C3B6B"/>
    <w:rsid w:val="008C3D50"/>
    <w:rsid w:val="008C3EF7"/>
    <w:rsid w:val="008C4019"/>
    <w:rsid w:val="008C432F"/>
    <w:rsid w:val="008C4621"/>
    <w:rsid w:val="008C4A5A"/>
    <w:rsid w:val="008C4A6E"/>
    <w:rsid w:val="008C4B2C"/>
    <w:rsid w:val="008C4CD1"/>
    <w:rsid w:val="008C4FB1"/>
    <w:rsid w:val="008C5056"/>
    <w:rsid w:val="008C5673"/>
    <w:rsid w:val="008C56A9"/>
    <w:rsid w:val="008C5BE0"/>
    <w:rsid w:val="008C688E"/>
    <w:rsid w:val="008C6ADF"/>
    <w:rsid w:val="008C6C7B"/>
    <w:rsid w:val="008C6F4A"/>
    <w:rsid w:val="008C70B4"/>
    <w:rsid w:val="008C70D4"/>
    <w:rsid w:val="008C719D"/>
    <w:rsid w:val="008C757A"/>
    <w:rsid w:val="008C7617"/>
    <w:rsid w:val="008C765F"/>
    <w:rsid w:val="008C77EC"/>
    <w:rsid w:val="008C78D0"/>
    <w:rsid w:val="008C7CCB"/>
    <w:rsid w:val="008C7D02"/>
    <w:rsid w:val="008D0158"/>
    <w:rsid w:val="008D0236"/>
    <w:rsid w:val="008D0487"/>
    <w:rsid w:val="008D064F"/>
    <w:rsid w:val="008D0CB8"/>
    <w:rsid w:val="008D140C"/>
    <w:rsid w:val="008D1529"/>
    <w:rsid w:val="008D17D5"/>
    <w:rsid w:val="008D1944"/>
    <w:rsid w:val="008D1A55"/>
    <w:rsid w:val="008D251C"/>
    <w:rsid w:val="008D2686"/>
    <w:rsid w:val="008D2BC7"/>
    <w:rsid w:val="008D2BCE"/>
    <w:rsid w:val="008D2FB9"/>
    <w:rsid w:val="008D314F"/>
    <w:rsid w:val="008D3B22"/>
    <w:rsid w:val="008D3B3E"/>
    <w:rsid w:val="008D3BBD"/>
    <w:rsid w:val="008D3D0F"/>
    <w:rsid w:val="008D4074"/>
    <w:rsid w:val="008D40A4"/>
    <w:rsid w:val="008D447A"/>
    <w:rsid w:val="008D4C29"/>
    <w:rsid w:val="008D4F80"/>
    <w:rsid w:val="008D53ED"/>
    <w:rsid w:val="008D54FA"/>
    <w:rsid w:val="008D5503"/>
    <w:rsid w:val="008D5A18"/>
    <w:rsid w:val="008D5B17"/>
    <w:rsid w:val="008D5EEB"/>
    <w:rsid w:val="008D5FA0"/>
    <w:rsid w:val="008D6775"/>
    <w:rsid w:val="008D68CA"/>
    <w:rsid w:val="008D6D09"/>
    <w:rsid w:val="008D6F14"/>
    <w:rsid w:val="008D70CE"/>
    <w:rsid w:val="008D7208"/>
    <w:rsid w:val="008D7718"/>
    <w:rsid w:val="008D7DBF"/>
    <w:rsid w:val="008E033D"/>
    <w:rsid w:val="008E087A"/>
    <w:rsid w:val="008E0D5E"/>
    <w:rsid w:val="008E1612"/>
    <w:rsid w:val="008E17DE"/>
    <w:rsid w:val="008E1A40"/>
    <w:rsid w:val="008E1D30"/>
    <w:rsid w:val="008E1EB6"/>
    <w:rsid w:val="008E1F3D"/>
    <w:rsid w:val="008E2029"/>
    <w:rsid w:val="008E20B4"/>
    <w:rsid w:val="008E213D"/>
    <w:rsid w:val="008E23A7"/>
    <w:rsid w:val="008E27D7"/>
    <w:rsid w:val="008E3335"/>
    <w:rsid w:val="008E38DD"/>
    <w:rsid w:val="008E3B72"/>
    <w:rsid w:val="008E3C30"/>
    <w:rsid w:val="008E3C74"/>
    <w:rsid w:val="008E440A"/>
    <w:rsid w:val="008E45B0"/>
    <w:rsid w:val="008E5088"/>
    <w:rsid w:val="008E5166"/>
    <w:rsid w:val="008E53D3"/>
    <w:rsid w:val="008E5709"/>
    <w:rsid w:val="008E57DC"/>
    <w:rsid w:val="008E5BC6"/>
    <w:rsid w:val="008E5D86"/>
    <w:rsid w:val="008E5DA4"/>
    <w:rsid w:val="008E5EB4"/>
    <w:rsid w:val="008E6272"/>
    <w:rsid w:val="008E6539"/>
    <w:rsid w:val="008E6660"/>
    <w:rsid w:val="008E6A2E"/>
    <w:rsid w:val="008E6A45"/>
    <w:rsid w:val="008E6BE3"/>
    <w:rsid w:val="008E6C0F"/>
    <w:rsid w:val="008E6D76"/>
    <w:rsid w:val="008E7169"/>
    <w:rsid w:val="008E73E7"/>
    <w:rsid w:val="008E7D15"/>
    <w:rsid w:val="008E7D5A"/>
    <w:rsid w:val="008E7FC7"/>
    <w:rsid w:val="008F02E9"/>
    <w:rsid w:val="008F07DD"/>
    <w:rsid w:val="008F0993"/>
    <w:rsid w:val="008F0A12"/>
    <w:rsid w:val="008F0A3B"/>
    <w:rsid w:val="008F109D"/>
    <w:rsid w:val="008F1174"/>
    <w:rsid w:val="008F14F4"/>
    <w:rsid w:val="008F1A36"/>
    <w:rsid w:val="008F1B0E"/>
    <w:rsid w:val="008F1E4D"/>
    <w:rsid w:val="008F2631"/>
    <w:rsid w:val="008F29A9"/>
    <w:rsid w:val="008F29D9"/>
    <w:rsid w:val="008F2E80"/>
    <w:rsid w:val="008F2F5D"/>
    <w:rsid w:val="008F31DC"/>
    <w:rsid w:val="008F3287"/>
    <w:rsid w:val="008F387E"/>
    <w:rsid w:val="008F38D3"/>
    <w:rsid w:val="008F3B98"/>
    <w:rsid w:val="008F3F08"/>
    <w:rsid w:val="008F41A9"/>
    <w:rsid w:val="008F45CD"/>
    <w:rsid w:val="008F45D3"/>
    <w:rsid w:val="008F4D42"/>
    <w:rsid w:val="008F5064"/>
    <w:rsid w:val="008F524E"/>
    <w:rsid w:val="008F52C9"/>
    <w:rsid w:val="008F5466"/>
    <w:rsid w:val="008F5D6F"/>
    <w:rsid w:val="008F6201"/>
    <w:rsid w:val="008F6BCC"/>
    <w:rsid w:val="008F6FF4"/>
    <w:rsid w:val="008F75D5"/>
    <w:rsid w:val="008F76C5"/>
    <w:rsid w:val="008F7AC2"/>
    <w:rsid w:val="008F7D47"/>
    <w:rsid w:val="008F7F95"/>
    <w:rsid w:val="00900035"/>
    <w:rsid w:val="00900141"/>
    <w:rsid w:val="00900219"/>
    <w:rsid w:val="009003AD"/>
    <w:rsid w:val="00900457"/>
    <w:rsid w:val="00900492"/>
    <w:rsid w:val="00900572"/>
    <w:rsid w:val="009006F8"/>
    <w:rsid w:val="00900E43"/>
    <w:rsid w:val="00901422"/>
    <w:rsid w:val="009018C7"/>
    <w:rsid w:val="00901A6D"/>
    <w:rsid w:val="00901B27"/>
    <w:rsid w:val="00901C92"/>
    <w:rsid w:val="00901E60"/>
    <w:rsid w:val="00901ED4"/>
    <w:rsid w:val="00902317"/>
    <w:rsid w:val="009026CF"/>
    <w:rsid w:val="00902851"/>
    <w:rsid w:val="00902AC8"/>
    <w:rsid w:val="00902BA6"/>
    <w:rsid w:val="00902FB2"/>
    <w:rsid w:val="0090308A"/>
    <w:rsid w:val="00903485"/>
    <w:rsid w:val="00903C2D"/>
    <w:rsid w:val="009042E6"/>
    <w:rsid w:val="00904736"/>
    <w:rsid w:val="00905110"/>
    <w:rsid w:val="009051AD"/>
    <w:rsid w:val="009059CB"/>
    <w:rsid w:val="00905C63"/>
    <w:rsid w:val="00905DE3"/>
    <w:rsid w:val="00905E84"/>
    <w:rsid w:val="0090620F"/>
    <w:rsid w:val="00906346"/>
    <w:rsid w:val="009065DB"/>
    <w:rsid w:val="0090682A"/>
    <w:rsid w:val="00906940"/>
    <w:rsid w:val="009069E2"/>
    <w:rsid w:val="00906AAF"/>
    <w:rsid w:val="00906FE3"/>
    <w:rsid w:val="009070EA"/>
    <w:rsid w:val="00907287"/>
    <w:rsid w:val="009072F7"/>
    <w:rsid w:val="00907342"/>
    <w:rsid w:val="00907685"/>
    <w:rsid w:val="00907B2E"/>
    <w:rsid w:val="009103CD"/>
    <w:rsid w:val="009105C6"/>
    <w:rsid w:val="00910698"/>
    <w:rsid w:val="009107DE"/>
    <w:rsid w:val="00910C89"/>
    <w:rsid w:val="00911115"/>
    <w:rsid w:val="00911541"/>
    <w:rsid w:val="00911605"/>
    <w:rsid w:val="0091182A"/>
    <w:rsid w:val="009124D2"/>
    <w:rsid w:val="009124F5"/>
    <w:rsid w:val="009127A6"/>
    <w:rsid w:val="009128F9"/>
    <w:rsid w:val="0091296F"/>
    <w:rsid w:val="00912A1E"/>
    <w:rsid w:val="00912A6D"/>
    <w:rsid w:val="00912A8A"/>
    <w:rsid w:val="00913FDC"/>
    <w:rsid w:val="009141DF"/>
    <w:rsid w:val="0091432C"/>
    <w:rsid w:val="00914551"/>
    <w:rsid w:val="0091497B"/>
    <w:rsid w:val="00914AC6"/>
    <w:rsid w:val="009153FD"/>
    <w:rsid w:val="0091540B"/>
    <w:rsid w:val="00915618"/>
    <w:rsid w:val="009156D1"/>
    <w:rsid w:val="00915DC7"/>
    <w:rsid w:val="00915F9C"/>
    <w:rsid w:val="009160E8"/>
    <w:rsid w:val="00916228"/>
    <w:rsid w:val="0091642D"/>
    <w:rsid w:val="00916495"/>
    <w:rsid w:val="00916521"/>
    <w:rsid w:val="009166D4"/>
    <w:rsid w:val="00916A95"/>
    <w:rsid w:val="00916DF1"/>
    <w:rsid w:val="00917362"/>
    <w:rsid w:val="00917688"/>
    <w:rsid w:val="0091775E"/>
    <w:rsid w:val="00917AA8"/>
    <w:rsid w:val="00917C03"/>
    <w:rsid w:val="00917E5D"/>
    <w:rsid w:val="00920061"/>
    <w:rsid w:val="009200A0"/>
    <w:rsid w:val="009201DA"/>
    <w:rsid w:val="00920406"/>
    <w:rsid w:val="009204F4"/>
    <w:rsid w:val="009205F8"/>
    <w:rsid w:val="00920611"/>
    <w:rsid w:val="009206E0"/>
    <w:rsid w:val="00920756"/>
    <w:rsid w:val="00920C6B"/>
    <w:rsid w:val="00920E50"/>
    <w:rsid w:val="009211FE"/>
    <w:rsid w:val="00921828"/>
    <w:rsid w:val="00921AA7"/>
    <w:rsid w:val="00921D41"/>
    <w:rsid w:val="00921F9D"/>
    <w:rsid w:val="0092274C"/>
    <w:rsid w:val="00922883"/>
    <w:rsid w:val="00922933"/>
    <w:rsid w:val="00922972"/>
    <w:rsid w:val="00922B0F"/>
    <w:rsid w:val="00922BEE"/>
    <w:rsid w:val="00922CC7"/>
    <w:rsid w:val="00922ED6"/>
    <w:rsid w:val="00922EED"/>
    <w:rsid w:val="0092302B"/>
    <w:rsid w:val="00923051"/>
    <w:rsid w:val="00923CC7"/>
    <w:rsid w:val="00923EB3"/>
    <w:rsid w:val="00923F06"/>
    <w:rsid w:val="0092450A"/>
    <w:rsid w:val="009245BF"/>
    <w:rsid w:val="00924A88"/>
    <w:rsid w:val="00924B22"/>
    <w:rsid w:val="00924D4F"/>
    <w:rsid w:val="00924F43"/>
    <w:rsid w:val="00924FFF"/>
    <w:rsid w:val="00925557"/>
    <w:rsid w:val="00925941"/>
    <w:rsid w:val="009259DA"/>
    <w:rsid w:val="00925BD1"/>
    <w:rsid w:val="00925C39"/>
    <w:rsid w:val="00925CA2"/>
    <w:rsid w:val="00925FF6"/>
    <w:rsid w:val="009260AF"/>
    <w:rsid w:val="009261CC"/>
    <w:rsid w:val="009263D6"/>
    <w:rsid w:val="0092679B"/>
    <w:rsid w:val="009268A6"/>
    <w:rsid w:val="009269AD"/>
    <w:rsid w:val="00926A84"/>
    <w:rsid w:val="009273BC"/>
    <w:rsid w:val="009279FD"/>
    <w:rsid w:val="00927B9D"/>
    <w:rsid w:val="00927F7A"/>
    <w:rsid w:val="00927F9B"/>
    <w:rsid w:val="0093034C"/>
    <w:rsid w:val="00930545"/>
    <w:rsid w:val="0093059C"/>
    <w:rsid w:val="00930FCE"/>
    <w:rsid w:val="00931077"/>
    <w:rsid w:val="0093109E"/>
    <w:rsid w:val="009312D4"/>
    <w:rsid w:val="0093131E"/>
    <w:rsid w:val="0093143C"/>
    <w:rsid w:val="00931747"/>
    <w:rsid w:val="0093189F"/>
    <w:rsid w:val="00931B69"/>
    <w:rsid w:val="00931BC9"/>
    <w:rsid w:val="00931C60"/>
    <w:rsid w:val="00932221"/>
    <w:rsid w:val="009323CF"/>
    <w:rsid w:val="00932D44"/>
    <w:rsid w:val="00932D48"/>
    <w:rsid w:val="00933302"/>
    <w:rsid w:val="009334C8"/>
    <w:rsid w:val="00933ABF"/>
    <w:rsid w:val="00933C84"/>
    <w:rsid w:val="00934040"/>
    <w:rsid w:val="0093429C"/>
    <w:rsid w:val="009343D7"/>
    <w:rsid w:val="00934626"/>
    <w:rsid w:val="009346FF"/>
    <w:rsid w:val="00934975"/>
    <w:rsid w:val="00934B66"/>
    <w:rsid w:val="00934C32"/>
    <w:rsid w:val="00935305"/>
    <w:rsid w:val="00935509"/>
    <w:rsid w:val="0093613E"/>
    <w:rsid w:val="0093630E"/>
    <w:rsid w:val="00936585"/>
    <w:rsid w:val="009368AC"/>
    <w:rsid w:val="00936CE3"/>
    <w:rsid w:val="0093715F"/>
    <w:rsid w:val="00937400"/>
    <w:rsid w:val="00937426"/>
    <w:rsid w:val="009374CC"/>
    <w:rsid w:val="0093762E"/>
    <w:rsid w:val="009378E8"/>
    <w:rsid w:val="0094007A"/>
    <w:rsid w:val="009400AD"/>
    <w:rsid w:val="00940158"/>
    <w:rsid w:val="009401FB"/>
    <w:rsid w:val="00940A97"/>
    <w:rsid w:val="00940FD6"/>
    <w:rsid w:val="00941076"/>
    <w:rsid w:val="00941596"/>
    <w:rsid w:val="009415A7"/>
    <w:rsid w:val="009417B4"/>
    <w:rsid w:val="009418B9"/>
    <w:rsid w:val="00941922"/>
    <w:rsid w:val="00941A41"/>
    <w:rsid w:val="00941B58"/>
    <w:rsid w:val="00941CB2"/>
    <w:rsid w:val="009421C2"/>
    <w:rsid w:val="00942259"/>
    <w:rsid w:val="0094255B"/>
    <w:rsid w:val="00942776"/>
    <w:rsid w:val="00942944"/>
    <w:rsid w:val="00942981"/>
    <w:rsid w:val="00942A94"/>
    <w:rsid w:val="00942B6B"/>
    <w:rsid w:val="00942DF9"/>
    <w:rsid w:val="009433D2"/>
    <w:rsid w:val="0094340D"/>
    <w:rsid w:val="0094351C"/>
    <w:rsid w:val="00943A49"/>
    <w:rsid w:val="00943BE3"/>
    <w:rsid w:val="00944279"/>
    <w:rsid w:val="009444EF"/>
    <w:rsid w:val="0094494B"/>
    <w:rsid w:val="00944A41"/>
    <w:rsid w:val="00944AB9"/>
    <w:rsid w:val="00944ABF"/>
    <w:rsid w:val="00944CF5"/>
    <w:rsid w:val="0094568E"/>
    <w:rsid w:val="009458F6"/>
    <w:rsid w:val="00945D43"/>
    <w:rsid w:val="00945FE0"/>
    <w:rsid w:val="009461D1"/>
    <w:rsid w:val="009461FF"/>
    <w:rsid w:val="009466B1"/>
    <w:rsid w:val="009468CB"/>
    <w:rsid w:val="00946B16"/>
    <w:rsid w:val="00946B98"/>
    <w:rsid w:val="00946D43"/>
    <w:rsid w:val="00946E6D"/>
    <w:rsid w:val="009472DD"/>
    <w:rsid w:val="0094745F"/>
    <w:rsid w:val="009478AC"/>
    <w:rsid w:val="00947947"/>
    <w:rsid w:val="0094798D"/>
    <w:rsid w:val="00947A0F"/>
    <w:rsid w:val="00950090"/>
    <w:rsid w:val="0095027D"/>
    <w:rsid w:val="009502DC"/>
    <w:rsid w:val="0095035E"/>
    <w:rsid w:val="009503FE"/>
    <w:rsid w:val="0095051F"/>
    <w:rsid w:val="009506F7"/>
    <w:rsid w:val="00950889"/>
    <w:rsid w:val="009508D6"/>
    <w:rsid w:val="009508EA"/>
    <w:rsid w:val="00950A17"/>
    <w:rsid w:val="00950A5C"/>
    <w:rsid w:val="00950A72"/>
    <w:rsid w:val="00950AF3"/>
    <w:rsid w:val="00950D14"/>
    <w:rsid w:val="00950D9C"/>
    <w:rsid w:val="00951068"/>
    <w:rsid w:val="009511C5"/>
    <w:rsid w:val="00951386"/>
    <w:rsid w:val="00952BFB"/>
    <w:rsid w:val="00952D3B"/>
    <w:rsid w:val="00952E59"/>
    <w:rsid w:val="00952F4D"/>
    <w:rsid w:val="00953023"/>
    <w:rsid w:val="00953139"/>
    <w:rsid w:val="00953609"/>
    <w:rsid w:val="00953B81"/>
    <w:rsid w:val="00953D93"/>
    <w:rsid w:val="009548DD"/>
    <w:rsid w:val="009549EF"/>
    <w:rsid w:val="009549F9"/>
    <w:rsid w:val="00954AA4"/>
    <w:rsid w:val="00954AF5"/>
    <w:rsid w:val="00954DD3"/>
    <w:rsid w:val="0095520D"/>
    <w:rsid w:val="00955492"/>
    <w:rsid w:val="00955725"/>
    <w:rsid w:val="00955855"/>
    <w:rsid w:val="0095592A"/>
    <w:rsid w:val="00955939"/>
    <w:rsid w:val="00955ABC"/>
    <w:rsid w:val="00955B2D"/>
    <w:rsid w:val="00955E4F"/>
    <w:rsid w:val="00955F51"/>
    <w:rsid w:val="00955FF1"/>
    <w:rsid w:val="0095600F"/>
    <w:rsid w:val="00956531"/>
    <w:rsid w:val="00956828"/>
    <w:rsid w:val="0095687B"/>
    <w:rsid w:val="00956B00"/>
    <w:rsid w:val="00956F5F"/>
    <w:rsid w:val="00956F7D"/>
    <w:rsid w:val="00956FB6"/>
    <w:rsid w:val="00957468"/>
    <w:rsid w:val="009577B0"/>
    <w:rsid w:val="009578A5"/>
    <w:rsid w:val="00957901"/>
    <w:rsid w:val="00957D75"/>
    <w:rsid w:val="00960592"/>
    <w:rsid w:val="009606B2"/>
    <w:rsid w:val="0096089B"/>
    <w:rsid w:val="009608DD"/>
    <w:rsid w:val="00960C10"/>
    <w:rsid w:val="009613E2"/>
    <w:rsid w:val="0096182C"/>
    <w:rsid w:val="009618E5"/>
    <w:rsid w:val="00961CF2"/>
    <w:rsid w:val="00961FF4"/>
    <w:rsid w:val="00962188"/>
    <w:rsid w:val="009621AE"/>
    <w:rsid w:val="00962FD5"/>
    <w:rsid w:val="00963189"/>
    <w:rsid w:val="00963487"/>
    <w:rsid w:val="009634F3"/>
    <w:rsid w:val="00963902"/>
    <w:rsid w:val="00963C78"/>
    <w:rsid w:val="00963F83"/>
    <w:rsid w:val="00963FC3"/>
    <w:rsid w:val="00964021"/>
    <w:rsid w:val="00964089"/>
    <w:rsid w:val="009640D6"/>
    <w:rsid w:val="009641D3"/>
    <w:rsid w:val="0096464A"/>
    <w:rsid w:val="0096466F"/>
    <w:rsid w:val="00964BA0"/>
    <w:rsid w:val="00964D51"/>
    <w:rsid w:val="00964E16"/>
    <w:rsid w:val="00964F9B"/>
    <w:rsid w:val="009652AD"/>
    <w:rsid w:val="00966089"/>
    <w:rsid w:val="00966B8E"/>
    <w:rsid w:val="00966E22"/>
    <w:rsid w:val="00966F09"/>
    <w:rsid w:val="00967079"/>
    <w:rsid w:val="0096766F"/>
    <w:rsid w:val="00967697"/>
    <w:rsid w:val="00967A34"/>
    <w:rsid w:val="00967D87"/>
    <w:rsid w:val="00967F89"/>
    <w:rsid w:val="0097009D"/>
    <w:rsid w:val="009702B6"/>
    <w:rsid w:val="00970583"/>
    <w:rsid w:val="00970DF0"/>
    <w:rsid w:val="00971285"/>
    <w:rsid w:val="00971EEF"/>
    <w:rsid w:val="00972206"/>
    <w:rsid w:val="009723E5"/>
    <w:rsid w:val="0097242D"/>
    <w:rsid w:val="009724C9"/>
    <w:rsid w:val="00972C6A"/>
    <w:rsid w:val="009735FC"/>
    <w:rsid w:val="0097366D"/>
    <w:rsid w:val="00973D6F"/>
    <w:rsid w:val="00973ED9"/>
    <w:rsid w:val="00973F92"/>
    <w:rsid w:val="009740BA"/>
    <w:rsid w:val="0097420B"/>
    <w:rsid w:val="00974782"/>
    <w:rsid w:val="00974B7E"/>
    <w:rsid w:val="00974C06"/>
    <w:rsid w:val="00974C6D"/>
    <w:rsid w:val="00975143"/>
    <w:rsid w:val="009752BE"/>
    <w:rsid w:val="0097563B"/>
    <w:rsid w:val="00975697"/>
    <w:rsid w:val="00975A40"/>
    <w:rsid w:val="00975BC9"/>
    <w:rsid w:val="00975C17"/>
    <w:rsid w:val="00975C8B"/>
    <w:rsid w:val="00975D41"/>
    <w:rsid w:val="0097675E"/>
    <w:rsid w:val="009768E2"/>
    <w:rsid w:val="00976AE4"/>
    <w:rsid w:val="00976E6E"/>
    <w:rsid w:val="0097724B"/>
    <w:rsid w:val="00977520"/>
    <w:rsid w:val="0097753A"/>
    <w:rsid w:val="00977B21"/>
    <w:rsid w:val="00977BC6"/>
    <w:rsid w:val="00977E22"/>
    <w:rsid w:val="0098001E"/>
    <w:rsid w:val="009800B7"/>
    <w:rsid w:val="009805D9"/>
    <w:rsid w:val="0098090B"/>
    <w:rsid w:val="009809A3"/>
    <w:rsid w:val="00980A27"/>
    <w:rsid w:val="00980F14"/>
    <w:rsid w:val="00981238"/>
    <w:rsid w:val="0098177F"/>
    <w:rsid w:val="009817BA"/>
    <w:rsid w:val="00981B22"/>
    <w:rsid w:val="00981B92"/>
    <w:rsid w:val="00981B9E"/>
    <w:rsid w:val="00982094"/>
    <w:rsid w:val="00982108"/>
    <w:rsid w:val="009824CF"/>
    <w:rsid w:val="0098286C"/>
    <w:rsid w:val="009828A0"/>
    <w:rsid w:val="009828AE"/>
    <w:rsid w:val="00982AEC"/>
    <w:rsid w:val="00982C52"/>
    <w:rsid w:val="00982CCE"/>
    <w:rsid w:val="00982E19"/>
    <w:rsid w:val="00983335"/>
    <w:rsid w:val="009837AE"/>
    <w:rsid w:val="00983F25"/>
    <w:rsid w:val="00983F87"/>
    <w:rsid w:val="009840F1"/>
    <w:rsid w:val="0098425D"/>
    <w:rsid w:val="009843A7"/>
    <w:rsid w:val="00984925"/>
    <w:rsid w:val="00984A9E"/>
    <w:rsid w:val="00985246"/>
    <w:rsid w:val="009852ED"/>
    <w:rsid w:val="0098560C"/>
    <w:rsid w:val="009857C2"/>
    <w:rsid w:val="009859BF"/>
    <w:rsid w:val="00985F74"/>
    <w:rsid w:val="009860D8"/>
    <w:rsid w:val="0098654D"/>
    <w:rsid w:val="0098663B"/>
    <w:rsid w:val="009867F2"/>
    <w:rsid w:val="0098702C"/>
    <w:rsid w:val="00987172"/>
    <w:rsid w:val="00987212"/>
    <w:rsid w:val="009876DE"/>
    <w:rsid w:val="0098783A"/>
    <w:rsid w:val="00987BBB"/>
    <w:rsid w:val="00987EAD"/>
    <w:rsid w:val="00987F52"/>
    <w:rsid w:val="0099032E"/>
    <w:rsid w:val="00990932"/>
    <w:rsid w:val="00991755"/>
    <w:rsid w:val="00991833"/>
    <w:rsid w:val="00991839"/>
    <w:rsid w:val="00991AF1"/>
    <w:rsid w:val="00991E03"/>
    <w:rsid w:val="00991E3C"/>
    <w:rsid w:val="00991FEA"/>
    <w:rsid w:val="0099201A"/>
    <w:rsid w:val="0099209E"/>
    <w:rsid w:val="00992134"/>
    <w:rsid w:val="009921E4"/>
    <w:rsid w:val="009923C1"/>
    <w:rsid w:val="009927E6"/>
    <w:rsid w:val="009929B7"/>
    <w:rsid w:val="00992F35"/>
    <w:rsid w:val="0099313C"/>
    <w:rsid w:val="00993784"/>
    <w:rsid w:val="00993AEE"/>
    <w:rsid w:val="00993B7C"/>
    <w:rsid w:val="00993BFF"/>
    <w:rsid w:val="00993FF8"/>
    <w:rsid w:val="0099428B"/>
    <w:rsid w:val="009946AC"/>
    <w:rsid w:val="00994857"/>
    <w:rsid w:val="009948D9"/>
    <w:rsid w:val="00994BA7"/>
    <w:rsid w:val="00994DBE"/>
    <w:rsid w:val="00994EDF"/>
    <w:rsid w:val="0099508C"/>
    <w:rsid w:val="009952A5"/>
    <w:rsid w:val="009953CD"/>
    <w:rsid w:val="0099577B"/>
    <w:rsid w:val="0099584E"/>
    <w:rsid w:val="00995875"/>
    <w:rsid w:val="00995EBA"/>
    <w:rsid w:val="00995FA6"/>
    <w:rsid w:val="009964EC"/>
    <w:rsid w:val="009965EF"/>
    <w:rsid w:val="00996664"/>
    <w:rsid w:val="009967A3"/>
    <w:rsid w:val="00996A78"/>
    <w:rsid w:val="00996AAF"/>
    <w:rsid w:val="00996B2D"/>
    <w:rsid w:val="00996DD1"/>
    <w:rsid w:val="00996E1C"/>
    <w:rsid w:val="009974F7"/>
    <w:rsid w:val="009977DB"/>
    <w:rsid w:val="009979FF"/>
    <w:rsid w:val="009A0280"/>
    <w:rsid w:val="009A06B5"/>
    <w:rsid w:val="009A15CD"/>
    <w:rsid w:val="009A1729"/>
    <w:rsid w:val="009A1865"/>
    <w:rsid w:val="009A19E8"/>
    <w:rsid w:val="009A1A66"/>
    <w:rsid w:val="009A1D82"/>
    <w:rsid w:val="009A1E42"/>
    <w:rsid w:val="009A20DC"/>
    <w:rsid w:val="009A239B"/>
    <w:rsid w:val="009A2777"/>
    <w:rsid w:val="009A2866"/>
    <w:rsid w:val="009A2874"/>
    <w:rsid w:val="009A2A57"/>
    <w:rsid w:val="009A2C06"/>
    <w:rsid w:val="009A2D38"/>
    <w:rsid w:val="009A2DC2"/>
    <w:rsid w:val="009A3056"/>
    <w:rsid w:val="009A35AC"/>
    <w:rsid w:val="009A35AF"/>
    <w:rsid w:val="009A3998"/>
    <w:rsid w:val="009A3DDE"/>
    <w:rsid w:val="009A3E36"/>
    <w:rsid w:val="009A3FD0"/>
    <w:rsid w:val="009A4071"/>
    <w:rsid w:val="009A43DF"/>
    <w:rsid w:val="009A4F84"/>
    <w:rsid w:val="009A5306"/>
    <w:rsid w:val="009A5DF7"/>
    <w:rsid w:val="009A607A"/>
    <w:rsid w:val="009A6101"/>
    <w:rsid w:val="009A657F"/>
    <w:rsid w:val="009A6E47"/>
    <w:rsid w:val="009A72D2"/>
    <w:rsid w:val="009A73B8"/>
    <w:rsid w:val="009A77CA"/>
    <w:rsid w:val="009A7891"/>
    <w:rsid w:val="009A7E97"/>
    <w:rsid w:val="009B060D"/>
    <w:rsid w:val="009B084E"/>
    <w:rsid w:val="009B1068"/>
    <w:rsid w:val="009B1367"/>
    <w:rsid w:val="009B1768"/>
    <w:rsid w:val="009B197E"/>
    <w:rsid w:val="009B1B8A"/>
    <w:rsid w:val="009B1EAF"/>
    <w:rsid w:val="009B2009"/>
    <w:rsid w:val="009B2158"/>
    <w:rsid w:val="009B224F"/>
    <w:rsid w:val="009B2307"/>
    <w:rsid w:val="009B25FA"/>
    <w:rsid w:val="009B3057"/>
    <w:rsid w:val="009B31BA"/>
    <w:rsid w:val="009B3551"/>
    <w:rsid w:val="009B3638"/>
    <w:rsid w:val="009B385A"/>
    <w:rsid w:val="009B396F"/>
    <w:rsid w:val="009B39F4"/>
    <w:rsid w:val="009B3A28"/>
    <w:rsid w:val="009B3D6C"/>
    <w:rsid w:val="009B3FBC"/>
    <w:rsid w:val="009B434D"/>
    <w:rsid w:val="009B4411"/>
    <w:rsid w:val="009B4971"/>
    <w:rsid w:val="009B4AB3"/>
    <w:rsid w:val="009B4CB8"/>
    <w:rsid w:val="009B4F75"/>
    <w:rsid w:val="009B5068"/>
    <w:rsid w:val="009B50D3"/>
    <w:rsid w:val="009B53AC"/>
    <w:rsid w:val="009B55C6"/>
    <w:rsid w:val="009B569C"/>
    <w:rsid w:val="009B5A15"/>
    <w:rsid w:val="009B5A21"/>
    <w:rsid w:val="009B5B50"/>
    <w:rsid w:val="009B5C9A"/>
    <w:rsid w:val="009B63EB"/>
    <w:rsid w:val="009B6421"/>
    <w:rsid w:val="009B670A"/>
    <w:rsid w:val="009B67A0"/>
    <w:rsid w:val="009B6A3F"/>
    <w:rsid w:val="009B6C15"/>
    <w:rsid w:val="009B6EC0"/>
    <w:rsid w:val="009B71D5"/>
    <w:rsid w:val="009B71D6"/>
    <w:rsid w:val="009B7890"/>
    <w:rsid w:val="009B7C20"/>
    <w:rsid w:val="009B7D9C"/>
    <w:rsid w:val="009B7DEA"/>
    <w:rsid w:val="009B7FCB"/>
    <w:rsid w:val="009C07A5"/>
    <w:rsid w:val="009C07B3"/>
    <w:rsid w:val="009C09ED"/>
    <w:rsid w:val="009C0CC9"/>
    <w:rsid w:val="009C129B"/>
    <w:rsid w:val="009C15B0"/>
    <w:rsid w:val="009C17D8"/>
    <w:rsid w:val="009C180B"/>
    <w:rsid w:val="009C1D45"/>
    <w:rsid w:val="009C1E77"/>
    <w:rsid w:val="009C217E"/>
    <w:rsid w:val="009C249A"/>
    <w:rsid w:val="009C2679"/>
    <w:rsid w:val="009C27CA"/>
    <w:rsid w:val="009C2916"/>
    <w:rsid w:val="009C2BEE"/>
    <w:rsid w:val="009C2DB3"/>
    <w:rsid w:val="009C2E24"/>
    <w:rsid w:val="009C2F58"/>
    <w:rsid w:val="009C2F9A"/>
    <w:rsid w:val="009C3017"/>
    <w:rsid w:val="009C3288"/>
    <w:rsid w:val="009C33FB"/>
    <w:rsid w:val="009C34C2"/>
    <w:rsid w:val="009C353F"/>
    <w:rsid w:val="009C389D"/>
    <w:rsid w:val="009C38E6"/>
    <w:rsid w:val="009C3906"/>
    <w:rsid w:val="009C3C35"/>
    <w:rsid w:val="009C3D0B"/>
    <w:rsid w:val="009C3EC3"/>
    <w:rsid w:val="009C404C"/>
    <w:rsid w:val="009C4240"/>
    <w:rsid w:val="009C42F3"/>
    <w:rsid w:val="009C4710"/>
    <w:rsid w:val="009C47F6"/>
    <w:rsid w:val="009C493F"/>
    <w:rsid w:val="009C4D02"/>
    <w:rsid w:val="009C4EB7"/>
    <w:rsid w:val="009C5391"/>
    <w:rsid w:val="009C5635"/>
    <w:rsid w:val="009C57C0"/>
    <w:rsid w:val="009C58DA"/>
    <w:rsid w:val="009C5A0D"/>
    <w:rsid w:val="009C5D6F"/>
    <w:rsid w:val="009C6FF2"/>
    <w:rsid w:val="009C72FD"/>
    <w:rsid w:val="009C7337"/>
    <w:rsid w:val="009C745D"/>
    <w:rsid w:val="009C76A9"/>
    <w:rsid w:val="009C78DE"/>
    <w:rsid w:val="009C7B1D"/>
    <w:rsid w:val="009D04FE"/>
    <w:rsid w:val="009D052B"/>
    <w:rsid w:val="009D0888"/>
    <w:rsid w:val="009D091C"/>
    <w:rsid w:val="009D1246"/>
    <w:rsid w:val="009D1270"/>
    <w:rsid w:val="009D1378"/>
    <w:rsid w:val="009D138B"/>
    <w:rsid w:val="009D14E8"/>
    <w:rsid w:val="009D1D46"/>
    <w:rsid w:val="009D1FB9"/>
    <w:rsid w:val="009D21C4"/>
    <w:rsid w:val="009D24A0"/>
    <w:rsid w:val="009D25DF"/>
    <w:rsid w:val="009D29B3"/>
    <w:rsid w:val="009D2BE9"/>
    <w:rsid w:val="009D2CA3"/>
    <w:rsid w:val="009D3190"/>
    <w:rsid w:val="009D333B"/>
    <w:rsid w:val="009D36C1"/>
    <w:rsid w:val="009D37A3"/>
    <w:rsid w:val="009D3946"/>
    <w:rsid w:val="009D4407"/>
    <w:rsid w:val="009D4528"/>
    <w:rsid w:val="009D47EB"/>
    <w:rsid w:val="009D4886"/>
    <w:rsid w:val="009D4887"/>
    <w:rsid w:val="009D4C7A"/>
    <w:rsid w:val="009D4E81"/>
    <w:rsid w:val="009D51A2"/>
    <w:rsid w:val="009D58AC"/>
    <w:rsid w:val="009D5E98"/>
    <w:rsid w:val="009D6267"/>
    <w:rsid w:val="009D632F"/>
    <w:rsid w:val="009D67AE"/>
    <w:rsid w:val="009D6E68"/>
    <w:rsid w:val="009D6FDA"/>
    <w:rsid w:val="009D75A2"/>
    <w:rsid w:val="009D770A"/>
    <w:rsid w:val="009D7D35"/>
    <w:rsid w:val="009D7FF1"/>
    <w:rsid w:val="009E0055"/>
    <w:rsid w:val="009E0285"/>
    <w:rsid w:val="009E0638"/>
    <w:rsid w:val="009E0876"/>
    <w:rsid w:val="009E09F6"/>
    <w:rsid w:val="009E0C6A"/>
    <w:rsid w:val="009E115A"/>
    <w:rsid w:val="009E19D9"/>
    <w:rsid w:val="009E1A02"/>
    <w:rsid w:val="009E1A0F"/>
    <w:rsid w:val="009E1B7C"/>
    <w:rsid w:val="009E1DB8"/>
    <w:rsid w:val="009E23DB"/>
    <w:rsid w:val="009E25C2"/>
    <w:rsid w:val="009E26E7"/>
    <w:rsid w:val="009E2A9C"/>
    <w:rsid w:val="009E2AD6"/>
    <w:rsid w:val="009E2CAB"/>
    <w:rsid w:val="009E312C"/>
    <w:rsid w:val="009E3595"/>
    <w:rsid w:val="009E3BD9"/>
    <w:rsid w:val="009E3F12"/>
    <w:rsid w:val="009E460B"/>
    <w:rsid w:val="009E461A"/>
    <w:rsid w:val="009E4997"/>
    <w:rsid w:val="009E5517"/>
    <w:rsid w:val="009E5FD4"/>
    <w:rsid w:val="009E65C4"/>
    <w:rsid w:val="009E70E8"/>
    <w:rsid w:val="009E7291"/>
    <w:rsid w:val="009E7375"/>
    <w:rsid w:val="009E7794"/>
    <w:rsid w:val="009E79FF"/>
    <w:rsid w:val="009E7C90"/>
    <w:rsid w:val="009F013A"/>
    <w:rsid w:val="009F0849"/>
    <w:rsid w:val="009F0974"/>
    <w:rsid w:val="009F0AA4"/>
    <w:rsid w:val="009F0BC9"/>
    <w:rsid w:val="009F0D31"/>
    <w:rsid w:val="009F113D"/>
    <w:rsid w:val="009F163A"/>
    <w:rsid w:val="009F16E3"/>
    <w:rsid w:val="009F1CE7"/>
    <w:rsid w:val="009F1DB2"/>
    <w:rsid w:val="009F1E3B"/>
    <w:rsid w:val="009F1F02"/>
    <w:rsid w:val="009F2005"/>
    <w:rsid w:val="009F2335"/>
    <w:rsid w:val="009F2786"/>
    <w:rsid w:val="009F2A70"/>
    <w:rsid w:val="009F3091"/>
    <w:rsid w:val="009F349E"/>
    <w:rsid w:val="009F3817"/>
    <w:rsid w:val="009F38FD"/>
    <w:rsid w:val="009F3A61"/>
    <w:rsid w:val="009F3AF2"/>
    <w:rsid w:val="009F415F"/>
    <w:rsid w:val="009F4301"/>
    <w:rsid w:val="009F4604"/>
    <w:rsid w:val="009F499D"/>
    <w:rsid w:val="009F49BF"/>
    <w:rsid w:val="009F4DA9"/>
    <w:rsid w:val="009F516D"/>
    <w:rsid w:val="009F5288"/>
    <w:rsid w:val="009F56CD"/>
    <w:rsid w:val="009F58C2"/>
    <w:rsid w:val="009F5A04"/>
    <w:rsid w:val="009F600F"/>
    <w:rsid w:val="009F6232"/>
    <w:rsid w:val="009F6271"/>
    <w:rsid w:val="009F64CA"/>
    <w:rsid w:val="009F65A2"/>
    <w:rsid w:val="009F65E9"/>
    <w:rsid w:val="009F65FC"/>
    <w:rsid w:val="009F66B6"/>
    <w:rsid w:val="009F7231"/>
    <w:rsid w:val="009F749A"/>
    <w:rsid w:val="009F75FF"/>
    <w:rsid w:val="009F7A66"/>
    <w:rsid w:val="009F7B93"/>
    <w:rsid w:val="009F7E17"/>
    <w:rsid w:val="00A004F0"/>
    <w:rsid w:val="00A005B4"/>
    <w:rsid w:val="00A005F7"/>
    <w:rsid w:val="00A00C7A"/>
    <w:rsid w:val="00A0124F"/>
    <w:rsid w:val="00A01448"/>
    <w:rsid w:val="00A01533"/>
    <w:rsid w:val="00A01857"/>
    <w:rsid w:val="00A018B4"/>
    <w:rsid w:val="00A01A00"/>
    <w:rsid w:val="00A02039"/>
    <w:rsid w:val="00A0203F"/>
    <w:rsid w:val="00A02719"/>
    <w:rsid w:val="00A02805"/>
    <w:rsid w:val="00A02828"/>
    <w:rsid w:val="00A02A75"/>
    <w:rsid w:val="00A02B83"/>
    <w:rsid w:val="00A02CB0"/>
    <w:rsid w:val="00A02D7B"/>
    <w:rsid w:val="00A02D95"/>
    <w:rsid w:val="00A03083"/>
    <w:rsid w:val="00A0321B"/>
    <w:rsid w:val="00A0391F"/>
    <w:rsid w:val="00A03C76"/>
    <w:rsid w:val="00A04102"/>
    <w:rsid w:val="00A04436"/>
    <w:rsid w:val="00A04A6E"/>
    <w:rsid w:val="00A04B44"/>
    <w:rsid w:val="00A04B7D"/>
    <w:rsid w:val="00A04B7F"/>
    <w:rsid w:val="00A05262"/>
    <w:rsid w:val="00A05C30"/>
    <w:rsid w:val="00A05FE3"/>
    <w:rsid w:val="00A06150"/>
    <w:rsid w:val="00A061C3"/>
    <w:rsid w:val="00A061D0"/>
    <w:rsid w:val="00A06440"/>
    <w:rsid w:val="00A065A5"/>
    <w:rsid w:val="00A06638"/>
    <w:rsid w:val="00A0672A"/>
    <w:rsid w:val="00A06994"/>
    <w:rsid w:val="00A06EFF"/>
    <w:rsid w:val="00A0710C"/>
    <w:rsid w:val="00A0744D"/>
    <w:rsid w:val="00A07553"/>
    <w:rsid w:val="00A075A6"/>
    <w:rsid w:val="00A075D3"/>
    <w:rsid w:val="00A07BB7"/>
    <w:rsid w:val="00A07ECE"/>
    <w:rsid w:val="00A07F18"/>
    <w:rsid w:val="00A10684"/>
    <w:rsid w:val="00A113F0"/>
    <w:rsid w:val="00A119A1"/>
    <w:rsid w:val="00A11B1A"/>
    <w:rsid w:val="00A11CA9"/>
    <w:rsid w:val="00A11D68"/>
    <w:rsid w:val="00A11E46"/>
    <w:rsid w:val="00A12068"/>
    <w:rsid w:val="00A126C1"/>
    <w:rsid w:val="00A12957"/>
    <w:rsid w:val="00A12CE7"/>
    <w:rsid w:val="00A12E0F"/>
    <w:rsid w:val="00A134A4"/>
    <w:rsid w:val="00A1382A"/>
    <w:rsid w:val="00A14346"/>
    <w:rsid w:val="00A1470F"/>
    <w:rsid w:val="00A147B8"/>
    <w:rsid w:val="00A14828"/>
    <w:rsid w:val="00A148D1"/>
    <w:rsid w:val="00A14BA1"/>
    <w:rsid w:val="00A14C80"/>
    <w:rsid w:val="00A14CBA"/>
    <w:rsid w:val="00A14E95"/>
    <w:rsid w:val="00A150EC"/>
    <w:rsid w:val="00A15229"/>
    <w:rsid w:val="00A15E32"/>
    <w:rsid w:val="00A1617B"/>
    <w:rsid w:val="00A1626F"/>
    <w:rsid w:val="00A164C0"/>
    <w:rsid w:val="00A166AA"/>
    <w:rsid w:val="00A16846"/>
    <w:rsid w:val="00A16B1F"/>
    <w:rsid w:val="00A16B6D"/>
    <w:rsid w:val="00A16E86"/>
    <w:rsid w:val="00A172ED"/>
    <w:rsid w:val="00A17877"/>
    <w:rsid w:val="00A178B9"/>
    <w:rsid w:val="00A17B21"/>
    <w:rsid w:val="00A20320"/>
    <w:rsid w:val="00A205D5"/>
    <w:rsid w:val="00A20B89"/>
    <w:rsid w:val="00A20CB7"/>
    <w:rsid w:val="00A20E53"/>
    <w:rsid w:val="00A2112E"/>
    <w:rsid w:val="00A21569"/>
    <w:rsid w:val="00A21B21"/>
    <w:rsid w:val="00A21D24"/>
    <w:rsid w:val="00A21D8E"/>
    <w:rsid w:val="00A22089"/>
    <w:rsid w:val="00A2285F"/>
    <w:rsid w:val="00A22D17"/>
    <w:rsid w:val="00A23291"/>
    <w:rsid w:val="00A23717"/>
    <w:rsid w:val="00A23874"/>
    <w:rsid w:val="00A23EA5"/>
    <w:rsid w:val="00A24388"/>
    <w:rsid w:val="00A24433"/>
    <w:rsid w:val="00A2443B"/>
    <w:rsid w:val="00A2459D"/>
    <w:rsid w:val="00A245E0"/>
    <w:rsid w:val="00A24BBA"/>
    <w:rsid w:val="00A24D0D"/>
    <w:rsid w:val="00A24F00"/>
    <w:rsid w:val="00A254AE"/>
    <w:rsid w:val="00A25744"/>
    <w:rsid w:val="00A25A3C"/>
    <w:rsid w:val="00A25A8B"/>
    <w:rsid w:val="00A25B16"/>
    <w:rsid w:val="00A25B63"/>
    <w:rsid w:val="00A25D7E"/>
    <w:rsid w:val="00A25E61"/>
    <w:rsid w:val="00A25F07"/>
    <w:rsid w:val="00A2689C"/>
    <w:rsid w:val="00A2698E"/>
    <w:rsid w:val="00A26D71"/>
    <w:rsid w:val="00A270F2"/>
    <w:rsid w:val="00A2712F"/>
    <w:rsid w:val="00A27850"/>
    <w:rsid w:val="00A2794C"/>
    <w:rsid w:val="00A279A0"/>
    <w:rsid w:val="00A27F8F"/>
    <w:rsid w:val="00A300F2"/>
    <w:rsid w:val="00A3030C"/>
    <w:rsid w:val="00A3075D"/>
    <w:rsid w:val="00A30B8F"/>
    <w:rsid w:val="00A30BB3"/>
    <w:rsid w:val="00A30BDB"/>
    <w:rsid w:val="00A30BF9"/>
    <w:rsid w:val="00A30EE1"/>
    <w:rsid w:val="00A317E6"/>
    <w:rsid w:val="00A31F88"/>
    <w:rsid w:val="00A31FBC"/>
    <w:rsid w:val="00A3230B"/>
    <w:rsid w:val="00A32429"/>
    <w:rsid w:val="00A325AD"/>
    <w:rsid w:val="00A3283E"/>
    <w:rsid w:val="00A32AEF"/>
    <w:rsid w:val="00A32C29"/>
    <w:rsid w:val="00A32C86"/>
    <w:rsid w:val="00A3326F"/>
    <w:rsid w:val="00A3370B"/>
    <w:rsid w:val="00A33B90"/>
    <w:rsid w:val="00A33DB0"/>
    <w:rsid w:val="00A34092"/>
    <w:rsid w:val="00A34176"/>
    <w:rsid w:val="00A3478C"/>
    <w:rsid w:val="00A3498A"/>
    <w:rsid w:val="00A3508E"/>
    <w:rsid w:val="00A351FC"/>
    <w:rsid w:val="00A35291"/>
    <w:rsid w:val="00A3534C"/>
    <w:rsid w:val="00A356BA"/>
    <w:rsid w:val="00A35B90"/>
    <w:rsid w:val="00A35DF8"/>
    <w:rsid w:val="00A36497"/>
    <w:rsid w:val="00A364BD"/>
    <w:rsid w:val="00A36B5C"/>
    <w:rsid w:val="00A36D67"/>
    <w:rsid w:val="00A36E4B"/>
    <w:rsid w:val="00A3708A"/>
    <w:rsid w:val="00A370C7"/>
    <w:rsid w:val="00A37360"/>
    <w:rsid w:val="00A374DE"/>
    <w:rsid w:val="00A378D2"/>
    <w:rsid w:val="00A37C22"/>
    <w:rsid w:val="00A40168"/>
    <w:rsid w:val="00A40242"/>
    <w:rsid w:val="00A40398"/>
    <w:rsid w:val="00A40560"/>
    <w:rsid w:val="00A40763"/>
    <w:rsid w:val="00A4093D"/>
    <w:rsid w:val="00A40991"/>
    <w:rsid w:val="00A40ABE"/>
    <w:rsid w:val="00A40F81"/>
    <w:rsid w:val="00A4120B"/>
    <w:rsid w:val="00A41357"/>
    <w:rsid w:val="00A417BA"/>
    <w:rsid w:val="00A419F3"/>
    <w:rsid w:val="00A41B7F"/>
    <w:rsid w:val="00A41D8B"/>
    <w:rsid w:val="00A41F5B"/>
    <w:rsid w:val="00A42AC8"/>
    <w:rsid w:val="00A43369"/>
    <w:rsid w:val="00A4356A"/>
    <w:rsid w:val="00A438C0"/>
    <w:rsid w:val="00A43F76"/>
    <w:rsid w:val="00A43FF6"/>
    <w:rsid w:val="00A4423E"/>
    <w:rsid w:val="00A4478C"/>
    <w:rsid w:val="00A44C2E"/>
    <w:rsid w:val="00A44EF0"/>
    <w:rsid w:val="00A44F9A"/>
    <w:rsid w:val="00A457F1"/>
    <w:rsid w:val="00A463E4"/>
    <w:rsid w:val="00A46756"/>
    <w:rsid w:val="00A46765"/>
    <w:rsid w:val="00A4684A"/>
    <w:rsid w:val="00A46927"/>
    <w:rsid w:val="00A46C56"/>
    <w:rsid w:val="00A475DE"/>
    <w:rsid w:val="00A476C9"/>
    <w:rsid w:val="00A47B44"/>
    <w:rsid w:val="00A50478"/>
    <w:rsid w:val="00A506EF"/>
    <w:rsid w:val="00A50721"/>
    <w:rsid w:val="00A50765"/>
    <w:rsid w:val="00A50B13"/>
    <w:rsid w:val="00A50B3B"/>
    <w:rsid w:val="00A50EEC"/>
    <w:rsid w:val="00A50F40"/>
    <w:rsid w:val="00A510B5"/>
    <w:rsid w:val="00A51171"/>
    <w:rsid w:val="00A5166E"/>
    <w:rsid w:val="00A517D0"/>
    <w:rsid w:val="00A51817"/>
    <w:rsid w:val="00A51A0F"/>
    <w:rsid w:val="00A51E2E"/>
    <w:rsid w:val="00A527DD"/>
    <w:rsid w:val="00A52882"/>
    <w:rsid w:val="00A52989"/>
    <w:rsid w:val="00A52AC2"/>
    <w:rsid w:val="00A52B38"/>
    <w:rsid w:val="00A52BAE"/>
    <w:rsid w:val="00A52BDF"/>
    <w:rsid w:val="00A52CEE"/>
    <w:rsid w:val="00A52D93"/>
    <w:rsid w:val="00A52E70"/>
    <w:rsid w:val="00A5360D"/>
    <w:rsid w:val="00A53BF4"/>
    <w:rsid w:val="00A53C1B"/>
    <w:rsid w:val="00A54305"/>
    <w:rsid w:val="00A54681"/>
    <w:rsid w:val="00A54AF4"/>
    <w:rsid w:val="00A54B04"/>
    <w:rsid w:val="00A54C1A"/>
    <w:rsid w:val="00A54FB7"/>
    <w:rsid w:val="00A54FC2"/>
    <w:rsid w:val="00A5521A"/>
    <w:rsid w:val="00A5534D"/>
    <w:rsid w:val="00A55486"/>
    <w:rsid w:val="00A55EAF"/>
    <w:rsid w:val="00A55F3E"/>
    <w:rsid w:val="00A560A4"/>
    <w:rsid w:val="00A56407"/>
    <w:rsid w:val="00A56414"/>
    <w:rsid w:val="00A564A1"/>
    <w:rsid w:val="00A56ECF"/>
    <w:rsid w:val="00A570E7"/>
    <w:rsid w:val="00A573D1"/>
    <w:rsid w:val="00A574C1"/>
    <w:rsid w:val="00A575DE"/>
    <w:rsid w:val="00A57D11"/>
    <w:rsid w:val="00A57D18"/>
    <w:rsid w:val="00A57DA6"/>
    <w:rsid w:val="00A57DE6"/>
    <w:rsid w:val="00A57EC9"/>
    <w:rsid w:val="00A60170"/>
    <w:rsid w:val="00A6034F"/>
    <w:rsid w:val="00A6051D"/>
    <w:rsid w:val="00A6088C"/>
    <w:rsid w:val="00A6092D"/>
    <w:rsid w:val="00A60A89"/>
    <w:rsid w:val="00A60B16"/>
    <w:rsid w:val="00A60CFA"/>
    <w:rsid w:val="00A60D09"/>
    <w:rsid w:val="00A60DC2"/>
    <w:rsid w:val="00A60EDE"/>
    <w:rsid w:val="00A614A6"/>
    <w:rsid w:val="00A614DB"/>
    <w:rsid w:val="00A61603"/>
    <w:rsid w:val="00A61DAC"/>
    <w:rsid w:val="00A61ED3"/>
    <w:rsid w:val="00A62033"/>
    <w:rsid w:val="00A624DD"/>
    <w:rsid w:val="00A626A5"/>
    <w:rsid w:val="00A6292F"/>
    <w:rsid w:val="00A62DB2"/>
    <w:rsid w:val="00A632AF"/>
    <w:rsid w:val="00A63804"/>
    <w:rsid w:val="00A63877"/>
    <w:rsid w:val="00A63DAE"/>
    <w:rsid w:val="00A63FBE"/>
    <w:rsid w:val="00A646DF"/>
    <w:rsid w:val="00A64955"/>
    <w:rsid w:val="00A65018"/>
    <w:rsid w:val="00A652D8"/>
    <w:rsid w:val="00A6543B"/>
    <w:rsid w:val="00A6550C"/>
    <w:rsid w:val="00A65AAB"/>
    <w:rsid w:val="00A65BCD"/>
    <w:rsid w:val="00A65CDF"/>
    <w:rsid w:val="00A66CCF"/>
    <w:rsid w:val="00A66DD5"/>
    <w:rsid w:val="00A66E06"/>
    <w:rsid w:val="00A66FE3"/>
    <w:rsid w:val="00A677D9"/>
    <w:rsid w:val="00A678CE"/>
    <w:rsid w:val="00A67934"/>
    <w:rsid w:val="00A67CF2"/>
    <w:rsid w:val="00A67E15"/>
    <w:rsid w:val="00A67E33"/>
    <w:rsid w:val="00A67FBF"/>
    <w:rsid w:val="00A70042"/>
    <w:rsid w:val="00A70061"/>
    <w:rsid w:val="00A71538"/>
    <w:rsid w:val="00A7169B"/>
    <w:rsid w:val="00A71A25"/>
    <w:rsid w:val="00A71A6E"/>
    <w:rsid w:val="00A71F0F"/>
    <w:rsid w:val="00A72106"/>
    <w:rsid w:val="00A72164"/>
    <w:rsid w:val="00A72172"/>
    <w:rsid w:val="00A726F2"/>
    <w:rsid w:val="00A7396D"/>
    <w:rsid w:val="00A739F3"/>
    <w:rsid w:val="00A73BB3"/>
    <w:rsid w:val="00A74348"/>
    <w:rsid w:val="00A744DA"/>
    <w:rsid w:val="00A74686"/>
    <w:rsid w:val="00A746A1"/>
    <w:rsid w:val="00A74737"/>
    <w:rsid w:val="00A74CDA"/>
    <w:rsid w:val="00A7551B"/>
    <w:rsid w:val="00A7556F"/>
    <w:rsid w:val="00A757D9"/>
    <w:rsid w:val="00A7597D"/>
    <w:rsid w:val="00A75E72"/>
    <w:rsid w:val="00A76494"/>
    <w:rsid w:val="00A76AB5"/>
    <w:rsid w:val="00A76C1E"/>
    <w:rsid w:val="00A76C2B"/>
    <w:rsid w:val="00A76F7E"/>
    <w:rsid w:val="00A76F9C"/>
    <w:rsid w:val="00A76FD3"/>
    <w:rsid w:val="00A77160"/>
    <w:rsid w:val="00A778A2"/>
    <w:rsid w:val="00A77B0D"/>
    <w:rsid w:val="00A77CDF"/>
    <w:rsid w:val="00A80320"/>
    <w:rsid w:val="00A8032E"/>
    <w:rsid w:val="00A8041F"/>
    <w:rsid w:val="00A80484"/>
    <w:rsid w:val="00A80B3A"/>
    <w:rsid w:val="00A80CBD"/>
    <w:rsid w:val="00A80CF9"/>
    <w:rsid w:val="00A811D8"/>
    <w:rsid w:val="00A81301"/>
    <w:rsid w:val="00A8158E"/>
    <w:rsid w:val="00A81902"/>
    <w:rsid w:val="00A81B36"/>
    <w:rsid w:val="00A81D39"/>
    <w:rsid w:val="00A81D89"/>
    <w:rsid w:val="00A82186"/>
    <w:rsid w:val="00A821F2"/>
    <w:rsid w:val="00A8267C"/>
    <w:rsid w:val="00A827E5"/>
    <w:rsid w:val="00A82835"/>
    <w:rsid w:val="00A82C45"/>
    <w:rsid w:val="00A82C8B"/>
    <w:rsid w:val="00A82FA2"/>
    <w:rsid w:val="00A837B4"/>
    <w:rsid w:val="00A83847"/>
    <w:rsid w:val="00A83B83"/>
    <w:rsid w:val="00A83C67"/>
    <w:rsid w:val="00A84206"/>
    <w:rsid w:val="00A8431C"/>
    <w:rsid w:val="00A84703"/>
    <w:rsid w:val="00A84C4E"/>
    <w:rsid w:val="00A84CFC"/>
    <w:rsid w:val="00A84D8D"/>
    <w:rsid w:val="00A8500A"/>
    <w:rsid w:val="00A85614"/>
    <w:rsid w:val="00A8571A"/>
    <w:rsid w:val="00A857A9"/>
    <w:rsid w:val="00A85829"/>
    <w:rsid w:val="00A85A5C"/>
    <w:rsid w:val="00A85F55"/>
    <w:rsid w:val="00A8602C"/>
    <w:rsid w:val="00A86133"/>
    <w:rsid w:val="00A8616F"/>
    <w:rsid w:val="00A863BB"/>
    <w:rsid w:val="00A8657D"/>
    <w:rsid w:val="00A865A1"/>
    <w:rsid w:val="00A8674A"/>
    <w:rsid w:val="00A867E4"/>
    <w:rsid w:val="00A86801"/>
    <w:rsid w:val="00A868ED"/>
    <w:rsid w:val="00A86E0B"/>
    <w:rsid w:val="00A87265"/>
    <w:rsid w:val="00A8727A"/>
    <w:rsid w:val="00A90032"/>
    <w:rsid w:val="00A90208"/>
    <w:rsid w:val="00A9039C"/>
    <w:rsid w:val="00A90782"/>
    <w:rsid w:val="00A9090B"/>
    <w:rsid w:val="00A90D28"/>
    <w:rsid w:val="00A90DD7"/>
    <w:rsid w:val="00A90F54"/>
    <w:rsid w:val="00A910FE"/>
    <w:rsid w:val="00A911E2"/>
    <w:rsid w:val="00A912F5"/>
    <w:rsid w:val="00A91454"/>
    <w:rsid w:val="00A91461"/>
    <w:rsid w:val="00A9149D"/>
    <w:rsid w:val="00A91757"/>
    <w:rsid w:val="00A92296"/>
    <w:rsid w:val="00A922E9"/>
    <w:rsid w:val="00A923C0"/>
    <w:rsid w:val="00A92685"/>
    <w:rsid w:val="00A926C7"/>
    <w:rsid w:val="00A926CA"/>
    <w:rsid w:val="00A92B14"/>
    <w:rsid w:val="00A92C06"/>
    <w:rsid w:val="00A92E96"/>
    <w:rsid w:val="00A93F62"/>
    <w:rsid w:val="00A94575"/>
    <w:rsid w:val="00A949B6"/>
    <w:rsid w:val="00A94CA0"/>
    <w:rsid w:val="00A94D8C"/>
    <w:rsid w:val="00A956CF"/>
    <w:rsid w:val="00A9581B"/>
    <w:rsid w:val="00A95872"/>
    <w:rsid w:val="00A95A65"/>
    <w:rsid w:val="00A96076"/>
    <w:rsid w:val="00A963EE"/>
    <w:rsid w:val="00A96B5D"/>
    <w:rsid w:val="00A96DB5"/>
    <w:rsid w:val="00A96DB7"/>
    <w:rsid w:val="00A96E17"/>
    <w:rsid w:val="00A96E90"/>
    <w:rsid w:val="00A9729B"/>
    <w:rsid w:val="00A97383"/>
    <w:rsid w:val="00A975BC"/>
    <w:rsid w:val="00A97F91"/>
    <w:rsid w:val="00AA02B0"/>
    <w:rsid w:val="00AA08A7"/>
    <w:rsid w:val="00AA0B4B"/>
    <w:rsid w:val="00AA0B56"/>
    <w:rsid w:val="00AA0CD5"/>
    <w:rsid w:val="00AA0D21"/>
    <w:rsid w:val="00AA0D76"/>
    <w:rsid w:val="00AA19D4"/>
    <w:rsid w:val="00AA1E95"/>
    <w:rsid w:val="00AA214F"/>
    <w:rsid w:val="00AA229D"/>
    <w:rsid w:val="00AA26EA"/>
    <w:rsid w:val="00AA2A55"/>
    <w:rsid w:val="00AA2C67"/>
    <w:rsid w:val="00AA2CC1"/>
    <w:rsid w:val="00AA3895"/>
    <w:rsid w:val="00AA40D4"/>
    <w:rsid w:val="00AA4316"/>
    <w:rsid w:val="00AA4359"/>
    <w:rsid w:val="00AA45B9"/>
    <w:rsid w:val="00AA4BAA"/>
    <w:rsid w:val="00AA50DA"/>
    <w:rsid w:val="00AA5486"/>
    <w:rsid w:val="00AA5756"/>
    <w:rsid w:val="00AA5832"/>
    <w:rsid w:val="00AA5C09"/>
    <w:rsid w:val="00AA5DA0"/>
    <w:rsid w:val="00AA5F37"/>
    <w:rsid w:val="00AA5F4D"/>
    <w:rsid w:val="00AA63DA"/>
    <w:rsid w:val="00AA669B"/>
    <w:rsid w:val="00AA7174"/>
    <w:rsid w:val="00AA7182"/>
    <w:rsid w:val="00AA721F"/>
    <w:rsid w:val="00AA75B5"/>
    <w:rsid w:val="00AA76AB"/>
    <w:rsid w:val="00AA78B0"/>
    <w:rsid w:val="00AB0247"/>
    <w:rsid w:val="00AB0271"/>
    <w:rsid w:val="00AB035D"/>
    <w:rsid w:val="00AB0703"/>
    <w:rsid w:val="00AB0797"/>
    <w:rsid w:val="00AB0ADB"/>
    <w:rsid w:val="00AB10CC"/>
    <w:rsid w:val="00AB10E9"/>
    <w:rsid w:val="00AB15E0"/>
    <w:rsid w:val="00AB1CCC"/>
    <w:rsid w:val="00AB1CD5"/>
    <w:rsid w:val="00AB215C"/>
    <w:rsid w:val="00AB2327"/>
    <w:rsid w:val="00AB2656"/>
    <w:rsid w:val="00AB26D1"/>
    <w:rsid w:val="00AB29C4"/>
    <w:rsid w:val="00AB2C93"/>
    <w:rsid w:val="00AB2F08"/>
    <w:rsid w:val="00AB31E0"/>
    <w:rsid w:val="00AB383C"/>
    <w:rsid w:val="00AB468A"/>
    <w:rsid w:val="00AB4698"/>
    <w:rsid w:val="00AB48D1"/>
    <w:rsid w:val="00AB4AD8"/>
    <w:rsid w:val="00AB4BE3"/>
    <w:rsid w:val="00AB4CB9"/>
    <w:rsid w:val="00AB5142"/>
    <w:rsid w:val="00AB541C"/>
    <w:rsid w:val="00AB5822"/>
    <w:rsid w:val="00AB5B0A"/>
    <w:rsid w:val="00AB5C64"/>
    <w:rsid w:val="00AB66BB"/>
    <w:rsid w:val="00AB6764"/>
    <w:rsid w:val="00AB67BC"/>
    <w:rsid w:val="00AB69D3"/>
    <w:rsid w:val="00AB6A5B"/>
    <w:rsid w:val="00AB6B17"/>
    <w:rsid w:val="00AB7017"/>
    <w:rsid w:val="00AB7361"/>
    <w:rsid w:val="00AB76C5"/>
    <w:rsid w:val="00AB7F7F"/>
    <w:rsid w:val="00AC0A15"/>
    <w:rsid w:val="00AC0B8A"/>
    <w:rsid w:val="00AC11ED"/>
    <w:rsid w:val="00AC182A"/>
    <w:rsid w:val="00AC186F"/>
    <w:rsid w:val="00AC1B20"/>
    <w:rsid w:val="00AC1B38"/>
    <w:rsid w:val="00AC1DD6"/>
    <w:rsid w:val="00AC21FB"/>
    <w:rsid w:val="00AC2237"/>
    <w:rsid w:val="00AC24D9"/>
    <w:rsid w:val="00AC258D"/>
    <w:rsid w:val="00AC25DC"/>
    <w:rsid w:val="00AC260F"/>
    <w:rsid w:val="00AC2B70"/>
    <w:rsid w:val="00AC34DE"/>
    <w:rsid w:val="00AC3A39"/>
    <w:rsid w:val="00AC3D7F"/>
    <w:rsid w:val="00AC3DA9"/>
    <w:rsid w:val="00AC3DD8"/>
    <w:rsid w:val="00AC477C"/>
    <w:rsid w:val="00AC4DFE"/>
    <w:rsid w:val="00AC4E98"/>
    <w:rsid w:val="00AC4F0D"/>
    <w:rsid w:val="00AC5004"/>
    <w:rsid w:val="00AC5287"/>
    <w:rsid w:val="00AC5396"/>
    <w:rsid w:val="00AC545A"/>
    <w:rsid w:val="00AC548A"/>
    <w:rsid w:val="00AC5631"/>
    <w:rsid w:val="00AC5679"/>
    <w:rsid w:val="00AC5875"/>
    <w:rsid w:val="00AC598D"/>
    <w:rsid w:val="00AC59DB"/>
    <w:rsid w:val="00AC5C56"/>
    <w:rsid w:val="00AC6150"/>
    <w:rsid w:val="00AC6942"/>
    <w:rsid w:val="00AC6DE5"/>
    <w:rsid w:val="00AC70D1"/>
    <w:rsid w:val="00AC7A07"/>
    <w:rsid w:val="00AC7BA1"/>
    <w:rsid w:val="00AC7D28"/>
    <w:rsid w:val="00AC7F3F"/>
    <w:rsid w:val="00AD0307"/>
    <w:rsid w:val="00AD034F"/>
    <w:rsid w:val="00AD04EE"/>
    <w:rsid w:val="00AD0B96"/>
    <w:rsid w:val="00AD10E5"/>
    <w:rsid w:val="00AD1C27"/>
    <w:rsid w:val="00AD1D19"/>
    <w:rsid w:val="00AD1E8D"/>
    <w:rsid w:val="00AD2072"/>
    <w:rsid w:val="00AD207B"/>
    <w:rsid w:val="00AD22A1"/>
    <w:rsid w:val="00AD2A68"/>
    <w:rsid w:val="00AD2BEA"/>
    <w:rsid w:val="00AD3603"/>
    <w:rsid w:val="00AD3650"/>
    <w:rsid w:val="00AD39C5"/>
    <w:rsid w:val="00AD4586"/>
    <w:rsid w:val="00AD45EA"/>
    <w:rsid w:val="00AD49D2"/>
    <w:rsid w:val="00AD4A96"/>
    <w:rsid w:val="00AD50D0"/>
    <w:rsid w:val="00AD5817"/>
    <w:rsid w:val="00AD5842"/>
    <w:rsid w:val="00AD594A"/>
    <w:rsid w:val="00AD63AF"/>
    <w:rsid w:val="00AD656C"/>
    <w:rsid w:val="00AD6926"/>
    <w:rsid w:val="00AD6BD2"/>
    <w:rsid w:val="00AD6C0F"/>
    <w:rsid w:val="00AD6D08"/>
    <w:rsid w:val="00AD7046"/>
    <w:rsid w:val="00AD71F3"/>
    <w:rsid w:val="00AD74B6"/>
    <w:rsid w:val="00AD74F6"/>
    <w:rsid w:val="00AD76D1"/>
    <w:rsid w:val="00AD76DB"/>
    <w:rsid w:val="00AD76DF"/>
    <w:rsid w:val="00AD7EAC"/>
    <w:rsid w:val="00AD7F7E"/>
    <w:rsid w:val="00AE0049"/>
    <w:rsid w:val="00AE0198"/>
    <w:rsid w:val="00AE0309"/>
    <w:rsid w:val="00AE035D"/>
    <w:rsid w:val="00AE0417"/>
    <w:rsid w:val="00AE0578"/>
    <w:rsid w:val="00AE088A"/>
    <w:rsid w:val="00AE08C9"/>
    <w:rsid w:val="00AE09EC"/>
    <w:rsid w:val="00AE2276"/>
    <w:rsid w:val="00AE22CF"/>
    <w:rsid w:val="00AE23DF"/>
    <w:rsid w:val="00AE2551"/>
    <w:rsid w:val="00AE25A6"/>
    <w:rsid w:val="00AE27B0"/>
    <w:rsid w:val="00AE2977"/>
    <w:rsid w:val="00AE2D5E"/>
    <w:rsid w:val="00AE377A"/>
    <w:rsid w:val="00AE37AA"/>
    <w:rsid w:val="00AE4367"/>
    <w:rsid w:val="00AE44BF"/>
    <w:rsid w:val="00AE451C"/>
    <w:rsid w:val="00AE46D0"/>
    <w:rsid w:val="00AE47FB"/>
    <w:rsid w:val="00AE527A"/>
    <w:rsid w:val="00AE53A0"/>
    <w:rsid w:val="00AE5444"/>
    <w:rsid w:val="00AE562F"/>
    <w:rsid w:val="00AE566E"/>
    <w:rsid w:val="00AE5737"/>
    <w:rsid w:val="00AE5A20"/>
    <w:rsid w:val="00AE6106"/>
    <w:rsid w:val="00AE6323"/>
    <w:rsid w:val="00AE6348"/>
    <w:rsid w:val="00AE663C"/>
    <w:rsid w:val="00AE6921"/>
    <w:rsid w:val="00AE6F37"/>
    <w:rsid w:val="00AE7544"/>
    <w:rsid w:val="00AE75C6"/>
    <w:rsid w:val="00AE7A0B"/>
    <w:rsid w:val="00AE7B74"/>
    <w:rsid w:val="00AE7D7E"/>
    <w:rsid w:val="00AE7F5D"/>
    <w:rsid w:val="00AF01B4"/>
    <w:rsid w:val="00AF07A3"/>
    <w:rsid w:val="00AF085B"/>
    <w:rsid w:val="00AF0A30"/>
    <w:rsid w:val="00AF14C5"/>
    <w:rsid w:val="00AF15C9"/>
    <w:rsid w:val="00AF1676"/>
    <w:rsid w:val="00AF18B3"/>
    <w:rsid w:val="00AF18C9"/>
    <w:rsid w:val="00AF19B1"/>
    <w:rsid w:val="00AF1CAE"/>
    <w:rsid w:val="00AF1E16"/>
    <w:rsid w:val="00AF1FDA"/>
    <w:rsid w:val="00AF21A0"/>
    <w:rsid w:val="00AF2274"/>
    <w:rsid w:val="00AF2480"/>
    <w:rsid w:val="00AF25C1"/>
    <w:rsid w:val="00AF2951"/>
    <w:rsid w:val="00AF398D"/>
    <w:rsid w:val="00AF3A67"/>
    <w:rsid w:val="00AF3DB7"/>
    <w:rsid w:val="00AF3E32"/>
    <w:rsid w:val="00AF3FBB"/>
    <w:rsid w:val="00AF4636"/>
    <w:rsid w:val="00AF4B99"/>
    <w:rsid w:val="00AF4BB9"/>
    <w:rsid w:val="00AF4D34"/>
    <w:rsid w:val="00AF53D9"/>
    <w:rsid w:val="00AF546A"/>
    <w:rsid w:val="00AF5D1A"/>
    <w:rsid w:val="00AF6146"/>
    <w:rsid w:val="00AF6435"/>
    <w:rsid w:val="00AF64B2"/>
    <w:rsid w:val="00AF66D8"/>
    <w:rsid w:val="00AF6725"/>
    <w:rsid w:val="00AF6B95"/>
    <w:rsid w:val="00AF70A5"/>
    <w:rsid w:val="00AF76E7"/>
    <w:rsid w:val="00AF7A62"/>
    <w:rsid w:val="00AF7AA2"/>
    <w:rsid w:val="00B00082"/>
    <w:rsid w:val="00B001F2"/>
    <w:rsid w:val="00B00550"/>
    <w:rsid w:val="00B008B1"/>
    <w:rsid w:val="00B00E49"/>
    <w:rsid w:val="00B00EA8"/>
    <w:rsid w:val="00B01171"/>
    <w:rsid w:val="00B01182"/>
    <w:rsid w:val="00B01983"/>
    <w:rsid w:val="00B01A27"/>
    <w:rsid w:val="00B01C11"/>
    <w:rsid w:val="00B02423"/>
    <w:rsid w:val="00B026E3"/>
    <w:rsid w:val="00B02A08"/>
    <w:rsid w:val="00B02A57"/>
    <w:rsid w:val="00B02D41"/>
    <w:rsid w:val="00B03382"/>
    <w:rsid w:val="00B0441A"/>
    <w:rsid w:val="00B048E0"/>
    <w:rsid w:val="00B04A9D"/>
    <w:rsid w:val="00B04EE2"/>
    <w:rsid w:val="00B04F21"/>
    <w:rsid w:val="00B04F55"/>
    <w:rsid w:val="00B0504B"/>
    <w:rsid w:val="00B0561B"/>
    <w:rsid w:val="00B059C7"/>
    <w:rsid w:val="00B059CC"/>
    <w:rsid w:val="00B05E55"/>
    <w:rsid w:val="00B060C2"/>
    <w:rsid w:val="00B063C6"/>
    <w:rsid w:val="00B0640E"/>
    <w:rsid w:val="00B06520"/>
    <w:rsid w:val="00B0688F"/>
    <w:rsid w:val="00B06D22"/>
    <w:rsid w:val="00B07044"/>
    <w:rsid w:val="00B07892"/>
    <w:rsid w:val="00B07E30"/>
    <w:rsid w:val="00B07F0F"/>
    <w:rsid w:val="00B101CD"/>
    <w:rsid w:val="00B10605"/>
    <w:rsid w:val="00B1087F"/>
    <w:rsid w:val="00B108FF"/>
    <w:rsid w:val="00B10CCE"/>
    <w:rsid w:val="00B10F9D"/>
    <w:rsid w:val="00B10FED"/>
    <w:rsid w:val="00B116BA"/>
    <w:rsid w:val="00B11AAF"/>
    <w:rsid w:val="00B11CDF"/>
    <w:rsid w:val="00B12456"/>
    <w:rsid w:val="00B124E8"/>
    <w:rsid w:val="00B126B1"/>
    <w:rsid w:val="00B12B37"/>
    <w:rsid w:val="00B12B65"/>
    <w:rsid w:val="00B12BC5"/>
    <w:rsid w:val="00B12D52"/>
    <w:rsid w:val="00B130C2"/>
    <w:rsid w:val="00B1335F"/>
    <w:rsid w:val="00B13C9B"/>
    <w:rsid w:val="00B14062"/>
    <w:rsid w:val="00B14726"/>
    <w:rsid w:val="00B14752"/>
    <w:rsid w:val="00B14782"/>
    <w:rsid w:val="00B149C3"/>
    <w:rsid w:val="00B14BD4"/>
    <w:rsid w:val="00B14C88"/>
    <w:rsid w:val="00B15309"/>
    <w:rsid w:val="00B15722"/>
    <w:rsid w:val="00B15914"/>
    <w:rsid w:val="00B15E72"/>
    <w:rsid w:val="00B165EB"/>
    <w:rsid w:val="00B1709C"/>
    <w:rsid w:val="00B170DF"/>
    <w:rsid w:val="00B1734E"/>
    <w:rsid w:val="00B176A6"/>
    <w:rsid w:val="00B1794A"/>
    <w:rsid w:val="00B17978"/>
    <w:rsid w:val="00B17AF3"/>
    <w:rsid w:val="00B2015B"/>
    <w:rsid w:val="00B201B7"/>
    <w:rsid w:val="00B2083C"/>
    <w:rsid w:val="00B20B70"/>
    <w:rsid w:val="00B20CC3"/>
    <w:rsid w:val="00B21960"/>
    <w:rsid w:val="00B21A44"/>
    <w:rsid w:val="00B21BD2"/>
    <w:rsid w:val="00B21BDE"/>
    <w:rsid w:val="00B21D01"/>
    <w:rsid w:val="00B22933"/>
    <w:rsid w:val="00B22CE8"/>
    <w:rsid w:val="00B23158"/>
    <w:rsid w:val="00B2315D"/>
    <w:rsid w:val="00B23289"/>
    <w:rsid w:val="00B232EB"/>
    <w:rsid w:val="00B233C0"/>
    <w:rsid w:val="00B23652"/>
    <w:rsid w:val="00B237D0"/>
    <w:rsid w:val="00B238BA"/>
    <w:rsid w:val="00B23978"/>
    <w:rsid w:val="00B239F7"/>
    <w:rsid w:val="00B23D3A"/>
    <w:rsid w:val="00B23E91"/>
    <w:rsid w:val="00B23F66"/>
    <w:rsid w:val="00B2413D"/>
    <w:rsid w:val="00B24474"/>
    <w:rsid w:val="00B24620"/>
    <w:rsid w:val="00B24B39"/>
    <w:rsid w:val="00B24C31"/>
    <w:rsid w:val="00B24D95"/>
    <w:rsid w:val="00B24FF0"/>
    <w:rsid w:val="00B25011"/>
    <w:rsid w:val="00B2516B"/>
    <w:rsid w:val="00B25303"/>
    <w:rsid w:val="00B2590D"/>
    <w:rsid w:val="00B25A4D"/>
    <w:rsid w:val="00B25B0A"/>
    <w:rsid w:val="00B25BEF"/>
    <w:rsid w:val="00B25F8B"/>
    <w:rsid w:val="00B26011"/>
    <w:rsid w:val="00B26176"/>
    <w:rsid w:val="00B263F2"/>
    <w:rsid w:val="00B2689F"/>
    <w:rsid w:val="00B268A8"/>
    <w:rsid w:val="00B26937"/>
    <w:rsid w:val="00B26A3F"/>
    <w:rsid w:val="00B26B14"/>
    <w:rsid w:val="00B26C23"/>
    <w:rsid w:val="00B26FC6"/>
    <w:rsid w:val="00B274AD"/>
    <w:rsid w:val="00B27633"/>
    <w:rsid w:val="00B276ED"/>
    <w:rsid w:val="00B2781D"/>
    <w:rsid w:val="00B300C3"/>
    <w:rsid w:val="00B30584"/>
    <w:rsid w:val="00B30668"/>
    <w:rsid w:val="00B30727"/>
    <w:rsid w:val="00B31194"/>
    <w:rsid w:val="00B319A3"/>
    <w:rsid w:val="00B3208A"/>
    <w:rsid w:val="00B322A9"/>
    <w:rsid w:val="00B3250F"/>
    <w:rsid w:val="00B32723"/>
    <w:rsid w:val="00B32741"/>
    <w:rsid w:val="00B32D2B"/>
    <w:rsid w:val="00B32E7C"/>
    <w:rsid w:val="00B3331B"/>
    <w:rsid w:val="00B33789"/>
    <w:rsid w:val="00B33993"/>
    <w:rsid w:val="00B33AE3"/>
    <w:rsid w:val="00B34016"/>
    <w:rsid w:val="00B3443D"/>
    <w:rsid w:val="00B34F49"/>
    <w:rsid w:val="00B350F3"/>
    <w:rsid w:val="00B35AC0"/>
    <w:rsid w:val="00B35B97"/>
    <w:rsid w:val="00B36388"/>
    <w:rsid w:val="00B3647B"/>
    <w:rsid w:val="00B36C2A"/>
    <w:rsid w:val="00B36D3C"/>
    <w:rsid w:val="00B36FB7"/>
    <w:rsid w:val="00B3716E"/>
    <w:rsid w:val="00B3723A"/>
    <w:rsid w:val="00B37469"/>
    <w:rsid w:val="00B375E6"/>
    <w:rsid w:val="00B3778B"/>
    <w:rsid w:val="00B37841"/>
    <w:rsid w:val="00B37C36"/>
    <w:rsid w:val="00B37C58"/>
    <w:rsid w:val="00B37C9E"/>
    <w:rsid w:val="00B405D9"/>
    <w:rsid w:val="00B406DC"/>
    <w:rsid w:val="00B409E9"/>
    <w:rsid w:val="00B40AB7"/>
    <w:rsid w:val="00B40CC9"/>
    <w:rsid w:val="00B40F90"/>
    <w:rsid w:val="00B41041"/>
    <w:rsid w:val="00B4123F"/>
    <w:rsid w:val="00B41386"/>
    <w:rsid w:val="00B4174D"/>
    <w:rsid w:val="00B41B59"/>
    <w:rsid w:val="00B41F48"/>
    <w:rsid w:val="00B42155"/>
    <w:rsid w:val="00B422AF"/>
    <w:rsid w:val="00B426DA"/>
    <w:rsid w:val="00B42C3B"/>
    <w:rsid w:val="00B42D5A"/>
    <w:rsid w:val="00B42FDD"/>
    <w:rsid w:val="00B4364D"/>
    <w:rsid w:val="00B4365C"/>
    <w:rsid w:val="00B4369D"/>
    <w:rsid w:val="00B43B20"/>
    <w:rsid w:val="00B43B37"/>
    <w:rsid w:val="00B43B5C"/>
    <w:rsid w:val="00B43E5B"/>
    <w:rsid w:val="00B43E72"/>
    <w:rsid w:val="00B44A1B"/>
    <w:rsid w:val="00B44A71"/>
    <w:rsid w:val="00B44B41"/>
    <w:rsid w:val="00B44CCD"/>
    <w:rsid w:val="00B44DAE"/>
    <w:rsid w:val="00B44EFF"/>
    <w:rsid w:val="00B44F36"/>
    <w:rsid w:val="00B45903"/>
    <w:rsid w:val="00B45B1D"/>
    <w:rsid w:val="00B464A6"/>
    <w:rsid w:val="00B467B6"/>
    <w:rsid w:val="00B467FE"/>
    <w:rsid w:val="00B468A2"/>
    <w:rsid w:val="00B46A96"/>
    <w:rsid w:val="00B46B7A"/>
    <w:rsid w:val="00B46BDB"/>
    <w:rsid w:val="00B47398"/>
    <w:rsid w:val="00B475AF"/>
    <w:rsid w:val="00B475F9"/>
    <w:rsid w:val="00B47715"/>
    <w:rsid w:val="00B479C9"/>
    <w:rsid w:val="00B47E38"/>
    <w:rsid w:val="00B5012E"/>
    <w:rsid w:val="00B502F3"/>
    <w:rsid w:val="00B50475"/>
    <w:rsid w:val="00B507B6"/>
    <w:rsid w:val="00B509C2"/>
    <w:rsid w:val="00B50D99"/>
    <w:rsid w:val="00B50DD5"/>
    <w:rsid w:val="00B50F7A"/>
    <w:rsid w:val="00B513AD"/>
    <w:rsid w:val="00B51D78"/>
    <w:rsid w:val="00B52124"/>
    <w:rsid w:val="00B52414"/>
    <w:rsid w:val="00B52479"/>
    <w:rsid w:val="00B5284F"/>
    <w:rsid w:val="00B52ABC"/>
    <w:rsid w:val="00B52B07"/>
    <w:rsid w:val="00B5320E"/>
    <w:rsid w:val="00B53A59"/>
    <w:rsid w:val="00B53B71"/>
    <w:rsid w:val="00B53C0E"/>
    <w:rsid w:val="00B53DEB"/>
    <w:rsid w:val="00B54156"/>
    <w:rsid w:val="00B54AF2"/>
    <w:rsid w:val="00B54B02"/>
    <w:rsid w:val="00B54B25"/>
    <w:rsid w:val="00B54D21"/>
    <w:rsid w:val="00B54E02"/>
    <w:rsid w:val="00B54EEF"/>
    <w:rsid w:val="00B54F43"/>
    <w:rsid w:val="00B55013"/>
    <w:rsid w:val="00B550EE"/>
    <w:rsid w:val="00B5555F"/>
    <w:rsid w:val="00B55EC3"/>
    <w:rsid w:val="00B55F67"/>
    <w:rsid w:val="00B55FA4"/>
    <w:rsid w:val="00B5647C"/>
    <w:rsid w:val="00B5650F"/>
    <w:rsid w:val="00B56ABB"/>
    <w:rsid w:val="00B56B5E"/>
    <w:rsid w:val="00B56C1C"/>
    <w:rsid w:val="00B56C29"/>
    <w:rsid w:val="00B570F1"/>
    <w:rsid w:val="00B57243"/>
    <w:rsid w:val="00B572EC"/>
    <w:rsid w:val="00B5768C"/>
    <w:rsid w:val="00B57722"/>
    <w:rsid w:val="00B57F04"/>
    <w:rsid w:val="00B608CC"/>
    <w:rsid w:val="00B609A5"/>
    <w:rsid w:val="00B60A2E"/>
    <w:rsid w:val="00B60ACA"/>
    <w:rsid w:val="00B60B9F"/>
    <w:rsid w:val="00B60BCA"/>
    <w:rsid w:val="00B60D86"/>
    <w:rsid w:val="00B60FF8"/>
    <w:rsid w:val="00B612F5"/>
    <w:rsid w:val="00B615F0"/>
    <w:rsid w:val="00B61BC4"/>
    <w:rsid w:val="00B61D98"/>
    <w:rsid w:val="00B61F1B"/>
    <w:rsid w:val="00B61F21"/>
    <w:rsid w:val="00B621DA"/>
    <w:rsid w:val="00B62395"/>
    <w:rsid w:val="00B62715"/>
    <w:rsid w:val="00B62C24"/>
    <w:rsid w:val="00B62F12"/>
    <w:rsid w:val="00B63074"/>
    <w:rsid w:val="00B630C7"/>
    <w:rsid w:val="00B6319F"/>
    <w:rsid w:val="00B634F3"/>
    <w:rsid w:val="00B63DDE"/>
    <w:rsid w:val="00B6431A"/>
    <w:rsid w:val="00B649EA"/>
    <w:rsid w:val="00B64B05"/>
    <w:rsid w:val="00B64CD6"/>
    <w:rsid w:val="00B64E38"/>
    <w:rsid w:val="00B65234"/>
    <w:rsid w:val="00B653B4"/>
    <w:rsid w:val="00B6567F"/>
    <w:rsid w:val="00B656FD"/>
    <w:rsid w:val="00B6585A"/>
    <w:rsid w:val="00B659AF"/>
    <w:rsid w:val="00B65B19"/>
    <w:rsid w:val="00B65C9E"/>
    <w:rsid w:val="00B65D86"/>
    <w:rsid w:val="00B65DB8"/>
    <w:rsid w:val="00B6652A"/>
    <w:rsid w:val="00B666E8"/>
    <w:rsid w:val="00B669D1"/>
    <w:rsid w:val="00B67266"/>
    <w:rsid w:val="00B6756B"/>
    <w:rsid w:val="00B67753"/>
    <w:rsid w:val="00B677FF"/>
    <w:rsid w:val="00B67C09"/>
    <w:rsid w:val="00B70131"/>
    <w:rsid w:val="00B70325"/>
    <w:rsid w:val="00B70714"/>
    <w:rsid w:val="00B71081"/>
    <w:rsid w:val="00B712FB"/>
    <w:rsid w:val="00B71321"/>
    <w:rsid w:val="00B713BA"/>
    <w:rsid w:val="00B71B6F"/>
    <w:rsid w:val="00B71CDB"/>
    <w:rsid w:val="00B71D3E"/>
    <w:rsid w:val="00B71FEA"/>
    <w:rsid w:val="00B72211"/>
    <w:rsid w:val="00B725FA"/>
    <w:rsid w:val="00B726BC"/>
    <w:rsid w:val="00B72973"/>
    <w:rsid w:val="00B7298E"/>
    <w:rsid w:val="00B72D18"/>
    <w:rsid w:val="00B72DCD"/>
    <w:rsid w:val="00B72F98"/>
    <w:rsid w:val="00B73920"/>
    <w:rsid w:val="00B73BB6"/>
    <w:rsid w:val="00B73D84"/>
    <w:rsid w:val="00B73FF9"/>
    <w:rsid w:val="00B747D4"/>
    <w:rsid w:val="00B749BA"/>
    <w:rsid w:val="00B74EFE"/>
    <w:rsid w:val="00B7534C"/>
    <w:rsid w:val="00B75AC6"/>
    <w:rsid w:val="00B75E5E"/>
    <w:rsid w:val="00B76415"/>
    <w:rsid w:val="00B765F9"/>
    <w:rsid w:val="00B76C00"/>
    <w:rsid w:val="00B773C6"/>
    <w:rsid w:val="00B7740B"/>
    <w:rsid w:val="00B77554"/>
    <w:rsid w:val="00B77893"/>
    <w:rsid w:val="00B778D8"/>
    <w:rsid w:val="00B77C3B"/>
    <w:rsid w:val="00B805BB"/>
    <w:rsid w:val="00B80615"/>
    <w:rsid w:val="00B8064D"/>
    <w:rsid w:val="00B80722"/>
    <w:rsid w:val="00B809C0"/>
    <w:rsid w:val="00B80A2F"/>
    <w:rsid w:val="00B80B31"/>
    <w:rsid w:val="00B80FB1"/>
    <w:rsid w:val="00B80FD1"/>
    <w:rsid w:val="00B8129E"/>
    <w:rsid w:val="00B816E7"/>
    <w:rsid w:val="00B81724"/>
    <w:rsid w:val="00B82493"/>
    <w:rsid w:val="00B82679"/>
    <w:rsid w:val="00B8270B"/>
    <w:rsid w:val="00B8283C"/>
    <w:rsid w:val="00B82B21"/>
    <w:rsid w:val="00B830C8"/>
    <w:rsid w:val="00B83552"/>
    <w:rsid w:val="00B8357A"/>
    <w:rsid w:val="00B83741"/>
    <w:rsid w:val="00B83839"/>
    <w:rsid w:val="00B83A65"/>
    <w:rsid w:val="00B83DB8"/>
    <w:rsid w:val="00B83DD0"/>
    <w:rsid w:val="00B83EFE"/>
    <w:rsid w:val="00B84077"/>
    <w:rsid w:val="00B84213"/>
    <w:rsid w:val="00B8438E"/>
    <w:rsid w:val="00B843F1"/>
    <w:rsid w:val="00B84711"/>
    <w:rsid w:val="00B84712"/>
    <w:rsid w:val="00B84932"/>
    <w:rsid w:val="00B84A15"/>
    <w:rsid w:val="00B84B1B"/>
    <w:rsid w:val="00B84D39"/>
    <w:rsid w:val="00B85904"/>
    <w:rsid w:val="00B8628F"/>
    <w:rsid w:val="00B8679D"/>
    <w:rsid w:val="00B873D9"/>
    <w:rsid w:val="00B874E7"/>
    <w:rsid w:val="00B9030C"/>
    <w:rsid w:val="00B905AE"/>
    <w:rsid w:val="00B90658"/>
    <w:rsid w:val="00B90FA9"/>
    <w:rsid w:val="00B9168D"/>
    <w:rsid w:val="00B91B33"/>
    <w:rsid w:val="00B92014"/>
    <w:rsid w:val="00B92299"/>
    <w:rsid w:val="00B92524"/>
    <w:rsid w:val="00B92A97"/>
    <w:rsid w:val="00B92B7C"/>
    <w:rsid w:val="00B92E34"/>
    <w:rsid w:val="00B93009"/>
    <w:rsid w:val="00B93458"/>
    <w:rsid w:val="00B934BE"/>
    <w:rsid w:val="00B938E9"/>
    <w:rsid w:val="00B93AB0"/>
    <w:rsid w:val="00B93B55"/>
    <w:rsid w:val="00B93CE6"/>
    <w:rsid w:val="00B93D63"/>
    <w:rsid w:val="00B9405D"/>
    <w:rsid w:val="00B94398"/>
    <w:rsid w:val="00B94F6B"/>
    <w:rsid w:val="00B952A3"/>
    <w:rsid w:val="00B95510"/>
    <w:rsid w:val="00B95857"/>
    <w:rsid w:val="00B95952"/>
    <w:rsid w:val="00B95BEC"/>
    <w:rsid w:val="00B95EF5"/>
    <w:rsid w:val="00B960C5"/>
    <w:rsid w:val="00B961E8"/>
    <w:rsid w:val="00B962C7"/>
    <w:rsid w:val="00B965DB"/>
    <w:rsid w:val="00B96646"/>
    <w:rsid w:val="00B96A04"/>
    <w:rsid w:val="00B96A15"/>
    <w:rsid w:val="00B96DAD"/>
    <w:rsid w:val="00B96E78"/>
    <w:rsid w:val="00B96F7C"/>
    <w:rsid w:val="00B97163"/>
    <w:rsid w:val="00B976F2"/>
    <w:rsid w:val="00B97CB3"/>
    <w:rsid w:val="00B97D4B"/>
    <w:rsid w:val="00BA01C2"/>
    <w:rsid w:val="00BA0428"/>
    <w:rsid w:val="00BA0711"/>
    <w:rsid w:val="00BA0A75"/>
    <w:rsid w:val="00BA0B9F"/>
    <w:rsid w:val="00BA118E"/>
    <w:rsid w:val="00BA12DF"/>
    <w:rsid w:val="00BA13D1"/>
    <w:rsid w:val="00BA1447"/>
    <w:rsid w:val="00BA1774"/>
    <w:rsid w:val="00BA2313"/>
    <w:rsid w:val="00BA24C1"/>
    <w:rsid w:val="00BA2502"/>
    <w:rsid w:val="00BA27B2"/>
    <w:rsid w:val="00BA2BCF"/>
    <w:rsid w:val="00BA2C6D"/>
    <w:rsid w:val="00BA2DA6"/>
    <w:rsid w:val="00BA475F"/>
    <w:rsid w:val="00BA48C3"/>
    <w:rsid w:val="00BA49C6"/>
    <w:rsid w:val="00BA49CD"/>
    <w:rsid w:val="00BA50E7"/>
    <w:rsid w:val="00BA53A0"/>
    <w:rsid w:val="00BA55FB"/>
    <w:rsid w:val="00BA55FD"/>
    <w:rsid w:val="00BA57C6"/>
    <w:rsid w:val="00BA59DB"/>
    <w:rsid w:val="00BA6562"/>
    <w:rsid w:val="00BA6744"/>
    <w:rsid w:val="00BA6766"/>
    <w:rsid w:val="00BA6882"/>
    <w:rsid w:val="00BA6D5D"/>
    <w:rsid w:val="00BA706E"/>
    <w:rsid w:val="00BA74A9"/>
    <w:rsid w:val="00BA7898"/>
    <w:rsid w:val="00BA79E4"/>
    <w:rsid w:val="00BA7AE4"/>
    <w:rsid w:val="00BA7FA9"/>
    <w:rsid w:val="00BB010C"/>
    <w:rsid w:val="00BB02C6"/>
    <w:rsid w:val="00BB0313"/>
    <w:rsid w:val="00BB0545"/>
    <w:rsid w:val="00BB0561"/>
    <w:rsid w:val="00BB0571"/>
    <w:rsid w:val="00BB0575"/>
    <w:rsid w:val="00BB09AA"/>
    <w:rsid w:val="00BB0C5E"/>
    <w:rsid w:val="00BB0E29"/>
    <w:rsid w:val="00BB127B"/>
    <w:rsid w:val="00BB176F"/>
    <w:rsid w:val="00BB177C"/>
    <w:rsid w:val="00BB1786"/>
    <w:rsid w:val="00BB1C81"/>
    <w:rsid w:val="00BB202A"/>
    <w:rsid w:val="00BB2293"/>
    <w:rsid w:val="00BB23D7"/>
    <w:rsid w:val="00BB27DC"/>
    <w:rsid w:val="00BB27E0"/>
    <w:rsid w:val="00BB2A71"/>
    <w:rsid w:val="00BB2DB0"/>
    <w:rsid w:val="00BB2E5E"/>
    <w:rsid w:val="00BB312F"/>
    <w:rsid w:val="00BB36AB"/>
    <w:rsid w:val="00BB3725"/>
    <w:rsid w:val="00BB374F"/>
    <w:rsid w:val="00BB37EA"/>
    <w:rsid w:val="00BB3A8C"/>
    <w:rsid w:val="00BB3C37"/>
    <w:rsid w:val="00BB3D84"/>
    <w:rsid w:val="00BB3FA7"/>
    <w:rsid w:val="00BB4115"/>
    <w:rsid w:val="00BB4583"/>
    <w:rsid w:val="00BB4725"/>
    <w:rsid w:val="00BB47ED"/>
    <w:rsid w:val="00BB4A3C"/>
    <w:rsid w:val="00BB4B8D"/>
    <w:rsid w:val="00BB4F56"/>
    <w:rsid w:val="00BB4F72"/>
    <w:rsid w:val="00BB505E"/>
    <w:rsid w:val="00BB5131"/>
    <w:rsid w:val="00BB524C"/>
    <w:rsid w:val="00BB5A43"/>
    <w:rsid w:val="00BB5B2E"/>
    <w:rsid w:val="00BB5D2E"/>
    <w:rsid w:val="00BB5F3B"/>
    <w:rsid w:val="00BB61C2"/>
    <w:rsid w:val="00BB63E6"/>
    <w:rsid w:val="00BB66C3"/>
    <w:rsid w:val="00BB6A59"/>
    <w:rsid w:val="00BB6CBB"/>
    <w:rsid w:val="00BB71E6"/>
    <w:rsid w:val="00BB738B"/>
    <w:rsid w:val="00BB73EA"/>
    <w:rsid w:val="00BC0330"/>
    <w:rsid w:val="00BC0367"/>
    <w:rsid w:val="00BC058D"/>
    <w:rsid w:val="00BC06FF"/>
    <w:rsid w:val="00BC0BCC"/>
    <w:rsid w:val="00BC0E71"/>
    <w:rsid w:val="00BC104F"/>
    <w:rsid w:val="00BC1122"/>
    <w:rsid w:val="00BC1647"/>
    <w:rsid w:val="00BC18FA"/>
    <w:rsid w:val="00BC20D2"/>
    <w:rsid w:val="00BC2854"/>
    <w:rsid w:val="00BC2B0B"/>
    <w:rsid w:val="00BC2C46"/>
    <w:rsid w:val="00BC2C76"/>
    <w:rsid w:val="00BC330B"/>
    <w:rsid w:val="00BC33BD"/>
    <w:rsid w:val="00BC364E"/>
    <w:rsid w:val="00BC36FE"/>
    <w:rsid w:val="00BC39CA"/>
    <w:rsid w:val="00BC3A32"/>
    <w:rsid w:val="00BC40FA"/>
    <w:rsid w:val="00BC42A3"/>
    <w:rsid w:val="00BC48B1"/>
    <w:rsid w:val="00BC4E57"/>
    <w:rsid w:val="00BC52EF"/>
    <w:rsid w:val="00BC531E"/>
    <w:rsid w:val="00BC5649"/>
    <w:rsid w:val="00BC5843"/>
    <w:rsid w:val="00BC6039"/>
    <w:rsid w:val="00BC6043"/>
    <w:rsid w:val="00BC6527"/>
    <w:rsid w:val="00BC6590"/>
    <w:rsid w:val="00BC65AA"/>
    <w:rsid w:val="00BC6A99"/>
    <w:rsid w:val="00BC6B32"/>
    <w:rsid w:val="00BC6BFA"/>
    <w:rsid w:val="00BC6C72"/>
    <w:rsid w:val="00BC6C98"/>
    <w:rsid w:val="00BC6CB0"/>
    <w:rsid w:val="00BC7200"/>
    <w:rsid w:val="00BC737F"/>
    <w:rsid w:val="00BC7E01"/>
    <w:rsid w:val="00BD0948"/>
    <w:rsid w:val="00BD09D6"/>
    <w:rsid w:val="00BD128E"/>
    <w:rsid w:val="00BD1609"/>
    <w:rsid w:val="00BD167D"/>
    <w:rsid w:val="00BD193D"/>
    <w:rsid w:val="00BD1A21"/>
    <w:rsid w:val="00BD2464"/>
    <w:rsid w:val="00BD2A1C"/>
    <w:rsid w:val="00BD33CD"/>
    <w:rsid w:val="00BD35F3"/>
    <w:rsid w:val="00BD36C9"/>
    <w:rsid w:val="00BD3A4B"/>
    <w:rsid w:val="00BD3C1B"/>
    <w:rsid w:val="00BD3DB4"/>
    <w:rsid w:val="00BD42BE"/>
    <w:rsid w:val="00BD4B76"/>
    <w:rsid w:val="00BD4F64"/>
    <w:rsid w:val="00BD4F96"/>
    <w:rsid w:val="00BD537B"/>
    <w:rsid w:val="00BD53DC"/>
    <w:rsid w:val="00BD5871"/>
    <w:rsid w:val="00BD5925"/>
    <w:rsid w:val="00BD6086"/>
    <w:rsid w:val="00BD6501"/>
    <w:rsid w:val="00BD6753"/>
    <w:rsid w:val="00BD68BF"/>
    <w:rsid w:val="00BD68D7"/>
    <w:rsid w:val="00BD6D54"/>
    <w:rsid w:val="00BD70A7"/>
    <w:rsid w:val="00BD70CD"/>
    <w:rsid w:val="00BD7492"/>
    <w:rsid w:val="00BD7AAC"/>
    <w:rsid w:val="00BD7C42"/>
    <w:rsid w:val="00BD7D7C"/>
    <w:rsid w:val="00BD7DA8"/>
    <w:rsid w:val="00BE0253"/>
    <w:rsid w:val="00BE0729"/>
    <w:rsid w:val="00BE08EA"/>
    <w:rsid w:val="00BE0910"/>
    <w:rsid w:val="00BE0959"/>
    <w:rsid w:val="00BE0D86"/>
    <w:rsid w:val="00BE0F30"/>
    <w:rsid w:val="00BE0F6C"/>
    <w:rsid w:val="00BE186A"/>
    <w:rsid w:val="00BE188D"/>
    <w:rsid w:val="00BE2398"/>
    <w:rsid w:val="00BE265E"/>
    <w:rsid w:val="00BE28DA"/>
    <w:rsid w:val="00BE290E"/>
    <w:rsid w:val="00BE2C07"/>
    <w:rsid w:val="00BE2FA8"/>
    <w:rsid w:val="00BE30FB"/>
    <w:rsid w:val="00BE343D"/>
    <w:rsid w:val="00BE3CAF"/>
    <w:rsid w:val="00BE4364"/>
    <w:rsid w:val="00BE47B7"/>
    <w:rsid w:val="00BE47E7"/>
    <w:rsid w:val="00BE4A8A"/>
    <w:rsid w:val="00BE4BD7"/>
    <w:rsid w:val="00BE4C07"/>
    <w:rsid w:val="00BE4D90"/>
    <w:rsid w:val="00BE4FA5"/>
    <w:rsid w:val="00BE52E3"/>
    <w:rsid w:val="00BE57C8"/>
    <w:rsid w:val="00BE58F2"/>
    <w:rsid w:val="00BE5AF0"/>
    <w:rsid w:val="00BE5ED6"/>
    <w:rsid w:val="00BE60F8"/>
    <w:rsid w:val="00BE6111"/>
    <w:rsid w:val="00BE6F1F"/>
    <w:rsid w:val="00BE707D"/>
    <w:rsid w:val="00BE727D"/>
    <w:rsid w:val="00BE74DA"/>
    <w:rsid w:val="00BE74DD"/>
    <w:rsid w:val="00BE7B8C"/>
    <w:rsid w:val="00BF0055"/>
    <w:rsid w:val="00BF0860"/>
    <w:rsid w:val="00BF0AC0"/>
    <w:rsid w:val="00BF0CD8"/>
    <w:rsid w:val="00BF0D01"/>
    <w:rsid w:val="00BF0FB1"/>
    <w:rsid w:val="00BF10CF"/>
    <w:rsid w:val="00BF1647"/>
    <w:rsid w:val="00BF16AB"/>
    <w:rsid w:val="00BF19ED"/>
    <w:rsid w:val="00BF2057"/>
    <w:rsid w:val="00BF2170"/>
    <w:rsid w:val="00BF22B8"/>
    <w:rsid w:val="00BF265A"/>
    <w:rsid w:val="00BF277F"/>
    <w:rsid w:val="00BF2793"/>
    <w:rsid w:val="00BF3185"/>
    <w:rsid w:val="00BF3358"/>
    <w:rsid w:val="00BF34AF"/>
    <w:rsid w:val="00BF34CB"/>
    <w:rsid w:val="00BF34E6"/>
    <w:rsid w:val="00BF35C3"/>
    <w:rsid w:val="00BF3D1C"/>
    <w:rsid w:val="00BF41C6"/>
    <w:rsid w:val="00BF4727"/>
    <w:rsid w:val="00BF47A9"/>
    <w:rsid w:val="00BF4911"/>
    <w:rsid w:val="00BF4C16"/>
    <w:rsid w:val="00BF5684"/>
    <w:rsid w:val="00BF5A77"/>
    <w:rsid w:val="00BF5D07"/>
    <w:rsid w:val="00BF6705"/>
    <w:rsid w:val="00BF6739"/>
    <w:rsid w:val="00BF6788"/>
    <w:rsid w:val="00BF6BCB"/>
    <w:rsid w:val="00BF6DA3"/>
    <w:rsid w:val="00BF6FA9"/>
    <w:rsid w:val="00BF6FCA"/>
    <w:rsid w:val="00BF71AC"/>
    <w:rsid w:val="00BF72C2"/>
    <w:rsid w:val="00BF7387"/>
    <w:rsid w:val="00BF7CFB"/>
    <w:rsid w:val="00BF7D75"/>
    <w:rsid w:val="00BF7E33"/>
    <w:rsid w:val="00BF7ED9"/>
    <w:rsid w:val="00C00285"/>
    <w:rsid w:val="00C003B5"/>
    <w:rsid w:val="00C007EC"/>
    <w:rsid w:val="00C00E47"/>
    <w:rsid w:val="00C01329"/>
    <w:rsid w:val="00C013DD"/>
    <w:rsid w:val="00C0149C"/>
    <w:rsid w:val="00C014D3"/>
    <w:rsid w:val="00C016A4"/>
    <w:rsid w:val="00C01868"/>
    <w:rsid w:val="00C0195A"/>
    <w:rsid w:val="00C01B5B"/>
    <w:rsid w:val="00C01B9F"/>
    <w:rsid w:val="00C01C3D"/>
    <w:rsid w:val="00C01CA3"/>
    <w:rsid w:val="00C01F5D"/>
    <w:rsid w:val="00C01F7F"/>
    <w:rsid w:val="00C0202F"/>
    <w:rsid w:val="00C0278C"/>
    <w:rsid w:val="00C02837"/>
    <w:rsid w:val="00C02A1C"/>
    <w:rsid w:val="00C02C43"/>
    <w:rsid w:val="00C0364C"/>
    <w:rsid w:val="00C036EB"/>
    <w:rsid w:val="00C039E1"/>
    <w:rsid w:val="00C03A19"/>
    <w:rsid w:val="00C03BA3"/>
    <w:rsid w:val="00C03F24"/>
    <w:rsid w:val="00C04251"/>
    <w:rsid w:val="00C043A1"/>
    <w:rsid w:val="00C0442D"/>
    <w:rsid w:val="00C04A10"/>
    <w:rsid w:val="00C04A80"/>
    <w:rsid w:val="00C04E70"/>
    <w:rsid w:val="00C052A2"/>
    <w:rsid w:val="00C054E6"/>
    <w:rsid w:val="00C05801"/>
    <w:rsid w:val="00C058D9"/>
    <w:rsid w:val="00C05D91"/>
    <w:rsid w:val="00C06472"/>
    <w:rsid w:val="00C067D7"/>
    <w:rsid w:val="00C06879"/>
    <w:rsid w:val="00C071B7"/>
    <w:rsid w:val="00C074B6"/>
    <w:rsid w:val="00C0769A"/>
    <w:rsid w:val="00C07832"/>
    <w:rsid w:val="00C07931"/>
    <w:rsid w:val="00C10A20"/>
    <w:rsid w:val="00C10FCF"/>
    <w:rsid w:val="00C11503"/>
    <w:rsid w:val="00C116F3"/>
    <w:rsid w:val="00C11A4A"/>
    <w:rsid w:val="00C11BDB"/>
    <w:rsid w:val="00C11C95"/>
    <w:rsid w:val="00C11CE2"/>
    <w:rsid w:val="00C11ED9"/>
    <w:rsid w:val="00C12307"/>
    <w:rsid w:val="00C12599"/>
    <w:rsid w:val="00C1281A"/>
    <w:rsid w:val="00C129FA"/>
    <w:rsid w:val="00C12A24"/>
    <w:rsid w:val="00C12A3C"/>
    <w:rsid w:val="00C12D02"/>
    <w:rsid w:val="00C12EBF"/>
    <w:rsid w:val="00C130BD"/>
    <w:rsid w:val="00C1322E"/>
    <w:rsid w:val="00C136D5"/>
    <w:rsid w:val="00C13F14"/>
    <w:rsid w:val="00C142A8"/>
    <w:rsid w:val="00C148BA"/>
    <w:rsid w:val="00C14C7B"/>
    <w:rsid w:val="00C14D63"/>
    <w:rsid w:val="00C14DF3"/>
    <w:rsid w:val="00C15005"/>
    <w:rsid w:val="00C151A9"/>
    <w:rsid w:val="00C15254"/>
    <w:rsid w:val="00C1525E"/>
    <w:rsid w:val="00C153CE"/>
    <w:rsid w:val="00C15508"/>
    <w:rsid w:val="00C157AF"/>
    <w:rsid w:val="00C15ACD"/>
    <w:rsid w:val="00C15FB7"/>
    <w:rsid w:val="00C160B6"/>
    <w:rsid w:val="00C161EB"/>
    <w:rsid w:val="00C16A6D"/>
    <w:rsid w:val="00C16BA7"/>
    <w:rsid w:val="00C16D9C"/>
    <w:rsid w:val="00C16E49"/>
    <w:rsid w:val="00C1717B"/>
    <w:rsid w:val="00C1730A"/>
    <w:rsid w:val="00C176BB"/>
    <w:rsid w:val="00C17FD8"/>
    <w:rsid w:val="00C202A1"/>
    <w:rsid w:val="00C203DC"/>
    <w:rsid w:val="00C20591"/>
    <w:rsid w:val="00C20EC4"/>
    <w:rsid w:val="00C21238"/>
    <w:rsid w:val="00C2140E"/>
    <w:rsid w:val="00C214FB"/>
    <w:rsid w:val="00C21E14"/>
    <w:rsid w:val="00C21EB0"/>
    <w:rsid w:val="00C22185"/>
    <w:rsid w:val="00C2223B"/>
    <w:rsid w:val="00C22447"/>
    <w:rsid w:val="00C2250F"/>
    <w:rsid w:val="00C226B0"/>
    <w:rsid w:val="00C22823"/>
    <w:rsid w:val="00C2297D"/>
    <w:rsid w:val="00C229E8"/>
    <w:rsid w:val="00C22B9E"/>
    <w:rsid w:val="00C2339F"/>
    <w:rsid w:val="00C234E1"/>
    <w:rsid w:val="00C236D7"/>
    <w:rsid w:val="00C237D5"/>
    <w:rsid w:val="00C23812"/>
    <w:rsid w:val="00C238EC"/>
    <w:rsid w:val="00C2399B"/>
    <w:rsid w:val="00C23BCA"/>
    <w:rsid w:val="00C2443D"/>
    <w:rsid w:val="00C24A52"/>
    <w:rsid w:val="00C24CC8"/>
    <w:rsid w:val="00C24F4C"/>
    <w:rsid w:val="00C253CD"/>
    <w:rsid w:val="00C256BB"/>
    <w:rsid w:val="00C25850"/>
    <w:rsid w:val="00C25924"/>
    <w:rsid w:val="00C25B19"/>
    <w:rsid w:val="00C26078"/>
    <w:rsid w:val="00C26117"/>
    <w:rsid w:val="00C26520"/>
    <w:rsid w:val="00C2680B"/>
    <w:rsid w:val="00C26E4F"/>
    <w:rsid w:val="00C277C0"/>
    <w:rsid w:val="00C2790A"/>
    <w:rsid w:val="00C279EC"/>
    <w:rsid w:val="00C27A39"/>
    <w:rsid w:val="00C27D50"/>
    <w:rsid w:val="00C27DE8"/>
    <w:rsid w:val="00C27E0E"/>
    <w:rsid w:val="00C30475"/>
    <w:rsid w:val="00C304D5"/>
    <w:rsid w:val="00C3063C"/>
    <w:rsid w:val="00C307DC"/>
    <w:rsid w:val="00C30D60"/>
    <w:rsid w:val="00C31262"/>
    <w:rsid w:val="00C3146C"/>
    <w:rsid w:val="00C31C31"/>
    <w:rsid w:val="00C31EDB"/>
    <w:rsid w:val="00C31FD9"/>
    <w:rsid w:val="00C32383"/>
    <w:rsid w:val="00C3257C"/>
    <w:rsid w:val="00C325B2"/>
    <w:rsid w:val="00C32621"/>
    <w:rsid w:val="00C3297D"/>
    <w:rsid w:val="00C32F84"/>
    <w:rsid w:val="00C3380B"/>
    <w:rsid w:val="00C338DA"/>
    <w:rsid w:val="00C33C99"/>
    <w:rsid w:val="00C33CE0"/>
    <w:rsid w:val="00C33D35"/>
    <w:rsid w:val="00C33F4E"/>
    <w:rsid w:val="00C3407A"/>
    <w:rsid w:val="00C34983"/>
    <w:rsid w:val="00C35166"/>
    <w:rsid w:val="00C355E0"/>
    <w:rsid w:val="00C35C4C"/>
    <w:rsid w:val="00C35F3F"/>
    <w:rsid w:val="00C36008"/>
    <w:rsid w:val="00C362C9"/>
    <w:rsid w:val="00C363DA"/>
    <w:rsid w:val="00C365C1"/>
    <w:rsid w:val="00C365DB"/>
    <w:rsid w:val="00C36928"/>
    <w:rsid w:val="00C369B4"/>
    <w:rsid w:val="00C36A6B"/>
    <w:rsid w:val="00C36BFB"/>
    <w:rsid w:val="00C36C1A"/>
    <w:rsid w:val="00C36E55"/>
    <w:rsid w:val="00C375F8"/>
    <w:rsid w:val="00C375FB"/>
    <w:rsid w:val="00C376B9"/>
    <w:rsid w:val="00C3781D"/>
    <w:rsid w:val="00C400B2"/>
    <w:rsid w:val="00C4065C"/>
    <w:rsid w:val="00C408A0"/>
    <w:rsid w:val="00C40A5F"/>
    <w:rsid w:val="00C40B1A"/>
    <w:rsid w:val="00C40B4D"/>
    <w:rsid w:val="00C40E26"/>
    <w:rsid w:val="00C40EA8"/>
    <w:rsid w:val="00C411AB"/>
    <w:rsid w:val="00C413EA"/>
    <w:rsid w:val="00C413EF"/>
    <w:rsid w:val="00C417BC"/>
    <w:rsid w:val="00C41A74"/>
    <w:rsid w:val="00C41C34"/>
    <w:rsid w:val="00C41C47"/>
    <w:rsid w:val="00C41D97"/>
    <w:rsid w:val="00C41F93"/>
    <w:rsid w:val="00C42007"/>
    <w:rsid w:val="00C4275E"/>
    <w:rsid w:val="00C429E4"/>
    <w:rsid w:val="00C42E60"/>
    <w:rsid w:val="00C43081"/>
    <w:rsid w:val="00C431B5"/>
    <w:rsid w:val="00C434C2"/>
    <w:rsid w:val="00C435CF"/>
    <w:rsid w:val="00C4367F"/>
    <w:rsid w:val="00C43958"/>
    <w:rsid w:val="00C43A15"/>
    <w:rsid w:val="00C43B60"/>
    <w:rsid w:val="00C43C9F"/>
    <w:rsid w:val="00C43EB7"/>
    <w:rsid w:val="00C441EA"/>
    <w:rsid w:val="00C44434"/>
    <w:rsid w:val="00C44531"/>
    <w:rsid w:val="00C44677"/>
    <w:rsid w:val="00C44AF6"/>
    <w:rsid w:val="00C45628"/>
    <w:rsid w:val="00C45CC2"/>
    <w:rsid w:val="00C45F5C"/>
    <w:rsid w:val="00C45F9E"/>
    <w:rsid w:val="00C45FE3"/>
    <w:rsid w:val="00C46171"/>
    <w:rsid w:val="00C46243"/>
    <w:rsid w:val="00C46A3E"/>
    <w:rsid w:val="00C46A99"/>
    <w:rsid w:val="00C46FB6"/>
    <w:rsid w:val="00C471F5"/>
    <w:rsid w:val="00C47211"/>
    <w:rsid w:val="00C4742C"/>
    <w:rsid w:val="00C4748D"/>
    <w:rsid w:val="00C476A6"/>
    <w:rsid w:val="00C47901"/>
    <w:rsid w:val="00C479A8"/>
    <w:rsid w:val="00C47ADC"/>
    <w:rsid w:val="00C50147"/>
    <w:rsid w:val="00C5014B"/>
    <w:rsid w:val="00C50508"/>
    <w:rsid w:val="00C50572"/>
    <w:rsid w:val="00C50AE6"/>
    <w:rsid w:val="00C50D5E"/>
    <w:rsid w:val="00C50D98"/>
    <w:rsid w:val="00C50E01"/>
    <w:rsid w:val="00C50FE3"/>
    <w:rsid w:val="00C510C7"/>
    <w:rsid w:val="00C51478"/>
    <w:rsid w:val="00C516BC"/>
    <w:rsid w:val="00C51820"/>
    <w:rsid w:val="00C51A14"/>
    <w:rsid w:val="00C522EA"/>
    <w:rsid w:val="00C52B87"/>
    <w:rsid w:val="00C52CFA"/>
    <w:rsid w:val="00C5314E"/>
    <w:rsid w:val="00C537A9"/>
    <w:rsid w:val="00C53916"/>
    <w:rsid w:val="00C53ECB"/>
    <w:rsid w:val="00C53F9C"/>
    <w:rsid w:val="00C54626"/>
    <w:rsid w:val="00C54981"/>
    <w:rsid w:val="00C54DA8"/>
    <w:rsid w:val="00C54F43"/>
    <w:rsid w:val="00C5537C"/>
    <w:rsid w:val="00C55433"/>
    <w:rsid w:val="00C558BC"/>
    <w:rsid w:val="00C55941"/>
    <w:rsid w:val="00C55D32"/>
    <w:rsid w:val="00C55ED8"/>
    <w:rsid w:val="00C5656F"/>
    <w:rsid w:val="00C569C6"/>
    <w:rsid w:val="00C56B0E"/>
    <w:rsid w:val="00C56B6F"/>
    <w:rsid w:val="00C5759F"/>
    <w:rsid w:val="00C57726"/>
    <w:rsid w:val="00C57BB0"/>
    <w:rsid w:val="00C57C48"/>
    <w:rsid w:val="00C57CCE"/>
    <w:rsid w:val="00C57E6A"/>
    <w:rsid w:val="00C57EC1"/>
    <w:rsid w:val="00C57EEA"/>
    <w:rsid w:val="00C57F9B"/>
    <w:rsid w:val="00C603FD"/>
    <w:rsid w:val="00C604A3"/>
    <w:rsid w:val="00C604EF"/>
    <w:rsid w:val="00C606FF"/>
    <w:rsid w:val="00C61427"/>
    <w:rsid w:val="00C61685"/>
    <w:rsid w:val="00C617EC"/>
    <w:rsid w:val="00C618B4"/>
    <w:rsid w:val="00C618BD"/>
    <w:rsid w:val="00C61F09"/>
    <w:rsid w:val="00C62176"/>
    <w:rsid w:val="00C62195"/>
    <w:rsid w:val="00C621D0"/>
    <w:rsid w:val="00C62329"/>
    <w:rsid w:val="00C623C7"/>
    <w:rsid w:val="00C62768"/>
    <w:rsid w:val="00C62C6E"/>
    <w:rsid w:val="00C6307A"/>
    <w:rsid w:val="00C631E9"/>
    <w:rsid w:val="00C63580"/>
    <w:rsid w:val="00C63D18"/>
    <w:rsid w:val="00C64004"/>
    <w:rsid w:val="00C64617"/>
    <w:rsid w:val="00C64CEB"/>
    <w:rsid w:val="00C6503E"/>
    <w:rsid w:val="00C652BA"/>
    <w:rsid w:val="00C65648"/>
    <w:rsid w:val="00C65BCB"/>
    <w:rsid w:val="00C6626C"/>
    <w:rsid w:val="00C664F2"/>
    <w:rsid w:val="00C664F8"/>
    <w:rsid w:val="00C666B2"/>
    <w:rsid w:val="00C66708"/>
    <w:rsid w:val="00C667C4"/>
    <w:rsid w:val="00C6688D"/>
    <w:rsid w:val="00C6697B"/>
    <w:rsid w:val="00C66C05"/>
    <w:rsid w:val="00C66C12"/>
    <w:rsid w:val="00C66C49"/>
    <w:rsid w:val="00C670BF"/>
    <w:rsid w:val="00C672FF"/>
    <w:rsid w:val="00C67303"/>
    <w:rsid w:val="00C6762E"/>
    <w:rsid w:val="00C67C95"/>
    <w:rsid w:val="00C7018B"/>
    <w:rsid w:val="00C702A2"/>
    <w:rsid w:val="00C70469"/>
    <w:rsid w:val="00C704D5"/>
    <w:rsid w:val="00C7094E"/>
    <w:rsid w:val="00C711F2"/>
    <w:rsid w:val="00C71335"/>
    <w:rsid w:val="00C7172A"/>
    <w:rsid w:val="00C71C2E"/>
    <w:rsid w:val="00C71F45"/>
    <w:rsid w:val="00C71F8B"/>
    <w:rsid w:val="00C720C4"/>
    <w:rsid w:val="00C72366"/>
    <w:rsid w:val="00C724B6"/>
    <w:rsid w:val="00C72733"/>
    <w:rsid w:val="00C72B3C"/>
    <w:rsid w:val="00C72C39"/>
    <w:rsid w:val="00C72CD3"/>
    <w:rsid w:val="00C73225"/>
    <w:rsid w:val="00C7373A"/>
    <w:rsid w:val="00C73F19"/>
    <w:rsid w:val="00C73F4F"/>
    <w:rsid w:val="00C74316"/>
    <w:rsid w:val="00C74412"/>
    <w:rsid w:val="00C747F1"/>
    <w:rsid w:val="00C74831"/>
    <w:rsid w:val="00C74974"/>
    <w:rsid w:val="00C74A32"/>
    <w:rsid w:val="00C74A41"/>
    <w:rsid w:val="00C74B68"/>
    <w:rsid w:val="00C74D8D"/>
    <w:rsid w:val="00C74EF4"/>
    <w:rsid w:val="00C75228"/>
    <w:rsid w:val="00C754FC"/>
    <w:rsid w:val="00C75626"/>
    <w:rsid w:val="00C75796"/>
    <w:rsid w:val="00C75916"/>
    <w:rsid w:val="00C75C0B"/>
    <w:rsid w:val="00C75F23"/>
    <w:rsid w:val="00C76358"/>
    <w:rsid w:val="00C7635B"/>
    <w:rsid w:val="00C7728A"/>
    <w:rsid w:val="00C775D7"/>
    <w:rsid w:val="00C775E3"/>
    <w:rsid w:val="00C77681"/>
    <w:rsid w:val="00C776F1"/>
    <w:rsid w:val="00C77ABF"/>
    <w:rsid w:val="00C77E07"/>
    <w:rsid w:val="00C77EC7"/>
    <w:rsid w:val="00C80052"/>
    <w:rsid w:val="00C803D6"/>
    <w:rsid w:val="00C80590"/>
    <w:rsid w:val="00C805A0"/>
    <w:rsid w:val="00C808BF"/>
    <w:rsid w:val="00C80B27"/>
    <w:rsid w:val="00C80BEE"/>
    <w:rsid w:val="00C80C04"/>
    <w:rsid w:val="00C80FD0"/>
    <w:rsid w:val="00C810B0"/>
    <w:rsid w:val="00C814AF"/>
    <w:rsid w:val="00C81952"/>
    <w:rsid w:val="00C81AF0"/>
    <w:rsid w:val="00C81B71"/>
    <w:rsid w:val="00C81E8D"/>
    <w:rsid w:val="00C82476"/>
    <w:rsid w:val="00C8259E"/>
    <w:rsid w:val="00C82759"/>
    <w:rsid w:val="00C8356A"/>
    <w:rsid w:val="00C8359F"/>
    <w:rsid w:val="00C83875"/>
    <w:rsid w:val="00C83A88"/>
    <w:rsid w:val="00C83AE1"/>
    <w:rsid w:val="00C83B52"/>
    <w:rsid w:val="00C83E9C"/>
    <w:rsid w:val="00C84059"/>
    <w:rsid w:val="00C841A9"/>
    <w:rsid w:val="00C84746"/>
    <w:rsid w:val="00C8490C"/>
    <w:rsid w:val="00C84EB3"/>
    <w:rsid w:val="00C851CC"/>
    <w:rsid w:val="00C85E42"/>
    <w:rsid w:val="00C85F4D"/>
    <w:rsid w:val="00C8617F"/>
    <w:rsid w:val="00C86642"/>
    <w:rsid w:val="00C86746"/>
    <w:rsid w:val="00C86FEC"/>
    <w:rsid w:val="00C8706A"/>
    <w:rsid w:val="00C87247"/>
    <w:rsid w:val="00C87287"/>
    <w:rsid w:val="00C87319"/>
    <w:rsid w:val="00C876E3"/>
    <w:rsid w:val="00C87841"/>
    <w:rsid w:val="00C87847"/>
    <w:rsid w:val="00C87964"/>
    <w:rsid w:val="00C87CAC"/>
    <w:rsid w:val="00C87D64"/>
    <w:rsid w:val="00C87DD1"/>
    <w:rsid w:val="00C9088E"/>
    <w:rsid w:val="00C90B27"/>
    <w:rsid w:val="00C90F9D"/>
    <w:rsid w:val="00C91155"/>
    <w:rsid w:val="00C9120B"/>
    <w:rsid w:val="00C91586"/>
    <w:rsid w:val="00C91611"/>
    <w:rsid w:val="00C91709"/>
    <w:rsid w:val="00C91AA9"/>
    <w:rsid w:val="00C920FB"/>
    <w:rsid w:val="00C92496"/>
    <w:rsid w:val="00C9263C"/>
    <w:rsid w:val="00C926A0"/>
    <w:rsid w:val="00C92742"/>
    <w:rsid w:val="00C929A2"/>
    <w:rsid w:val="00C92BA5"/>
    <w:rsid w:val="00C9311D"/>
    <w:rsid w:val="00C93327"/>
    <w:rsid w:val="00C938E6"/>
    <w:rsid w:val="00C93962"/>
    <w:rsid w:val="00C93A09"/>
    <w:rsid w:val="00C93D36"/>
    <w:rsid w:val="00C93F71"/>
    <w:rsid w:val="00C93F8F"/>
    <w:rsid w:val="00C93FF9"/>
    <w:rsid w:val="00C94137"/>
    <w:rsid w:val="00C9416E"/>
    <w:rsid w:val="00C9428C"/>
    <w:rsid w:val="00C94E90"/>
    <w:rsid w:val="00C94FB6"/>
    <w:rsid w:val="00C95011"/>
    <w:rsid w:val="00C95192"/>
    <w:rsid w:val="00C951C0"/>
    <w:rsid w:val="00C955B2"/>
    <w:rsid w:val="00C9567A"/>
    <w:rsid w:val="00C956E6"/>
    <w:rsid w:val="00C95779"/>
    <w:rsid w:val="00C95850"/>
    <w:rsid w:val="00C9597A"/>
    <w:rsid w:val="00C95A0A"/>
    <w:rsid w:val="00C95A1D"/>
    <w:rsid w:val="00C963A5"/>
    <w:rsid w:val="00C963B2"/>
    <w:rsid w:val="00C9693F"/>
    <w:rsid w:val="00C96D72"/>
    <w:rsid w:val="00C97102"/>
    <w:rsid w:val="00C97547"/>
    <w:rsid w:val="00C97578"/>
    <w:rsid w:val="00C9774D"/>
    <w:rsid w:val="00C97966"/>
    <w:rsid w:val="00C97D96"/>
    <w:rsid w:val="00C97F31"/>
    <w:rsid w:val="00CA03DD"/>
    <w:rsid w:val="00CA0420"/>
    <w:rsid w:val="00CA0A34"/>
    <w:rsid w:val="00CA0C5C"/>
    <w:rsid w:val="00CA0E33"/>
    <w:rsid w:val="00CA0E6B"/>
    <w:rsid w:val="00CA0EDA"/>
    <w:rsid w:val="00CA1288"/>
    <w:rsid w:val="00CA1702"/>
    <w:rsid w:val="00CA17DE"/>
    <w:rsid w:val="00CA1852"/>
    <w:rsid w:val="00CA1AA2"/>
    <w:rsid w:val="00CA1B49"/>
    <w:rsid w:val="00CA2387"/>
    <w:rsid w:val="00CA2437"/>
    <w:rsid w:val="00CA26BD"/>
    <w:rsid w:val="00CA2B30"/>
    <w:rsid w:val="00CA2DCB"/>
    <w:rsid w:val="00CA2F0A"/>
    <w:rsid w:val="00CA2F4D"/>
    <w:rsid w:val="00CA30BF"/>
    <w:rsid w:val="00CA330F"/>
    <w:rsid w:val="00CA3363"/>
    <w:rsid w:val="00CA338A"/>
    <w:rsid w:val="00CA3510"/>
    <w:rsid w:val="00CA3577"/>
    <w:rsid w:val="00CA39A2"/>
    <w:rsid w:val="00CA3A89"/>
    <w:rsid w:val="00CA3B3D"/>
    <w:rsid w:val="00CA461D"/>
    <w:rsid w:val="00CA482A"/>
    <w:rsid w:val="00CA482C"/>
    <w:rsid w:val="00CA4C47"/>
    <w:rsid w:val="00CA4C4C"/>
    <w:rsid w:val="00CA4E3E"/>
    <w:rsid w:val="00CA527A"/>
    <w:rsid w:val="00CA53AB"/>
    <w:rsid w:val="00CA6452"/>
    <w:rsid w:val="00CA648A"/>
    <w:rsid w:val="00CA64E2"/>
    <w:rsid w:val="00CA65EC"/>
    <w:rsid w:val="00CA6BC2"/>
    <w:rsid w:val="00CA6DE1"/>
    <w:rsid w:val="00CA7349"/>
    <w:rsid w:val="00CA79CF"/>
    <w:rsid w:val="00CA7B44"/>
    <w:rsid w:val="00CA7D21"/>
    <w:rsid w:val="00CB1264"/>
    <w:rsid w:val="00CB1602"/>
    <w:rsid w:val="00CB163E"/>
    <w:rsid w:val="00CB1B94"/>
    <w:rsid w:val="00CB21EA"/>
    <w:rsid w:val="00CB29B5"/>
    <w:rsid w:val="00CB2A2C"/>
    <w:rsid w:val="00CB3263"/>
    <w:rsid w:val="00CB33F4"/>
    <w:rsid w:val="00CB35BF"/>
    <w:rsid w:val="00CB4262"/>
    <w:rsid w:val="00CB42ED"/>
    <w:rsid w:val="00CB454A"/>
    <w:rsid w:val="00CB4756"/>
    <w:rsid w:val="00CB4AE7"/>
    <w:rsid w:val="00CB4B66"/>
    <w:rsid w:val="00CB4CAF"/>
    <w:rsid w:val="00CB4FB6"/>
    <w:rsid w:val="00CB50EB"/>
    <w:rsid w:val="00CB571E"/>
    <w:rsid w:val="00CB58B5"/>
    <w:rsid w:val="00CB5E56"/>
    <w:rsid w:val="00CB601F"/>
    <w:rsid w:val="00CB6087"/>
    <w:rsid w:val="00CB60D3"/>
    <w:rsid w:val="00CB63F3"/>
    <w:rsid w:val="00CB668F"/>
    <w:rsid w:val="00CB6A6D"/>
    <w:rsid w:val="00CB6E70"/>
    <w:rsid w:val="00CB7001"/>
    <w:rsid w:val="00CB725E"/>
    <w:rsid w:val="00CB7443"/>
    <w:rsid w:val="00CB75CF"/>
    <w:rsid w:val="00CC04C3"/>
    <w:rsid w:val="00CC0559"/>
    <w:rsid w:val="00CC0887"/>
    <w:rsid w:val="00CC0AF5"/>
    <w:rsid w:val="00CC0C60"/>
    <w:rsid w:val="00CC0CA0"/>
    <w:rsid w:val="00CC1056"/>
    <w:rsid w:val="00CC128B"/>
    <w:rsid w:val="00CC20F5"/>
    <w:rsid w:val="00CC252D"/>
    <w:rsid w:val="00CC258C"/>
    <w:rsid w:val="00CC2698"/>
    <w:rsid w:val="00CC2926"/>
    <w:rsid w:val="00CC2DD1"/>
    <w:rsid w:val="00CC2F9B"/>
    <w:rsid w:val="00CC3188"/>
    <w:rsid w:val="00CC3458"/>
    <w:rsid w:val="00CC3798"/>
    <w:rsid w:val="00CC397C"/>
    <w:rsid w:val="00CC3A11"/>
    <w:rsid w:val="00CC3B6D"/>
    <w:rsid w:val="00CC3EA0"/>
    <w:rsid w:val="00CC422B"/>
    <w:rsid w:val="00CC455D"/>
    <w:rsid w:val="00CC46EE"/>
    <w:rsid w:val="00CC4C56"/>
    <w:rsid w:val="00CC4D0E"/>
    <w:rsid w:val="00CC4FAD"/>
    <w:rsid w:val="00CC4FFF"/>
    <w:rsid w:val="00CC58E9"/>
    <w:rsid w:val="00CC5989"/>
    <w:rsid w:val="00CC5B62"/>
    <w:rsid w:val="00CC605F"/>
    <w:rsid w:val="00CC6273"/>
    <w:rsid w:val="00CC6612"/>
    <w:rsid w:val="00CC6810"/>
    <w:rsid w:val="00CC6906"/>
    <w:rsid w:val="00CC6C76"/>
    <w:rsid w:val="00CC6DA4"/>
    <w:rsid w:val="00CC6E78"/>
    <w:rsid w:val="00CC76DF"/>
    <w:rsid w:val="00CC7797"/>
    <w:rsid w:val="00CC7938"/>
    <w:rsid w:val="00CC7A5A"/>
    <w:rsid w:val="00CC7B31"/>
    <w:rsid w:val="00CC7BB2"/>
    <w:rsid w:val="00CD00A5"/>
    <w:rsid w:val="00CD00C2"/>
    <w:rsid w:val="00CD00EB"/>
    <w:rsid w:val="00CD0674"/>
    <w:rsid w:val="00CD07BF"/>
    <w:rsid w:val="00CD0AB5"/>
    <w:rsid w:val="00CD0B50"/>
    <w:rsid w:val="00CD111C"/>
    <w:rsid w:val="00CD1723"/>
    <w:rsid w:val="00CD198F"/>
    <w:rsid w:val="00CD2238"/>
    <w:rsid w:val="00CD2822"/>
    <w:rsid w:val="00CD29E8"/>
    <w:rsid w:val="00CD2AAE"/>
    <w:rsid w:val="00CD2B0D"/>
    <w:rsid w:val="00CD2D08"/>
    <w:rsid w:val="00CD3111"/>
    <w:rsid w:val="00CD3195"/>
    <w:rsid w:val="00CD36F0"/>
    <w:rsid w:val="00CD389F"/>
    <w:rsid w:val="00CD3E59"/>
    <w:rsid w:val="00CD3E66"/>
    <w:rsid w:val="00CD4028"/>
    <w:rsid w:val="00CD4189"/>
    <w:rsid w:val="00CD43AB"/>
    <w:rsid w:val="00CD440B"/>
    <w:rsid w:val="00CD4452"/>
    <w:rsid w:val="00CD478C"/>
    <w:rsid w:val="00CD494B"/>
    <w:rsid w:val="00CD4A35"/>
    <w:rsid w:val="00CD4A51"/>
    <w:rsid w:val="00CD4B3C"/>
    <w:rsid w:val="00CD5136"/>
    <w:rsid w:val="00CD5191"/>
    <w:rsid w:val="00CD5245"/>
    <w:rsid w:val="00CD577A"/>
    <w:rsid w:val="00CD57B1"/>
    <w:rsid w:val="00CD5853"/>
    <w:rsid w:val="00CD5B17"/>
    <w:rsid w:val="00CD5D43"/>
    <w:rsid w:val="00CD5E57"/>
    <w:rsid w:val="00CD62CC"/>
    <w:rsid w:val="00CD68C0"/>
    <w:rsid w:val="00CD6BA6"/>
    <w:rsid w:val="00CD6DFD"/>
    <w:rsid w:val="00CD6F56"/>
    <w:rsid w:val="00CD70AE"/>
    <w:rsid w:val="00CD70E8"/>
    <w:rsid w:val="00CD73BF"/>
    <w:rsid w:val="00CD73C6"/>
    <w:rsid w:val="00CD7457"/>
    <w:rsid w:val="00CD76C5"/>
    <w:rsid w:val="00CD79DA"/>
    <w:rsid w:val="00CD7E63"/>
    <w:rsid w:val="00CD7F97"/>
    <w:rsid w:val="00CE01CF"/>
    <w:rsid w:val="00CE02E9"/>
    <w:rsid w:val="00CE030B"/>
    <w:rsid w:val="00CE08AA"/>
    <w:rsid w:val="00CE0CCB"/>
    <w:rsid w:val="00CE0DC2"/>
    <w:rsid w:val="00CE1273"/>
    <w:rsid w:val="00CE13DE"/>
    <w:rsid w:val="00CE14C6"/>
    <w:rsid w:val="00CE160E"/>
    <w:rsid w:val="00CE16BD"/>
    <w:rsid w:val="00CE1C54"/>
    <w:rsid w:val="00CE1F9E"/>
    <w:rsid w:val="00CE2029"/>
    <w:rsid w:val="00CE218C"/>
    <w:rsid w:val="00CE2756"/>
    <w:rsid w:val="00CE2787"/>
    <w:rsid w:val="00CE28B3"/>
    <w:rsid w:val="00CE2943"/>
    <w:rsid w:val="00CE2F58"/>
    <w:rsid w:val="00CE3258"/>
    <w:rsid w:val="00CE36FA"/>
    <w:rsid w:val="00CE3700"/>
    <w:rsid w:val="00CE3904"/>
    <w:rsid w:val="00CE3DD4"/>
    <w:rsid w:val="00CE3FCF"/>
    <w:rsid w:val="00CE3FD0"/>
    <w:rsid w:val="00CE43B2"/>
    <w:rsid w:val="00CE48F8"/>
    <w:rsid w:val="00CE4966"/>
    <w:rsid w:val="00CE4E8C"/>
    <w:rsid w:val="00CE4EA4"/>
    <w:rsid w:val="00CE501A"/>
    <w:rsid w:val="00CE50FE"/>
    <w:rsid w:val="00CE53AC"/>
    <w:rsid w:val="00CE596C"/>
    <w:rsid w:val="00CE59F6"/>
    <w:rsid w:val="00CE5A41"/>
    <w:rsid w:val="00CE60F6"/>
    <w:rsid w:val="00CE6188"/>
    <w:rsid w:val="00CE638B"/>
    <w:rsid w:val="00CE6452"/>
    <w:rsid w:val="00CE6465"/>
    <w:rsid w:val="00CE66A6"/>
    <w:rsid w:val="00CE675B"/>
    <w:rsid w:val="00CE68E2"/>
    <w:rsid w:val="00CE69D0"/>
    <w:rsid w:val="00CE6AB1"/>
    <w:rsid w:val="00CE6EDC"/>
    <w:rsid w:val="00CE7D5F"/>
    <w:rsid w:val="00CE7FF1"/>
    <w:rsid w:val="00CF0321"/>
    <w:rsid w:val="00CF091A"/>
    <w:rsid w:val="00CF13FE"/>
    <w:rsid w:val="00CF149C"/>
    <w:rsid w:val="00CF1907"/>
    <w:rsid w:val="00CF1987"/>
    <w:rsid w:val="00CF1A76"/>
    <w:rsid w:val="00CF1B6A"/>
    <w:rsid w:val="00CF1FA2"/>
    <w:rsid w:val="00CF25CC"/>
    <w:rsid w:val="00CF2648"/>
    <w:rsid w:val="00CF3206"/>
    <w:rsid w:val="00CF3273"/>
    <w:rsid w:val="00CF3541"/>
    <w:rsid w:val="00CF3602"/>
    <w:rsid w:val="00CF3750"/>
    <w:rsid w:val="00CF395E"/>
    <w:rsid w:val="00CF39C3"/>
    <w:rsid w:val="00CF3A0F"/>
    <w:rsid w:val="00CF3A39"/>
    <w:rsid w:val="00CF451E"/>
    <w:rsid w:val="00CF46FC"/>
    <w:rsid w:val="00CF4964"/>
    <w:rsid w:val="00CF51A7"/>
    <w:rsid w:val="00CF531A"/>
    <w:rsid w:val="00CF5776"/>
    <w:rsid w:val="00CF5C24"/>
    <w:rsid w:val="00CF62DE"/>
    <w:rsid w:val="00CF6D68"/>
    <w:rsid w:val="00CF6E2F"/>
    <w:rsid w:val="00CF6F34"/>
    <w:rsid w:val="00CF73D2"/>
    <w:rsid w:val="00CF7895"/>
    <w:rsid w:val="00CF79D9"/>
    <w:rsid w:val="00CF7BC8"/>
    <w:rsid w:val="00CF7BD1"/>
    <w:rsid w:val="00CF7C8A"/>
    <w:rsid w:val="00CF7EE1"/>
    <w:rsid w:val="00CF7EF6"/>
    <w:rsid w:val="00D00064"/>
    <w:rsid w:val="00D005C6"/>
    <w:rsid w:val="00D00955"/>
    <w:rsid w:val="00D00F97"/>
    <w:rsid w:val="00D0110A"/>
    <w:rsid w:val="00D01412"/>
    <w:rsid w:val="00D015F8"/>
    <w:rsid w:val="00D01893"/>
    <w:rsid w:val="00D01A9B"/>
    <w:rsid w:val="00D01AF1"/>
    <w:rsid w:val="00D02149"/>
    <w:rsid w:val="00D02501"/>
    <w:rsid w:val="00D0276C"/>
    <w:rsid w:val="00D02958"/>
    <w:rsid w:val="00D02BE7"/>
    <w:rsid w:val="00D02E3B"/>
    <w:rsid w:val="00D02FD5"/>
    <w:rsid w:val="00D030AD"/>
    <w:rsid w:val="00D034CE"/>
    <w:rsid w:val="00D03C30"/>
    <w:rsid w:val="00D03DB7"/>
    <w:rsid w:val="00D0451B"/>
    <w:rsid w:val="00D045C0"/>
    <w:rsid w:val="00D047CE"/>
    <w:rsid w:val="00D04F6F"/>
    <w:rsid w:val="00D05052"/>
    <w:rsid w:val="00D0558D"/>
    <w:rsid w:val="00D057B0"/>
    <w:rsid w:val="00D05B4F"/>
    <w:rsid w:val="00D05C89"/>
    <w:rsid w:val="00D05D4C"/>
    <w:rsid w:val="00D061B3"/>
    <w:rsid w:val="00D062BF"/>
    <w:rsid w:val="00D067A1"/>
    <w:rsid w:val="00D068E0"/>
    <w:rsid w:val="00D06A25"/>
    <w:rsid w:val="00D06C91"/>
    <w:rsid w:val="00D0701D"/>
    <w:rsid w:val="00D0740D"/>
    <w:rsid w:val="00D077A4"/>
    <w:rsid w:val="00D077F6"/>
    <w:rsid w:val="00D07907"/>
    <w:rsid w:val="00D079FF"/>
    <w:rsid w:val="00D07BDE"/>
    <w:rsid w:val="00D07DED"/>
    <w:rsid w:val="00D07EEC"/>
    <w:rsid w:val="00D07FDE"/>
    <w:rsid w:val="00D10675"/>
    <w:rsid w:val="00D10809"/>
    <w:rsid w:val="00D10A56"/>
    <w:rsid w:val="00D10CA4"/>
    <w:rsid w:val="00D10D35"/>
    <w:rsid w:val="00D1103A"/>
    <w:rsid w:val="00D1115D"/>
    <w:rsid w:val="00D1119A"/>
    <w:rsid w:val="00D111F6"/>
    <w:rsid w:val="00D11A83"/>
    <w:rsid w:val="00D129B2"/>
    <w:rsid w:val="00D12BA7"/>
    <w:rsid w:val="00D12BE0"/>
    <w:rsid w:val="00D12F23"/>
    <w:rsid w:val="00D12F60"/>
    <w:rsid w:val="00D13037"/>
    <w:rsid w:val="00D1307E"/>
    <w:rsid w:val="00D1323F"/>
    <w:rsid w:val="00D13387"/>
    <w:rsid w:val="00D133FA"/>
    <w:rsid w:val="00D1359A"/>
    <w:rsid w:val="00D137C2"/>
    <w:rsid w:val="00D13B36"/>
    <w:rsid w:val="00D13C18"/>
    <w:rsid w:val="00D13CF9"/>
    <w:rsid w:val="00D14C68"/>
    <w:rsid w:val="00D15140"/>
    <w:rsid w:val="00D153ED"/>
    <w:rsid w:val="00D15448"/>
    <w:rsid w:val="00D1599F"/>
    <w:rsid w:val="00D15BEA"/>
    <w:rsid w:val="00D15BF4"/>
    <w:rsid w:val="00D16092"/>
    <w:rsid w:val="00D16243"/>
    <w:rsid w:val="00D162EB"/>
    <w:rsid w:val="00D163AD"/>
    <w:rsid w:val="00D164E4"/>
    <w:rsid w:val="00D16681"/>
    <w:rsid w:val="00D1694F"/>
    <w:rsid w:val="00D16BAF"/>
    <w:rsid w:val="00D16F3E"/>
    <w:rsid w:val="00D17106"/>
    <w:rsid w:val="00D17694"/>
    <w:rsid w:val="00D17953"/>
    <w:rsid w:val="00D20363"/>
    <w:rsid w:val="00D203EE"/>
    <w:rsid w:val="00D2073B"/>
    <w:rsid w:val="00D20ED1"/>
    <w:rsid w:val="00D20EDA"/>
    <w:rsid w:val="00D212B5"/>
    <w:rsid w:val="00D21CCB"/>
    <w:rsid w:val="00D223E7"/>
    <w:rsid w:val="00D227D1"/>
    <w:rsid w:val="00D22862"/>
    <w:rsid w:val="00D22A2D"/>
    <w:rsid w:val="00D22B86"/>
    <w:rsid w:val="00D22B8D"/>
    <w:rsid w:val="00D22E6E"/>
    <w:rsid w:val="00D231F8"/>
    <w:rsid w:val="00D234B5"/>
    <w:rsid w:val="00D2351F"/>
    <w:rsid w:val="00D23F25"/>
    <w:rsid w:val="00D2405C"/>
    <w:rsid w:val="00D240F2"/>
    <w:rsid w:val="00D24A9A"/>
    <w:rsid w:val="00D24C5A"/>
    <w:rsid w:val="00D252DF"/>
    <w:rsid w:val="00D253F8"/>
    <w:rsid w:val="00D2540C"/>
    <w:rsid w:val="00D254DA"/>
    <w:rsid w:val="00D256A3"/>
    <w:rsid w:val="00D25C74"/>
    <w:rsid w:val="00D25E93"/>
    <w:rsid w:val="00D263F4"/>
    <w:rsid w:val="00D26B44"/>
    <w:rsid w:val="00D26E5C"/>
    <w:rsid w:val="00D26E70"/>
    <w:rsid w:val="00D27274"/>
    <w:rsid w:val="00D273C0"/>
    <w:rsid w:val="00D27E2B"/>
    <w:rsid w:val="00D27EF9"/>
    <w:rsid w:val="00D27FDA"/>
    <w:rsid w:val="00D30262"/>
    <w:rsid w:val="00D30480"/>
    <w:rsid w:val="00D3051C"/>
    <w:rsid w:val="00D30C48"/>
    <w:rsid w:val="00D30F1E"/>
    <w:rsid w:val="00D312EE"/>
    <w:rsid w:val="00D31472"/>
    <w:rsid w:val="00D3181A"/>
    <w:rsid w:val="00D31C7C"/>
    <w:rsid w:val="00D31D55"/>
    <w:rsid w:val="00D31FE4"/>
    <w:rsid w:val="00D32908"/>
    <w:rsid w:val="00D32980"/>
    <w:rsid w:val="00D330E2"/>
    <w:rsid w:val="00D331FF"/>
    <w:rsid w:val="00D33283"/>
    <w:rsid w:val="00D334C4"/>
    <w:rsid w:val="00D3387A"/>
    <w:rsid w:val="00D33C36"/>
    <w:rsid w:val="00D33FCD"/>
    <w:rsid w:val="00D341D0"/>
    <w:rsid w:val="00D343D3"/>
    <w:rsid w:val="00D34459"/>
    <w:rsid w:val="00D34468"/>
    <w:rsid w:val="00D3456B"/>
    <w:rsid w:val="00D34590"/>
    <w:rsid w:val="00D346C9"/>
    <w:rsid w:val="00D34BC0"/>
    <w:rsid w:val="00D34DBF"/>
    <w:rsid w:val="00D34FEE"/>
    <w:rsid w:val="00D35578"/>
    <w:rsid w:val="00D3563B"/>
    <w:rsid w:val="00D3563E"/>
    <w:rsid w:val="00D35A4D"/>
    <w:rsid w:val="00D35C27"/>
    <w:rsid w:val="00D35C97"/>
    <w:rsid w:val="00D35D41"/>
    <w:rsid w:val="00D35E0C"/>
    <w:rsid w:val="00D3611E"/>
    <w:rsid w:val="00D36328"/>
    <w:rsid w:val="00D36712"/>
    <w:rsid w:val="00D36A29"/>
    <w:rsid w:val="00D36A3E"/>
    <w:rsid w:val="00D36AF0"/>
    <w:rsid w:val="00D36B71"/>
    <w:rsid w:val="00D36CE6"/>
    <w:rsid w:val="00D3783F"/>
    <w:rsid w:val="00D37A80"/>
    <w:rsid w:val="00D37E43"/>
    <w:rsid w:val="00D402EA"/>
    <w:rsid w:val="00D40D37"/>
    <w:rsid w:val="00D41265"/>
    <w:rsid w:val="00D41560"/>
    <w:rsid w:val="00D41623"/>
    <w:rsid w:val="00D41773"/>
    <w:rsid w:val="00D419D0"/>
    <w:rsid w:val="00D41AAD"/>
    <w:rsid w:val="00D41F93"/>
    <w:rsid w:val="00D42138"/>
    <w:rsid w:val="00D42555"/>
    <w:rsid w:val="00D425FB"/>
    <w:rsid w:val="00D42898"/>
    <w:rsid w:val="00D4294C"/>
    <w:rsid w:val="00D42BDF"/>
    <w:rsid w:val="00D4310A"/>
    <w:rsid w:val="00D43552"/>
    <w:rsid w:val="00D4382C"/>
    <w:rsid w:val="00D43A95"/>
    <w:rsid w:val="00D44033"/>
    <w:rsid w:val="00D44252"/>
    <w:rsid w:val="00D4430F"/>
    <w:rsid w:val="00D44475"/>
    <w:rsid w:val="00D444B8"/>
    <w:rsid w:val="00D44734"/>
    <w:rsid w:val="00D44AE9"/>
    <w:rsid w:val="00D44C98"/>
    <w:rsid w:val="00D4525C"/>
    <w:rsid w:val="00D4580B"/>
    <w:rsid w:val="00D45ACA"/>
    <w:rsid w:val="00D45CFF"/>
    <w:rsid w:val="00D45E7C"/>
    <w:rsid w:val="00D4653C"/>
    <w:rsid w:val="00D46643"/>
    <w:rsid w:val="00D4665D"/>
    <w:rsid w:val="00D46A45"/>
    <w:rsid w:val="00D46C7A"/>
    <w:rsid w:val="00D46E0B"/>
    <w:rsid w:val="00D46F78"/>
    <w:rsid w:val="00D47239"/>
    <w:rsid w:val="00D47820"/>
    <w:rsid w:val="00D47BA5"/>
    <w:rsid w:val="00D500FE"/>
    <w:rsid w:val="00D503A7"/>
    <w:rsid w:val="00D505DF"/>
    <w:rsid w:val="00D5071A"/>
    <w:rsid w:val="00D5074E"/>
    <w:rsid w:val="00D5090B"/>
    <w:rsid w:val="00D50A45"/>
    <w:rsid w:val="00D5112A"/>
    <w:rsid w:val="00D51196"/>
    <w:rsid w:val="00D5141D"/>
    <w:rsid w:val="00D515CD"/>
    <w:rsid w:val="00D516F0"/>
    <w:rsid w:val="00D51F6A"/>
    <w:rsid w:val="00D521F5"/>
    <w:rsid w:val="00D523A0"/>
    <w:rsid w:val="00D5316F"/>
    <w:rsid w:val="00D53746"/>
    <w:rsid w:val="00D5393D"/>
    <w:rsid w:val="00D53A4F"/>
    <w:rsid w:val="00D53A70"/>
    <w:rsid w:val="00D53A8C"/>
    <w:rsid w:val="00D53C9C"/>
    <w:rsid w:val="00D54443"/>
    <w:rsid w:val="00D54561"/>
    <w:rsid w:val="00D54572"/>
    <w:rsid w:val="00D54608"/>
    <w:rsid w:val="00D54862"/>
    <w:rsid w:val="00D548F9"/>
    <w:rsid w:val="00D54B2F"/>
    <w:rsid w:val="00D54F5A"/>
    <w:rsid w:val="00D55382"/>
    <w:rsid w:val="00D554B0"/>
    <w:rsid w:val="00D554D5"/>
    <w:rsid w:val="00D55515"/>
    <w:rsid w:val="00D55714"/>
    <w:rsid w:val="00D55A37"/>
    <w:rsid w:val="00D55C0B"/>
    <w:rsid w:val="00D5645D"/>
    <w:rsid w:val="00D56526"/>
    <w:rsid w:val="00D56562"/>
    <w:rsid w:val="00D565C1"/>
    <w:rsid w:val="00D5663E"/>
    <w:rsid w:val="00D5680D"/>
    <w:rsid w:val="00D573F5"/>
    <w:rsid w:val="00D575CA"/>
    <w:rsid w:val="00D57681"/>
    <w:rsid w:val="00D57B1B"/>
    <w:rsid w:val="00D57F93"/>
    <w:rsid w:val="00D60583"/>
    <w:rsid w:val="00D60C0C"/>
    <w:rsid w:val="00D60E66"/>
    <w:rsid w:val="00D61271"/>
    <w:rsid w:val="00D61509"/>
    <w:rsid w:val="00D61521"/>
    <w:rsid w:val="00D617A5"/>
    <w:rsid w:val="00D61887"/>
    <w:rsid w:val="00D61BE6"/>
    <w:rsid w:val="00D61CA0"/>
    <w:rsid w:val="00D61E07"/>
    <w:rsid w:val="00D624B8"/>
    <w:rsid w:val="00D624CB"/>
    <w:rsid w:val="00D62A6C"/>
    <w:rsid w:val="00D62BE6"/>
    <w:rsid w:val="00D62E16"/>
    <w:rsid w:val="00D63170"/>
    <w:rsid w:val="00D633D2"/>
    <w:rsid w:val="00D63491"/>
    <w:rsid w:val="00D6377E"/>
    <w:rsid w:val="00D63B04"/>
    <w:rsid w:val="00D63CCB"/>
    <w:rsid w:val="00D63F52"/>
    <w:rsid w:val="00D6410F"/>
    <w:rsid w:val="00D64818"/>
    <w:rsid w:val="00D64C59"/>
    <w:rsid w:val="00D64CDC"/>
    <w:rsid w:val="00D6501C"/>
    <w:rsid w:val="00D65498"/>
    <w:rsid w:val="00D655D3"/>
    <w:rsid w:val="00D657A3"/>
    <w:rsid w:val="00D659B7"/>
    <w:rsid w:val="00D65C53"/>
    <w:rsid w:val="00D65CAF"/>
    <w:rsid w:val="00D66176"/>
    <w:rsid w:val="00D66327"/>
    <w:rsid w:val="00D66360"/>
    <w:rsid w:val="00D663F0"/>
    <w:rsid w:val="00D67043"/>
    <w:rsid w:val="00D672A9"/>
    <w:rsid w:val="00D67371"/>
    <w:rsid w:val="00D67559"/>
    <w:rsid w:val="00D70089"/>
    <w:rsid w:val="00D706E9"/>
    <w:rsid w:val="00D709E1"/>
    <w:rsid w:val="00D70AAD"/>
    <w:rsid w:val="00D7156B"/>
    <w:rsid w:val="00D718B6"/>
    <w:rsid w:val="00D71C8D"/>
    <w:rsid w:val="00D71DCA"/>
    <w:rsid w:val="00D72168"/>
    <w:rsid w:val="00D7238D"/>
    <w:rsid w:val="00D726EB"/>
    <w:rsid w:val="00D72895"/>
    <w:rsid w:val="00D728B0"/>
    <w:rsid w:val="00D729E9"/>
    <w:rsid w:val="00D72CB6"/>
    <w:rsid w:val="00D73025"/>
    <w:rsid w:val="00D73053"/>
    <w:rsid w:val="00D73235"/>
    <w:rsid w:val="00D732AD"/>
    <w:rsid w:val="00D732E9"/>
    <w:rsid w:val="00D73378"/>
    <w:rsid w:val="00D73542"/>
    <w:rsid w:val="00D7362E"/>
    <w:rsid w:val="00D73889"/>
    <w:rsid w:val="00D73B3C"/>
    <w:rsid w:val="00D73B64"/>
    <w:rsid w:val="00D73CF3"/>
    <w:rsid w:val="00D73F1B"/>
    <w:rsid w:val="00D7415A"/>
    <w:rsid w:val="00D743FE"/>
    <w:rsid w:val="00D745BC"/>
    <w:rsid w:val="00D74C4D"/>
    <w:rsid w:val="00D74F37"/>
    <w:rsid w:val="00D752B3"/>
    <w:rsid w:val="00D758ED"/>
    <w:rsid w:val="00D759DD"/>
    <w:rsid w:val="00D75B9A"/>
    <w:rsid w:val="00D75BD3"/>
    <w:rsid w:val="00D7606A"/>
    <w:rsid w:val="00D771A4"/>
    <w:rsid w:val="00D7739A"/>
    <w:rsid w:val="00D77863"/>
    <w:rsid w:val="00D779E8"/>
    <w:rsid w:val="00D779FB"/>
    <w:rsid w:val="00D77A23"/>
    <w:rsid w:val="00D77AE4"/>
    <w:rsid w:val="00D77EA5"/>
    <w:rsid w:val="00D77F1A"/>
    <w:rsid w:val="00D802EE"/>
    <w:rsid w:val="00D802F6"/>
    <w:rsid w:val="00D8044A"/>
    <w:rsid w:val="00D809E5"/>
    <w:rsid w:val="00D809F1"/>
    <w:rsid w:val="00D813A0"/>
    <w:rsid w:val="00D8184C"/>
    <w:rsid w:val="00D8231E"/>
    <w:rsid w:val="00D82567"/>
    <w:rsid w:val="00D826D7"/>
    <w:rsid w:val="00D826E8"/>
    <w:rsid w:val="00D829E4"/>
    <w:rsid w:val="00D82A20"/>
    <w:rsid w:val="00D82A7F"/>
    <w:rsid w:val="00D82A87"/>
    <w:rsid w:val="00D82CBB"/>
    <w:rsid w:val="00D831BA"/>
    <w:rsid w:val="00D836E5"/>
    <w:rsid w:val="00D8377A"/>
    <w:rsid w:val="00D83CD3"/>
    <w:rsid w:val="00D84035"/>
    <w:rsid w:val="00D842D0"/>
    <w:rsid w:val="00D84385"/>
    <w:rsid w:val="00D8472D"/>
    <w:rsid w:val="00D84D51"/>
    <w:rsid w:val="00D84D9B"/>
    <w:rsid w:val="00D84E95"/>
    <w:rsid w:val="00D84FBF"/>
    <w:rsid w:val="00D85027"/>
    <w:rsid w:val="00D85357"/>
    <w:rsid w:val="00D85460"/>
    <w:rsid w:val="00D854D4"/>
    <w:rsid w:val="00D85DF0"/>
    <w:rsid w:val="00D85E7F"/>
    <w:rsid w:val="00D8617D"/>
    <w:rsid w:val="00D86434"/>
    <w:rsid w:val="00D867D8"/>
    <w:rsid w:val="00D86833"/>
    <w:rsid w:val="00D86999"/>
    <w:rsid w:val="00D86DC4"/>
    <w:rsid w:val="00D872EC"/>
    <w:rsid w:val="00D87E37"/>
    <w:rsid w:val="00D87F11"/>
    <w:rsid w:val="00D90156"/>
    <w:rsid w:val="00D901D5"/>
    <w:rsid w:val="00D903FB"/>
    <w:rsid w:val="00D9046B"/>
    <w:rsid w:val="00D90C8B"/>
    <w:rsid w:val="00D90D62"/>
    <w:rsid w:val="00D90D6A"/>
    <w:rsid w:val="00D90DE7"/>
    <w:rsid w:val="00D90F86"/>
    <w:rsid w:val="00D91507"/>
    <w:rsid w:val="00D917C0"/>
    <w:rsid w:val="00D91ACC"/>
    <w:rsid w:val="00D91C37"/>
    <w:rsid w:val="00D9217F"/>
    <w:rsid w:val="00D925A4"/>
    <w:rsid w:val="00D925B6"/>
    <w:rsid w:val="00D9271A"/>
    <w:rsid w:val="00D92947"/>
    <w:rsid w:val="00D9297A"/>
    <w:rsid w:val="00D92D46"/>
    <w:rsid w:val="00D92D9B"/>
    <w:rsid w:val="00D92E06"/>
    <w:rsid w:val="00D92ED7"/>
    <w:rsid w:val="00D932B2"/>
    <w:rsid w:val="00D93649"/>
    <w:rsid w:val="00D936F3"/>
    <w:rsid w:val="00D93776"/>
    <w:rsid w:val="00D93AD1"/>
    <w:rsid w:val="00D93CD3"/>
    <w:rsid w:val="00D93E46"/>
    <w:rsid w:val="00D941AB"/>
    <w:rsid w:val="00D949D7"/>
    <w:rsid w:val="00D94B08"/>
    <w:rsid w:val="00D95321"/>
    <w:rsid w:val="00D95371"/>
    <w:rsid w:val="00D9542A"/>
    <w:rsid w:val="00D956CD"/>
    <w:rsid w:val="00D95A91"/>
    <w:rsid w:val="00D95BF1"/>
    <w:rsid w:val="00D9642A"/>
    <w:rsid w:val="00D9646C"/>
    <w:rsid w:val="00D96719"/>
    <w:rsid w:val="00D9751B"/>
    <w:rsid w:val="00D97A88"/>
    <w:rsid w:val="00D97B1B"/>
    <w:rsid w:val="00D97BCF"/>
    <w:rsid w:val="00DA0087"/>
    <w:rsid w:val="00DA05B8"/>
    <w:rsid w:val="00DA0A37"/>
    <w:rsid w:val="00DA0AC7"/>
    <w:rsid w:val="00DA0CD7"/>
    <w:rsid w:val="00DA0F90"/>
    <w:rsid w:val="00DA185E"/>
    <w:rsid w:val="00DA1971"/>
    <w:rsid w:val="00DA1B58"/>
    <w:rsid w:val="00DA1D28"/>
    <w:rsid w:val="00DA24F4"/>
    <w:rsid w:val="00DA250A"/>
    <w:rsid w:val="00DA2761"/>
    <w:rsid w:val="00DA27E3"/>
    <w:rsid w:val="00DA2851"/>
    <w:rsid w:val="00DA2A17"/>
    <w:rsid w:val="00DA2B0C"/>
    <w:rsid w:val="00DA310C"/>
    <w:rsid w:val="00DA3357"/>
    <w:rsid w:val="00DA37C3"/>
    <w:rsid w:val="00DA388C"/>
    <w:rsid w:val="00DA3896"/>
    <w:rsid w:val="00DA3A03"/>
    <w:rsid w:val="00DA4BDA"/>
    <w:rsid w:val="00DA4D01"/>
    <w:rsid w:val="00DA51B6"/>
    <w:rsid w:val="00DA5AB9"/>
    <w:rsid w:val="00DA5AD0"/>
    <w:rsid w:val="00DA5AFA"/>
    <w:rsid w:val="00DA637C"/>
    <w:rsid w:val="00DA6A66"/>
    <w:rsid w:val="00DA6B12"/>
    <w:rsid w:val="00DA6F41"/>
    <w:rsid w:val="00DA702C"/>
    <w:rsid w:val="00DA71C6"/>
    <w:rsid w:val="00DA72F3"/>
    <w:rsid w:val="00DA7756"/>
    <w:rsid w:val="00DA796D"/>
    <w:rsid w:val="00DA7A65"/>
    <w:rsid w:val="00DB013D"/>
    <w:rsid w:val="00DB0342"/>
    <w:rsid w:val="00DB0507"/>
    <w:rsid w:val="00DB0731"/>
    <w:rsid w:val="00DB1617"/>
    <w:rsid w:val="00DB182A"/>
    <w:rsid w:val="00DB1C91"/>
    <w:rsid w:val="00DB1ED3"/>
    <w:rsid w:val="00DB1F70"/>
    <w:rsid w:val="00DB2697"/>
    <w:rsid w:val="00DB2710"/>
    <w:rsid w:val="00DB2833"/>
    <w:rsid w:val="00DB2A55"/>
    <w:rsid w:val="00DB2ED5"/>
    <w:rsid w:val="00DB32BB"/>
    <w:rsid w:val="00DB3322"/>
    <w:rsid w:val="00DB34BE"/>
    <w:rsid w:val="00DB384D"/>
    <w:rsid w:val="00DB3C21"/>
    <w:rsid w:val="00DB3C65"/>
    <w:rsid w:val="00DB3F17"/>
    <w:rsid w:val="00DB4038"/>
    <w:rsid w:val="00DB42CF"/>
    <w:rsid w:val="00DB42E0"/>
    <w:rsid w:val="00DB47BB"/>
    <w:rsid w:val="00DB4A19"/>
    <w:rsid w:val="00DB4AB4"/>
    <w:rsid w:val="00DB4BFD"/>
    <w:rsid w:val="00DB5251"/>
    <w:rsid w:val="00DB58EF"/>
    <w:rsid w:val="00DB58F6"/>
    <w:rsid w:val="00DB597F"/>
    <w:rsid w:val="00DB59C0"/>
    <w:rsid w:val="00DB5AF2"/>
    <w:rsid w:val="00DB5B8E"/>
    <w:rsid w:val="00DB5BCE"/>
    <w:rsid w:val="00DB6176"/>
    <w:rsid w:val="00DB65C1"/>
    <w:rsid w:val="00DB6708"/>
    <w:rsid w:val="00DB68D0"/>
    <w:rsid w:val="00DB6B53"/>
    <w:rsid w:val="00DB6BAB"/>
    <w:rsid w:val="00DB6F6C"/>
    <w:rsid w:val="00DB706E"/>
    <w:rsid w:val="00DB7542"/>
    <w:rsid w:val="00DB7702"/>
    <w:rsid w:val="00DB7B16"/>
    <w:rsid w:val="00DB7B33"/>
    <w:rsid w:val="00DB7BF4"/>
    <w:rsid w:val="00DB7EDF"/>
    <w:rsid w:val="00DC0291"/>
    <w:rsid w:val="00DC032E"/>
    <w:rsid w:val="00DC0987"/>
    <w:rsid w:val="00DC0C88"/>
    <w:rsid w:val="00DC1217"/>
    <w:rsid w:val="00DC1469"/>
    <w:rsid w:val="00DC1845"/>
    <w:rsid w:val="00DC1F6C"/>
    <w:rsid w:val="00DC20CF"/>
    <w:rsid w:val="00DC220B"/>
    <w:rsid w:val="00DC244A"/>
    <w:rsid w:val="00DC262C"/>
    <w:rsid w:val="00DC29CA"/>
    <w:rsid w:val="00DC2A0C"/>
    <w:rsid w:val="00DC2DFE"/>
    <w:rsid w:val="00DC2F5C"/>
    <w:rsid w:val="00DC30E4"/>
    <w:rsid w:val="00DC31FA"/>
    <w:rsid w:val="00DC3378"/>
    <w:rsid w:val="00DC3558"/>
    <w:rsid w:val="00DC37F0"/>
    <w:rsid w:val="00DC3CC6"/>
    <w:rsid w:val="00DC3E67"/>
    <w:rsid w:val="00DC3EB3"/>
    <w:rsid w:val="00DC41F9"/>
    <w:rsid w:val="00DC4359"/>
    <w:rsid w:val="00DC46CF"/>
    <w:rsid w:val="00DC482D"/>
    <w:rsid w:val="00DC4930"/>
    <w:rsid w:val="00DC4975"/>
    <w:rsid w:val="00DC49F7"/>
    <w:rsid w:val="00DC4C4A"/>
    <w:rsid w:val="00DC4EF5"/>
    <w:rsid w:val="00DC4F18"/>
    <w:rsid w:val="00DC564B"/>
    <w:rsid w:val="00DC5814"/>
    <w:rsid w:val="00DC5BE5"/>
    <w:rsid w:val="00DC5C8F"/>
    <w:rsid w:val="00DC5FB1"/>
    <w:rsid w:val="00DC6182"/>
    <w:rsid w:val="00DC61B1"/>
    <w:rsid w:val="00DC64D7"/>
    <w:rsid w:val="00DC65C3"/>
    <w:rsid w:val="00DC6675"/>
    <w:rsid w:val="00DC6750"/>
    <w:rsid w:val="00DC69D7"/>
    <w:rsid w:val="00DC6E74"/>
    <w:rsid w:val="00DC760B"/>
    <w:rsid w:val="00DC7684"/>
    <w:rsid w:val="00DC77F6"/>
    <w:rsid w:val="00DC78A8"/>
    <w:rsid w:val="00DD00AF"/>
    <w:rsid w:val="00DD0A21"/>
    <w:rsid w:val="00DD0C07"/>
    <w:rsid w:val="00DD0D6B"/>
    <w:rsid w:val="00DD0DDA"/>
    <w:rsid w:val="00DD0E6B"/>
    <w:rsid w:val="00DD11A9"/>
    <w:rsid w:val="00DD1246"/>
    <w:rsid w:val="00DD158E"/>
    <w:rsid w:val="00DD15FB"/>
    <w:rsid w:val="00DD1F1B"/>
    <w:rsid w:val="00DD23D1"/>
    <w:rsid w:val="00DD2BAF"/>
    <w:rsid w:val="00DD2CAB"/>
    <w:rsid w:val="00DD2E19"/>
    <w:rsid w:val="00DD3319"/>
    <w:rsid w:val="00DD3BBA"/>
    <w:rsid w:val="00DD3FB6"/>
    <w:rsid w:val="00DD4380"/>
    <w:rsid w:val="00DD4779"/>
    <w:rsid w:val="00DD5336"/>
    <w:rsid w:val="00DD577B"/>
    <w:rsid w:val="00DD589F"/>
    <w:rsid w:val="00DD5AE4"/>
    <w:rsid w:val="00DD5EA9"/>
    <w:rsid w:val="00DD6832"/>
    <w:rsid w:val="00DD697D"/>
    <w:rsid w:val="00DD69FE"/>
    <w:rsid w:val="00DD6D51"/>
    <w:rsid w:val="00DD7B90"/>
    <w:rsid w:val="00DD7E34"/>
    <w:rsid w:val="00DD7F74"/>
    <w:rsid w:val="00DE048D"/>
    <w:rsid w:val="00DE04CA"/>
    <w:rsid w:val="00DE0694"/>
    <w:rsid w:val="00DE1624"/>
    <w:rsid w:val="00DE16CB"/>
    <w:rsid w:val="00DE17AB"/>
    <w:rsid w:val="00DE1855"/>
    <w:rsid w:val="00DE1A64"/>
    <w:rsid w:val="00DE1A90"/>
    <w:rsid w:val="00DE1ED2"/>
    <w:rsid w:val="00DE1F28"/>
    <w:rsid w:val="00DE1F42"/>
    <w:rsid w:val="00DE2027"/>
    <w:rsid w:val="00DE23D2"/>
    <w:rsid w:val="00DE2656"/>
    <w:rsid w:val="00DE26CD"/>
    <w:rsid w:val="00DE28A1"/>
    <w:rsid w:val="00DE28B8"/>
    <w:rsid w:val="00DE2B4F"/>
    <w:rsid w:val="00DE2C6A"/>
    <w:rsid w:val="00DE2F99"/>
    <w:rsid w:val="00DE2FFE"/>
    <w:rsid w:val="00DE35FA"/>
    <w:rsid w:val="00DE369E"/>
    <w:rsid w:val="00DE38FD"/>
    <w:rsid w:val="00DE398F"/>
    <w:rsid w:val="00DE3994"/>
    <w:rsid w:val="00DE3BA8"/>
    <w:rsid w:val="00DE411F"/>
    <w:rsid w:val="00DE4125"/>
    <w:rsid w:val="00DE4240"/>
    <w:rsid w:val="00DE444F"/>
    <w:rsid w:val="00DE4A33"/>
    <w:rsid w:val="00DE4B5D"/>
    <w:rsid w:val="00DE4CC2"/>
    <w:rsid w:val="00DE4E2F"/>
    <w:rsid w:val="00DE4E8B"/>
    <w:rsid w:val="00DE4F73"/>
    <w:rsid w:val="00DE5268"/>
    <w:rsid w:val="00DE5397"/>
    <w:rsid w:val="00DE55A1"/>
    <w:rsid w:val="00DE5612"/>
    <w:rsid w:val="00DE564B"/>
    <w:rsid w:val="00DE570B"/>
    <w:rsid w:val="00DE58E1"/>
    <w:rsid w:val="00DE5FAA"/>
    <w:rsid w:val="00DE6194"/>
    <w:rsid w:val="00DE61EE"/>
    <w:rsid w:val="00DE634F"/>
    <w:rsid w:val="00DE6891"/>
    <w:rsid w:val="00DE6A35"/>
    <w:rsid w:val="00DE7ACB"/>
    <w:rsid w:val="00DE7C81"/>
    <w:rsid w:val="00DF0466"/>
    <w:rsid w:val="00DF08E7"/>
    <w:rsid w:val="00DF090A"/>
    <w:rsid w:val="00DF0C42"/>
    <w:rsid w:val="00DF0CB2"/>
    <w:rsid w:val="00DF0E71"/>
    <w:rsid w:val="00DF10CE"/>
    <w:rsid w:val="00DF116B"/>
    <w:rsid w:val="00DF11DF"/>
    <w:rsid w:val="00DF1BCA"/>
    <w:rsid w:val="00DF213A"/>
    <w:rsid w:val="00DF2269"/>
    <w:rsid w:val="00DF22B9"/>
    <w:rsid w:val="00DF22D7"/>
    <w:rsid w:val="00DF295F"/>
    <w:rsid w:val="00DF2C54"/>
    <w:rsid w:val="00DF2F14"/>
    <w:rsid w:val="00DF30AA"/>
    <w:rsid w:val="00DF31AB"/>
    <w:rsid w:val="00DF31E5"/>
    <w:rsid w:val="00DF3691"/>
    <w:rsid w:val="00DF3750"/>
    <w:rsid w:val="00DF38C9"/>
    <w:rsid w:val="00DF3A36"/>
    <w:rsid w:val="00DF3DFC"/>
    <w:rsid w:val="00DF3E13"/>
    <w:rsid w:val="00DF3E65"/>
    <w:rsid w:val="00DF3F34"/>
    <w:rsid w:val="00DF4420"/>
    <w:rsid w:val="00DF46AD"/>
    <w:rsid w:val="00DF4869"/>
    <w:rsid w:val="00DF48DA"/>
    <w:rsid w:val="00DF4B39"/>
    <w:rsid w:val="00DF4B43"/>
    <w:rsid w:val="00DF4D40"/>
    <w:rsid w:val="00DF5012"/>
    <w:rsid w:val="00DF5111"/>
    <w:rsid w:val="00DF54A1"/>
    <w:rsid w:val="00DF54D1"/>
    <w:rsid w:val="00DF557C"/>
    <w:rsid w:val="00DF5969"/>
    <w:rsid w:val="00DF6201"/>
    <w:rsid w:val="00DF6DC3"/>
    <w:rsid w:val="00DF6FF4"/>
    <w:rsid w:val="00DF72B2"/>
    <w:rsid w:val="00DF7C2B"/>
    <w:rsid w:val="00DF7C86"/>
    <w:rsid w:val="00E002FB"/>
    <w:rsid w:val="00E006AF"/>
    <w:rsid w:val="00E00803"/>
    <w:rsid w:val="00E00E41"/>
    <w:rsid w:val="00E00F09"/>
    <w:rsid w:val="00E012EE"/>
    <w:rsid w:val="00E013C2"/>
    <w:rsid w:val="00E01534"/>
    <w:rsid w:val="00E01900"/>
    <w:rsid w:val="00E01A23"/>
    <w:rsid w:val="00E01BC3"/>
    <w:rsid w:val="00E01C8E"/>
    <w:rsid w:val="00E01E1C"/>
    <w:rsid w:val="00E02302"/>
    <w:rsid w:val="00E0278A"/>
    <w:rsid w:val="00E02948"/>
    <w:rsid w:val="00E02ABA"/>
    <w:rsid w:val="00E02C05"/>
    <w:rsid w:val="00E02C38"/>
    <w:rsid w:val="00E02C8E"/>
    <w:rsid w:val="00E02DCD"/>
    <w:rsid w:val="00E02E78"/>
    <w:rsid w:val="00E02ECD"/>
    <w:rsid w:val="00E02FE0"/>
    <w:rsid w:val="00E0343B"/>
    <w:rsid w:val="00E03735"/>
    <w:rsid w:val="00E038BA"/>
    <w:rsid w:val="00E03B3B"/>
    <w:rsid w:val="00E0402B"/>
    <w:rsid w:val="00E041C0"/>
    <w:rsid w:val="00E04304"/>
    <w:rsid w:val="00E044A7"/>
    <w:rsid w:val="00E049CB"/>
    <w:rsid w:val="00E054A7"/>
    <w:rsid w:val="00E05C9A"/>
    <w:rsid w:val="00E05DF9"/>
    <w:rsid w:val="00E0605A"/>
    <w:rsid w:val="00E0619F"/>
    <w:rsid w:val="00E062DD"/>
    <w:rsid w:val="00E06421"/>
    <w:rsid w:val="00E06839"/>
    <w:rsid w:val="00E06929"/>
    <w:rsid w:val="00E06ED6"/>
    <w:rsid w:val="00E07097"/>
    <w:rsid w:val="00E0713D"/>
    <w:rsid w:val="00E07162"/>
    <w:rsid w:val="00E07373"/>
    <w:rsid w:val="00E07574"/>
    <w:rsid w:val="00E077F0"/>
    <w:rsid w:val="00E07978"/>
    <w:rsid w:val="00E07BAD"/>
    <w:rsid w:val="00E07C93"/>
    <w:rsid w:val="00E1005C"/>
    <w:rsid w:val="00E10728"/>
    <w:rsid w:val="00E108B9"/>
    <w:rsid w:val="00E1093F"/>
    <w:rsid w:val="00E10F10"/>
    <w:rsid w:val="00E113A8"/>
    <w:rsid w:val="00E11413"/>
    <w:rsid w:val="00E11567"/>
    <w:rsid w:val="00E11721"/>
    <w:rsid w:val="00E12248"/>
    <w:rsid w:val="00E1285C"/>
    <w:rsid w:val="00E12AE7"/>
    <w:rsid w:val="00E12F4D"/>
    <w:rsid w:val="00E130F7"/>
    <w:rsid w:val="00E132E0"/>
    <w:rsid w:val="00E13422"/>
    <w:rsid w:val="00E135A4"/>
    <w:rsid w:val="00E137B4"/>
    <w:rsid w:val="00E138EA"/>
    <w:rsid w:val="00E13EF3"/>
    <w:rsid w:val="00E1423F"/>
    <w:rsid w:val="00E14727"/>
    <w:rsid w:val="00E14795"/>
    <w:rsid w:val="00E1487D"/>
    <w:rsid w:val="00E14A07"/>
    <w:rsid w:val="00E14D66"/>
    <w:rsid w:val="00E14E2A"/>
    <w:rsid w:val="00E1537C"/>
    <w:rsid w:val="00E153F7"/>
    <w:rsid w:val="00E15523"/>
    <w:rsid w:val="00E15588"/>
    <w:rsid w:val="00E15E48"/>
    <w:rsid w:val="00E1604E"/>
    <w:rsid w:val="00E16086"/>
    <w:rsid w:val="00E160D3"/>
    <w:rsid w:val="00E160EC"/>
    <w:rsid w:val="00E161A3"/>
    <w:rsid w:val="00E16A00"/>
    <w:rsid w:val="00E16AE9"/>
    <w:rsid w:val="00E16BB5"/>
    <w:rsid w:val="00E17198"/>
    <w:rsid w:val="00E171AF"/>
    <w:rsid w:val="00E1729A"/>
    <w:rsid w:val="00E1777C"/>
    <w:rsid w:val="00E17E22"/>
    <w:rsid w:val="00E17EB8"/>
    <w:rsid w:val="00E2007E"/>
    <w:rsid w:val="00E20832"/>
    <w:rsid w:val="00E20879"/>
    <w:rsid w:val="00E20A32"/>
    <w:rsid w:val="00E20B5A"/>
    <w:rsid w:val="00E20C1D"/>
    <w:rsid w:val="00E20CF4"/>
    <w:rsid w:val="00E20E42"/>
    <w:rsid w:val="00E20F38"/>
    <w:rsid w:val="00E212DF"/>
    <w:rsid w:val="00E217FA"/>
    <w:rsid w:val="00E21A85"/>
    <w:rsid w:val="00E21C27"/>
    <w:rsid w:val="00E21F92"/>
    <w:rsid w:val="00E220CE"/>
    <w:rsid w:val="00E224FA"/>
    <w:rsid w:val="00E228A1"/>
    <w:rsid w:val="00E229F6"/>
    <w:rsid w:val="00E2352E"/>
    <w:rsid w:val="00E235EB"/>
    <w:rsid w:val="00E23C8B"/>
    <w:rsid w:val="00E24116"/>
    <w:rsid w:val="00E2418A"/>
    <w:rsid w:val="00E246BC"/>
    <w:rsid w:val="00E24E0A"/>
    <w:rsid w:val="00E2544B"/>
    <w:rsid w:val="00E25962"/>
    <w:rsid w:val="00E2609A"/>
    <w:rsid w:val="00E2634B"/>
    <w:rsid w:val="00E269C7"/>
    <w:rsid w:val="00E26C52"/>
    <w:rsid w:val="00E26DA3"/>
    <w:rsid w:val="00E26E77"/>
    <w:rsid w:val="00E2707D"/>
    <w:rsid w:val="00E272C8"/>
    <w:rsid w:val="00E27818"/>
    <w:rsid w:val="00E27833"/>
    <w:rsid w:val="00E2787B"/>
    <w:rsid w:val="00E27DCB"/>
    <w:rsid w:val="00E3010B"/>
    <w:rsid w:val="00E3048B"/>
    <w:rsid w:val="00E30E94"/>
    <w:rsid w:val="00E30FA1"/>
    <w:rsid w:val="00E31148"/>
    <w:rsid w:val="00E31527"/>
    <w:rsid w:val="00E315AC"/>
    <w:rsid w:val="00E323AE"/>
    <w:rsid w:val="00E3288C"/>
    <w:rsid w:val="00E32CC8"/>
    <w:rsid w:val="00E32EBB"/>
    <w:rsid w:val="00E333DB"/>
    <w:rsid w:val="00E338EE"/>
    <w:rsid w:val="00E34A32"/>
    <w:rsid w:val="00E34CA7"/>
    <w:rsid w:val="00E34D50"/>
    <w:rsid w:val="00E35076"/>
    <w:rsid w:val="00E350AD"/>
    <w:rsid w:val="00E350C5"/>
    <w:rsid w:val="00E35426"/>
    <w:rsid w:val="00E359D1"/>
    <w:rsid w:val="00E35A96"/>
    <w:rsid w:val="00E35CF1"/>
    <w:rsid w:val="00E36247"/>
    <w:rsid w:val="00E3628E"/>
    <w:rsid w:val="00E362EA"/>
    <w:rsid w:val="00E365A8"/>
    <w:rsid w:val="00E365F7"/>
    <w:rsid w:val="00E366DE"/>
    <w:rsid w:val="00E36CAD"/>
    <w:rsid w:val="00E36D33"/>
    <w:rsid w:val="00E36E63"/>
    <w:rsid w:val="00E36F86"/>
    <w:rsid w:val="00E37371"/>
    <w:rsid w:val="00E3737D"/>
    <w:rsid w:val="00E37387"/>
    <w:rsid w:val="00E3739C"/>
    <w:rsid w:val="00E37428"/>
    <w:rsid w:val="00E374CB"/>
    <w:rsid w:val="00E374D8"/>
    <w:rsid w:val="00E37B16"/>
    <w:rsid w:val="00E37B89"/>
    <w:rsid w:val="00E401C8"/>
    <w:rsid w:val="00E40B10"/>
    <w:rsid w:val="00E40BA4"/>
    <w:rsid w:val="00E40E96"/>
    <w:rsid w:val="00E4106C"/>
    <w:rsid w:val="00E4106D"/>
    <w:rsid w:val="00E41476"/>
    <w:rsid w:val="00E41C9C"/>
    <w:rsid w:val="00E41E29"/>
    <w:rsid w:val="00E42045"/>
    <w:rsid w:val="00E42118"/>
    <w:rsid w:val="00E42486"/>
    <w:rsid w:val="00E4298B"/>
    <w:rsid w:val="00E42F74"/>
    <w:rsid w:val="00E43881"/>
    <w:rsid w:val="00E44377"/>
    <w:rsid w:val="00E4450D"/>
    <w:rsid w:val="00E4494A"/>
    <w:rsid w:val="00E44D21"/>
    <w:rsid w:val="00E44E09"/>
    <w:rsid w:val="00E45041"/>
    <w:rsid w:val="00E450BF"/>
    <w:rsid w:val="00E453EF"/>
    <w:rsid w:val="00E45962"/>
    <w:rsid w:val="00E45FA5"/>
    <w:rsid w:val="00E46000"/>
    <w:rsid w:val="00E460FB"/>
    <w:rsid w:val="00E46176"/>
    <w:rsid w:val="00E46469"/>
    <w:rsid w:val="00E46FAA"/>
    <w:rsid w:val="00E47034"/>
    <w:rsid w:val="00E4725C"/>
    <w:rsid w:val="00E4743F"/>
    <w:rsid w:val="00E47792"/>
    <w:rsid w:val="00E47AF6"/>
    <w:rsid w:val="00E47DB9"/>
    <w:rsid w:val="00E50363"/>
    <w:rsid w:val="00E503CF"/>
    <w:rsid w:val="00E509B0"/>
    <w:rsid w:val="00E5108D"/>
    <w:rsid w:val="00E51F8B"/>
    <w:rsid w:val="00E52162"/>
    <w:rsid w:val="00E525E0"/>
    <w:rsid w:val="00E527F1"/>
    <w:rsid w:val="00E52F7D"/>
    <w:rsid w:val="00E53319"/>
    <w:rsid w:val="00E536EC"/>
    <w:rsid w:val="00E539B5"/>
    <w:rsid w:val="00E53C29"/>
    <w:rsid w:val="00E53C55"/>
    <w:rsid w:val="00E53F62"/>
    <w:rsid w:val="00E53F90"/>
    <w:rsid w:val="00E54078"/>
    <w:rsid w:val="00E54175"/>
    <w:rsid w:val="00E542B8"/>
    <w:rsid w:val="00E54451"/>
    <w:rsid w:val="00E54528"/>
    <w:rsid w:val="00E54B6B"/>
    <w:rsid w:val="00E54D5C"/>
    <w:rsid w:val="00E54F17"/>
    <w:rsid w:val="00E55344"/>
    <w:rsid w:val="00E55998"/>
    <w:rsid w:val="00E55DCB"/>
    <w:rsid w:val="00E56A56"/>
    <w:rsid w:val="00E56B12"/>
    <w:rsid w:val="00E56EFA"/>
    <w:rsid w:val="00E572FB"/>
    <w:rsid w:val="00E57442"/>
    <w:rsid w:val="00E576F8"/>
    <w:rsid w:val="00E5779E"/>
    <w:rsid w:val="00E60113"/>
    <w:rsid w:val="00E6062C"/>
    <w:rsid w:val="00E607C8"/>
    <w:rsid w:val="00E60FCE"/>
    <w:rsid w:val="00E6137C"/>
    <w:rsid w:val="00E614AA"/>
    <w:rsid w:val="00E61A29"/>
    <w:rsid w:val="00E61CFA"/>
    <w:rsid w:val="00E61D5F"/>
    <w:rsid w:val="00E61EEB"/>
    <w:rsid w:val="00E61EFD"/>
    <w:rsid w:val="00E61FEB"/>
    <w:rsid w:val="00E620E8"/>
    <w:rsid w:val="00E6278D"/>
    <w:rsid w:val="00E628FC"/>
    <w:rsid w:val="00E62E48"/>
    <w:rsid w:val="00E63299"/>
    <w:rsid w:val="00E6364B"/>
    <w:rsid w:val="00E638B7"/>
    <w:rsid w:val="00E638EF"/>
    <w:rsid w:val="00E63D98"/>
    <w:rsid w:val="00E63DD8"/>
    <w:rsid w:val="00E63ED9"/>
    <w:rsid w:val="00E643A6"/>
    <w:rsid w:val="00E646EF"/>
    <w:rsid w:val="00E647B6"/>
    <w:rsid w:val="00E64835"/>
    <w:rsid w:val="00E64F19"/>
    <w:rsid w:val="00E6514E"/>
    <w:rsid w:val="00E65555"/>
    <w:rsid w:val="00E658EF"/>
    <w:rsid w:val="00E65997"/>
    <w:rsid w:val="00E660B0"/>
    <w:rsid w:val="00E664B8"/>
    <w:rsid w:val="00E668E5"/>
    <w:rsid w:val="00E66D78"/>
    <w:rsid w:val="00E66E74"/>
    <w:rsid w:val="00E66E99"/>
    <w:rsid w:val="00E671DC"/>
    <w:rsid w:val="00E67217"/>
    <w:rsid w:val="00E67361"/>
    <w:rsid w:val="00E67635"/>
    <w:rsid w:val="00E679E1"/>
    <w:rsid w:val="00E67A5E"/>
    <w:rsid w:val="00E67B0E"/>
    <w:rsid w:val="00E67BD3"/>
    <w:rsid w:val="00E705D3"/>
    <w:rsid w:val="00E7064C"/>
    <w:rsid w:val="00E708A5"/>
    <w:rsid w:val="00E70DEC"/>
    <w:rsid w:val="00E70E57"/>
    <w:rsid w:val="00E715AF"/>
    <w:rsid w:val="00E716E0"/>
    <w:rsid w:val="00E71A43"/>
    <w:rsid w:val="00E71AEB"/>
    <w:rsid w:val="00E71D9F"/>
    <w:rsid w:val="00E721E1"/>
    <w:rsid w:val="00E72248"/>
    <w:rsid w:val="00E7253B"/>
    <w:rsid w:val="00E725ED"/>
    <w:rsid w:val="00E72B68"/>
    <w:rsid w:val="00E72BFB"/>
    <w:rsid w:val="00E72EC7"/>
    <w:rsid w:val="00E7363A"/>
    <w:rsid w:val="00E737AD"/>
    <w:rsid w:val="00E73882"/>
    <w:rsid w:val="00E73CC9"/>
    <w:rsid w:val="00E7402E"/>
    <w:rsid w:val="00E7439C"/>
    <w:rsid w:val="00E744CA"/>
    <w:rsid w:val="00E74A52"/>
    <w:rsid w:val="00E74DB9"/>
    <w:rsid w:val="00E75157"/>
    <w:rsid w:val="00E757A9"/>
    <w:rsid w:val="00E76162"/>
    <w:rsid w:val="00E7616F"/>
    <w:rsid w:val="00E768DB"/>
    <w:rsid w:val="00E76C3C"/>
    <w:rsid w:val="00E76C58"/>
    <w:rsid w:val="00E76DD4"/>
    <w:rsid w:val="00E76F8D"/>
    <w:rsid w:val="00E77632"/>
    <w:rsid w:val="00E776FB"/>
    <w:rsid w:val="00E77B73"/>
    <w:rsid w:val="00E803A3"/>
    <w:rsid w:val="00E80610"/>
    <w:rsid w:val="00E80712"/>
    <w:rsid w:val="00E80724"/>
    <w:rsid w:val="00E80914"/>
    <w:rsid w:val="00E80A9B"/>
    <w:rsid w:val="00E80AEA"/>
    <w:rsid w:val="00E80E6D"/>
    <w:rsid w:val="00E80FD6"/>
    <w:rsid w:val="00E811D6"/>
    <w:rsid w:val="00E81434"/>
    <w:rsid w:val="00E8164E"/>
    <w:rsid w:val="00E81A90"/>
    <w:rsid w:val="00E81B10"/>
    <w:rsid w:val="00E81BD0"/>
    <w:rsid w:val="00E81CFB"/>
    <w:rsid w:val="00E81FFD"/>
    <w:rsid w:val="00E82694"/>
    <w:rsid w:val="00E82860"/>
    <w:rsid w:val="00E82A87"/>
    <w:rsid w:val="00E82C7F"/>
    <w:rsid w:val="00E83219"/>
    <w:rsid w:val="00E83714"/>
    <w:rsid w:val="00E83CF8"/>
    <w:rsid w:val="00E83EB7"/>
    <w:rsid w:val="00E83FEE"/>
    <w:rsid w:val="00E8432D"/>
    <w:rsid w:val="00E84B7A"/>
    <w:rsid w:val="00E84BD8"/>
    <w:rsid w:val="00E84DAE"/>
    <w:rsid w:val="00E85016"/>
    <w:rsid w:val="00E854EC"/>
    <w:rsid w:val="00E85673"/>
    <w:rsid w:val="00E857EF"/>
    <w:rsid w:val="00E85C7E"/>
    <w:rsid w:val="00E860F5"/>
    <w:rsid w:val="00E8676F"/>
    <w:rsid w:val="00E86A31"/>
    <w:rsid w:val="00E86AFE"/>
    <w:rsid w:val="00E86C72"/>
    <w:rsid w:val="00E86E02"/>
    <w:rsid w:val="00E86E15"/>
    <w:rsid w:val="00E86E4B"/>
    <w:rsid w:val="00E8717B"/>
    <w:rsid w:val="00E872E3"/>
    <w:rsid w:val="00E8732D"/>
    <w:rsid w:val="00E873D9"/>
    <w:rsid w:val="00E87B31"/>
    <w:rsid w:val="00E87D41"/>
    <w:rsid w:val="00E90151"/>
    <w:rsid w:val="00E9040A"/>
    <w:rsid w:val="00E9074F"/>
    <w:rsid w:val="00E915F3"/>
    <w:rsid w:val="00E9185A"/>
    <w:rsid w:val="00E91CF2"/>
    <w:rsid w:val="00E91D07"/>
    <w:rsid w:val="00E926CB"/>
    <w:rsid w:val="00E92A5C"/>
    <w:rsid w:val="00E92B8F"/>
    <w:rsid w:val="00E92EB1"/>
    <w:rsid w:val="00E92EC6"/>
    <w:rsid w:val="00E932DA"/>
    <w:rsid w:val="00E93324"/>
    <w:rsid w:val="00E9340A"/>
    <w:rsid w:val="00E9345B"/>
    <w:rsid w:val="00E93909"/>
    <w:rsid w:val="00E93A6A"/>
    <w:rsid w:val="00E93C79"/>
    <w:rsid w:val="00E945C7"/>
    <w:rsid w:val="00E949AB"/>
    <w:rsid w:val="00E9523B"/>
    <w:rsid w:val="00E957D2"/>
    <w:rsid w:val="00E95A23"/>
    <w:rsid w:val="00E95DAB"/>
    <w:rsid w:val="00E95FA1"/>
    <w:rsid w:val="00E96087"/>
    <w:rsid w:val="00E961E3"/>
    <w:rsid w:val="00E964E5"/>
    <w:rsid w:val="00E966EF"/>
    <w:rsid w:val="00E96ED4"/>
    <w:rsid w:val="00E96F55"/>
    <w:rsid w:val="00E970A4"/>
    <w:rsid w:val="00E972B6"/>
    <w:rsid w:val="00E9754E"/>
    <w:rsid w:val="00EA00EF"/>
    <w:rsid w:val="00EA05BF"/>
    <w:rsid w:val="00EA05D4"/>
    <w:rsid w:val="00EA0622"/>
    <w:rsid w:val="00EA0A88"/>
    <w:rsid w:val="00EA0B1E"/>
    <w:rsid w:val="00EA10F0"/>
    <w:rsid w:val="00EA11C8"/>
    <w:rsid w:val="00EA1A4F"/>
    <w:rsid w:val="00EA1F8A"/>
    <w:rsid w:val="00EA2138"/>
    <w:rsid w:val="00EA236D"/>
    <w:rsid w:val="00EA242D"/>
    <w:rsid w:val="00EA302F"/>
    <w:rsid w:val="00EA3791"/>
    <w:rsid w:val="00EA3C92"/>
    <w:rsid w:val="00EA41B3"/>
    <w:rsid w:val="00EA425B"/>
    <w:rsid w:val="00EA428D"/>
    <w:rsid w:val="00EA4329"/>
    <w:rsid w:val="00EA45D3"/>
    <w:rsid w:val="00EA4B20"/>
    <w:rsid w:val="00EA4E0D"/>
    <w:rsid w:val="00EA4EEE"/>
    <w:rsid w:val="00EA53DD"/>
    <w:rsid w:val="00EA554E"/>
    <w:rsid w:val="00EA55F4"/>
    <w:rsid w:val="00EA5A3A"/>
    <w:rsid w:val="00EA5B5A"/>
    <w:rsid w:val="00EA5FA1"/>
    <w:rsid w:val="00EA60BC"/>
    <w:rsid w:val="00EA6189"/>
    <w:rsid w:val="00EA619E"/>
    <w:rsid w:val="00EA6205"/>
    <w:rsid w:val="00EA64CA"/>
    <w:rsid w:val="00EA6B92"/>
    <w:rsid w:val="00EA6CA2"/>
    <w:rsid w:val="00EA6DC1"/>
    <w:rsid w:val="00EA6DFC"/>
    <w:rsid w:val="00EA71A4"/>
    <w:rsid w:val="00EA74E8"/>
    <w:rsid w:val="00EA75E4"/>
    <w:rsid w:val="00EA78D2"/>
    <w:rsid w:val="00EA7B01"/>
    <w:rsid w:val="00EB028F"/>
    <w:rsid w:val="00EB03AB"/>
    <w:rsid w:val="00EB0F9B"/>
    <w:rsid w:val="00EB12EB"/>
    <w:rsid w:val="00EB15E8"/>
    <w:rsid w:val="00EB172E"/>
    <w:rsid w:val="00EB1B38"/>
    <w:rsid w:val="00EB21EA"/>
    <w:rsid w:val="00EB2AD2"/>
    <w:rsid w:val="00EB2BC3"/>
    <w:rsid w:val="00EB2C09"/>
    <w:rsid w:val="00EB2F9F"/>
    <w:rsid w:val="00EB39C0"/>
    <w:rsid w:val="00EB3ACE"/>
    <w:rsid w:val="00EB4339"/>
    <w:rsid w:val="00EB4BB0"/>
    <w:rsid w:val="00EB4DA5"/>
    <w:rsid w:val="00EB50D9"/>
    <w:rsid w:val="00EB51D0"/>
    <w:rsid w:val="00EB538D"/>
    <w:rsid w:val="00EB5CE1"/>
    <w:rsid w:val="00EB6041"/>
    <w:rsid w:val="00EB62A5"/>
    <w:rsid w:val="00EB668F"/>
    <w:rsid w:val="00EB6878"/>
    <w:rsid w:val="00EB68E0"/>
    <w:rsid w:val="00EB6A31"/>
    <w:rsid w:val="00EB6B70"/>
    <w:rsid w:val="00EB6DD6"/>
    <w:rsid w:val="00EB7E1B"/>
    <w:rsid w:val="00EC0000"/>
    <w:rsid w:val="00EC021F"/>
    <w:rsid w:val="00EC06FE"/>
    <w:rsid w:val="00EC0711"/>
    <w:rsid w:val="00EC08CA"/>
    <w:rsid w:val="00EC0CB0"/>
    <w:rsid w:val="00EC0DED"/>
    <w:rsid w:val="00EC142A"/>
    <w:rsid w:val="00EC1491"/>
    <w:rsid w:val="00EC1A53"/>
    <w:rsid w:val="00EC20C2"/>
    <w:rsid w:val="00EC21F9"/>
    <w:rsid w:val="00EC2207"/>
    <w:rsid w:val="00EC27EF"/>
    <w:rsid w:val="00EC2A41"/>
    <w:rsid w:val="00EC2C38"/>
    <w:rsid w:val="00EC2C54"/>
    <w:rsid w:val="00EC2F40"/>
    <w:rsid w:val="00EC2F5A"/>
    <w:rsid w:val="00EC308C"/>
    <w:rsid w:val="00EC3234"/>
    <w:rsid w:val="00EC366C"/>
    <w:rsid w:val="00EC36E0"/>
    <w:rsid w:val="00EC4355"/>
    <w:rsid w:val="00EC56C9"/>
    <w:rsid w:val="00EC571A"/>
    <w:rsid w:val="00EC573C"/>
    <w:rsid w:val="00EC5767"/>
    <w:rsid w:val="00EC5A2D"/>
    <w:rsid w:val="00EC5D0B"/>
    <w:rsid w:val="00EC5F35"/>
    <w:rsid w:val="00EC5FA3"/>
    <w:rsid w:val="00EC6062"/>
    <w:rsid w:val="00EC611F"/>
    <w:rsid w:val="00EC663F"/>
    <w:rsid w:val="00EC66E6"/>
    <w:rsid w:val="00EC6743"/>
    <w:rsid w:val="00EC690B"/>
    <w:rsid w:val="00EC6B54"/>
    <w:rsid w:val="00EC72DA"/>
    <w:rsid w:val="00EC7389"/>
    <w:rsid w:val="00EC7615"/>
    <w:rsid w:val="00EC7887"/>
    <w:rsid w:val="00EC7969"/>
    <w:rsid w:val="00EC7A30"/>
    <w:rsid w:val="00EC7B67"/>
    <w:rsid w:val="00EC7D18"/>
    <w:rsid w:val="00EC7F91"/>
    <w:rsid w:val="00EC7FB7"/>
    <w:rsid w:val="00ED00DD"/>
    <w:rsid w:val="00ED019C"/>
    <w:rsid w:val="00ED01C8"/>
    <w:rsid w:val="00ED06B1"/>
    <w:rsid w:val="00ED06E9"/>
    <w:rsid w:val="00ED0755"/>
    <w:rsid w:val="00ED10A0"/>
    <w:rsid w:val="00ED10E4"/>
    <w:rsid w:val="00ED16DF"/>
    <w:rsid w:val="00ED16F8"/>
    <w:rsid w:val="00ED1812"/>
    <w:rsid w:val="00ED1AD7"/>
    <w:rsid w:val="00ED2050"/>
    <w:rsid w:val="00ED20F4"/>
    <w:rsid w:val="00ED2C06"/>
    <w:rsid w:val="00ED2EFE"/>
    <w:rsid w:val="00ED35F6"/>
    <w:rsid w:val="00ED375A"/>
    <w:rsid w:val="00ED37D3"/>
    <w:rsid w:val="00ED3926"/>
    <w:rsid w:val="00ED39E5"/>
    <w:rsid w:val="00ED4012"/>
    <w:rsid w:val="00ED4468"/>
    <w:rsid w:val="00ED460B"/>
    <w:rsid w:val="00ED488F"/>
    <w:rsid w:val="00ED5203"/>
    <w:rsid w:val="00ED58C6"/>
    <w:rsid w:val="00ED5A57"/>
    <w:rsid w:val="00ED5B71"/>
    <w:rsid w:val="00ED5BB5"/>
    <w:rsid w:val="00ED5E0D"/>
    <w:rsid w:val="00ED5E80"/>
    <w:rsid w:val="00ED5F93"/>
    <w:rsid w:val="00ED60AB"/>
    <w:rsid w:val="00ED632D"/>
    <w:rsid w:val="00ED6434"/>
    <w:rsid w:val="00ED681F"/>
    <w:rsid w:val="00ED6829"/>
    <w:rsid w:val="00ED69A7"/>
    <w:rsid w:val="00ED6DBD"/>
    <w:rsid w:val="00ED728A"/>
    <w:rsid w:val="00ED73A4"/>
    <w:rsid w:val="00ED7A7A"/>
    <w:rsid w:val="00ED7A7F"/>
    <w:rsid w:val="00ED7AA2"/>
    <w:rsid w:val="00ED7E10"/>
    <w:rsid w:val="00EE0728"/>
    <w:rsid w:val="00EE08D3"/>
    <w:rsid w:val="00EE0956"/>
    <w:rsid w:val="00EE1111"/>
    <w:rsid w:val="00EE1725"/>
    <w:rsid w:val="00EE2B1C"/>
    <w:rsid w:val="00EE2D09"/>
    <w:rsid w:val="00EE30DD"/>
    <w:rsid w:val="00EE369B"/>
    <w:rsid w:val="00EE37F0"/>
    <w:rsid w:val="00EE38C2"/>
    <w:rsid w:val="00EE39ED"/>
    <w:rsid w:val="00EE3EBF"/>
    <w:rsid w:val="00EE401D"/>
    <w:rsid w:val="00EE403E"/>
    <w:rsid w:val="00EE42F7"/>
    <w:rsid w:val="00EE491F"/>
    <w:rsid w:val="00EE4960"/>
    <w:rsid w:val="00EE4F95"/>
    <w:rsid w:val="00EE500D"/>
    <w:rsid w:val="00EE5149"/>
    <w:rsid w:val="00EE564D"/>
    <w:rsid w:val="00EE56C0"/>
    <w:rsid w:val="00EE59FE"/>
    <w:rsid w:val="00EE5B7B"/>
    <w:rsid w:val="00EE63EB"/>
    <w:rsid w:val="00EE69B4"/>
    <w:rsid w:val="00EE759F"/>
    <w:rsid w:val="00EE75B7"/>
    <w:rsid w:val="00EE78C0"/>
    <w:rsid w:val="00EE7A75"/>
    <w:rsid w:val="00EE7AD0"/>
    <w:rsid w:val="00EE7C33"/>
    <w:rsid w:val="00EE7EC4"/>
    <w:rsid w:val="00EF03D9"/>
    <w:rsid w:val="00EF0467"/>
    <w:rsid w:val="00EF0693"/>
    <w:rsid w:val="00EF074A"/>
    <w:rsid w:val="00EF093F"/>
    <w:rsid w:val="00EF0A1A"/>
    <w:rsid w:val="00EF0A6C"/>
    <w:rsid w:val="00EF0BC9"/>
    <w:rsid w:val="00EF0D4F"/>
    <w:rsid w:val="00EF0DF3"/>
    <w:rsid w:val="00EF1284"/>
    <w:rsid w:val="00EF16CD"/>
    <w:rsid w:val="00EF17D1"/>
    <w:rsid w:val="00EF1885"/>
    <w:rsid w:val="00EF196D"/>
    <w:rsid w:val="00EF1B80"/>
    <w:rsid w:val="00EF1B9B"/>
    <w:rsid w:val="00EF2138"/>
    <w:rsid w:val="00EF22A5"/>
    <w:rsid w:val="00EF250F"/>
    <w:rsid w:val="00EF272E"/>
    <w:rsid w:val="00EF27DA"/>
    <w:rsid w:val="00EF2A3D"/>
    <w:rsid w:val="00EF2D19"/>
    <w:rsid w:val="00EF2F80"/>
    <w:rsid w:val="00EF2FF9"/>
    <w:rsid w:val="00EF3092"/>
    <w:rsid w:val="00EF344D"/>
    <w:rsid w:val="00EF372F"/>
    <w:rsid w:val="00EF3D3E"/>
    <w:rsid w:val="00EF3DA4"/>
    <w:rsid w:val="00EF4490"/>
    <w:rsid w:val="00EF44F0"/>
    <w:rsid w:val="00EF453B"/>
    <w:rsid w:val="00EF4607"/>
    <w:rsid w:val="00EF47A5"/>
    <w:rsid w:val="00EF47DC"/>
    <w:rsid w:val="00EF4C36"/>
    <w:rsid w:val="00EF4D12"/>
    <w:rsid w:val="00EF50C0"/>
    <w:rsid w:val="00EF53D5"/>
    <w:rsid w:val="00EF5873"/>
    <w:rsid w:val="00EF58AE"/>
    <w:rsid w:val="00EF5944"/>
    <w:rsid w:val="00EF5C2C"/>
    <w:rsid w:val="00EF6246"/>
    <w:rsid w:val="00EF62DF"/>
    <w:rsid w:val="00EF63DA"/>
    <w:rsid w:val="00EF67DB"/>
    <w:rsid w:val="00EF6860"/>
    <w:rsid w:val="00EF6AD8"/>
    <w:rsid w:val="00EF6E3E"/>
    <w:rsid w:val="00EF6EC4"/>
    <w:rsid w:val="00EF72D2"/>
    <w:rsid w:val="00EF734B"/>
    <w:rsid w:val="00EF7556"/>
    <w:rsid w:val="00EF7593"/>
    <w:rsid w:val="00EF76CC"/>
    <w:rsid w:val="00EF76D6"/>
    <w:rsid w:val="00EF77F9"/>
    <w:rsid w:val="00EF7AD1"/>
    <w:rsid w:val="00EF7C17"/>
    <w:rsid w:val="00F0029E"/>
    <w:rsid w:val="00F002BD"/>
    <w:rsid w:val="00F006A2"/>
    <w:rsid w:val="00F00916"/>
    <w:rsid w:val="00F00ABC"/>
    <w:rsid w:val="00F00D2C"/>
    <w:rsid w:val="00F01380"/>
    <w:rsid w:val="00F016B2"/>
    <w:rsid w:val="00F01CF7"/>
    <w:rsid w:val="00F01E99"/>
    <w:rsid w:val="00F02804"/>
    <w:rsid w:val="00F0345C"/>
    <w:rsid w:val="00F037DF"/>
    <w:rsid w:val="00F0411B"/>
    <w:rsid w:val="00F047C5"/>
    <w:rsid w:val="00F04D5B"/>
    <w:rsid w:val="00F04F84"/>
    <w:rsid w:val="00F05151"/>
    <w:rsid w:val="00F05199"/>
    <w:rsid w:val="00F053DB"/>
    <w:rsid w:val="00F055D5"/>
    <w:rsid w:val="00F055EA"/>
    <w:rsid w:val="00F056FC"/>
    <w:rsid w:val="00F05751"/>
    <w:rsid w:val="00F05F7E"/>
    <w:rsid w:val="00F060E7"/>
    <w:rsid w:val="00F06589"/>
    <w:rsid w:val="00F066FA"/>
    <w:rsid w:val="00F067F2"/>
    <w:rsid w:val="00F06965"/>
    <w:rsid w:val="00F06984"/>
    <w:rsid w:val="00F06B53"/>
    <w:rsid w:val="00F06B95"/>
    <w:rsid w:val="00F06ED3"/>
    <w:rsid w:val="00F071F5"/>
    <w:rsid w:val="00F0736A"/>
    <w:rsid w:val="00F0765F"/>
    <w:rsid w:val="00F10083"/>
    <w:rsid w:val="00F10169"/>
    <w:rsid w:val="00F103C0"/>
    <w:rsid w:val="00F10436"/>
    <w:rsid w:val="00F104D9"/>
    <w:rsid w:val="00F1073C"/>
    <w:rsid w:val="00F10804"/>
    <w:rsid w:val="00F10BAD"/>
    <w:rsid w:val="00F110AE"/>
    <w:rsid w:val="00F11225"/>
    <w:rsid w:val="00F112E4"/>
    <w:rsid w:val="00F11690"/>
    <w:rsid w:val="00F116A9"/>
    <w:rsid w:val="00F11733"/>
    <w:rsid w:val="00F11C95"/>
    <w:rsid w:val="00F12227"/>
    <w:rsid w:val="00F12515"/>
    <w:rsid w:val="00F12617"/>
    <w:rsid w:val="00F126B3"/>
    <w:rsid w:val="00F12ABD"/>
    <w:rsid w:val="00F12FC8"/>
    <w:rsid w:val="00F13406"/>
    <w:rsid w:val="00F137CA"/>
    <w:rsid w:val="00F1403D"/>
    <w:rsid w:val="00F140FF"/>
    <w:rsid w:val="00F14190"/>
    <w:rsid w:val="00F14626"/>
    <w:rsid w:val="00F146DF"/>
    <w:rsid w:val="00F14707"/>
    <w:rsid w:val="00F14C62"/>
    <w:rsid w:val="00F15023"/>
    <w:rsid w:val="00F15601"/>
    <w:rsid w:val="00F159A1"/>
    <w:rsid w:val="00F15C9C"/>
    <w:rsid w:val="00F164B1"/>
    <w:rsid w:val="00F164E2"/>
    <w:rsid w:val="00F16574"/>
    <w:rsid w:val="00F16A83"/>
    <w:rsid w:val="00F1711F"/>
    <w:rsid w:val="00F173AE"/>
    <w:rsid w:val="00F1758B"/>
    <w:rsid w:val="00F17628"/>
    <w:rsid w:val="00F176CD"/>
    <w:rsid w:val="00F1777F"/>
    <w:rsid w:val="00F17D6E"/>
    <w:rsid w:val="00F17D6F"/>
    <w:rsid w:val="00F20011"/>
    <w:rsid w:val="00F2097F"/>
    <w:rsid w:val="00F2159A"/>
    <w:rsid w:val="00F21A04"/>
    <w:rsid w:val="00F21A65"/>
    <w:rsid w:val="00F21D1C"/>
    <w:rsid w:val="00F21D55"/>
    <w:rsid w:val="00F21F8C"/>
    <w:rsid w:val="00F221E6"/>
    <w:rsid w:val="00F225E4"/>
    <w:rsid w:val="00F22BCE"/>
    <w:rsid w:val="00F22C56"/>
    <w:rsid w:val="00F22D40"/>
    <w:rsid w:val="00F22E77"/>
    <w:rsid w:val="00F23679"/>
    <w:rsid w:val="00F23837"/>
    <w:rsid w:val="00F238CA"/>
    <w:rsid w:val="00F239EC"/>
    <w:rsid w:val="00F23D45"/>
    <w:rsid w:val="00F2406E"/>
    <w:rsid w:val="00F24207"/>
    <w:rsid w:val="00F2427D"/>
    <w:rsid w:val="00F24379"/>
    <w:rsid w:val="00F245CF"/>
    <w:rsid w:val="00F24746"/>
    <w:rsid w:val="00F24ACE"/>
    <w:rsid w:val="00F24D00"/>
    <w:rsid w:val="00F25059"/>
    <w:rsid w:val="00F25618"/>
    <w:rsid w:val="00F25790"/>
    <w:rsid w:val="00F25A8F"/>
    <w:rsid w:val="00F25E70"/>
    <w:rsid w:val="00F25F5D"/>
    <w:rsid w:val="00F26361"/>
    <w:rsid w:val="00F26437"/>
    <w:rsid w:val="00F267A3"/>
    <w:rsid w:val="00F26D08"/>
    <w:rsid w:val="00F2704F"/>
    <w:rsid w:val="00F27B22"/>
    <w:rsid w:val="00F27BA7"/>
    <w:rsid w:val="00F27D97"/>
    <w:rsid w:val="00F30049"/>
    <w:rsid w:val="00F300E3"/>
    <w:rsid w:val="00F30417"/>
    <w:rsid w:val="00F3049C"/>
    <w:rsid w:val="00F305EF"/>
    <w:rsid w:val="00F30A82"/>
    <w:rsid w:val="00F30ABD"/>
    <w:rsid w:val="00F30D03"/>
    <w:rsid w:val="00F315B2"/>
    <w:rsid w:val="00F31799"/>
    <w:rsid w:val="00F318EC"/>
    <w:rsid w:val="00F3225C"/>
    <w:rsid w:val="00F3235D"/>
    <w:rsid w:val="00F3241C"/>
    <w:rsid w:val="00F328C0"/>
    <w:rsid w:val="00F3330B"/>
    <w:rsid w:val="00F335EC"/>
    <w:rsid w:val="00F336E9"/>
    <w:rsid w:val="00F337FA"/>
    <w:rsid w:val="00F33DB5"/>
    <w:rsid w:val="00F33E16"/>
    <w:rsid w:val="00F33E32"/>
    <w:rsid w:val="00F33E50"/>
    <w:rsid w:val="00F33EAC"/>
    <w:rsid w:val="00F33F82"/>
    <w:rsid w:val="00F33FB9"/>
    <w:rsid w:val="00F34AF6"/>
    <w:rsid w:val="00F356E7"/>
    <w:rsid w:val="00F3573F"/>
    <w:rsid w:val="00F358E4"/>
    <w:rsid w:val="00F35C5C"/>
    <w:rsid w:val="00F35F70"/>
    <w:rsid w:val="00F361DF"/>
    <w:rsid w:val="00F3620D"/>
    <w:rsid w:val="00F36ADB"/>
    <w:rsid w:val="00F36BEB"/>
    <w:rsid w:val="00F36C4A"/>
    <w:rsid w:val="00F36C7D"/>
    <w:rsid w:val="00F36ECB"/>
    <w:rsid w:val="00F37073"/>
    <w:rsid w:val="00F371F0"/>
    <w:rsid w:val="00F37626"/>
    <w:rsid w:val="00F3790B"/>
    <w:rsid w:val="00F40916"/>
    <w:rsid w:val="00F40A5B"/>
    <w:rsid w:val="00F40D0C"/>
    <w:rsid w:val="00F40D88"/>
    <w:rsid w:val="00F410B8"/>
    <w:rsid w:val="00F411FC"/>
    <w:rsid w:val="00F41473"/>
    <w:rsid w:val="00F4149F"/>
    <w:rsid w:val="00F41652"/>
    <w:rsid w:val="00F41BA1"/>
    <w:rsid w:val="00F41C85"/>
    <w:rsid w:val="00F420FA"/>
    <w:rsid w:val="00F4244F"/>
    <w:rsid w:val="00F42F48"/>
    <w:rsid w:val="00F434E4"/>
    <w:rsid w:val="00F438E4"/>
    <w:rsid w:val="00F43B5B"/>
    <w:rsid w:val="00F43F59"/>
    <w:rsid w:val="00F43FC4"/>
    <w:rsid w:val="00F445AD"/>
    <w:rsid w:val="00F447D8"/>
    <w:rsid w:val="00F449B9"/>
    <w:rsid w:val="00F449C9"/>
    <w:rsid w:val="00F44A57"/>
    <w:rsid w:val="00F45473"/>
    <w:rsid w:val="00F45700"/>
    <w:rsid w:val="00F45D85"/>
    <w:rsid w:val="00F46433"/>
    <w:rsid w:val="00F4677F"/>
    <w:rsid w:val="00F468A5"/>
    <w:rsid w:val="00F469DB"/>
    <w:rsid w:val="00F46D98"/>
    <w:rsid w:val="00F46E38"/>
    <w:rsid w:val="00F47690"/>
    <w:rsid w:val="00F502F5"/>
    <w:rsid w:val="00F50342"/>
    <w:rsid w:val="00F50621"/>
    <w:rsid w:val="00F508BF"/>
    <w:rsid w:val="00F50A14"/>
    <w:rsid w:val="00F50C6F"/>
    <w:rsid w:val="00F50E3E"/>
    <w:rsid w:val="00F50FA1"/>
    <w:rsid w:val="00F51221"/>
    <w:rsid w:val="00F5150B"/>
    <w:rsid w:val="00F51930"/>
    <w:rsid w:val="00F51A2D"/>
    <w:rsid w:val="00F51C8D"/>
    <w:rsid w:val="00F520A3"/>
    <w:rsid w:val="00F52230"/>
    <w:rsid w:val="00F5303E"/>
    <w:rsid w:val="00F5366C"/>
    <w:rsid w:val="00F5384F"/>
    <w:rsid w:val="00F5397C"/>
    <w:rsid w:val="00F53B1E"/>
    <w:rsid w:val="00F54047"/>
    <w:rsid w:val="00F54276"/>
    <w:rsid w:val="00F54804"/>
    <w:rsid w:val="00F5484D"/>
    <w:rsid w:val="00F54998"/>
    <w:rsid w:val="00F54EEF"/>
    <w:rsid w:val="00F552A2"/>
    <w:rsid w:val="00F55AC9"/>
    <w:rsid w:val="00F55B92"/>
    <w:rsid w:val="00F55EED"/>
    <w:rsid w:val="00F55F29"/>
    <w:rsid w:val="00F55F58"/>
    <w:rsid w:val="00F56029"/>
    <w:rsid w:val="00F5671A"/>
    <w:rsid w:val="00F567E8"/>
    <w:rsid w:val="00F568AE"/>
    <w:rsid w:val="00F56B03"/>
    <w:rsid w:val="00F56FAB"/>
    <w:rsid w:val="00F5711C"/>
    <w:rsid w:val="00F57729"/>
    <w:rsid w:val="00F57AF9"/>
    <w:rsid w:val="00F57D3D"/>
    <w:rsid w:val="00F57DBE"/>
    <w:rsid w:val="00F57EBD"/>
    <w:rsid w:val="00F60150"/>
    <w:rsid w:val="00F605FE"/>
    <w:rsid w:val="00F609DB"/>
    <w:rsid w:val="00F61252"/>
    <w:rsid w:val="00F61438"/>
    <w:rsid w:val="00F61899"/>
    <w:rsid w:val="00F61937"/>
    <w:rsid w:val="00F6195B"/>
    <w:rsid w:val="00F622EB"/>
    <w:rsid w:val="00F624B5"/>
    <w:rsid w:val="00F62657"/>
    <w:rsid w:val="00F629AB"/>
    <w:rsid w:val="00F62A45"/>
    <w:rsid w:val="00F62D0C"/>
    <w:rsid w:val="00F63055"/>
    <w:rsid w:val="00F6309A"/>
    <w:rsid w:val="00F6342E"/>
    <w:rsid w:val="00F636AF"/>
    <w:rsid w:val="00F6397A"/>
    <w:rsid w:val="00F63AAB"/>
    <w:rsid w:val="00F64242"/>
    <w:rsid w:val="00F6478A"/>
    <w:rsid w:val="00F64D89"/>
    <w:rsid w:val="00F64E34"/>
    <w:rsid w:val="00F653D3"/>
    <w:rsid w:val="00F6542A"/>
    <w:rsid w:val="00F65F36"/>
    <w:rsid w:val="00F66069"/>
    <w:rsid w:val="00F66254"/>
    <w:rsid w:val="00F66286"/>
    <w:rsid w:val="00F6647D"/>
    <w:rsid w:val="00F66652"/>
    <w:rsid w:val="00F66682"/>
    <w:rsid w:val="00F667C9"/>
    <w:rsid w:val="00F668E3"/>
    <w:rsid w:val="00F669A3"/>
    <w:rsid w:val="00F669B2"/>
    <w:rsid w:val="00F66A64"/>
    <w:rsid w:val="00F66CC4"/>
    <w:rsid w:val="00F66E89"/>
    <w:rsid w:val="00F671FD"/>
    <w:rsid w:val="00F672CF"/>
    <w:rsid w:val="00F67622"/>
    <w:rsid w:val="00F6788C"/>
    <w:rsid w:val="00F67898"/>
    <w:rsid w:val="00F67C46"/>
    <w:rsid w:val="00F67EF4"/>
    <w:rsid w:val="00F701D3"/>
    <w:rsid w:val="00F70349"/>
    <w:rsid w:val="00F7058E"/>
    <w:rsid w:val="00F7069B"/>
    <w:rsid w:val="00F709CC"/>
    <w:rsid w:val="00F714A5"/>
    <w:rsid w:val="00F71602"/>
    <w:rsid w:val="00F7197C"/>
    <w:rsid w:val="00F71A7B"/>
    <w:rsid w:val="00F71C1A"/>
    <w:rsid w:val="00F71E4B"/>
    <w:rsid w:val="00F721D5"/>
    <w:rsid w:val="00F723FE"/>
    <w:rsid w:val="00F726F2"/>
    <w:rsid w:val="00F7281C"/>
    <w:rsid w:val="00F730C4"/>
    <w:rsid w:val="00F73166"/>
    <w:rsid w:val="00F7332A"/>
    <w:rsid w:val="00F734BA"/>
    <w:rsid w:val="00F73625"/>
    <w:rsid w:val="00F736AC"/>
    <w:rsid w:val="00F739A6"/>
    <w:rsid w:val="00F73D15"/>
    <w:rsid w:val="00F73E77"/>
    <w:rsid w:val="00F74321"/>
    <w:rsid w:val="00F7472E"/>
    <w:rsid w:val="00F7479E"/>
    <w:rsid w:val="00F74808"/>
    <w:rsid w:val="00F7493E"/>
    <w:rsid w:val="00F749D8"/>
    <w:rsid w:val="00F74D08"/>
    <w:rsid w:val="00F75137"/>
    <w:rsid w:val="00F752D0"/>
    <w:rsid w:val="00F7530B"/>
    <w:rsid w:val="00F75676"/>
    <w:rsid w:val="00F757E6"/>
    <w:rsid w:val="00F758EB"/>
    <w:rsid w:val="00F7606E"/>
    <w:rsid w:val="00F762D9"/>
    <w:rsid w:val="00F7631E"/>
    <w:rsid w:val="00F76750"/>
    <w:rsid w:val="00F76A5A"/>
    <w:rsid w:val="00F76A82"/>
    <w:rsid w:val="00F77086"/>
    <w:rsid w:val="00F770E2"/>
    <w:rsid w:val="00F77517"/>
    <w:rsid w:val="00F776F0"/>
    <w:rsid w:val="00F77A38"/>
    <w:rsid w:val="00F77C56"/>
    <w:rsid w:val="00F77D83"/>
    <w:rsid w:val="00F8074E"/>
    <w:rsid w:val="00F808C8"/>
    <w:rsid w:val="00F809F2"/>
    <w:rsid w:val="00F81099"/>
    <w:rsid w:val="00F817B5"/>
    <w:rsid w:val="00F81C0C"/>
    <w:rsid w:val="00F826EA"/>
    <w:rsid w:val="00F8280C"/>
    <w:rsid w:val="00F82856"/>
    <w:rsid w:val="00F828EC"/>
    <w:rsid w:val="00F82933"/>
    <w:rsid w:val="00F83383"/>
    <w:rsid w:val="00F8340E"/>
    <w:rsid w:val="00F83A12"/>
    <w:rsid w:val="00F83A44"/>
    <w:rsid w:val="00F83E8D"/>
    <w:rsid w:val="00F8412F"/>
    <w:rsid w:val="00F84351"/>
    <w:rsid w:val="00F843CE"/>
    <w:rsid w:val="00F843DB"/>
    <w:rsid w:val="00F843FB"/>
    <w:rsid w:val="00F84486"/>
    <w:rsid w:val="00F84564"/>
    <w:rsid w:val="00F84785"/>
    <w:rsid w:val="00F84927"/>
    <w:rsid w:val="00F84B6A"/>
    <w:rsid w:val="00F84F24"/>
    <w:rsid w:val="00F85A09"/>
    <w:rsid w:val="00F85CCD"/>
    <w:rsid w:val="00F861FC"/>
    <w:rsid w:val="00F86386"/>
    <w:rsid w:val="00F8646B"/>
    <w:rsid w:val="00F86AD5"/>
    <w:rsid w:val="00F8758C"/>
    <w:rsid w:val="00F875C2"/>
    <w:rsid w:val="00F876D9"/>
    <w:rsid w:val="00F87981"/>
    <w:rsid w:val="00F87AE5"/>
    <w:rsid w:val="00F903DF"/>
    <w:rsid w:val="00F9042A"/>
    <w:rsid w:val="00F90700"/>
    <w:rsid w:val="00F90BB6"/>
    <w:rsid w:val="00F91779"/>
    <w:rsid w:val="00F91EF8"/>
    <w:rsid w:val="00F9200E"/>
    <w:rsid w:val="00F92121"/>
    <w:rsid w:val="00F9232B"/>
    <w:rsid w:val="00F92515"/>
    <w:rsid w:val="00F925E0"/>
    <w:rsid w:val="00F92879"/>
    <w:rsid w:val="00F92A35"/>
    <w:rsid w:val="00F92D42"/>
    <w:rsid w:val="00F92DEC"/>
    <w:rsid w:val="00F92E81"/>
    <w:rsid w:val="00F930C2"/>
    <w:rsid w:val="00F930FE"/>
    <w:rsid w:val="00F93134"/>
    <w:rsid w:val="00F933C6"/>
    <w:rsid w:val="00F93467"/>
    <w:rsid w:val="00F9373D"/>
    <w:rsid w:val="00F937E1"/>
    <w:rsid w:val="00F93B26"/>
    <w:rsid w:val="00F93D1D"/>
    <w:rsid w:val="00F93F47"/>
    <w:rsid w:val="00F93F98"/>
    <w:rsid w:val="00F949A2"/>
    <w:rsid w:val="00F95069"/>
    <w:rsid w:val="00F957A2"/>
    <w:rsid w:val="00F9584D"/>
    <w:rsid w:val="00F95C49"/>
    <w:rsid w:val="00F95E4E"/>
    <w:rsid w:val="00F95E9B"/>
    <w:rsid w:val="00F95F97"/>
    <w:rsid w:val="00F964AB"/>
    <w:rsid w:val="00F96848"/>
    <w:rsid w:val="00F968D4"/>
    <w:rsid w:val="00F968F7"/>
    <w:rsid w:val="00F969D6"/>
    <w:rsid w:val="00F96A68"/>
    <w:rsid w:val="00F96EB1"/>
    <w:rsid w:val="00F973FF"/>
    <w:rsid w:val="00F97511"/>
    <w:rsid w:val="00F975F5"/>
    <w:rsid w:val="00F97869"/>
    <w:rsid w:val="00F978E1"/>
    <w:rsid w:val="00F978EF"/>
    <w:rsid w:val="00F97C78"/>
    <w:rsid w:val="00F97D9F"/>
    <w:rsid w:val="00F97DAA"/>
    <w:rsid w:val="00FA0344"/>
    <w:rsid w:val="00FA03BD"/>
    <w:rsid w:val="00FA0531"/>
    <w:rsid w:val="00FA059A"/>
    <w:rsid w:val="00FA1086"/>
    <w:rsid w:val="00FA1673"/>
    <w:rsid w:val="00FA16EA"/>
    <w:rsid w:val="00FA1D89"/>
    <w:rsid w:val="00FA1D96"/>
    <w:rsid w:val="00FA2279"/>
    <w:rsid w:val="00FA24F9"/>
    <w:rsid w:val="00FA2631"/>
    <w:rsid w:val="00FA324B"/>
    <w:rsid w:val="00FA34C8"/>
    <w:rsid w:val="00FA38F5"/>
    <w:rsid w:val="00FA3A83"/>
    <w:rsid w:val="00FA3BA9"/>
    <w:rsid w:val="00FA3D6A"/>
    <w:rsid w:val="00FA546A"/>
    <w:rsid w:val="00FA54BA"/>
    <w:rsid w:val="00FA561C"/>
    <w:rsid w:val="00FA58CD"/>
    <w:rsid w:val="00FA606C"/>
    <w:rsid w:val="00FA65B9"/>
    <w:rsid w:val="00FA67AC"/>
    <w:rsid w:val="00FA6A0B"/>
    <w:rsid w:val="00FA6D74"/>
    <w:rsid w:val="00FA6F8E"/>
    <w:rsid w:val="00FA6FAC"/>
    <w:rsid w:val="00FA715D"/>
    <w:rsid w:val="00FA7693"/>
    <w:rsid w:val="00FA7D14"/>
    <w:rsid w:val="00FB0167"/>
    <w:rsid w:val="00FB0288"/>
    <w:rsid w:val="00FB0891"/>
    <w:rsid w:val="00FB08DD"/>
    <w:rsid w:val="00FB0AF9"/>
    <w:rsid w:val="00FB0CB5"/>
    <w:rsid w:val="00FB0EB0"/>
    <w:rsid w:val="00FB10F8"/>
    <w:rsid w:val="00FB1180"/>
    <w:rsid w:val="00FB142C"/>
    <w:rsid w:val="00FB1D6A"/>
    <w:rsid w:val="00FB1FCB"/>
    <w:rsid w:val="00FB20E1"/>
    <w:rsid w:val="00FB2215"/>
    <w:rsid w:val="00FB22CF"/>
    <w:rsid w:val="00FB25AC"/>
    <w:rsid w:val="00FB2B94"/>
    <w:rsid w:val="00FB3282"/>
    <w:rsid w:val="00FB3330"/>
    <w:rsid w:val="00FB3590"/>
    <w:rsid w:val="00FB3DC7"/>
    <w:rsid w:val="00FB3EFD"/>
    <w:rsid w:val="00FB3F7E"/>
    <w:rsid w:val="00FB41A3"/>
    <w:rsid w:val="00FB4245"/>
    <w:rsid w:val="00FB4F22"/>
    <w:rsid w:val="00FB507E"/>
    <w:rsid w:val="00FB5261"/>
    <w:rsid w:val="00FB598E"/>
    <w:rsid w:val="00FB5A1E"/>
    <w:rsid w:val="00FB5B9A"/>
    <w:rsid w:val="00FB5EF3"/>
    <w:rsid w:val="00FB600F"/>
    <w:rsid w:val="00FB6173"/>
    <w:rsid w:val="00FB673E"/>
    <w:rsid w:val="00FB685A"/>
    <w:rsid w:val="00FB6916"/>
    <w:rsid w:val="00FB6FB1"/>
    <w:rsid w:val="00FB733B"/>
    <w:rsid w:val="00FB773F"/>
    <w:rsid w:val="00FB77AE"/>
    <w:rsid w:val="00FB798A"/>
    <w:rsid w:val="00FB7A80"/>
    <w:rsid w:val="00FB7D33"/>
    <w:rsid w:val="00FB7D8F"/>
    <w:rsid w:val="00FC0103"/>
    <w:rsid w:val="00FC0190"/>
    <w:rsid w:val="00FC0233"/>
    <w:rsid w:val="00FC0255"/>
    <w:rsid w:val="00FC05BC"/>
    <w:rsid w:val="00FC0B78"/>
    <w:rsid w:val="00FC0E55"/>
    <w:rsid w:val="00FC106F"/>
    <w:rsid w:val="00FC1115"/>
    <w:rsid w:val="00FC1286"/>
    <w:rsid w:val="00FC1B44"/>
    <w:rsid w:val="00FC1BCA"/>
    <w:rsid w:val="00FC1E70"/>
    <w:rsid w:val="00FC1F1C"/>
    <w:rsid w:val="00FC2283"/>
    <w:rsid w:val="00FC22B5"/>
    <w:rsid w:val="00FC2CB9"/>
    <w:rsid w:val="00FC2D2A"/>
    <w:rsid w:val="00FC2DA2"/>
    <w:rsid w:val="00FC2DE0"/>
    <w:rsid w:val="00FC2F87"/>
    <w:rsid w:val="00FC36B9"/>
    <w:rsid w:val="00FC43A6"/>
    <w:rsid w:val="00FC4472"/>
    <w:rsid w:val="00FC44E4"/>
    <w:rsid w:val="00FC4922"/>
    <w:rsid w:val="00FC4B73"/>
    <w:rsid w:val="00FC507C"/>
    <w:rsid w:val="00FC57E8"/>
    <w:rsid w:val="00FC580B"/>
    <w:rsid w:val="00FC5860"/>
    <w:rsid w:val="00FC5CA1"/>
    <w:rsid w:val="00FC5E38"/>
    <w:rsid w:val="00FC5EDD"/>
    <w:rsid w:val="00FC60BC"/>
    <w:rsid w:val="00FC6583"/>
    <w:rsid w:val="00FC6624"/>
    <w:rsid w:val="00FC6968"/>
    <w:rsid w:val="00FC6B05"/>
    <w:rsid w:val="00FC6C6D"/>
    <w:rsid w:val="00FC6CB3"/>
    <w:rsid w:val="00FC7028"/>
    <w:rsid w:val="00FC715F"/>
    <w:rsid w:val="00FC72DC"/>
    <w:rsid w:val="00FC72EE"/>
    <w:rsid w:val="00FC7702"/>
    <w:rsid w:val="00FC788C"/>
    <w:rsid w:val="00FC7A85"/>
    <w:rsid w:val="00FC7BC4"/>
    <w:rsid w:val="00FD0AC3"/>
    <w:rsid w:val="00FD0E01"/>
    <w:rsid w:val="00FD0E2E"/>
    <w:rsid w:val="00FD129E"/>
    <w:rsid w:val="00FD1726"/>
    <w:rsid w:val="00FD186F"/>
    <w:rsid w:val="00FD18AA"/>
    <w:rsid w:val="00FD1A1B"/>
    <w:rsid w:val="00FD1AD2"/>
    <w:rsid w:val="00FD1D74"/>
    <w:rsid w:val="00FD2320"/>
    <w:rsid w:val="00FD23E3"/>
    <w:rsid w:val="00FD24EF"/>
    <w:rsid w:val="00FD257E"/>
    <w:rsid w:val="00FD28B5"/>
    <w:rsid w:val="00FD2AF5"/>
    <w:rsid w:val="00FD2B33"/>
    <w:rsid w:val="00FD2CCB"/>
    <w:rsid w:val="00FD2F1B"/>
    <w:rsid w:val="00FD3031"/>
    <w:rsid w:val="00FD35C3"/>
    <w:rsid w:val="00FD3697"/>
    <w:rsid w:val="00FD40E4"/>
    <w:rsid w:val="00FD4138"/>
    <w:rsid w:val="00FD45B3"/>
    <w:rsid w:val="00FD45B6"/>
    <w:rsid w:val="00FD4932"/>
    <w:rsid w:val="00FD4B27"/>
    <w:rsid w:val="00FD4FF8"/>
    <w:rsid w:val="00FD50F2"/>
    <w:rsid w:val="00FD5A92"/>
    <w:rsid w:val="00FD5B3B"/>
    <w:rsid w:val="00FD5F0F"/>
    <w:rsid w:val="00FD6203"/>
    <w:rsid w:val="00FD62C6"/>
    <w:rsid w:val="00FD63E4"/>
    <w:rsid w:val="00FD64C8"/>
    <w:rsid w:val="00FD6618"/>
    <w:rsid w:val="00FD679A"/>
    <w:rsid w:val="00FD6AE5"/>
    <w:rsid w:val="00FD6BE2"/>
    <w:rsid w:val="00FD744A"/>
    <w:rsid w:val="00FD76C6"/>
    <w:rsid w:val="00FD781E"/>
    <w:rsid w:val="00FD7941"/>
    <w:rsid w:val="00FD7EB5"/>
    <w:rsid w:val="00FD7EFB"/>
    <w:rsid w:val="00FD7F8C"/>
    <w:rsid w:val="00FE04A6"/>
    <w:rsid w:val="00FE054D"/>
    <w:rsid w:val="00FE099F"/>
    <w:rsid w:val="00FE0A67"/>
    <w:rsid w:val="00FE0BA6"/>
    <w:rsid w:val="00FE0FD2"/>
    <w:rsid w:val="00FE1510"/>
    <w:rsid w:val="00FE1AB4"/>
    <w:rsid w:val="00FE232C"/>
    <w:rsid w:val="00FE2612"/>
    <w:rsid w:val="00FE27EC"/>
    <w:rsid w:val="00FE2E2F"/>
    <w:rsid w:val="00FE304A"/>
    <w:rsid w:val="00FE31F7"/>
    <w:rsid w:val="00FE32DB"/>
    <w:rsid w:val="00FE368A"/>
    <w:rsid w:val="00FE3921"/>
    <w:rsid w:val="00FE3B9E"/>
    <w:rsid w:val="00FE4033"/>
    <w:rsid w:val="00FE44E8"/>
    <w:rsid w:val="00FE4570"/>
    <w:rsid w:val="00FE470F"/>
    <w:rsid w:val="00FE49B0"/>
    <w:rsid w:val="00FE4B53"/>
    <w:rsid w:val="00FE5034"/>
    <w:rsid w:val="00FE51E3"/>
    <w:rsid w:val="00FE547B"/>
    <w:rsid w:val="00FE5F1F"/>
    <w:rsid w:val="00FE60B0"/>
    <w:rsid w:val="00FE6299"/>
    <w:rsid w:val="00FE651F"/>
    <w:rsid w:val="00FE6711"/>
    <w:rsid w:val="00FE67DE"/>
    <w:rsid w:val="00FE6974"/>
    <w:rsid w:val="00FE6A19"/>
    <w:rsid w:val="00FE6A74"/>
    <w:rsid w:val="00FE6ACB"/>
    <w:rsid w:val="00FE6F8E"/>
    <w:rsid w:val="00FE7076"/>
    <w:rsid w:val="00FE7251"/>
    <w:rsid w:val="00FE7BCC"/>
    <w:rsid w:val="00FF0289"/>
    <w:rsid w:val="00FF0316"/>
    <w:rsid w:val="00FF098A"/>
    <w:rsid w:val="00FF1776"/>
    <w:rsid w:val="00FF1929"/>
    <w:rsid w:val="00FF1FB1"/>
    <w:rsid w:val="00FF22E6"/>
    <w:rsid w:val="00FF2318"/>
    <w:rsid w:val="00FF308B"/>
    <w:rsid w:val="00FF32C4"/>
    <w:rsid w:val="00FF3529"/>
    <w:rsid w:val="00FF3AF3"/>
    <w:rsid w:val="00FF3B7B"/>
    <w:rsid w:val="00FF3BBD"/>
    <w:rsid w:val="00FF3BE6"/>
    <w:rsid w:val="00FF40B1"/>
    <w:rsid w:val="00FF4249"/>
    <w:rsid w:val="00FF4EDE"/>
    <w:rsid w:val="00FF50EE"/>
    <w:rsid w:val="00FF545E"/>
    <w:rsid w:val="00FF54D7"/>
    <w:rsid w:val="00FF56FB"/>
    <w:rsid w:val="00FF5CCD"/>
    <w:rsid w:val="00FF5E42"/>
    <w:rsid w:val="00FF5E5F"/>
    <w:rsid w:val="00FF627F"/>
    <w:rsid w:val="00FF638F"/>
    <w:rsid w:val="00FF644F"/>
    <w:rsid w:val="00FF67AF"/>
    <w:rsid w:val="00FF759D"/>
    <w:rsid w:val="00FF75C9"/>
    <w:rsid w:val="00FF7BBD"/>
    <w:rsid w:val="00FF7C1B"/>
    <w:rsid w:val="00FF7C4E"/>
    <w:rsid w:val="00FF7CC6"/>
    <w:rsid w:val="00FF7EB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hapeDefaults>
    <o:shapedefaults v:ext="edit" spidmax="2049"/>
    <o:shapelayout v:ext="edit">
      <o:idmap v:ext="edit" data="1"/>
    </o:shapelayout>
  </w:shapeDefaults>
  <w:decimalSymbol w:val="."/>
  <w:listSeparator w:val=","/>
  <w14:docId w14:val="32333829"/>
  <w15:chartTrackingRefBased/>
  <w15:docId w15:val="{BF999F7C-EF73-4318-92DB-3B5A12A22D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line="48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55D8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1943A8"/>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1943A8"/>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9B7FCB"/>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830D1"/>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327E6E"/>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327E6E"/>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16413B"/>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55D86"/>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1943A8"/>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1943A8"/>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9B7FCB"/>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830D1"/>
    <w:rPr>
      <w:rFonts w:asciiTheme="majorHAnsi" w:eastAsiaTheme="majorEastAsia" w:hAnsiTheme="majorHAnsi" w:cstheme="majorBidi"/>
      <w:color w:val="2E74B5" w:themeColor="accent1" w:themeShade="BF"/>
    </w:rPr>
  </w:style>
  <w:style w:type="paragraph" w:styleId="ListParagraph">
    <w:name w:val="List Paragraph"/>
    <w:basedOn w:val="Normal"/>
    <w:uiPriority w:val="34"/>
    <w:qFormat/>
    <w:rsid w:val="00B40CC9"/>
    <w:pPr>
      <w:ind w:left="720"/>
      <w:contextualSpacing/>
    </w:pPr>
  </w:style>
  <w:style w:type="paragraph" w:styleId="Header">
    <w:name w:val="header"/>
    <w:basedOn w:val="Normal"/>
    <w:link w:val="HeaderChar"/>
    <w:uiPriority w:val="99"/>
    <w:unhideWhenUsed/>
    <w:rsid w:val="00B40CC9"/>
    <w:pPr>
      <w:tabs>
        <w:tab w:val="center" w:pos="4513"/>
        <w:tab w:val="right" w:pos="9026"/>
      </w:tabs>
      <w:spacing w:line="240" w:lineRule="auto"/>
    </w:pPr>
  </w:style>
  <w:style w:type="character" w:customStyle="1" w:styleId="HeaderChar">
    <w:name w:val="Header Char"/>
    <w:basedOn w:val="DefaultParagraphFont"/>
    <w:link w:val="Header"/>
    <w:uiPriority w:val="99"/>
    <w:rsid w:val="00B40CC9"/>
  </w:style>
  <w:style w:type="paragraph" w:styleId="Footer">
    <w:name w:val="footer"/>
    <w:basedOn w:val="Normal"/>
    <w:link w:val="FooterChar"/>
    <w:uiPriority w:val="99"/>
    <w:unhideWhenUsed/>
    <w:rsid w:val="00B40CC9"/>
    <w:pPr>
      <w:tabs>
        <w:tab w:val="center" w:pos="4513"/>
        <w:tab w:val="right" w:pos="9026"/>
      </w:tabs>
      <w:spacing w:line="240" w:lineRule="auto"/>
    </w:pPr>
  </w:style>
  <w:style w:type="character" w:customStyle="1" w:styleId="FooterChar">
    <w:name w:val="Footer Char"/>
    <w:basedOn w:val="DefaultParagraphFont"/>
    <w:link w:val="Footer"/>
    <w:uiPriority w:val="99"/>
    <w:rsid w:val="00B40CC9"/>
  </w:style>
  <w:style w:type="character" w:customStyle="1" w:styleId="FootnoteTextChar">
    <w:name w:val="Footnote Text Char"/>
    <w:aliases w:val="Footnote Text Char Char Char Char Char1,Footnote Text Char Char Char Char Char Char,Footnote Text Char Char Char Char Char Char Char Char Ch Char Char Char Char,fn Char"/>
    <w:basedOn w:val="DefaultParagraphFont"/>
    <w:link w:val="FootnoteText"/>
    <w:uiPriority w:val="99"/>
    <w:qFormat/>
    <w:rsid w:val="00B40CC9"/>
    <w:rPr>
      <w:rFonts w:ascii="Times New Roman" w:eastAsia="Times New Roman" w:hAnsi="Times New Roman" w:cs="Times New Roman"/>
      <w:sz w:val="20"/>
      <w:szCs w:val="20"/>
    </w:rPr>
  </w:style>
  <w:style w:type="paragraph" w:styleId="FootnoteText">
    <w:name w:val="footnote text"/>
    <w:aliases w:val="Footnote Text Char Char Char Char,Footnote Text Char Char Char Char Char,Footnote Text Char Char Char Char Char Char Char Char Ch Char Char Char,Footnote Text Char Char Char Char Char Char Char Char Ch Char Char Char Char Char Char,fn"/>
    <w:basedOn w:val="Normal"/>
    <w:link w:val="FootnoteTextChar"/>
    <w:uiPriority w:val="99"/>
    <w:qFormat/>
    <w:rsid w:val="00B40CC9"/>
    <w:pPr>
      <w:spacing w:line="240" w:lineRule="auto"/>
    </w:pPr>
    <w:rPr>
      <w:rFonts w:ascii="Times New Roman" w:eastAsia="Times New Roman" w:hAnsi="Times New Roman" w:cs="Times New Roman"/>
      <w:sz w:val="20"/>
      <w:szCs w:val="20"/>
    </w:rPr>
  </w:style>
  <w:style w:type="character" w:styleId="FootnoteReference">
    <w:name w:val="footnote reference"/>
    <w:aliases w:val="Appel note de bas de p,Ref,de nota al pie,Footnote Refernece,BVI fnr,Fußnotenzeichen_Raxen,callout,Footnote Reference Number,SUPERS,Footnote symbol,Footnote reference number,Times 10 Point,Exposant 3 Point,EN Footnote Reference,Nota,o"/>
    <w:basedOn w:val="DefaultParagraphFont"/>
    <w:uiPriority w:val="99"/>
    <w:qFormat/>
    <w:rsid w:val="00B40CC9"/>
    <w:rPr>
      <w:vertAlign w:val="superscript"/>
    </w:rPr>
  </w:style>
  <w:style w:type="character" w:customStyle="1" w:styleId="FootnoteAnchor">
    <w:name w:val="Footnote Anchor"/>
    <w:rsid w:val="00B40CC9"/>
    <w:rPr>
      <w:vertAlign w:val="superscript"/>
    </w:rPr>
  </w:style>
  <w:style w:type="character" w:customStyle="1" w:styleId="FootnoteTextChar1">
    <w:name w:val="Footnote Text Char1"/>
    <w:basedOn w:val="DefaultParagraphFont"/>
    <w:uiPriority w:val="99"/>
    <w:semiHidden/>
    <w:rsid w:val="00B40CC9"/>
    <w:rPr>
      <w:sz w:val="20"/>
      <w:szCs w:val="20"/>
    </w:rPr>
  </w:style>
  <w:style w:type="paragraph" w:customStyle="1" w:styleId="Balk11">
    <w:name w:val="Başlık 11"/>
    <w:basedOn w:val="Normal"/>
    <w:next w:val="Normal"/>
    <w:link w:val="Balk1Char"/>
    <w:uiPriority w:val="9"/>
    <w:qFormat/>
    <w:rsid w:val="00C067D7"/>
    <w:pPr>
      <w:keepNext/>
      <w:keepLines/>
      <w:spacing w:before="480" w:line="276" w:lineRule="auto"/>
      <w:outlineLvl w:val="0"/>
    </w:pPr>
    <w:rPr>
      <w:rFonts w:asciiTheme="majorHAnsi" w:eastAsiaTheme="majorEastAsia" w:hAnsiTheme="majorHAnsi" w:cstheme="majorBidi"/>
      <w:b/>
      <w:bCs/>
      <w:noProof/>
      <w:color w:val="2E74B5" w:themeColor="accent1" w:themeShade="BF"/>
      <w:sz w:val="28"/>
      <w:szCs w:val="28"/>
    </w:rPr>
  </w:style>
  <w:style w:type="character" w:customStyle="1" w:styleId="Balk1Char">
    <w:name w:val="Başlık 1 Char"/>
    <w:basedOn w:val="DefaultParagraphFont"/>
    <w:link w:val="Balk11"/>
    <w:uiPriority w:val="9"/>
    <w:qFormat/>
    <w:rsid w:val="00C067D7"/>
    <w:rPr>
      <w:rFonts w:asciiTheme="majorHAnsi" w:eastAsiaTheme="majorEastAsia" w:hAnsiTheme="majorHAnsi" w:cstheme="majorBidi"/>
      <w:b/>
      <w:bCs/>
      <w:noProof/>
      <w:color w:val="2E74B5" w:themeColor="accent1" w:themeShade="BF"/>
      <w:sz w:val="28"/>
      <w:szCs w:val="28"/>
    </w:rPr>
  </w:style>
  <w:style w:type="paragraph" w:customStyle="1" w:styleId="Balk31">
    <w:name w:val="Başlık 31"/>
    <w:basedOn w:val="Normal"/>
    <w:next w:val="Normal"/>
    <w:link w:val="Balk3Char"/>
    <w:qFormat/>
    <w:rsid w:val="00213338"/>
    <w:pPr>
      <w:keepNext/>
      <w:spacing w:before="240" w:after="60" w:line="240" w:lineRule="auto"/>
      <w:outlineLvl w:val="2"/>
    </w:pPr>
    <w:rPr>
      <w:rFonts w:ascii="Arial" w:eastAsia="Times New Roman" w:hAnsi="Arial" w:cs="Arial"/>
      <w:b/>
      <w:bCs/>
      <w:noProof/>
      <w:sz w:val="26"/>
      <w:szCs w:val="26"/>
    </w:rPr>
  </w:style>
  <w:style w:type="character" w:customStyle="1" w:styleId="Balk3Char">
    <w:name w:val="Başlık 3 Char"/>
    <w:basedOn w:val="DefaultParagraphFont"/>
    <w:link w:val="Balk31"/>
    <w:qFormat/>
    <w:rsid w:val="00213338"/>
    <w:rPr>
      <w:rFonts w:ascii="Arial" w:eastAsia="Times New Roman" w:hAnsi="Arial" w:cs="Arial"/>
      <w:b/>
      <w:bCs/>
      <w:noProof/>
      <w:sz w:val="26"/>
      <w:szCs w:val="26"/>
    </w:rPr>
  </w:style>
  <w:style w:type="character" w:styleId="Hyperlink">
    <w:name w:val="Hyperlink"/>
    <w:basedOn w:val="DefaultParagraphFont"/>
    <w:uiPriority w:val="99"/>
    <w:unhideWhenUsed/>
    <w:rsid w:val="00F95E4E"/>
    <w:rPr>
      <w:color w:val="0563C1" w:themeColor="hyperlink"/>
      <w:u w:val="single"/>
    </w:rPr>
  </w:style>
  <w:style w:type="character" w:styleId="FollowedHyperlink">
    <w:name w:val="FollowedHyperlink"/>
    <w:basedOn w:val="DefaultParagraphFont"/>
    <w:uiPriority w:val="99"/>
    <w:semiHidden/>
    <w:unhideWhenUsed/>
    <w:rsid w:val="00F95E4E"/>
    <w:rPr>
      <w:color w:val="954F72" w:themeColor="followedHyperlink"/>
      <w:u w:val="single"/>
    </w:rPr>
  </w:style>
  <w:style w:type="paragraph" w:styleId="NormalWeb">
    <w:name w:val="Normal (Web)"/>
    <w:basedOn w:val="Normal"/>
    <w:uiPriority w:val="99"/>
    <w:unhideWhenUsed/>
    <w:qFormat/>
    <w:rsid w:val="003E568E"/>
    <w:pPr>
      <w:spacing w:before="100" w:beforeAutospacing="1" w:after="100" w:afterAutospacing="1" w:line="240" w:lineRule="auto"/>
    </w:pPr>
    <w:rPr>
      <w:rFonts w:ascii="Times New Roman" w:eastAsia="Times New Roman" w:hAnsi="Times New Roman" w:cs="Times New Roman"/>
      <w:noProof/>
      <w:sz w:val="24"/>
      <w:szCs w:val="24"/>
      <w:lang w:eastAsia="tr-TR"/>
    </w:rPr>
  </w:style>
  <w:style w:type="paragraph" w:styleId="BodyText2">
    <w:name w:val="Body Text 2"/>
    <w:basedOn w:val="Normal"/>
    <w:link w:val="BodyText2Char"/>
    <w:unhideWhenUsed/>
    <w:qFormat/>
    <w:rsid w:val="003E568E"/>
    <w:pPr>
      <w:spacing w:line="360" w:lineRule="auto"/>
      <w:jc w:val="both"/>
    </w:pPr>
    <w:rPr>
      <w:rFonts w:ascii="Times New Roman" w:eastAsia="Times New Roman" w:hAnsi="Times New Roman" w:cs="Times New Roman"/>
      <w:b/>
      <w:bCs/>
      <w:sz w:val="24"/>
      <w:lang w:eastAsia="tr-TR"/>
    </w:rPr>
  </w:style>
  <w:style w:type="character" w:customStyle="1" w:styleId="BodyText2Char">
    <w:name w:val="Body Text 2 Char"/>
    <w:basedOn w:val="DefaultParagraphFont"/>
    <w:link w:val="BodyText2"/>
    <w:qFormat/>
    <w:rsid w:val="003E568E"/>
    <w:rPr>
      <w:rFonts w:ascii="Times New Roman" w:eastAsia="Times New Roman" w:hAnsi="Times New Roman" w:cs="Times New Roman"/>
      <w:b/>
      <w:bCs/>
      <w:sz w:val="24"/>
      <w:lang w:eastAsia="tr-TR"/>
    </w:rPr>
  </w:style>
  <w:style w:type="character" w:customStyle="1" w:styleId="InternetLink">
    <w:name w:val="Internet Link"/>
    <w:basedOn w:val="DefaultParagraphFont"/>
    <w:uiPriority w:val="99"/>
    <w:rsid w:val="00691C18"/>
    <w:rPr>
      <w:color w:val="0000FF"/>
      <w:u w:val="single"/>
    </w:rPr>
  </w:style>
  <w:style w:type="character" w:customStyle="1" w:styleId="documentbody">
    <w:name w:val="documentbody"/>
    <w:basedOn w:val="DefaultParagraphFont"/>
    <w:rsid w:val="00260072"/>
  </w:style>
  <w:style w:type="paragraph" w:customStyle="1" w:styleId="devFormat">
    <w:name w:val="Ödev Formatı"/>
    <w:basedOn w:val="Normal"/>
    <w:rsid w:val="001C6B6D"/>
    <w:pPr>
      <w:spacing w:before="120" w:after="120" w:line="360" w:lineRule="auto"/>
      <w:ind w:firstLine="709"/>
      <w:jc w:val="both"/>
    </w:pPr>
    <w:rPr>
      <w:rFonts w:ascii="Arial" w:eastAsia="Times New Roman" w:hAnsi="Arial" w:cs="Times New Roman"/>
      <w:sz w:val="24"/>
      <w:szCs w:val="20"/>
    </w:rPr>
  </w:style>
  <w:style w:type="character" w:customStyle="1" w:styleId="Mention1">
    <w:name w:val="Mention1"/>
    <w:basedOn w:val="DefaultParagraphFont"/>
    <w:uiPriority w:val="99"/>
    <w:semiHidden/>
    <w:unhideWhenUsed/>
    <w:rsid w:val="00041A5E"/>
    <w:rPr>
      <w:color w:val="2B579A"/>
      <w:shd w:val="clear" w:color="auto" w:fill="E6E6E6"/>
    </w:rPr>
  </w:style>
  <w:style w:type="character" w:customStyle="1" w:styleId="fontstyle01">
    <w:name w:val="fontstyle01"/>
    <w:basedOn w:val="DefaultParagraphFont"/>
    <w:rsid w:val="00104722"/>
    <w:rPr>
      <w:rFonts w:ascii="TimesNewRomanPSMT" w:hAnsi="TimesNewRomanPSMT" w:hint="default"/>
      <w:b w:val="0"/>
      <w:bCs w:val="0"/>
      <w:i w:val="0"/>
      <w:iCs w:val="0"/>
      <w:color w:val="231F20"/>
      <w:sz w:val="20"/>
      <w:szCs w:val="20"/>
    </w:rPr>
  </w:style>
  <w:style w:type="character" w:customStyle="1" w:styleId="fontstyle21">
    <w:name w:val="fontstyle21"/>
    <w:basedOn w:val="DefaultParagraphFont"/>
    <w:rsid w:val="00513542"/>
    <w:rPr>
      <w:rFonts w:ascii="TimesNewRomanPS-ItalicMT" w:hAnsi="TimesNewRomanPS-ItalicMT" w:hint="default"/>
      <w:b w:val="0"/>
      <w:bCs w:val="0"/>
      <w:i/>
      <w:iCs/>
      <w:color w:val="000000"/>
      <w:sz w:val="24"/>
      <w:szCs w:val="24"/>
    </w:rPr>
  </w:style>
  <w:style w:type="character" w:customStyle="1" w:styleId="footnote">
    <w:name w:val="footnote"/>
    <w:basedOn w:val="DefaultParagraphFont"/>
    <w:rsid w:val="00DE369E"/>
  </w:style>
  <w:style w:type="character" w:customStyle="1" w:styleId="footnotereference0">
    <w:name w:val="footnotereference"/>
    <w:basedOn w:val="DefaultParagraphFont"/>
    <w:rsid w:val="00DE369E"/>
  </w:style>
  <w:style w:type="paragraph" w:customStyle="1" w:styleId="Char">
    <w:name w:val="Char"/>
    <w:basedOn w:val="Normal"/>
    <w:rsid w:val="00D10809"/>
    <w:pPr>
      <w:spacing w:line="240" w:lineRule="exact"/>
    </w:pPr>
    <w:rPr>
      <w:rFonts w:ascii="Arial" w:eastAsia="Times New Roman" w:hAnsi="Arial" w:cs="Times New Roman"/>
      <w:kern w:val="16"/>
      <w:sz w:val="20"/>
      <w:szCs w:val="20"/>
      <w:lang w:val="en-US"/>
    </w:rPr>
  </w:style>
  <w:style w:type="character" w:styleId="PageNumber">
    <w:name w:val="page number"/>
    <w:basedOn w:val="DefaultParagraphFont"/>
    <w:rsid w:val="00A652D8"/>
  </w:style>
  <w:style w:type="paragraph" w:customStyle="1" w:styleId="Char1">
    <w:name w:val="Char1"/>
    <w:basedOn w:val="Normal"/>
    <w:rsid w:val="00A614DB"/>
    <w:pPr>
      <w:spacing w:line="240" w:lineRule="exact"/>
    </w:pPr>
    <w:rPr>
      <w:rFonts w:ascii="Arial" w:eastAsia="Times New Roman" w:hAnsi="Arial" w:cs="Times New Roman"/>
      <w:kern w:val="16"/>
      <w:sz w:val="20"/>
      <w:szCs w:val="20"/>
      <w:lang w:val="en-US"/>
    </w:rPr>
  </w:style>
  <w:style w:type="character" w:customStyle="1" w:styleId="UnresolvedMention1">
    <w:name w:val="Unresolved Mention1"/>
    <w:basedOn w:val="DefaultParagraphFont"/>
    <w:uiPriority w:val="99"/>
    <w:semiHidden/>
    <w:unhideWhenUsed/>
    <w:rsid w:val="00027ED2"/>
    <w:rPr>
      <w:color w:val="808080"/>
      <w:shd w:val="clear" w:color="auto" w:fill="E6E6E6"/>
    </w:rPr>
  </w:style>
  <w:style w:type="paragraph" w:styleId="BodyTextIndent2">
    <w:name w:val="Body Text Indent 2"/>
    <w:basedOn w:val="Normal"/>
    <w:link w:val="BodyTextIndent2Char"/>
    <w:uiPriority w:val="99"/>
    <w:semiHidden/>
    <w:unhideWhenUsed/>
    <w:rsid w:val="00132145"/>
    <w:pPr>
      <w:spacing w:after="120"/>
      <w:ind w:left="360"/>
    </w:pPr>
  </w:style>
  <w:style w:type="character" w:customStyle="1" w:styleId="BodyTextIndent2Char">
    <w:name w:val="Body Text Indent 2 Char"/>
    <w:basedOn w:val="DefaultParagraphFont"/>
    <w:link w:val="BodyTextIndent2"/>
    <w:uiPriority w:val="99"/>
    <w:semiHidden/>
    <w:rsid w:val="00132145"/>
  </w:style>
  <w:style w:type="character" w:customStyle="1" w:styleId="fontstyle31">
    <w:name w:val="fontstyle31"/>
    <w:basedOn w:val="DefaultParagraphFont"/>
    <w:rsid w:val="00D46A45"/>
    <w:rPr>
      <w:rFonts w:ascii="TimesNewRomanPS-BoldMT" w:hAnsi="TimesNewRomanPS-BoldMT" w:hint="default"/>
      <w:b/>
      <w:bCs/>
      <w:i w:val="0"/>
      <w:iCs w:val="0"/>
      <w:color w:val="231F20"/>
      <w:sz w:val="24"/>
      <w:szCs w:val="24"/>
    </w:rPr>
  </w:style>
  <w:style w:type="paragraph" w:styleId="TOCHeading">
    <w:name w:val="TOC Heading"/>
    <w:basedOn w:val="Heading1"/>
    <w:next w:val="Normal"/>
    <w:uiPriority w:val="39"/>
    <w:unhideWhenUsed/>
    <w:qFormat/>
    <w:rsid w:val="00913FDC"/>
    <w:pPr>
      <w:outlineLvl w:val="9"/>
    </w:pPr>
    <w:rPr>
      <w:lang w:val="en-US"/>
    </w:rPr>
  </w:style>
  <w:style w:type="paragraph" w:styleId="TOC1">
    <w:name w:val="toc 1"/>
    <w:basedOn w:val="Normal"/>
    <w:next w:val="Normal"/>
    <w:autoRedefine/>
    <w:uiPriority w:val="39"/>
    <w:unhideWhenUsed/>
    <w:rsid w:val="008E6539"/>
    <w:pPr>
      <w:tabs>
        <w:tab w:val="right" w:leader="dot" w:pos="8165"/>
      </w:tabs>
      <w:spacing w:before="60" w:line="264" w:lineRule="auto"/>
      <w:ind w:left="284" w:right="707" w:hanging="284"/>
      <w:jc w:val="both"/>
    </w:pPr>
    <w:rPr>
      <w:rFonts w:ascii="Times New Roman" w:hAnsi="Times New Roman" w:cs="Times New Roman"/>
      <w:b/>
      <w:bCs/>
      <w:noProof/>
      <w:sz w:val="24"/>
      <w:szCs w:val="24"/>
    </w:rPr>
  </w:style>
  <w:style w:type="paragraph" w:styleId="TOC2">
    <w:name w:val="toc 2"/>
    <w:basedOn w:val="Normal"/>
    <w:next w:val="Normal"/>
    <w:autoRedefine/>
    <w:uiPriority w:val="39"/>
    <w:unhideWhenUsed/>
    <w:rsid w:val="00121CAF"/>
    <w:pPr>
      <w:tabs>
        <w:tab w:val="right" w:leader="dot" w:pos="7938"/>
      </w:tabs>
      <w:spacing w:after="100" w:line="360" w:lineRule="auto"/>
      <w:ind w:left="851" w:right="990" w:hanging="489"/>
      <w:jc w:val="both"/>
    </w:pPr>
  </w:style>
  <w:style w:type="paragraph" w:styleId="TOC3">
    <w:name w:val="toc 3"/>
    <w:basedOn w:val="Normal"/>
    <w:next w:val="Normal"/>
    <w:autoRedefine/>
    <w:uiPriority w:val="39"/>
    <w:unhideWhenUsed/>
    <w:rsid w:val="00266E1E"/>
    <w:pPr>
      <w:tabs>
        <w:tab w:val="right" w:leader="dot" w:pos="8165"/>
      </w:tabs>
      <w:spacing w:before="120" w:line="240" w:lineRule="auto"/>
      <w:ind w:left="1560" w:right="707" w:hanging="694"/>
      <w:jc w:val="both"/>
    </w:pPr>
  </w:style>
  <w:style w:type="paragraph" w:styleId="TOC4">
    <w:name w:val="toc 4"/>
    <w:basedOn w:val="Normal"/>
    <w:next w:val="Normal"/>
    <w:autoRedefine/>
    <w:uiPriority w:val="39"/>
    <w:unhideWhenUsed/>
    <w:rsid w:val="00121CAF"/>
    <w:pPr>
      <w:tabs>
        <w:tab w:val="right" w:leader="dot" w:pos="7938"/>
      </w:tabs>
      <w:spacing w:after="100" w:line="360" w:lineRule="auto"/>
      <w:ind w:left="2268" w:right="1132" w:hanging="758"/>
      <w:jc w:val="both"/>
    </w:pPr>
  </w:style>
  <w:style w:type="paragraph" w:styleId="TOC5">
    <w:name w:val="toc 5"/>
    <w:basedOn w:val="Normal"/>
    <w:next w:val="Normal"/>
    <w:autoRedefine/>
    <w:uiPriority w:val="39"/>
    <w:unhideWhenUsed/>
    <w:rsid w:val="00121CAF"/>
    <w:pPr>
      <w:tabs>
        <w:tab w:val="right" w:leader="dot" w:pos="7938"/>
      </w:tabs>
      <w:spacing w:after="100" w:line="360" w:lineRule="auto"/>
      <w:ind w:left="2977" w:right="990" w:hanging="992"/>
    </w:pPr>
  </w:style>
  <w:style w:type="paragraph" w:styleId="BalloonText">
    <w:name w:val="Balloon Text"/>
    <w:basedOn w:val="Normal"/>
    <w:link w:val="BalloonTextChar"/>
    <w:uiPriority w:val="99"/>
    <w:semiHidden/>
    <w:unhideWhenUsed/>
    <w:rsid w:val="007C1CC2"/>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C1CC2"/>
    <w:rPr>
      <w:rFonts w:ascii="Segoe UI" w:hAnsi="Segoe UI" w:cs="Segoe UI"/>
      <w:sz w:val="18"/>
      <w:szCs w:val="18"/>
    </w:rPr>
  </w:style>
  <w:style w:type="paragraph" w:styleId="BodyText3">
    <w:name w:val="Body Text 3"/>
    <w:basedOn w:val="Normal"/>
    <w:link w:val="BodyText3Char"/>
    <w:uiPriority w:val="99"/>
    <w:semiHidden/>
    <w:unhideWhenUsed/>
    <w:rsid w:val="00B422AF"/>
    <w:pPr>
      <w:spacing w:after="120"/>
    </w:pPr>
    <w:rPr>
      <w:sz w:val="16"/>
      <w:szCs w:val="16"/>
    </w:rPr>
  </w:style>
  <w:style w:type="character" w:customStyle="1" w:styleId="BodyText3Char">
    <w:name w:val="Body Text 3 Char"/>
    <w:basedOn w:val="DefaultParagraphFont"/>
    <w:link w:val="BodyText3"/>
    <w:uiPriority w:val="99"/>
    <w:semiHidden/>
    <w:rsid w:val="00B422AF"/>
    <w:rPr>
      <w:sz w:val="16"/>
      <w:szCs w:val="16"/>
    </w:rPr>
  </w:style>
  <w:style w:type="paragraph" w:customStyle="1" w:styleId="NoTitle">
    <w:name w:val="No Title"/>
    <w:basedOn w:val="Normal"/>
    <w:rsid w:val="00FB2B94"/>
    <w:pPr>
      <w:spacing w:before="220" w:line="220" w:lineRule="atLeast"/>
    </w:pPr>
    <w:rPr>
      <w:rFonts w:ascii="Garamond" w:eastAsia="Times New Roman" w:hAnsi="Garamond" w:cs="Times New Roman"/>
      <w:caps/>
      <w:spacing w:val="15"/>
      <w:sz w:val="20"/>
      <w:szCs w:val="20"/>
      <w:lang w:val="en-AU"/>
    </w:rPr>
  </w:style>
  <w:style w:type="paragraph" w:styleId="BodyText">
    <w:name w:val="Body Text"/>
    <w:basedOn w:val="Normal"/>
    <w:link w:val="BodyTextChar"/>
    <w:uiPriority w:val="99"/>
    <w:semiHidden/>
    <w:unhideWhenUsed/>
    <w:rsid w:val="00C45CC2"/>
    <w:pPr>
      <w:spacing w:after="120"/>
    </w:pPr>
  </w:style>
  <w:style w:type="character" w:customStyle="1" w:styleId="BodyTextChar">
    <w:name w:val="Body Text Char"/>
    <w:basedOn w:val="DefaultParagraphFont"/>
    <w:link w:val="BodyText"/>
    <w:uiPriority w:val="99"/>
    <w:semiHidden/>
    <w:rsid w:val="00C45CC2"/>
  </w:style>
  <w:style w:type="character" w:styleId="PlaceholderText">
    <w:name w:val="Placeholder Text"/>
    <w:basedOn w:val="DefaultParagraphFont"/>
    <w:uiPriority w:val="99"/>
    <w:semiHidden/>
    <w:rsid w:val="00DC4F18"/>
    <w:rPr>
      <w:color w:val="808080"/>
    </w:rPr>
  </w:style>
  <w:style w:type="paragraph" w:styleId="TOC6">
    <w:name w:val="toc 6"/>
    <w:basedOn w:val="Normal"/>
    <w:next w:val="Normal"/>
    <w:autoRedefine/>
    <w:uiPriority w:val="39"/>
    <w:unhideWhenUsed/>
    <w:rsid w:val="002C3C44"/>
    <w:pPr>
      <w:spacing w:after="100"/>
      <w:ind w:left="1100"/>
    </w:pPr>
    <w:rPr>
      <w:rFonts w:eastAsiaTheme="minorEastAsia"/>
      <w:lang w:eastAsia="en-GB"/>
    </w:rPr>
  </w:style>
  <w:style w:type="paragraph" w:styleId="TOC7">
    <w:name w:val="toc 7"/>
    <w:basedOn w:val="Normal"/>
    <w:next w:val="Normal"/>
    <w:autoRedefine/>
    <w:uiPriority w:val="39"/>
    <w:unhideWhenUsed/>
    <w:rsid w:val="002C3C44"/>
    <w:pPr>
      <w:spacing w:after="100"/>
      <w:ind w:left="1320"/>
    </w:pPr>
    <w:rPr>
      <w:rFonts w:eastAsiaTheme="minorEastAsia"/>
      <w:lang w:eastAsia="en-GB"/>
    </w:rPr>
  </w:style>
  <w:style w:type="paragraph" w:styleId="TOC8">
    <w:name w:val="toc 8"/>
    <w:basedOn w:val="Normal"/>
    <w:next w:val="Normal"/>
    <w:autoRedefine/>
    <w:uiPriority w:val="39"/>
    <w:unhideWhenUsed/>
    <w:rsid w:val="002C3C44"/>
    <w:pPr>
      <w:spacing w:after="100"/>
      <w:ind w:left="1540"/>
    </w:pPr>
    <w:rPr>
      <w:rFonts w:eastAsiaTheme="minorEastAsia"/>
      <w:lang w:eastAsia="en-GB"/>
    </w:rPr>
  </w:style>
  <w:style w:type="paragraph" w:styleId="TOC9">
    <w:name w:val="toc 9"/>
    <w:basedOn w:val="Normal"/>
    <w:next w:val="Normal"/>
    <w:autoRedefine/>
    <w:uiPriority w:val="39"/>
    <w:unhideWhenUsed/>
    <w:rsid w:val="002C3C44"/>
    <w:pPr>
      <w:spacing w:after="100"/>
      <w:ind w:left="1760"/>
    </w:pPr>
    <w:rPr>
      <w:rFonts w:eastAsiaTheme="minorEastAsia"/>
      <w:lang w:eastAsia="en-GB"/>
    </w:rPr>
  </w:style>
  <w:style w:type="character" w:customStyle="1" w:styleId="vm-hook">
    <w:name w:val="vm-hook"/>
    <w:basedOn w:val="DefaultParagraphFont"/>
    <w:rsid w:val="009549F9"/>
  </w:style>
  <w:style w:type="paragraph" w:customStyle="1" w:styleId="pbulletcmt">
    <w:name w:val="pbulletcmt"/>
    <w:basedOn w:val="Normal"/>
    <w:rsid w:val="004F1D9B"/>
    <w:pPr>
      <w:spacing w:before="100" w:beforeAutospacing="1" w:after="100" w:afterAutospacing="1" w:line="240" w:lineRule="auto"/>
    </w:pPr>
    <w:rPr>
      <w:rFonts w:ascii="Times New Roman" w:eastAsia="Times New Roman" w:hAnsi="Times New Roman" w:cs="Times New Roman"/>
      <w:sz w:val="24"/>
      <w:szCs w:val="24"/>
      <w:lang w:eastAsia="en-GB"/>
    </w:rPr>
  </w:style>
  <w:style w:type="table" w:styleId="TableGrid">
    <w:name w:val="Table Grid"/>
    <w:basedOn w:val="TableNormal"/>
    <w:uiPriority w:val="39"/>
    <w:rsid w:val="009A2C0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653BD2"/>
    <w:rPr>
      <w:i/>
      <w:iCs/>
    </w:rPr>
  </w:style>
  <w:style w:type="character" w:styleId="Strong">
    <w:name w:val="Strong"/>
    <w:basedOn w:val="DefaultParagraphFont"/>
    <w:uiPriority w:val="22"/>
    <w:qFormat/>
    <w:rsid w:val="00E72B68"/>
    <w:rPr>
      <w:b/>
      <w:bCs/>
    </w:rPr>
  </w:style>
  <w:style w:type="character" w:styleId="UnresolvedMention">
    <w:name w:val="Unresolved Mention"/>
    <w:basedOn w:val="DefaultParagraphFont"/>
    <w:uiPriority w:val="99"/>
    <w:semiHidden/>
    <w:unhideWhenUsed/>
    <w:rsid w:val="00E36F86"/>
    <w:rPr>
      <w:color w:val="605E5C"/>
      <w:shd w:val="clear" w:color="auto" w:fill="E1DFDD"/>
    </w:rPr>
  </w:style>
  <w:style w:type="character" w:customStyle="1" w:styleId="fqsparagraphno">
    <w:name w:val="fqsparagraphno"/>
    <w:basedOn w:val="DefaultParagraphFont"/>
    <w:rsid w:val="00D068E0"/>
  </w:style>
  <w:style w:type="character" w:customStyle="1" w:styleId="Heading6Char">
    <w:name w:val="Heading 6 Char"/>
    <w:basedOn w:val="DefaultParagraphFont"/>
    <w:link w:val="Heading6"/>
    <w:uiPriority w:val="9"/>
    <w:semiHidden/>
    <w:rsid w:val="00327E6E"/>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327E6E"/>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16413B"/>
    <w:rPr>
      <w:rFonts w:asciiTheme="majorHAnsi" w:eastAsiaTheme="majorEastAsia" w:hAnsiTheme="majorHAnsi" w:cstheme="majorBidi"/>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72649">
      <w:bodyDiv w:val="1"/>
      <w:marLeft w:val="0"/>
      <w:marRight w:val="0"/>
      <w:marTop w:val="0"/>
      <w:marBottom w:val="0"/>
      <w:divBdr>
        <w:top w:val="none" w:sz="0" w:space="0" w:color="auto"/>
        <w:left w:val="none" w:sz="0" w:space="0" w:color="auto"/>
        <w:bottom w:val="none" w:sz="0" w:space="0" w:color="auto"/>
        <w:right w:val="none" w:sz="0" w:space="0" w:color="auto"/>
      </w:divBdr>
    </w:div>
    <w:div w:id="5645166">
      <w:bodyDiv w:val="1"/>
      <w:marLeft w:val="0"/>
      <w:marRight w:val="0"/>
      <w:marTop w:val="0"/>
      <w:marBottom w:val="0"/>
      <w:divBdr>
        <w:top w:val="none" w:sz="0" w:space="0" w:color="auto"/>
        <w:left w:val="none" w:sz="0" w:space="0" w:color="auto"/>
        <w:bottom w:val="none" w:sz="0" w:space="0" w:color="auto"/>
        <w:right w:val="none" w:sz="0" w:space="0" w:color="auto"/>
      </w:divBdr>
      <w:divsChild>
        <w:div w:id="489180632">
          <w:marLeft w:val="547"/>
          <w:marRight w:val="0"/>
          <w:marTop w:val="0"/>
          <w:marBottom w:val="0"/>
          <w:divBdr>
            <w:top w:val="none" w:sz="0" w:space="0" w:color="auto"/>
            <w:left w:val="none" w:sz="0" w:space="0" w:color="auto"/>
            <w:bottom w:val="none" w:sz="0" w:space="0" w:color="auto"/>
            <w:right w:val="none" w:sz="0" w:space="0" w:color="auto"/>
          </w:divBdr>
        </w:div>
        <w:div w:id="545946867">
          <w:marLeft w:val="547"/>
          <w:marRight w:val="0"/>
          <w:marTop w:val="0"/>
          <w:marBottom w:val="0"/>
          <w:divBdr>
            <w:top w:val="none" w:sz="0" w:space="0" w:color="auto"/>
            <w:left w:val="none" w:sz="0" w:space="0" w:color="auto"/>
            <w:bottom w:val="none" w:sz="0" w:space="0" w:color="auto"/>
            <w:right w:val="none" w:sz="0" w:space="0" w:color="auto"/>
          </w:divBdr>
        </w:div>
        <w:div w:id="1984039213">
          <w:marLeft w:val="547"/>
          <w:marRight w:val="0"/>
          <w:marTop w:val="0"/>
          <w:marBottom w:val="0"/>
          <w:divBdr>
            <w:top w:val="none" w:sz="0" w:space="0" w:color="auto"/>
            <w:left w:val="none" w:sz="0" w:space="0" w:color="auto"/>
            <w:bottom w:val="none" w:sz="0" w:space="0" w:color="auto"/>
            <w:right w:val="none" w:sz="0" w:space="0" w:color="auto"/>
          </w:divBdr>
        </w:div>
      </w:divsChild>
    </w:div>
    <w:div w:id="5907984">
      <w:bodyDiv w:val="1"/>
      <w:marLeft w:val="0"/>
      <w:marRight w:val="0"/>
      <w:marTop w:val="0"/>
      <w:marBottom w:val="0"/>
      <w:divBdr>
        <w:top w:val="none" w:sz="0" w:space="0" w:color="auto"/>
        <w:left w:val="none" w:sz="0" w:space="0" w:color="auto"/>
        <w:bottom w:val="none" w:sz="0" w:space="0" w:color="auto"/>
        <w:right w:val="none" w:sz="0" w:space="0" w:color="auto"/>
      </w:divBdr>
    </w:div>
    <w:div w:id="9380349">
      <w:bodyDiv w:val="1"/>
      <w:marLeft w:val="0"/>
      <w:marRight w:val="0"/>
      <w:marTop w:val="0"/>
      <w:marBottom w:val="0"/>
      <w:divBdr>
        <w:top w:val="none" w:sz="0" w:space="0" w:color="auto"/>
        <w:left w:val="none" w:sz="0" w:space="0" w:color="auto"/>
        <w:bottom w:val="none" w:sz="0" w:space="0" w:color="auto"/>
        <w:right w:val="none" w:sz="0" w:space="0" w:color="auto"/>
      </w:divBdr>
      <w:divsChild>
        <w:div w:id="379747557">
          <w:marLeft w:val="0"/>
          <w:marRight w:val="0"/>
          <w:marTop w:val="0"/>
          <w:marBottom w:val="0"/>
          <w:divBdr>
            <w:top w:val="none" w:sz="0" w:space="0" w:color="auto"/>
            <w:left w:val="none" w:sz="0" w:space="0" w:color="auto"/>
            <w:bottom w:val="none" w:sz="0" w:space="0" w:color="auto"/>
            <w:right w:val="none" w:sz="0" w:space="0" w:color="auto"/>
          </w:divBdr>
        </w:div>
      </w:divsChild>
    </w:div>
    <w:div w:id="11223374">
      <w:bodyDiv w:val="1"/>
      <w:marLeft w:val="0"/>
      <w:marRight w:val="0"/>
      <w:marTop w:val="0"/>
      <w:marBottom w:val="0"/>
      <w:divBdr>
        <w:top w:val="none" w:sz="0" w:space="0" w:color="auto"/>
        <w:left w:val="none" w:sz="0" w:space="0" w:color="auto"/>
        <w:bottom w:val="none" w:sz="0" w:space="0" w:color="auto"/>
        <w:right w:val="none" w:sz="0" w:space="0" w:color="auto"/>
      </w:divBdr>
    </w:div>
    <w:div w:id="13003556">
      <w:bodyDiv w:val="1"/>
      <w:marLeft w:val="0"/>
      <w:marRight w:val="0"/>
      <w:marTop w:val="0"/>
      <w:marBottom w:val="0"/>
      <w:divBdr>
        <w:top w:val="none" w:sz="0" w:space="0" w:color="auto"/>
        <w:left w:val="none" w:sz="0" w:space="0" w:color="auto"/>
        <w:bottom w:val="none" w:sz="0" w:space="0" w:color="auto"/>
        <w:right w:val="none" w:sz="0" w:space="0" w:color="auto"/>
      </w:divBdr>
      <w:divsChild>
        <w:div w:id="152517396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69205048">
              <w:marLeft w:val="0"/>
              <w:marRight w:val="0"/>
              <w:marTop w:val="0"/>
              <w:marBottom w:val="0"/>
              <w:divBdr>
                <w:top w:val="none" w:sz="0" w:space="0" w:color="auto"/>
                <w:left w:val="none" w:sz="0" w:space="0" w:color="auto"/>
                <w:bottom w:val="none" w:sz="0" w:space="0" w:color="auto"/>
                <w:right w:val="none" w:sz="0" w:space="0" w:color="auto"/>
              </w:divBdr>
              <w:divsChild>
                <w:div w:id="371269843">
                  <w:marLeft w:val="0"/>
                  <w:marRight w:val="0"/>
                  <w:marTop w:val="0"/>
                  <w:marBottom w:val="0"/>
                  <w:divBdr>
                    <w:top w:val="none" w:sz="0" w:space="0" w:color="auto"/>
                    <w:left w:val="none" w:sz="0" w:space="0" w:color="auto"/>
                    <w:bottom w:val="none" w:sz="0" w:space="0" w:color="auto"/>
                    <w:right w:val="none" w:sz="0" w:space="0" w:color="auto"/>
                  </w:divBdr>
                  <w:divsChild>
                    <w:div w:id="1741829691">
                      <w:marLeft w:val="0"/>
                      <w:marRight w:val="0"/>
                      <w:marTop w:val="0"/>
                      <w:marBottom w:val="0"/>
                      <w:divBdr>
                        <w:top w:val="none" w:sz="0" w:space="0" w:color="auto"/>
                        <w:left w:val="none" w:sz="0" w:space="0" w:color="auto"/>
                        <w:bottom w:val="none" w:sz="0" w:space="0" w:color="auto"/>
                        <w:right w:val="none" w:sz="0" w:space="0" w:color="auto"/>
                      </w:divBdr>
                      <w:divsChild>
                        <w:div w:id="578638576">
                          <w:marLeft w:val="0"/>
                          <w:marRight w:val="0"/>
                          <w:marTop w:val="0"/>
                          <w:marBottom w:val="0"/>
                          <w:divBdr>
                            <w:top w:val="none" w:sz="0" w:space="0" w:color="auto"/>
                            <w:left w:val="none" w:sz="0" w:space="0" w:color="auto"/>
                            <w:bottom w:val="none" w:sz="0" w:space="0" w:color="auto"/>
                            <w:right w:val="none" w:sz="0" w:space="0" w:color="auto"/>
                          </w:divBdr>
                          <w:divsChild>
                            <w:div w:id="1410299870">
                              <w:marLeft w:val="0"/>
                              <w:marRight w:val="0"/>
                              <w:marTop w:val="0"/>
                              <w:marBottom w:val="0"/>
                              <w:divBdr>
                                <w:top w:val="none" w:sz="0" w:space="0" w:color="auto"/>
                                <w:left w:val="none" w:sz="0" w:space="0" w:color="auto"/>
                                <w:bottom w:val="none" w:sz="0" w:space="0" w:color="auto"/>
                                <w:right w:val="none" w:sz="0" w:space="0" w:color="auto"/>
                              </w:divBdr>
                              <w:divsChild>
                                <w:div w:id="144580684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1590471">
                                      <w:marLeft w:val="0"/>
                                      <w:marRight w:val="0"/>
                                      <w:marTop w:val="0"/>
                                      <w:marBottom w:val="0"/>
                                      <w:divBdr>
                                        <w:top w:val="none" w:sz="0" w:space="0" w:color="auto"/>
                                        <w:left w:val="none" w:sz="0" w:space="0" w:color="auto"/>
                                        <w:bottom w:val="none" w:sz="0" w:space="0" w:color="auto"/>
                                        <w:right w:val="none" w:sz="0" w:space="0" w:color="auto"/>
                                      </w:divBdr>
                                      <w:divsChild>
                                        <w:div w:id="154540387">
                                          <w:marLeft w:val="0"/>
                                          <w:marRight w:val="0"/>
                                          <w:marTop w:val="0"/>
                                          <w:marBottom w:val="0"/>
                                          <w:divBdr>
                                            <w:top w:val="none" w:sz="0" w:space="0" w:color="auto"/>
                                            <w:left w:val="none" w:sz="0" w:space="0" w:color="auto"/>
                                            <w:bottom w:val="none" w:sz="0" w:space="0" w:color="auto"/>
                                            <w:right w:val="none" w:sz="0" w:space="0" w:color="auto"/>
                                          </w:divBdr>
                                          <w:divsChild>
                                            <w:div w:id="64958914">
                                              <w:marLeft w:val="0"/>
                                              <w:marRight w:val="0"/>
                                              <w:marTop w:val="0"/>
                                              <w:marBottom w:val="0"/>
                                              <w:divBdr>
                                                <w:top w:val="none" w:sz="0" w:space="0" w:color="auto"/>
                                                <w:left w:val="none" w:sz="0" w:space="0" w:color="auto"/>
                                                <w:bottom w:val="none" w:sz="0" w:space="0" w:color="auto"/>
                                                <w:right w:val="none" w:sz="0" w:space="0" w:color="auto"/>
                                              </w:divBdr>
                                              <w:divsChild>
                                                <w:div w:id="58538701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39417428">
                                                      <w:marLeft w:val="0"/>
                                                      <w:marRight w:val="0"/>
                                                      <w:marTop w:val="0"/>
                                                      <w:marBottom w:val="0"/>
                                                      <w:divBdr>
                                                        <w:top w:val="none" w:sz="0" w:space="0" w:color="auto"/>
                                                        <w:left w:val="none" w:sz="0" w:space="0" w:color="auto"/>
                                                        <w:bottom w:val="none" w:sz="0" w:space="0" w:color="auto"/>
                                                        <w:right w:val="none" w:sz="0" w:space="0" w:color="auto"/>
                                                      </w:divBdr>
                                                      <w:divsChild>
                                                        <w:div w:id="79255611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8173561">
                                                              <w:marLeft w:val="0"/>
                                                              <w:marRight w:val="0"/>
                                                              <w:marTop w:val="0"/>
                                                              <w:marBottom w:val="0"/>
                                                              <w:divBdr>
                                                                <w:top w:val="none" w:sz="0" w:space="0" w:color="auto"/>
                                                                <w:left w:val="none" w:sz="0" w:space="0" w:color="auto"/>
                                                                <w:bottom w:val="none" w:sz="0" w:space="0" w:color="auto"/>
                                                                <w:right w:val="none" w:sz="0" w:space="0" w:color="auto"/>
                                                              </w:divBdr>
                                                              <w:divsChild>
                                                                <w:div w:id="1220482861">
                                                                  <w:marLeft w:val="0"/>
                                                                  <w:marRight w:val="0"/>
                                                                  <w:marTop w:val="0"/>
                                                                  <w:marBottom w:val="0"/>
                                                                  <w:divBdr>
                                                                    <w:top w:val="none" w:sz="0" w:space="0" w:color="auto"/>
                                                                    <w:left w:val="none" w:sz="0" w:space="0" w:color="auto"/>
                                                                    <w:bottom w:val="none" w:sz="0" w:space="0" w:color="auto"/>
                                                                    <w:right w:val="none" w:sz="0" w:space="0" w:color="auto"/>
                                                                  </w:divBdr>
                                                                  <w:divsChild>
                                                                    <w:div w:id="70498471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75879835">
                                                                          <w:marLeft w:val="0"/>
                                                                          <w:marRight w:val="0"/>
                                                                          <w:marTop w:val="0"/>
                                                                          <w:marBottom w:val="0"/>
                                                                          <w:divBdr>
                                                                            <w:top w:val="none" w:sz="0" w:space="0" w:color="auto"/>
                                                                            <w:left w:val="none" w:sz="0" w:space="0" w:color="auto"/>
                                                                            <w:bottom w:val="none" w:sz="0" w:space="0" w:color="auto"/>
                                                                            <w:right w:val="none" w:sz="0" w:space="0" w:color="auto"/>
                                                                          </w:divBdr>
                                                                          <w:divsChild>
                                                                            <w:div w:id="2043549578">
                                                                              <w:marLeft w:val="0"/>
                                                                              <w:marRight w:val="0"/>
                                                                              <w:marTop w:val="0"/>
                                                                              <w:marBottom w:val="0"/>
                                                                              <w:divBdr>
                                                                                <w:top w:val="none" w:sz="0" w:space="0" w:color="auto"/>
                                                                                <w:left w:val="none" w:sz="0" w:space="0" w:color="auto"/>
                                                                                <w:bottom w:val="none" w:sz="0" w:space="0" w:color="auto"/>
                                                                                <w:right w:val="none" w:sz="0" w:space="0" w:color="auto"/>
                                                                              </w:divBdr>
                                                                              <w:divsChild>
                                                                                <w:div w:id="1047144154">
                                                                                  <w:marLeft w:val="0"/>
                                                                                  <w:marRight w:val="0"/>
                                                                                  <w:marTop w:val="0"/>
                                                                                  <w:marBottom w:val="0"/>
                                                                                  <w:divBdr>
                                                                                    <w:top w:val="none" w:sz="0" w:space="0" w:color="auto"/>
                                                                                    <w:left w:val="none" w:sz="0" w:space="0" w:color="auto"/>
                                                                                    <w:bottom w:val="none" w:sz="0" w:space="0" w:color="auto"/>
                                                                                    <w:right w:val="none" w:sz="0" w:space="0" w:color="auto"/>
                                                                                  </w:divBdr>
                                                                                  <w:divsChild>
                                                                                    <w:div w:id="46231058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11828346">
                                                                                          <w:marLeft w:val="0"/>
                                                                                          <w:marRight w:val="0"/>
                                                                                          <w:marTop w:val="0"/>
                                                                                          <w:marBottom w:val="0"/>
                                                                                          <w:divBdr>
                                                                                            <w:top w:val="none" w:sz="0" w:space="0" w:color="auto"/>
                                                                                            <w:left w:val="none" w:sz="0" w:space="0" w:color="auto"/>
                                                                                            <w:bottom w:val="none" w:sz="0" w:space="0" w:color="auto"/>
                                                                                            <w:right w:val="none" w:sz="0" w:space="0" w:color="auto"/>
                                                                                          </w:divBdr>
                                                                                          <w:divsChild>
                                                                                            <w:div w:id="2033022253">
                                                                                              <w:marLeft w:val="0"/>
                                                                                              <w:marRight w:val="0"/>
                                                                                              <w:marTop w:val="0"/>
                                                                                              <w:marBottom w:val="0"/>
                                                                                              <w:divBdr>
                                                                                                <w:top w:val="none" w:sz="0" w:space="0" w:color="auto"/>
                                                                                                <w:left w:val="none" w:sz="0" w:space="0" w:color="auto"/>
                                                                                                <w:bottom w:val="none" w:sz="0" w:space="0" w:color="auto"/>
                                                                                                <w:right w:val="none" w:sz="0" w:space="0" w:color="auto"/>
                                                                                              </w:divBdr>
                                                                                              <w:divsChild>
                                                                                                <w:div w:id="419913544">
                                                                                                  <w:marLeft w:val="0"/>
                                                                                                  <w:marRight w:val="0"/>
                                                                                                  <w:marTop w:val="0"/>
                                                                                                  <w:marBottom w:val="0"/>
                                                                                                  <w:divBdr>
                                                                                                    <w:top w:val="none" w:sz="0" w:space="0" w:color="auto"/>
                                                                                                    <w:left w:val="none" w:sz="0" w:space="0" w:color="auto"/>
                                                                                                    <w:bottom w:val="none" w:sz="0" w:space="0" w:color="auto"/>
                                                                                                    <w:right w:val="none" w:sz="0" w:space="0" w:color="auto"/>
                                                                                                  </w:divBdr>
                                                                                                  <w:divsChild>
                                                                                                    <w:div w:id="272637194">
                                                                                                      <w:marLeft w:val="0"/>
                                                                                                      <w:marRight w:val="0"/>
                                                                                                      <w:marTop w:val="0"/>
                                                                                                      <w:marBottom w:val="0"/>
                                                                                                      <w:divBdr>
                                                                                                        <w:top w:val="none" w:sz="0" w:space="0" w:color="auto"/>
                                                                                                        <w:left w:val="none" w:sz="0" w:space="0" w:color="auto"/>
                                                                                                        <w:bottom w:val="none" w:sz="0" w:space="0" w:color="auto"/>
                                                                                                        <w:right w:val="none" w:sz="0" w:space="0" w:color="auto"/>
                                                                                                      </w:divBdr>
                                                                                                      <w:divsChild>
                                                                                                        <w:div w:id="646858287">
                                                                                                          <w:marLeft w:val="0"/>
                                                                                                          <w:marRight w:val="0"/>
                                                                                                          <w:marTop w:val="0"/>
                                                                                                          <w:marBottom w:val="0"/>
                                                                                                          <w:divBdr>
                                                                                                            <w:top w:val="none" w:sz="0" w:space="0" w:color="auto"/>
                                                                                                            <w:left w:val="none" w:sz="0" w:space="0" w:color="auto"/>
                                                                                                            <w:bottom w:val="none" w:sz="0" w:space="0" w:color="auto"/>
                                                                                                            <w:right w:val="none" w:sz="0" w:space="0" w:color="auto"/>
                                                                                                          </w:divBdr>
                                                                                                          <w:divsChild>
                                                                                                            <w:div w:id="335308111">
                                                                                                              <w:marLeft w:val="0"/>
                                                                                                              <w:marRight w:val="0"/>
                                                                                                              <w:marTop w:val="0"/>
                                                                                                              <w:marBottom w:val="0"/>
                                                                                                              <w:divBdr>
                                                                                                                <w:top w:val="none" w:sz="0" w:space="0" w:color="auto"/>
                                                                                                                <w:left w:val="none" w:sz="0" w:space="0" w:color="auto"/>
                                                                                                                <w:bottom w:val="none" w:sz="0" w:space="0" w:color="auto"/>
                                                                                                                <w:right w:val="none" w:sz="0" w:space="0" w:color="auto"/>
                                                                                                              </w:divBdr>
                                                                                                              <w:divsChild>
                                                                                                                <w:div w:id="733429378">
                                                                                                                  <w:marLeft w:val="0"/>
                                                                                                                  <w:marRight w:val="0"/>
                                                                                                                  <w:marTop w:val="0"/>
                                                                                                                  <w:marBottom w:val="0"/>
                                                                                                                  <w:divBdr>
                                                                                                                    <w:top w:val="none" w:sz="0" w:space="0" w:color="auto"/>
                                                                                                                    <w:left w:val="none" w:sz="0" w:space="0" w:color="auto"/>
                                                                                                                    <w:bottom w:val="none" w:sz="0" w:space="0" w:color="auto"/>
                                                                                                                    <w:right w:val="none" w:sz="0" w:space="0" w:color="auto"/>
                                                                                                                  </w:divBdr>
                                                                                                                  <w:divsChild>
                                                                                                                    <w:div w:id="24714738">
                                                                                                                      <w:marLeft w:val="0"/>
                                                                                                                      <w:marRight w:val="0"/>
                                                                                                                      <w:marTop w:val="0"/>
                                                                                                                      <w:marBottom w:val="0"/>
                                                                                                                      <w:divBdr>
                                                                                                                        <w:top w:val="none" w:sz="0" w:space="0" w:color="auto"/>
                                                                                                                        <w:left w:val="none" w:sz="0" w:space="0" w:color="auto"/>
                                                                                                                        <w:bottom w:val="none" w:sz="0" w:space="0" w:color="auto"/>
                                                                                                                        <w:right w:val="none" w:sz="0" w:space="0" w:color="auto"/>
                                                                                                                      </w:divBdr>
                                                                                                                    </w:div>
                                                                                                                    <w:div w:id="36978042">
                                                                                                                      <w:marLeft w:val="0"/>
                                                                                                                      <w:marRight w:val="0"/>
                                                                                                                      <w:marTop w:val="0"/>
                                                                                                                      <w:marBottom w:val="0"/>
                                                                                                                      <w:divBdr>
                                                                                                                        <w:top w:val="none" w:sz="0" w:space="0" w:color="auto"/>
                                                                                                                        <w:left w:val="none" w:sz="0" w:space="0" w:color="auto"/>
                                                                                                                        <w:bottom w:val="none" w:sz="0" w:space="0" w:color="auto"/>
                                                                                                                        <w:right w:val="none" w:sz="0" w:space="0" w:color="auto"/>
                                                                                                                      </w:divBdr>
                                                                                                                    </w:div>
                                                                                                                    <w:div w:id="801922306">
                                                                                                                      <w:marLeft w:val="0"/>
                                                                                                                      <w:marRight w:val="0"/>
                                                                                                                      <w:marTop w:val="0"/>
                                                                                                                      <w:marBottom w:val="0"/>
                                                                                                                      <w:divBdr>
                                                                                                                        <w:top w:val="none" w:sz="0" w:space="0" w:color="auto"/>
                                                                                                                        <w:left w:val="none" w:sz="0" w:space="0" w:color="auto"/>
                                                                                                                        <w:bottom w:val="none" w:sz="0" w:space="0" w:color="auto"/>
                                                                                                                        <w:right w:val="none" w:sz="0" w:space="0" w:color="auto"/>
                                                                                                                      </w:divBdr>
                                                                                                                    </w:div>
                                                                                                                    <w:div w:id="862136960">
                                                                                                                      <w:marLeft w:val="0"/>
                                                                                                                      <w:marRight w:val="0"/>
                                                                                                                      <w:marTop w:val="0"/>
                                                                                                                      <w:marBottom w:val="0"/>
                                                                                                                      <w:divBdr>
                                                                                                                        <w:top w:val="none" w:sz="0" w:space="0" w:color="auto"/>
                                                                                                                        <w:left w:val="none" w:sz="0" w:space="0" w:color="auto"/>
                                                                                                                        <w:bottom w:val="none" w:sz="0" w:space="0" w:color="auto"/>
                                                                                                                        <w:right w:val="none" w:sz="0" w:space="0" w:color="auto"/>
                                                                                                                      </w:divBdr>
                                                                                                                    </w:div>
                                                                                                                    <w:div w:id="913244682">
                                                                                                                      <w:marLeft w:val="0"/>
                                                                                                                      <w:marRight w:val="0"/>
                                                                                                                      <w:marTop w:val="0"/>
                                                                                                                      <w:marBottom w:val="0"/>
                                                                                                                      <w:divBdr>
                                                                                                                        <w:top w:val="none" w:sz="0" w:space="0" w:color="auto"/>
                                                                                                                        <w:left w:val="none" w:sz="0" w:space="0" w:color="auto"/>
                                                                                                                        <w:bottom w:val="none" w:sz="0" w:space="0" w:color="auto"/>
                                                                                                                        <w:right w:val="none" w:sz="0" w:space="0" w:color="auto"/>
                                                                                                                      </w:divBdr>
                                                                                                                    </w:div>
                                                                                                                    <w:div w:id="1344892477">
                                                                                                                      <w:marLeft w:val="0"/>
                                                                                                                      <w:marRight w:val="0"/>
                                                                                                                      <w:marTop w:val="0"/>
                                                                                                                      <w:marBottom w:val="0"/>
                                                                                                                      <w:divBdr>
                                                                                                                        <w:top w:val="none" w:sz="0" w:space="0" w:color="auto"/>
                                                                                                                        <w:left w:val="none" w:sz="0" w:space="0" w:color="auto"/>
                                                                                                                        <w:bottom w:val="none" w:sz="0" w:space="0" w:color="auto"/>
                                                                                                                        <w:right w:val="none" w:sz="0" w:space="0" w:color="auto"/>
                                                                                                                      </w:divBdr>
                                                                                                                    </w:div>
                                                                                                                    <w:div w:id="1697541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467599">
      <w:bodyDiv w:val="1"/>
      <w:marLeft w:val="0"/>
      <w:marRight w:val="0"/>
      <w:marTop w:val="0"/>
      <w:marBottom w:val="0"/>
      <w:divBdr>
        <w:top w:val="none" w:sz="0" w:space="0" w:color="auto"/>
        <w:left w:val="none" w:sz="0" w:space="0" w:color="auto"/>
        <w:bottom w:val="none" w:sz="0" w:space="0" w:color="auto"/>
        <w:right w:val="none" w:sz="0" w:space="0" w:color="auto"/>
      </w:divBdr>
    </w:div>
    <w:div w:id="23020141">
      <w:bodyDiv w:val="1"/>
      <w:marLeft w:val="0"/>
      <w:marRight w:val="0"/>
      <w:marTop w:val="0"/>
      <w:marBottom w:val="0"/>
      <w:divBdr>
        <w:top w:val="none" w:sz="0" w:space="0" w:color="auto"/>
        <w:left w:val="none" w:sz="0" w:space="0" w:color="auto"/>
        <w:bottom w:val="none" w:sz="0" w:space="0" w:color="auto"/>
        <w:right w:val="none" w:sz="0" w:space="0" w:color="auto"/>
      </w:divBdr>
    </w:div>
    <w:div w:id="27725093">
      <w:bodyDiv w:val="1"/>
      <w:marLeft w:val="0"/>
      <w:marRight w:val="0"/>
      <w:marTop w:val="0"/>
      <w:marBottom w:val="0"/>
      <w:divBdr>
        <w:top w:val="none" w:sz="0" w:space="0" w:color="auto"/>
        <w:left w:val="none" w:sz="0" w:space="0" w:color="auto"/>
        <w:bottom w:val="none" w:sz="0" w:space="0" w:color="auto"/>
        <w:right w:val="none" w:sz="0" w:space="0" w:color="auto"/>
      </w:divBdr>
    </w:div>
    <w:div w:id="34350187">
      <w:bodyDiv w:val="1"/>
      <w:marLeft w:val="0"/>
      <w:marRight w:val="0"/>
      <w:marTop w:val="0"/>
      <w:marBottom w:val="0"/>
      <w:divBdr>
        <w:top w:val="none" w:sz="0" w:space="0" w:color="auto"/>
        <w:left w:val="none" w:sz="0" w:space="0" w:color="auto"/>
        <w:bottom w:val="none" w:sz="0" w:space="0" w:color="auto"/>
        <w:right w:val="none" w:sz="0" w:space="0" w:color="auto"/>
      </w:divBdr>
    </w:div>
    <w:div w:id="42557654">
      <w:bodyDiv w:val="1"/>
      <w:marLeft w:val="0"/>
      <w:marRight w:val="0"/>
      <w:marTop w:val="0"/>
      <w:marBottom w:val="0"/>
      <w:divBdr>
        <w:top w:val="none" w:sz="0" w:space="0" w:color="auto"/>
        <w:left w:val="none" w:sz="0" w:space="0" w:color="auto"/>
        <w:bottom w:val="none" w:sz="0" w:space="0" w:color="auto"/>
        <w:right w:val="none" w:sz="0" w:space="0" w:color="auto"/>
      </w:divBdr>
      <w:divsChild>
        <w:div w:id="1484854539">
          <w:marLeft w:val="0"/>
          <w:marRight w:val="0"/>
          <w:marTop w:val="240"/>
          <w:marBottom w:val="0"/>
          <w:divBdr>
            <w:top w:val="none" w:sz="0" w:space="0" w:color="auto"/>
            <w:left w:val="none" w:sz="0" w:space="0" w:color="auto"/>
            <w:bottom w:val="none" w:sz="0" w:space="0" w:color="auto"/>
            <w:right w:val="none" w:sz="0" w:space="0" w:color="auto"/>
          </w:divBdr>
        </w:div>
        <w:div w:id="1539927731">
          <w:marLeft w:val="0"/>
          <w:marRight w:val="0"/>
          <w:marTop w:val="0"/>
          <w:marBottom w:val="0"/>
          <w:divBdr>
            <w:top w:val="none" w:sz="0" w:space="0" w:color="auto"/>
            <w:left w:val="none" w:sz="0" w:space="0" w:color="auto"/>
            <w:bottom w:val="none" w:sz="0" w:space="0" w:color="auto"/>
            <w:right w:val="none" w:sz="0" w:space="0" w:color="auto"/>
          </w:divBdr>
          <w:divsChild>
            <w:div w:id="1852455579">
              <w:marLeft w:val="-225"/>
              <w:marRight w:val="-225"/>
              <w:marTop w:val="0"/>
              <w:marBottom w:val="0"/>
              <w:divBdr>
                <w:top w:val="none" w:sz="0" w:space="0" w:color="auto"/>
                <w:left w:val="none" w:sz="0" w:space="0" w:color="auto"/>
                <w:bottom w:val="none" w:sz="0" w:space="0" w:color="auto"/>
                <w:right w:val="none" w:sz="0" w:space="0" w:color="auto"/>
              </w:divBdr>
              <w:divsChild>
                <w:div w:id="1485581121">
                  <w:marLeft w:val="0"/>
                  <w:marRight w:val="0"/>
                  <w:marTop w:val="0"/>
                  <w:marBottom w:val="0"/>
                  <w:divBdr>
                    <w:top w:val="none" w:sz="0" w:space="0" w:color="auto"/>
                    <w:left w:val="none" w:sz="0" w:space="0" w:color="auto"/>
                    <w:bottom w:val="none" w:sz="0" w:space="0" w:color="auto"/>
                    <w:right w:val="none" w:sz="0" w:space="0" w:color="auto"/>
                  </w:divBdr>
                  <w:divsChild>
                    <w:div w:id="1560826648">
                      <w:marLeft w:val="0"/>
                      <w:marRight w:val="0"/>
                      <w:marTop w:val="0"/>
                      <w:marBottom w:val="0"/>
                      <w:divBdr>
                        <w:top w:val="none" w:sz="0" w:space="0" w:color="auto"/>
                        <w:left w:val="none" w:sz="0" w:space="0" w:color="auto"/>
                        <w:bottom w:val="none" w:sz="0" w:space="0" w:color="auto"/>
                        <w:right w:val="none" w:sz="0" w:space="0" w:color="auto"/>
                      </w:divBdr>
                      <w:divsChild>
                        <w:div w:id="106976171">
                          <w:marLeft w:val="0"/>
                          <w:marRight w:val="0"/>
                          <w:marTop w:val="0"/>
                          <w:marBottom w:val="0"/>
                          <w:divBdr>
                            <w:top w:val="none" w:sz="0" w:space="0" w:color="auto"/>
                            <w:left w:val="none" w:sz="0" w:space="0" w:color="auto"/>
                            <w:bottom w:val="none" w:sz="0" w:space="0" w:color="auto"/>
                            <w:right w:val="none" w:sz="0" w:space="0" w:color="auto"/>
                          </w:divBdr>
                        </w:div>
                      </w:divsChild>
                    </w:div>
                    <w:div w:id="1738091223">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45571081">
      <w:bodyDiv w:val="1"/>
      <w:marLeft w:val="0"/>
      <w:marRight w:val="0"/>
      <w:marTop w:val="0"/>
      <w:marBottom w:val="0"/>
      <w:divBdr>
        <w:top w:val="none" w:sz="0" w:space="0" w:color="auto"/>
        <w:left w:val="none" w:sz="0" w:space="0" w:color="auto"/>
        <w:bottom w:val="none" w:sz="0" w:space="0" w:color="auto"/>
        <w:right w:val="none" w:sz="0" w:space="0" w:color="auto"/>
      </w:divBdr>
    </w:div>
    <w:div w:id="72239594">
      <w:bodyDiv w:val="1"/>
      <w:marLeft w:val="0"/>
      <w:marRight w:val="0"/>
      <w:marTop w:val="0"/>
      <w:marBottom w:val="0"/>
      <w:divBdr>
        <w:top w:val="none" w:sz="0" w:space="0" w:color="auto"/>
        <w:left w:val="none" w:sz="0" w:space="0" w:color="auto"/>
        <w:bottom w:val="none" w:sz="0" w:space="0" w:color="auto"/>
        <w:right w:val="none" w:sz="0" w:space="0" w:color="auto"/>
      </w:divBdr>
    </w:div>
    <w:div w:id="84696490">
      <w:bodyDiv w:val="1"/>
      <w:marLeft w:val="0"/>
      <w:marRight w:val="0"/>
      <w:marTop w:val="0"/>
      <w:marBottom w:val="0"/>
      <w:divBdr>
        <w:top w:val="none" w:sz="0" w:space="0" w:color="auto"/>
        <w:left w:val="none" w:sz="0" w:space="0" w:color="auto"/>
        <w:bottom w:val="none" w:sz="0" w:space="0" w:color="auto"/>
        <w:right w:val="none" w:sz="0" w:space="0" w:color="auto"/>
      </w:divBdr>
    </w:div>
    <w:div w:id="88888062">
      <w:bodyDiv w:val="1"/>
      <w:marLeft w:val="0"/>
      <w:marRight w:val="0"/>
      <w:marTop w:val="0"/>
      <w:marBottom w:val="0"/>
      <w:divBdr>
        <w:top w:val="none" w:sz="0" w:space="0" w:color="auto"/>
        <w:left w:val="none" w:sz="0" w:space="0" w:color="auto"/>
        <w:bottom w:val="none" w:sz="0" w:space="0" w:color="auto"/>
        <w:right w:val="none" w:sz="0" w:space="0" w:color="auto"/>
      </w:divBdr>
    </w:div>
    <w:div w:id="90443587">
      <w:bodyDiv w:val="1"/>
      <w:marLeft w:val="0"/>
      <w:marRight w:val="0"/>
      <w:marTop w:val="0"/>
      <w:marBottom w:val="0"/>
      <w:divBdr>
        <w:top w:val="none" w:sz="0" w:space="0" w:color="auto"/>
        <w:left w:val="none" w:sz="0" w:space="0" w:color="auto"/>
        <w:bottom w:val="none" w:sz="0" w:space="0" w:color="auto"/>
        <w:right w:val="none" w:sz="0" w:space="0" w:color="auto"/>
      </w:divBdr>
    </w:div>
    <w:div w:id="95561553">
      <w:bodyDiv w:val="1"/>
      <w:marLeft w:val="0"/>
      <w:marRight w:val="0"/>
      <w:marTop w:val="0"/>
      <w:marBottom w:val="0"/>
      <w:divBdr>
        <w:top w:val="none" w:sz="0" w:space="0" w:color="auto"/>
        <w:left w:val="none" w:sz="0" w:space="0" w:color="auto"/>
        <w:bottom w:val="none" w:sz="0" w:space="0" w:color="auto"/>
        <w:right w:val="none" w:sz="0" w:space="0" w:color="auto"/>
      </w:divBdr>
    </w:div>
    <w:div w:id="96369361">
      <w:bodyDiv w:val="1"/>
      <w:marLeft w:val="0"/>
      <w:marRight w:val="0"/>
      <w:marTop w:val="0"/>
      <w:marBottom w:val="0"/>
      <w:divBdr>
        <w:top w:val="none" w:sz="0" w:space="0" w:color="auto"/>
        <w:left w:val="none" w:sz="0" w:space="0" w:color="auto"/>
        <w:bottom w:val="none" w:sz="0" w:space="0" w:color="auto"/>
        <w:right w:val="none" w:sz="0" w:space="0" w:color="auto"/>
      </w:divBdr>
    </w:div>
    <w:div w:id="100875938">
      <w:bodyDiv w:val="1"/>
      <w:marLeft w:val="0"/>
      <w:marRight w:val="0"/>
      <w:marTop w:val="0"/>
      <w:marBottom w:val="0"/>
      <w:divBdr>
        <w:top w:val="none" w:sz="0" w:space="0" w:color="auto"/>
        <w:left w:val="none" w:sz="0" w:space="0" w:color="auto"/>
        <w:bottom w:val="none" w:sz="0" w:space="0" w:color="auto"/>
        <w:right w:val="none" w:sz="0" w:space="0" w:color="auto"/>
      </w:divBdr>
    </w:div>
    <w:div w:id="103234634">
      <w:bodyDiv w:val="1"/>
      <w:marLeft w:val="0"/>
      <w:marRight w:val="0"/>
      <w:marTop w:val="0"/>
      <w:marBottom w:val="0"/>
      <w:divBdr>
        <w:top w:val="none" w:sz="0" w:space="0" w:color="auto"/>
        <w:left w:val="none" w:sz="0" w:space="0" w:color="auto"/>
        <w:bottom w:val="none" w:sz="0" w:space="0" w:color="auto"/>
        <w:right w:val="none" w:sz="0" w:space="0" w:color="auto"/>
      </w:divBdr>
    </w:div>
    <w:div w:id="103766925">
      <w:bodyDiv w:val="1"/>
      <w:marLeft w:val="0"/>
      <w:marRight w:val="0"/>
      <w:marTop w:val="0"/>
      <w:marBottom w:val="0"/>
      <w:divBdr>
        <w:top w:val="none" w:sz="0" w:space="0" w:color="auto"/>
        <w:left w:val="none" w:sz="0" w:space="0" w:color="auto"/>
        <w:bottom w:val="none" w:sz="0" w:space="0" w:color="auto"/>
        <w:right w:val="none" w:sz="0" w:space="0" w:color="auto"/>
      </w:divBdr>
      <w:divsChild>
        <w:div w:id="510993438">
          <w:marLeft w:val="0"/>
          <w:marRight w:val="0"/>
          <w:marTop w:val="0"/>
          <w:marBottom w:val="0"/>
          <w:divBdr>
            <w:top w:val="none" w:sz="0" w:space="0" w:color="auto"/>
            <w:left w:val="none" w:sz="0" w:space="0" w:color="auto"/>
            <w:bottom w:val="none" w:sz="0" w:space="0" w:color="auto"/>
            <w:right w:val="none" w:sz="0" w:space="0" w:color="auto"/>
          </w:divBdr>
          <w:divsChild>
            <w:div w:id="983194364">
              <w:marLeft w:val="0"/>
              <w:marRight w:val="0"/>
              <w:marTop w:val="224"/>
              <w:marBottom w:val="0"/>
              <w:divBdr>
                <w:top w:val="none" w:sz="0" w:space="0" w:color="auto"/>
                <w:left w:val="none" w:sz="0" w:space="0" w:color="auto"/>
                <w:bottom w:val="none" w:sz="0" w:space="0" w:color="auto"/>
                <w:right w:val="none" w:sz="0" w:space="0" w:color="auto"/>
              </w:divBdr>
              <w:divsChild>
                <w:div w:id="150269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476992">
          <w:marLeft w:val="0"/>
          <w:marRight w:val="0"/>
          <w:marTop w:val="0"/>
          <w:marBottom w:val="0"/>
          <w:divBdr>
            <w:top w:val="none" w:sz="0" w:space="0" w:color="auto"/>
            <w:left w:val="none" w:sz="0" w:space="0" w:color="auto"/>
            <w:bottom w:val="none" w:sz="0" w:space="0" w:color="auto"/>
            <w:right w:val="none" w:sz="0" w:space="0" w:color="auto"/>
          </w:divBdr>
          <w:divsChild>
            <w:div w:id="1046684626">
              <w:marLeft w:val="0"/>
              <w:marRight w:val="0"/>
              <w:marTop w:val="224"/>
              <w:marBottom w:val="0"/>
              <w:divBdr>
                <w:top w:val="none" w:sz="0" w:space="0" w:color="auto"/>
                <w:left w:val="none" w:sz="0" w:space="0" w:color="auto"/>
                <w:bottom w:val="none" w:sz="0" w:space="0" w:color="auto"/>
                <w:right w:val="none" w:sz="0" w:space="0" w:color="auto"/>
              </w:divBdr>
              <w:divsChild>
                <w:div w:id="452477174">
                  <w:marLeft w:val="0"/>
                  <w:marRight w:val="0"/>
                  <w:marTop w:val="0"/>
                  <w:marBottom w:val="0"/>
                  <w:divBdr>
                    <w:top w:val="none" w:sz="0" w:space="0" w:color="auto"/>
                    <w:left w:val="none" w:sz="0" w:space="0" w:color="auto"/>
                    <w:bottom w:val="none" w:sz="0" w:space="0" w:color="auto"/>
                    <w:right w:val="none" w:sz="0" w:space="0" w:color="auto"/>
                  </w:divBdr>
                  <w:divsChild>
                    <w:div w:id="173493137">
                      <w:blockQuote w:val="1"/>
                      <w:marLeft w:val="0"/>
                      <w:marRight w:val="0"/>
                      <w:marTop w:val="0"/>
                      <w:marBottom w:val="0"/>
                      <w:divBdr>
                        <w:top w:val="none" w:sz="0" w:space="0" w:color="auto"/>
                        <w:left w:val="none" w:sz="0" w:space="0" w:color="auto"/>
                        <w:bottom w:val="none" w:sz="0" w:space="0" w:color="auto"/>
                        <w:right w:val="none" w:sz="0" w:space="0" w:color="auto"/>
                      </w:divBdr>
                      <w:divsChild>
                        <w:div w:id="971641794">
                          <w:marLeft w:val="0"/>
                          <w:marRight w:val="0"/>
                          <w:marTop w:val="0"/>
                          <w:marBottom w:val="0"/>
                          <w:divBdr>
                            <w:top w:val="none" w:sz="0" w:space="0" w:color="auto"/>
                            <w:left w:val="none" w:sz="0" w:space="0" w:color="auto"/>
                            <w:bottom w:val="none" w:sz="0" w:space="0" w:color="auto"/>
                            <w:right w:val="none" w:sz="0" w:space="0" w:color="auto"/>
                          </w:divBdr>
                          <w:divsChild>
                            <w:div w:id="724723821">
                              <w:marLeft w:val="0"/>
                              <w:marRight w:val="0"/>
                              <w:marTop w:val="224"/>
                              <w:marBottom w:val="0"/>
                              <w:divBdr>
                                <w:top w:val="none" w:sz="0" w:space="0" w:color="auto"/>
                                <w:left w:val="none" w:sz="0" w:space="0" w:color="auto"/>
                                <w:bottom w:val="none" w:sz="0" w:space="0" w:color="auto"/>
                                <w:right w:val="none" w:sz="0" w:space="0" w:color="auto"/>
                              </w:divBdr>
                              <w:divsChild>
                                <w:div w:id="746070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6527574">
      <w:bodyDiv w:val="1"/>
      <w:marLeft w:val="0"/>
      <w:marRight w:val="0"/>
      <w:marTop w:val="0"/>
      <w:marBottom w:val="0"/>
      <w:divBdr>
        <w:top w:val="none" w:sz="0" w:space="0" w:color="auto"/>
        <w:left w:val="none" w:sz="0" w:space="0" w:color="auto"/>
        <w:bottom w:val="none" w:sz="0" w:space="0" w:color="auto"/>
        <w:right w:val="none" w:sz="0" w:space="0" w:color="auto"/>
      </w:divBdr>
    </w:div>
    <w:div w:id="120346477">
      <w:bodyDiv w:val="1"/>
      <w:marLeft w:val="0"/>
      <w:marRight w:val="0"/>
      <w:marTop w:val="0"/>
      <w:marBottom w:val="0"/>
      <w:divBdr>
        <w:top w:val="none" w:sz="0" w:space="0" w:color="auto"/>
        <w:left w:val="none" w:sz="0" w:space="0" w:color="auto"/>
        <w:bottom w:val="none" w:sz="0" w:space="0" w:color="auto"/>
        <w:right w:val="none" w:sz="0" w:space="0" w:color="auto"/>
      </w:divBdr>
    </w:div>
    <w:div w:id="129255136">
      <w:bodyDiv w:val="1"/>
      <w:marLeft w:val="0"/>
      <w:marRight w:val="0"/>
      <w:marTop w:val="0"/>
      <w:marBottom w:val="0"/>
      <w:divBdr>
        <w:top w:val="none" w:sz="0" w:space="0" w:color="auto"/>
        <w:left w:val="none" w:sz="0" w:space="0" w:color="auto"/>
        <w:bottom w:val="none" w:sz="0" w:space="0" w:color="auto"/>
        <w:right w:val="none" w:sz="0" w:space="0" w:color="auto"/>
      </w:divBdr>
    </w:div>
    <w:div w:id="129596549">
      <w:bodyDiv w:val="1"/>
      <w:marLeft w:val="0"/>
      <w:marRight w:val="0"/>
      <w:marTop w:val="0"/>
      <w:marBottom w:val="0"/>
      <w:divBdr>
        <w:top w:val="none" w:sz="0" w:space="0" w:color="auto"/>
        <w:left w:val="none" w:sz="0" w:space="0" w:color="auto"/>
        <w:bottom w:val="none" w:sz="0" w:space="0" w:color="auto"/>
        <w:right w:val="none" w:sz="0" w:space="0" w:color="auto"/>
      </w:divBdr>
    </w:div>
    <w:div w:id="142963920">
      <w:bodyDiv w:val="1"/>
      <w:marLeft w:val="0"/>
      <w:marRight w:val="0"/>
      <w:marTop w:val="0"/>
      <w:marBottom w:val="0"/>
      <w:divBdr>
        <w:top w:val="none" w:sz="0" w:space="0" w:color="auto"/>
        <w:left w:val="none" w:sz="0" w:space="0" w:color="auto"/>
        <w:bottom w:val="none" w:sz="0" w:space="0" w:color="auto"/>
        <w:right w:val="none" w:sz="0" w:space="0" w:color="auto"/>
      </w:divBdr>
      <w:divsChild>
        <w:div w:id="103965987">
          <w:marLeft w:val="0"/>
          <w:marRight w:val="0"/>
          <w:marTop w:val="0"/>
          <w:marBottom w:val="0"/>
          <w:divBdr>
            <w:top w:val="none" w:sz="0" w:space="0" w:color="auto"/>
            <w:left w:val="none" w:sz="0" w:space="0" w:color="auto"/>
            <w:bottom w:val="none" w:sz="0" w:space="0" w:color="auto"/>
            <w:right w:val="none" w:sz="0" w:space="0" w:color="auto"/>
          </w:divBdr>
          <w:divsChild>
            <w:div w:id="1229539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15785">
      <w:bodyDiv w:val="1"/>
      <w:marLeft w:val="0"/>
      <w:marRight w:val="0"/>
      <w:marTop w:val="0"/>
      <w:marBottom w:val="0"/>
      <w:divBdr>
        <w:top w:val="none" w:sz="0" w:space="0" w:color="auto"/>
        <w:left w:val="none" w:sz="0" w:space="0" w:color="auto"/>
        <w:bottom w:val="none" w:sz="0" w:space="0" w:color="auto"/>
        <w:right w:val="none" w:sz="0" w:space="0" w:color="auto"/>
      </w:divBdr>
    </w:div>
    <w:div w:id="156114693">
      <w:bodyDiv w:val="1"/>
      <w:marLeft w:val="0"/>
      <w:marRight w:val="0"/>
      <w:marTop w:val="0"/>
      <w:marBottom w:val="0"/>
      <w:divBdr>
        <w:top w:val="none" w:sz="0" w:space="0" w:color="auto"/>
        <w:left w:val="none" w:sz="0" w:space="0" w:color="auto"/>
        <w:bottom w:val="none" w:sz="0" w:space="0" w:color="auto"/>
        <w:right w:val="none" w:sz="0" w:space="0" w:color="auto"/>
      </w:divBdr>
    </w:div>
    <w:div w:id="161236418">
      <w:bodyDiv w:val="1"/>
      <w:marLeft w:val="0"/>
      <w:marRight w:val="0"/>
      <w:marTop w:val="0"/>
      <w:marBottom w:val="0"/>
      <w:divBdr>
        <w:top w:val="none" w:sz="0" w:space="0" w:color="auto"/>
        <w:left w:val="none" w:sz="0" w:space="0" w:color="auto"/>
        <w:bottom w:val="none" w:sz="0" w:space="0" w:color="auto"/>
        <w:right w:val="none" w:sz="0" w:space="0" w:color="auto"/>
      </w:divBdr>
    </w:div>
    <w:div w:id="165631988">
      <w:bodyDiv w:val="1"/>
      <w:marLeft w:val="0"/>
      <w:marRight w:val="0"/>
      <w:marTop w:val="0"/>
      <w:marBottom w:val="0"/>
      <w:divBdr>
        <w:top w:val="none" w:sz="0" w:space="0" w:color="auto"/>
        <w:left w:val="none" w:sz="0" w:space="0" w:color="auto"/>
        <w:bottom w:val="none" w:sz="0" w:space="0" w:color="auto"/>
        <w:right w:val="none" w:sz="0" w:space="0" w:color="auto"/>
      </w:divBdr>
    </w:div>
    <w:div w:id="172689019">
      <w:bodyDiv w:val="1"/>
      <w:marLeft w:val="0"/>
      <w:marRight w:val="0"/>
      <w:marTop w:val="0"/>
      <w:marBottom w:val="0"/>
      <w:divBdr>
        <w:top w:val="none" w:sz="0" w:space="0" w:color="auto"/>
        <w:left w:val="none" w:sz="0" w:space="0" w:color="auto"/>
        <w:bottom w:val="none" w:sz="0" w:space="0" w:color="auto"/>
        <w:right w:val="none" w:sz="0" w:space="0" w:color="auto"/>
      </w:divBdr>
    </w:div>
    <w:div w:id="199057421">
      <w:bodyDiv w:val="1"/>
      <w:marLeft w:val="0"/>
      <w:marRight w:val="0"/>
      <w:marTop w:val="0"/>
      <w:marBottom w:val="0"/>
      <w:divBdr>
        <w:top w:val="none" w:sz="0" w:space="0" w:color="auto"/>
        <w:left w:val="none" w:sz="0" w:space="0" w:color="auto"/>
        <w:bottom w:val="none" w:sz="0" w:space="0" w:color="auto"/>
        <w:right w:val="none" w:sz="0" w:space="0" w:color="auto"/>
      </w:divBdr>
      <w:divsChild>
        <w:div w:id="669869016">
          <w:marLeft w:val="360"/>
          <w:marRight w:val="0"/>
          <w:marTop w:val="200"/>
          <w:marBottom w:val="0"/>
          <w:divBdr>
            <w:top w:val="none" w:sz="0" w:space="0" w:color="auto"/>
            <w:left w:val="none" w:sz="0" w:space="0" w:color="auto"/>
            <w:bottom w:val="none" w:sz="0" w:space="0" w:color="auto"/>
            <w:right w:val="none" w:sz="0" w:space="0" w:color="auto"/>
          </w:divBdr>
        </w:div>
      </w:divsChild>
    </w:div>
    <w:div w:id="202862907">
      <w:bodyDiv w:val="1"/>
      <w:marLeft w:val="0"/>
      <w:marRight w:val="0"/>
      <w:marTop w:val="0"/>
      <w:marBottom w:val="0"/>
      <w:divBdr>
        <w:top w:val="none" w:sz="0" w:space="0" w:color="auto"/>
        <w:left w:val="none" w:sz="0" w:space="0" w:color="auto"/>
        <w:bottom w:val="none" w:sz="0" w:space="0" w:color="auto"/>
        <w:right w:val="none" w:sz="0" w:space="0" w:color="auto"/>
      </w:divBdr>
    </w:div>
    <w:div w:id="210388682">
      <w:bodyDiv w:val="1"/>
      <w:marLeft w:val="0"/>
      <w:marRight w:val="0"/>
      <w:marTop w:val="0"/>
      <w:marBottom w:val="0"/>
      <w:divBdr>
        <w:top w:val="none" w:sz="0" w:space="0" w:color="auto"/>
        <w:left w:val="none" w:sz="0" w:space="0" w:color="auto"/>
        <w:bottom w:val="none" w:sz="0" w:space="0" w:color="auto"/>
        <w:right w:val="none" w:sz="0" w:space="0" w:color="auto"/>
      </w:divBdr>
      <w:divsChild>
        <w:div w:id="787549312">
          <w:marLeft w:val="0"/>
          <w:marRight w:val="0"/>
          <w:marTop w:val="0"/>
          <w:marBottom w:val="0"/>
          <w:divBdr>
            <w:top w:val="none" w:sz="0" w:space="0" w:color="auto"/>
            <w:left w:val="none" w:sz="0" w:space="0" w:color="auto"/>
            <w:bottom w:val="none" w:sz="0" w:space="0" w:color="auto"/>
            <w:right w:val="none" w:sz="0" w:space="0" w:color="auto"/>
          </w:divBdr>
          <w:divsChild>
            <w:div w:id="1046563503">
              <w:marLeft w:val="0"/>
              <w:marRight w:val="0"/>
              <w:marTop w:val="0"/>
              <w:marBottom w:val="105"/>
              <w:divBdr>
                <w:top w:val="none" w:sz="0" w:space="0" w:color="auto"/>
                <w:left w:val="none" w:sz="0" w:space="0" w:color="auto"/>
                <w:bottom w:val="none" w:sz="0" w:space="0" w:color="auto"/>
                <w:right w:val="none" w:sz="0" w:space="0" w:color="auto"/>
              </w:divBdr>
              <w:divsChild>
                <w:div w:id="860779750">
                  <w:marLeft w:val="0"/>
                  <w:marRight w:val="480"/>
                  <w:marTop w:val="0"/>
                  <w:marBottom w:val="0"/>
                  <w:divBdr>
                    <w:top w:val="none" w:sz="0" w:space="0" w:color="auto"/>
                    <w:left w:val="none" w:sz="0" w:space="0" w:color="auto"/>
                    <w:bottom w:val="none" w:sz="0" w:space="0" w:color="auto"/>
                    <w:right w:val="none" w:sz="0" w:space="0" w:color="auto"/>
                  </w:divBdr>
                </w:div>
              </w:divsChild>
            </w:div>
          </w:divsChild>
        </w:div>
        <w:div w:id="851607412">
          <w:marLeft w:val="0"/>
          <w:marRight w:val="0"/>
          <w:marTop w:val="0"/>
          <w:marBottom w:val="0"/>
          <w:divBdr>
            <w:top w:val="none" w:sz="0" w:space="0" w:color="auto"/>
            <w:left w:val="none" w:sz="0" w:space="0" w:color="auto"/>
            <w:bottom w:val="none" w:sz="0" w:space="0" w:color="auto"/>
            <w:right w:val="none" w:sz="0" w:space="0" w:color="auto"/>
          </w:divBdr>
          <w:divsChild>
            <w:div w:id="1338966207">
              <w:marLeft w:val="0"/>
              <w:marRight w:val="0"/>
              <w:marTop w:val="0"/>
              <w:marBottom w:val="105"/>
              <w:divBdr>
                <w:top w:val="none" w:sz="0" w:space="0" w:color="auto"/>
                <w:left w:val="none" w:sz="0" w:space="0" w:color="auto"/>
                <w:bottom w:val="none" w:sz="0" w:space="0" w:color="auto"/>
                <w:right w:val="none" w:sz="0" w:space="0" w:color="auto"/>
              </w:divBdr>
              <w:divsChild>
                <w:div w:id="1698389638">
                  <w:marLeft w:val="0"/>
                  <w:marRight w:val="480"/>
                  <w:marTop w:val="0"/>
                  <w:marBottom w:val="0"/>
                  <w:divBdr>
                    <w:top w:val="none" w:sz="0" w:space="0" w:color="auto"/>
                    <w:left w:val="none" w:sz="0" w:space="0" w:color="auto"/>
                    <w:bottom w:val="none" w:sz="0" w:space="0" w:color="auto"/>
                    <w:right w:val="none" w:sz="0" w:space="0" w:color="auto"/>
                  </w:divBdr>
                </w:div>
              </w:divsChild>
            </w:div>
          </w:divsChild>
        </w:div>
        <w:div w:id="1697539556">
          <w:marLeft w:val="0"/>
          <w:marRight w:val="0"/>
          <w:marTop w:val="0"/>
          <w:marBottom w:val="0"/>
          <w:divBdr>
            <w:top w:val="none" w:sz="0" w:space="0" w:color="auto"/>
            <w:left w:val="none" w:sz="0" w:space="0" w:color="auto"/>
            <w:bottom w:val="none" w:sz="0" w:space="0" w:color="auto"/>
            <w:right w:val="none" w:sz="0" w:space="0" w:color="auto"/>
          </w:divBdr>
          <w:divsChild>
            <w:div w:id="980232207">
              <w:marLeft w:val="0"/>
              <w:marRight w:val="0"/>
              <w:marTop w:val="0"/>
              <w:marBottom w:val="105"/>
              <w:divBdr>
                <w:top w:val="none" w:sz="0" w:space="0" w:color="auto"/>
                <w:left w:val="none" w:sz="0" w:space="0" w:color="auto"/>
                <w:bottom w:val="none" w:sz="0" w:space="0" w:color="auto"/>
                <w:right w:val="none" w:sz="0" w:space="0" w:color="auto"/>
              </w:divBdr>
              <w:divsChild>
                <w:div w:id="260266318">
                  <w:marLeft w:val="0"/>
                  <w:marRight w:val="480"/>
                  <w:marTop w:val="0"/>
                  <w:marBottom w:val="0"/>
                  <w:divBdr>
                    <w:top w:val="none" w:sz="0" w:space="0" w:color="auto"/>
                    <w:left w:val="none" w:sz="0" w:space="0" w:color="auto"/>
                    <w:bottom w:val="none" w:sz="0" w:space="0" w:color="auto"/>
                    <w:right w:val="none" w:sz="0" w:space="0" w:color="auto"/>
                  </w:divBdr>
                </w:div>
              </w:divsChild>
            </w:div>
          </w:divsChild>
        </w:div>
        <w:div w:id="1716154188">
          <w:marLeft w:val="0"/>
          <w:marRight w:val="0"/>
          <w:marTop w:val="0"/>
          <w:marBottom w:val="0"/>
          <w:divBdr>
            <w:top w:val="none" w:sz="0" w:space="0" w:color="auto"/>
            <w:left w:val="none" w:sz="0" w:space="0" w:color="auto"/>
            <w:bottom w:val="none" w:sz="0" w:space="0" w:color="auto"/>
            <w:right w:val="none" w:sz="0" w:space="0" w:color="auto"/>
          </w:divBdr>
        </w:div>
      </w:divsChild>
    </w:div>
    <w:div w:id="219286535">
      <w:bodyDiv w:val="1"/>
      <w:marLeft w:val="0"/>
      <w:marRight w:val="0"/>
      <w:marTop w:val="0"/>
      <w:marBottom w:val="0"/>
      <w:divBdr>
        <w:top w:val="none" w:sz="0" w:space="0" w:color="auto"/>
        <w:left w:val="none" w:sz="0" w:space="0" w:color="auto"/>
        <w:bottom w:val="none" w:sz="0" w:space="0" w:color="auto"/>
        <w:right w:val="none" w:sz="0" w:space="0" w:color="auto"/>
      </w:divBdr>
      <w:divsChild>
        <w:div w:id="224680769">
          <w:marLeft w:val="0"/>
          <w:marRight w:val="0"/>
          <w:marTop w:val="0"/>
          <w:marBottom w:val="600"/>
          <w:divBdr>
            <w:top w:val="none" w:sz="0" w:space="0" w:color="auto"/>
            <w:left w:val="none" w:sz="0" w:space="0" w:color="auto"/>
            <w:bottom w:val="single" w:sz="12" w:space="0" w:color="auto"/>
            <w:right w:val="none" w:sz="0" w:space="0" w:color="auto"/>
          </w:divBdr>
        </w:div>
        <w:div w:id="1712611932">
          <w:marLeft w:val="0"/>
          <w:marRight w:val="0"/>
          <w:marTop w:val="0"/>
          <w:marBottom w:val="0"/>
          <w:divBdr>
            <w:top w:val="none" w:sz="0" w:space="0" w:color="auto"/>
            <w:left w:val="none" w:sz="0" w:space="0" w:color="auto"/>
            <w:bottom w:val="none" w:sz="0" w:space="0" w:color="auto"/>
            <w:right w:val="none" w:sz="0" w:space="0" w:color="auto"/>
          </w:divBdr>
        </w:div>
      </w:divsChild>
    </w:div>
    <w:div w:id="221871348">
      <w:bodyDiv w:val="1"/>
      <w:marLeft w:val="0"/>
      <w:marRight w:val="0"/>
      <w:marTop w:val="0"/>
      <w:marBottom w:val="0"/>
      <w:divBdr>
        <w:top w:val="none" w:sz="0" w:space="0" w:color="auto"/>
        <w:left w:val="none" w:sz="0" w:space="0" w:color="auto"/>
        <w:bottom w:val="none" w:sz="0" w:space="0" w:color="auto"/>
        <w:right w:val="none" w:sz="0" w:space="0" w:color="auto"/>
      </w:divBdr>
    </w:div>
    <w:div w:id="250965440">
      <w:bodyDiv w:val="1"/>
      <w:marLeft w:val="0"/>
      <w:marRight w:val="0"/>
      <w:marTop w:val="0"/>
      <w:marBottom w:val="0"/>
      <w:divBdr>
        <w:top w:val="none" w:sz="0" w:space="0" w:color="auto"/>
        <w:left w:val="none" w:sz="0" w:space="0" w:color="auto"/>
        <w:bottom w:val="none" w:sz="0" w:space="0" w:color="auto"/>
        <w:right w:val="none" w:sz="0" w:space="0" w:color="auto"/>
      </w:divBdr>
    </w:div>
    <w:div w:id="257687962">
      <w:bodyDiv w:val="1"/>
      <w:marLeft w:val="0"/>
      <w:marRight w:val="0"/>
      <w:marTop w:val="0"/>
      <w:marBottom w:val="0"/>
      <w:divBdr>
        <w:top w:val="none" w:sz="0" w:space="0" w:color="auto"/>
        <w:left w:val="none" w:sz="0" w:space="0" w:color="auto"/>
        <w:bottom w:val="none" w:sz="0" w:space="0" w:color="auto"/>
        <w:right w:val="none" w:sz="0" w:space="0" w:color="auto"/>
      </w:divBdr>
    </w:div>
    <w:div w:id="294600225">
      <w:bodyDiv w:val="1"/>
      <w:marLeft w:val="0"/>
      <w:marRight w:val="0"/>
      <w:marTop w:val="0"/>
      <w:marBottom w:val="0"/>
      <w:divBdr>
        <w:top w:val="none" w:sz="0" w:space="0" w:color="auto"/>
        <w:left w:val="none" w:sz="0" w:space="0" w:color="auto"/>
        <w:bottom w:val="none" w:sz="0" w:space="0" w:color="auto"/>
        <w:right w:val="none" w:sz="0" w:space="0" w:color="auto"/>
      </w:divBdr>
    </w:div>
    <w:div w:id="310334988">
      <w:bodyDiv w:val="1"/>
      <w:marLeft w:val="0"/>
      <w:marRight w:val="0"/>
      <w:marTop w:val="0"/>
      <w:marBottom w:val="0"/>
      <w:divBdr>
        <w:top w:val="none" w:sz="0" w:space="0" w:color="auto"/>
        <w:left w:val="none" w:sz="0" w:space="0" w:color="auto"/>
        <w:bottom w:val="none" w:sz="0" w:space="0" w:color="auto"/>
        <w:right w:val="none" w:sz="0" w:space="0" w:color="auto"/>
      </w:divBdr>
    </w:div>
    <w:div w:id="325476720">
      <w:bodyDiv w:val="1"/>
      <w:marLeft w:val="0"/>
      <w:marRight w:val="0"/>
      <w:marTop w:val="0"/>
      <w:marBottom w:val="0"/>
      <w:divBdr>
        <w:top w:val="none" w:sz="0" w:space="0" w:color="auto"/>
        <w:left w:val="none" w:sz="0" w:space="0" w:color="auto"/>
        <w:bottom w:val="none" w:sz="0" w:space="0" w:color="auto"/>
        <w:right w:val="none" w:sz="0" w:space="0" w:color="auto"/>
      </w:divBdr>
    </w:div>
    <w:div w:id="330767038">
      <w:bodyDiv w:val="1"/>
      <w:marLeft w:val="0"/>
      <w:marRight w:val="0"/>
      <w:marTop w:val="0"/>
      <w:marBottom w:val="0"/>
      <w:divBdr>
        <w:top w:val="none" w:sz="0" w:space="0" w:color="auto"/>
        <w:left w:val="none" w:sz="0" w:space="0" w:color="auto"/>
        <w:bottom w:val="none" w:sz="0" w:space="0" w:color="auto"/>
        <w:right w:val="none" w:sz="0" w:space="0" w:color="auto"/>
      </w:divBdr>
    </w:div>
    <w:div w:id="346636678">
      <w:bodyDiv w:val="1"/>
      <w:marLeft w:val="0"/>
      <w:marRight w:val="0"/>
      <w:marTop w:val="0"/>
      <w:marBottom w:val="0"/>
      <w:divBdr>
        <w:top w:val="none" w:sz="0" w:space="0" w:color="auto"/>
        <w:left w:val="none" w:sz="0" w:space="0" w:color="auto"/>
        <w:bottom w:val="none" w:sz="0" w:space="0" w:color="auto"/>
        <w:right w:val="none" w:sz="0" w:space="0" w:color="auto"/>
      </w:divBdr>
    </w:div>
    <w:div w:id="361636397">
      <w:bodyDiv w:val="1"/>
      <w:marLeft w:val="0"/>
      <w:marRight w:val="0"/>
      <w:marTop w:val="0"/>
      <w:marBottom w:val="0"/>
      <w:divBdr>
        <w:top w:val="none" w:sz="0" w:space="0" w:color="auto"/>
        <w:left w:val="none" w:sz="0" w:space="0" w:color="auto"/>
        <w:bottom w:val="none" w:sz="0" w:space="0" w:color="auto"/>
        <w:right w:val="none" w:sz="0" w:space="0" w:color="auto"/>
      </w:divBdr>
    </w:div>
    <w:div w:id="385031497">
      <w:bodyDiv w:val="1"/>
      <w:marLeft w:val="0"/>
      <w:marRight w:val="0"/>
      <w:marTop w:val="0"/>
      <w:marBottom w:val="0"/>
      <w:divBdr>
        <w:top w:val="none" w:sz="0" w:space="0" w:color="auto"/>
        <w:left w:val="none" w:sz="0" w:space="0" w:color="auto"/>
        <w:bottom w:val="none" w:sz="0" w:space="0" w:color="auto"/>
        <w:right w:val="none" w:sz="0" w:space="0" w:color="auto"/>
      </w:divBdr>
    </w:div>
    <w:div w:id="391776160">
      <w:bodyDiv w:val="1"/>
      <w:marLeft w:val="0"/>
      <w:marRight w:val="0"/>
      <w:marTop w:val="0"/>
      <w:marBottom w:val="0"/>
      <w:divBdr>
        <w:top w:val="none" w:sz="0" w:space="0" w:color="auto"/>
        <w:left w:val="none" w:sz="0" w:space="0" w:color="auto"/>
        <w:bottom w:val="none" w:sz="0" w:space="0" w:color="auto"/>
        <w:right w:val="none" w:sz="0" w:space="0" w:color="auto"/>
      </w:divBdr>
    </w:div>
    <w:div w:id="394663045">
      <w:bodyDiv w:val="1"/>
      <w:marLeft w:val="0"/>
      <w:marRight w:val="0"/>
      <w:marTop w:val="0"/>
      <w:marBottom w:val="0"/>
      <w:divBdr>
        <w:top w:val="none" w:sz="0" w:space="0" w:color="auto"/>
        <w:left w:val="none" w:sz="0" w:space="0" w:color="auto"/>
        <w:bottom w:val="none" w:sz="0" w:space="0" w:color="auto"/>
        <w:right w:val="none" w:sz="0" w:space="0" w:color="auto"/>
      </w:divBdr>
    </w:div>
    <w:div w:id="401803210">
      <w:bodyDiv w:val="1"/>
      <w:marLeft w:val="0"/>
      <w:marRight w:val="0"/>
      <w:marTop w:val="0"/>
      <w:marBottom w:val="0"/>
      <w:divBdr>
        <w:top w:val="none" w:sz="0" w:space="0" w:color="auto"/>
        <w:left w:val="none" w:sz="0" w:space="0" w:color="auto"/>
        <w:bottom w:val="none" w:sz="0" w:space="0" w:color="auto"/>
        <w:right w:val="none" w:sz="0" w:space="0" w:color="auto"/>
      </w:divBdr>
    </w:div>
    <w:div w:id="403917536">
      <w:bodyDiv w:val="1"/>
      <w:marLeft w:val="0"/>
      <w:marRight w:val="0"/>
      <w:marTop w:val="0"/>
      <w:marBottom w:val="0"/>
      <w:divBdr>
        <w:top w:val="none" w:sz="0" w:space="0" w:color="auto"/>
        <w:left w:val="none" w:sz="0" w:space="0" w:color="auto"/>
        <w:bottom w:val="none" w:sz="0" w:space="0" w:color="auto"/>
        <w:right w:val="none" w:sz="0" w:space="0" w:color="auto"/>
      </w:divBdr>
    </w:div>
    <w:div w:id="407307432">
      <w:bodyDiv w:val="1"/>
      <w:marLeft w:val="0"/>
      <w:marRight w:val="0"/>
      <w:marTop w:val="0"/>
      <w:marBottom w:val="0"/>
      <w:divBdr>
        <w:top w:val="none" w:sz="0" w:space="0" w:color="auto"/>
        <w:left w:val="none" w:sz="0" w:space="0" w:color="auto"/>
        <w:bottom w:val="none" w:sz="0" w:space="0" w:color="auto"/>
        <w:right w:val="none" w:sz="0" w:space="0" w:color="auto"/>
      </w:divBdr>
    </w:div>
    <w:div w:id="413010026">
      <w:bodyDiv w:val="1"/>
      <w:marLeft w:val="0"/>
      <w:marRight w:val="0"/>
      <w:marTop w:val="0"/>
      <w:marBottom w:val="0"/>
      <w:divBdr>
        <w:top w:val="none" w:sz="0" w:space="0" w:color="auto"/>
        <w:left w:val="none" w:sz="0" w:space="0" w:color="auto"/>
        <w:bottom w:val="none" w:sz="0" w:space="0" w:color="auto"/>
        <w:right w:val="none" w:sz="0" w:space="0" w:color="auto"/>
      </w:divBdr>
    </w:div>
    <w:div w:id="423184938">
      <w:bodyDiv w:val="1"/>
      <w:marLeft w:val="0"/>
      <w:marRight w:val="0"/>
      <w:marTop w:val="0"/>
      <w:marBottom w:val="0"/>
      <w:divBdr>
        <w:top w:val="none" w:sz="0" w:space="0" w:color="auto"/>
        <w:left w:val="none" w:sz="0" w:space="0" w:color="auto"/>
        <w:bottom w:val="none" w:sz="0" w:space="0" w:color="auto"/>
        <w:right w:val="none" w:sz="0" w:space="0" w:color="auto"/>
      </w:divBdr>
      <w:divsChild>
        <w:div w:id="2043092471">
          <w:marLeft w:val="0"/>
          <w:marRight w:val="0"/>
          <w:marTop w:val="0"/>
          <w:marBottom w:val="0"/>
          <w:divBdr>
            <w:top w:val="none" w:sz="0" w:space="0" w:color="auto"/>
            <w:left w:val="none" w:sz="0" w:space="0" w:color="auto"/>
            <w:bottom w:val="none" w:sz="0" w:space="0" w:color="auto"/>
            <w:right w:val="none" w:sz="0" w:space="0" w:color="auto"/>
          </w:divBdr>
        </w:div>
      </w:divsChild>
    </w:div>
    <w:div w:id="423770820">
      <w:bodyDiv w:val="1"/>
      <w:marLeft w:val="0"/>
      <w:marRight w:val="0"/>
      <w:marTop w:val="0"/>
      <w:marBottom w:val="0"/>
      <w:divBdr>
        <w:top w:val="none" w:sz="0" w:space="0" w:color="auto"/>
        <w:left w:val="none" w:sz="0" w:space="0" w:color="auto"/>
        <w:bottom w:val="none" w:sz="0" w:space="0" w:color="auto"/>
        <w:right w:val="none" w:sz="0" w:space="0" w:color="auto"/>
      </w:divBdr>
    </w:div>
    <w:div w:id="435567281">
      <w:bodyDiv w:val="1"/>
      <w:marLeft w:val="0"/>
      <w:marRight w:val="0"/>
      <w:marTop w:val="0"/>
      <w:marBottom w:val="0"/>
      <w:divBdr>
        <w:top w:val="none" w:sz="0" w:space="0" w:color="auto"/>
        <w:left w:val="none" w:sz="0" w:space="0" w:color="auto"/>
        <w:bottom w:val="none" w:sz="0" w:space="0" w:color="auto"/>
        <w:right w:val="none" w:sz="0" w:space="0" w:color="auto"/>
      </w:divBdr>
      <w:divsChild>
        <w:div w:id="1372680844">
          <w:marLeft w:val="0"/>
          <w:marRight w:val="0"/>
          <w:marTop w:val="100"/>
          <w:marBottom w:val="100"/>
          <w:divBdr>
            <w:top w:val="none" w:sz="0" w:space="0" w:color="auto"/>
            <w:left w:val="none" w:sz="0" w:space="0" w:color="auto"/>
            <w:bottom w:val="none" w:sz="0" w:space="0" w:color="auto"/>
            <w:right w:val="none" w:sz="0" w:space="0" w:color="auto"/>
          </w:divBdr>
          <w:divsChild>
            <w:div w:id="14287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3254341">
      <w:bodyDiv w:val="1"/>
      <w:marLeft w:val="0"/>
      <w:marRight w:val="0"/>
      <w:marTop w:val="0"/>
      <w:marBottom w:val="0"/>
      <w:divBdr>
        <w:top w:val="none" w:sz="0" w:space="0" w:color="auto"/>
        <w:left w:val="none" w:sz="0" w:space="0" w:color="auto"/>
        <w:bottom w:val="none" w:sz="0" w:space="0" w:color="auto"/>
        <w:right w:val="none" w:sz="0" w:space="0" w:color="auto"/>
      </w:divBdr>
      <w:divsChild>
        <w:div w:id="1713652014">
          <w:marLeft w:val="547"/>
          <w:marRight w:val="0"/>
          <w:marTop w:val="134"/>
          <w:marBottom w:val="0"/>
          <w:divBdr>
            <w:top w:val="none" w:sz="0" w:space="0" w:color="auto"/>
            <w:left w:val="none" w:sz="0" w:space="0" w:color="auto"/>
            <w:bottom w:val="none" w:sz="0" w:space="0" w:color="auto"/>
            <w:right w:val="none" w:sz="0" w:space="0" w:color="auto"/>
          </w:divBdr>
        </w:div>
      </w:divsChild>
    </w:div>
    <w:div w:id="475949028">
      <w:bodyDiv w:val="1"/>
      <w:marLeft w:val="0"/>
      <w:marRight w:val="0"/>
      <w:marTop w:val="0"/>
      <w:marBottom w:val="0"/>
      <w:divBdr>
        <w:top w:val="none" w:sz="0" w:space="0" w:color="auto"/>
        <w:left w:val="none" w:sz="0" w:space="0" w:color="auto"/>
        <w:bottom w:val="none" w:sz="0" w:space="0" w:color="auto"/>
        <w:right w:val="none" w:sz="0" w:space="0" w:color="auto"/>
      </w:divBdr>
    </w:div>
    <w:div w:id="476193622">
      <w:bodyDiv w:val="1"/>
      <w:marLeft w:val="0"/>
      <w:marRight w:val="0"/>
      <w:marTop w:val="0"/>
      <w:marBottom w:val="0"/>
      <w:divBdr>
        <w:top w:val="none" w:sz="0" w:space="0" w:color="auto"/>
        <w:left w:val="none" w:sz="0" w:space="0" w:color="auto"/>
        <w:bottom w:val="none" w:sz="0" w:space="0" w:color="auto"/>
        <w:right w:val="none" w:sz="0" w:space="0" w:color="auto"/>
      </w:divBdr>
    </w:div>
    <w:div w:id="483741209">
      <w:bodyDiv w:val="1"/>
      <w:marLeft w:val="0"/>
      <w:marRight w:val="0"/>
      <w:marTop w:val="0"/>
      <w:marBottom w:val="0"/>
      <w:divBdr>
        <w:top w:val="none" w:sz="0" w:space="0" w:color="auto"/>
        <w:left w:val="none" w:sz="0" w:space="0" w:color="auto"/>
        <w:bottom w:val="none" w:sz="0" w:space="0" w:color="auto"/>
        <w:right w:val="none" w:sz="0" w:space="0" w:color="auto"/>
      </w:divBdr>
      <w:divsChild>
        <w:div w:id="73161724">
          <w:marLeft w:val="0"/>
          <w:marRight w:val="0"/>
          <w:marTop w:val="0"/>
          <w:marBottom w:val="0"/>
          <w:divBdr>
            <w:top w:val="none" w:sz="0" w:space="0" w:color="auto"/>
            <w:left w:val="none" w:sz="0" w:space="0" w:color="auto"/>
            <w:bottom w:val="none" w:sz="0" w:space="0" w:color="auto"/>
            <w:right w:val="none" w:sz="0" w:space="0" w:color="auto"/>
          </w:divBdr>
        </w:div>
        <w:div w:id="91634568">
          <w:marLeft w:val="0"/>
          <w:marRight w:val="0"/>
          <w:marTop w:val="0"/>
          <w:marBottom w:val="0"/>
          <w:divBdr>
            <w:top w:val="none" w:sz="0" w:space="0" w:color="auto"/>
            <w:left w:val="none" w:sz="0" w:space="0" w:color="auto"/>
            <w:bottom w:val="none" w:sz="0" w:space="0" w:color="auto"/>
            <w:right w:val="none" w:sz="0" w:space="0" w:color="auto"/>
          </w:divBdr>
        </w:div>
        <w:div w:id="125005464">
          <w:marLeft w:val="0"/>
          <w:marRight w:val="0"/>
          <w:marTop w:val="0"/>
          <w:marBottom w:val="0"/>
          <w:divBdr>
            <w:top w:val="none" w:sz="0" w:space="0" w:color="auto"/>
            <w:left w:val="none" w:sz="0" w:space="0" w:color="auto"/>
            <w:bottom w:val="none" w:sz="0" w:space="0" w:color="auto"/>
            <w:right w:val="none" w:sz="0" w:space="0" w:color="auto"/>
          </w:divBdr>
        </w:div>
        <w:div w:id="127206108">
          <w:marLeft w:val="0"/>
          <w:marRight w:val="0"/>
          <w:marTop w:val="0"/>
          <w:marBottom w:val="0"/>
          <w:divBdr>
            <w:top w:val="none" w:sz="0" w:space="0" w:color="auto"/>
            <w:left w:val="none" w:sz="0" w:space="0" w:color="auto"/>
            <w:bottom w:val="none" w:sz="0" w:space="0" w:color="auto"/>
            <w:right w:val="none" w:sz="0" w:space="0" w:color="auto"/>
          </w:divBdr>
        </w:div>
        <w:div w:id="353190524">
          <w:marLeft w:val="0"/>
          <w:marRight w:val="0"/>
          <w:marTop w:val="0"/>
          <w:marBottom w:val="0"/>
          <w:divBdr>
            <w:top w:val="none" w:sz="0" w:space="0" w:color="auto"/>
            <w:left w:val="none" w:sz="0" w:space="0" w:color="auto"/>
            <w:bottom w:val="none" w:sz="0" w:space="0" w:color="auto"/>
            <w:right w:val="none" w:sz="0" w:space="0" w:color="auto"/>
          </w:divBdr>
        </w:div>
        <w:div w:id="738551389">
          <w:marLeft w:val="0"/>
          <w:marRight w:val="0"/>
          <w:marTop w:val="0"/>
          <w:marBottom w:val="0"/>
          <w:divBdr>
            <w:top w:val="none" w:sz="0" w:space="0" w:color="auto"/>
            <w:left w:val="none" w:sz="0" w:space="0" w:color="auto"/>
            <w:bottom w:val="none" w:sz="0" w:space="0" w:color="auto"/>
            <w:right w:val="none" w:sz="0" w:space="0" w:color="auto"/>
          </w:divBdr>
        </w:div>
        <w:div w:id="803424180">
          <w:marLeft w:val="0"/>
          <w:marRight w:val="0"/>
          <w:marTop w:val="0"/>
          <w:marBottom w:val="0"/>
          <w:divBdr>
            <w:top w:val="none" w:sz="0" w:space="0" w:color="auto"/>
            <w:left w:val="none" w:sz="0" w:space="0" w:color="auto"/>
            <w:bottom w:val="none" w:sz="0" w:space="0" w:color="auto"/>
            <w:right w:val="none" w:sz="0" w:space="0" w:color="auto"/>
          </w:divBdr>
        </w:div>
        <w:div w:id="1033767445">
          <w:marLeft w:val="0"/>
          <w:marRight w:val="0"/>
          <w:marTop w:val="0"/>
          <w:marBottom w:val="0"/>
          <w:divBdr>
            <w:top w:val="none" w:sz="0" w:space="0" w:color="auto"/>
            <w:left w:val="none" w:sz="0" w:space="0" w:color="auto"/>
            <w:bottom w:val="none" w:sz="0" w:space="0" w:color="auto"/>
            <w:right w:val="none" w:sz="0" w:space="0" w:color="auto"/>
          </w:divBdr>
        </w:div>
        <w:div w:id="1041368163">
          <w:marLeft w:val="0"/>
          <w:marRight w:val="0"/>
          <w:marTop w:val="0"/>
          <w:marBottom w:val="0"/>
          <w:divBdr>
            <w:top w:val="none" w:sz="0" w:space="0" w:color="auto"/>
            <w:left w:val="none" w:sz="0" w:space="0" w:color="auto"/>
            <w:bottom w:val="none" w:sz="0" w:space="0" w:color="auto"/>
            <w:right w:val="none" w:sz="0" w:space="0" w:color="auto"/>
          </w:divBdr>
        </w:div>
        <w:div w:id="1321156523">
          <w:marLeft w:val="0"/>
          <w:marRight w:val="0"/>
          <w:marTop w:val="0"/>
          <w:marBottom w:val="0"/>
          <w:divBdr>
            <w:top w:val="none" w:sz="0" w:space="0" w:color="auto"/>
            <w:left w:val="none" w:sz="0" w:space="0" w:color="auto"/>
            <w:bottom w:val="none" w:sz="0" w:space="0" w:color="auto"/>
            <w:right w:val="none" w:sz="0" w:space="0" w:color="auto"/>
          </w:divBdr>
        </w:div>
        <w:div w:id="1344891198">
          <w:marLeft w:val="0"/>
          <w:marRight w:val="0"/>
          <w:marTop w:val="0"/>
          <w:marBottom w:val="0"/>
          <w:divBdr>
            <w:top w:val="none" w:sz="0" w:space="0" w:color="auto"/>
            <w:left w:val="none" w:sz="0" w:space="0" w:color="auto"/>
            <w:bottom w:val="none" w:sz="0" w:space="0" w:color="auto"/>
            <w:right w:val="none" w:sz="0" w:space="0" w:color="auto"/>
          </w:divBdr>
        </w:div>
        <w:div w:id="1492722682">
          <w:marLeft w:val="0"/>
          <w:marRight w:val="0"/>
          <w:marTop w:val="0"/>
          <w:marBottom w:val="0"/>
          <w:divBdr>
            <w:top w:val="none" w:sz="0" w:space="0" w:color="auto"/>
            <w:left w:val="none" w:sz="0" w:space="0" w:color="auto"/>
            <w:bottom w:val="none" w:sz="0" w:space="0" w:color="auto"/>
            <w:right w:val="none" w:sz="0" w:space="0" w:color="auto"/>
          </w:divBdr>
        </w:div>
        <w:div w:id="1535456929">
          <w:marLeft w:val="0"/>
          <w:marRight w:val="0"/>
          <w:marTop w:val="0"/>
          <w:marBottom w:val="0"/>
          <w:divBdr>
            <w:top w:val="none" w:sz="0" w:space="0" w:color="auto"/>
            <w:left w:val="none" w:sz="0" w:space="0" w:color="auto"/>
            <w:bottom w:val="none" w:sz="0" w:space="0" w:color="auto"/>
            <w:right w:val="none" w:sz="0" w:space="0" w:color="auto"/>
          </w:divBdr>
        </w:div>
        <w:div w:id="1646009989">
          <w:marLeft w:val="0"/>
          <w:marRight w:val="0"/>
          <w:marTop w:val="0"/>
          <w:marBottom w:val="0"/>
          <w:divBdr>
            <w:top w:val="none" w:sz="0" w:space="0" w:color="auto"/>
            <w:left w:val="none" w:sz="0" w:space="0" w:color="auto"/>
            <w:bottom w:val="none" w:sz="0" w:space="0" w:color="auto"/>
            <w:right w:val="none" w:sz="0" w:space="0" w:color="auto"/>
          </w:divBdr>
        </w:div>
        <w:div w:id="1721052380">
          <w:marLeft w:val="0"/>
          <w:marRight w:val="0"/>
          <w:marTop w:val="0"/>
          <w:marBottom w:val="0"/>
          <w:divBdr>
            <w:top w:val="none" w:sz="0" w:space="0" w:color="auto"/>
            <w:left w:val="none" w:sz="0" w:space="0" w:color="auto"/>
            <w:bottom w:val="none" w:sz="0" w:space="0" w:color="auto"/>
            <w:right w:val="none" w:sz="0" w:space="0" w:color="auto"/>
          </w:divBdr>
        </w:div>
        <w:div w:id="1829398212">
          <w:marLeft w:val="0"/>
          <w:marRight w:val="0"/>
          <w:marTop w:val="0"/>
          <w:marBottom w:val="0"/>
          <w:divBdr>
            <w:top w:val="none" w:sz="0" w:space="0" w:color="auto"/>
            <w:left w:val="none" w:sz="0" w:space="0" w:color="auto"/>
            <w:bottom w:val="none" w:sz="0" w:space="0" w:color="auto"/>
            <w:right w:val="none" w:sz="0" w:space="0" w:color="auto"/>
          </w:divBdr>
        </w:div>
        <w:div w:id="1908950848">
          <w:marLeft w:val="0"/>
          <w:marRight w:val="0"/>
          <w:marTop w:val="0"/>
          <w:marBottom w:val="0"/>
          <w:divBdr>
            <w:top w:val="none" w:sz="0" w:space="0" w:color="auto"/>
            <w:left w:val="none" w:sz="0" w:space="0" w:color="auto"/>
            <w:bottom w:val="none" w:sz="0" w:space="0" w:color="auto"/>
            <w:right w:val="none" w:sz="0" w:space="0" w:color="auto"/>
          </w:divBdr>
        </w:div>
      </w:divsChild>
    </w:div>
    <w:div w:id="484325332">
      <w:bodyDiv w:val="1"/>
      <w:marLeft w:val="0"/>
      <w:marRight w:val="0"/>
      <w:marTop w:val="0"/>
      <w:marBottom w:val="0"/>
      <w:divBdr>
        <w:top w:val="none" w:sz="0" w:space="0" w:color="auto"/>
        <w:left w:val="none" w:sz="0" w:space="0" w:color="auto"/>
        <w:bottom w:val="none" w:sz="0" w:space="0" w:color="auto"/>
        <w:right w:val="none" w:sz="0" w:space="0" w:color="auto"/>
      </w:divBdr>
      <w:divsChild>
        <w:div w:id="1683124754">
          <w:marLeft w:val="0"/>
          <w:marRight w:val="0"/>
          <w:marTop w:val="225"/>
          <w:marBottom w:val="225"/>
          <w:divBdr>
            <w:top w:val="none" w:sz="0" w:space="0" w:color="auto"/>
            <w:left w:val="none" w:sz="0" w:space="0" w:color="auto"/>
            <w:bottom w:val="none" w:sz="0" w:space="0" w:color="auto"/>
            <w:right w:val="none" w:sz="0" w:space="0" w:color="auto"/>
          </w:divBdr>
          <w:divsChild>
            <w:div w:id="1025790110">
              <w:marLeft w:val="0"/>
              <w:marRight w:val="0"/>
              <w:marTop w:val="0"/>
              <w:marBottom w:val="0"/>
              <w:divBdr>
                <w:top w:val="none" w:sz="0" w:space="0" w:color="auto"/>
                <w:left w:val="none" w:sz="0" w:space="0" w:color="auto"/>
                <w:bottom w:val="none" w:sz="0" w:space="0" w:color="auto"/>
                <w:right w:val="none" w:sz="0" w:space="0" w:color="auto"/>
              </w:divBdr>
              <w:divsChild>
                <w:div w:id="233399511">
                  <w:marLeft w:val="0"/>
                  <w:marRight w:val="0"/>
                  <w:marTop w:val="0"/>
                  <w:marBottom w:val="0"/>
                  <w:divBdr>
                    <w:top w:val="none" w:sz="0" w:space="0" w:color="auto"/>
                    <w:left w:val="none" w:sz="0" w:space="0" w:color="auto"/>
                    <w:bottom w:val="none" w:sz="0" w:space="0" w:color="auto"/>
                    <w:right w:val="none" w:sz="0" w:space="0" w:color="auto"/>
                  </w:divBdr>
                  <w:divsChild>
                    <w:div w:id="1772506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8409937">
          <w:marLeft w:val="0"/>
          <w:marRight w:val="0"/>
          <w:marTop w:val="225"/>
          <w:marBottom w:val="225"/>
          <w:divBdr>
            <w:top w:val="none" w:sz="0" w:space="0" w:color="auto"/>
            <w:left w:val="none" w:sz="0" w:space="0" w:color="auto"/>
            <w:bottom w:val="none" w:sz="0" w:space="0" w:color="auto"/>
            <w:right w:val="none" w:sz="0" w:space="0" w:color="auto"/>
          </w:divBdr>
          <w:divsChild>
            <w:div w:id="1488127328">
              <w:marLeft w:val="0"/>
              <w:marRight w:val="0"/>
              <w:marTop w:val="0"/>
              <w:marBottom w:val="0"/>
              <w:divBdr>
                <w:top w:val="none" w:sz="0" w:space="0" w:color="auto"/>
                <w:left w:val="none" w:sz="0" w:space="0" w:color="auto"/>
                <w:bottom w:val="none" w:sz="0" w:space="0" w:color="auto"/>
                <w:right w:val="none" w:sz="0" w:space="0" w:color="auto"/>
              </w:divBdr>
            </w:div>
            <w:div w:id="103037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7285584">
      <w:bodyDiv w:val="1"/>
      <w:marLeft w:val="0"/>
      <w:marRight w:val="0"/>
      <w:marTop w:val="0"/>
      <w:marBottom w:val="0"/>
      <w:divBdr>
        <w:top w:val="none" w:sz="0" w:space="0" w:color="auto"/>
        <w:left w:val="none" w:sz="0" w:space="0" w:color="auto"/>
        <w:bottom w:val="none" w:sz="0" w:space="0" w:color="auto"/>
        <w:right w:val="none" w:sz="0" w:space="0" w:color="auto"/>
      </w:divBdr>
    </w:div>
    <w:div w:id="491454671">
      <w:bodyDiv w:val="1"/>
      <w:marLeft w:val="0"/>
      <w:marRight w:val="0"/>
      <w:marTop w:val="0"/>
      <w:marBottom w:val="0"/>
      <w:divBdr>
        <w:top w:val="none" w:sz="0" w:space="0" w:color="auto"/>
        <w:left w:val="none" w:sz="0" w:space="0" w:color="auto"/>
        <w:bottom w:val="none" w:sz="0" w:space="0" w:color="auto"/>
        <w:right w:val="none" w:sz="0" w:space="0" w:color="auto"/>
      </w:divBdr>
      <w:divsChild>
        <w:div w:id="295260144">
          <w:marLeft w:val="0"/>
          <w:marRight w:val="0"/>
          <w:marTop w:val="0"/>
          <w:marBottom w:val="0"/>
          <w:divBdr>
            <w:top w:val="none" w:sz="0" w:space="0" w:color="auto"/>
            <w:left w:val="none" w:sz="0" w:space="0" w:color="auto"/>
            <w:bottom w:val="none" w:sz="0" w:space="0" w:color="auto"/>
            <w:right w:val="none" w:sz="0" w:space="0" w:color="auto"/>
          </w:divBdr>
          <w:divsChild>
            <w:div w:id="518616726">
              <w:marLeft w:val="0"/>
              <w:marRight w:val="0"/>
              <w:marTop w:val="0"/>
              <w:marBottom w:val="0"/>
              <w:divBdr>
                <w:top w:val="none" w:sz="0" w:space="0" w:color="auto"/>
                <w:left w:val="none" w:sz="0" w:space="0" w:color="auto"/>
                <w:bottom w:val="none" w:sz="0" w:space="0" w:color="auto"/>
                <w:right w:val="none" w:sz="0" w:space="0" w:color="auto"/>
              </w:divBdr>
              <w:divsChild>
                <w:div w:id="874081455">
                  <w:marLeft w:val="0"/>
                  <w:marRight w:val="0"/>
                  <w:marTop w:val="0"/>
                  <w:marBottom w:val="0"/>
                  <w:divBdr>
                    <w:top w:val="none" w:sz="0" w:space="0" w:color="auto"/>
                    <w:left w:val="none" w:sz="0" w:space="0" w:color="auto"/>
                    <w:bottom w:val="none" w:sz="0" w:space="0" w:color="auto"/>
                    <w:right w:val="none" w:sz="0" w:space="0" w:color="auto"/>
                  </w:divBdr>
                </w:div>
                <w:div w:id="149568574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998775137">
          <w:marLeft w:val="0"/>
          <w:marRight w:val="0"/>
          <w:marTop w:val="150"/>
          <w:marBottom w:val="0"/>
          <w:divBdr>
            <w:top w:val="none" w:sz="0" w:space="0" w:color="auto"/>
            <w:left w:val="none" w:sz="0" w:space="0" w:color="auto"/>
            <w:bottom w:val="none" w:sz="0" w:space="0" w:color="auto"/>
            <w:right w:val="none" w:sz="0" w:space="0" w:color="auto"/>
          </w:divBdr>
        </w:div>
      </w:divsChild>
    </w:div>
    <w:div w:id="498471587">
      <w:bodyDiv w:val="1"/>
      <w:marLeft w:val="0"/>
      <w:marRight w:val="0"/>
      <w:marTop w:val="0"/>
      <w:marBottom w:val="0"/>
      <w:divBdr>
        <w:top w:val="none" w:sz="0" w:space="0" w:color="auto"/>
        <w:left w:val="none" w:sz="0" w:space="0" w:color="auto"/>
        <w:bottom w:val="none" w:sz="0" w:space="0" w:color="auto"/>
        <w:right w:val="none" w:sz="0" w:space="0" w:color="auto"/>
      </w:divBdr>
    </w:div>
    <w:div w:id="522520355">
      <w:bodyDiv w:val="1"/>
      <w:marLeft w:val="0"/>
      <w:marRight w:val="0"/>
      <w:marTop w:val="0"/>
      <w:marBottom w:val="0"/>
      <w:divBdr>
        <w:top w:val="none" w:sz="0" w:space="0" w:color="auto"/>
        <w:left w:val="none" w:sz="0" w:space="0" w:color="auto"/>
        <w:bottom w:val="none" w:sz="0" w:space="0" w:color="auto"/>
        <w:right w:val="none" w:sz="0" w:space="0" w:color="auto"/>
      </w:divBdr>
    </w:div>
    <w:div w:id="545068030">
      <w:bodyDiv w:val="1"/>
      <w:marLeft w:val="0"/>
      <w:marRight w:val="0"/>
      <w:marTop w:val="0"/>
      <w:marBottom w:val="0"/>
      <w:divBdr>
        <w:top w:val="none" w:sz="0" w:space="0" w:color="auto"/>
        <w:left w:val="none" w:sz="0" w:space="0" w:color="auto"/>
        <w:bottom w:val="none" w:sz="0" w:space="0" w:color="auto"/>
        <w:right w:val="none" w:sz="0" w:space="0" w:color="auto"/>
      </w:divBdr>
    </w:div>
    <w:div w:id="560992460">
      <w:bodyDiv w:val="1"/>
      <w:marLeft w:val="0"/>
      <w:marRight w:val="0"/>
      <w:marTop w:val="0"/>
      <w:marBottom w:val="0"/>
      <w:divBdr>
        <w:top w:val="none" w:sz="0" w:space="0" w:color="auto"/>
        <w:left w:val="none" w:sz="0" w:space="0" w:color="auto"/>
        <w:bottom w:val="none" w:sz="0" w:space="0" w:color="auto"/>
        <w:right w:val="none" w:sz="0" w:space="0" w:color="auto"/>
      </w:divBdr>
    </w:div>
    <w:div w:id="573052008">
      <w:bodyDiv w:val="1"/>
      <w:marLeft w:val="0"/>
      <w:marRight w:val="0"/>
      <w:marTop w:val="0"/>
      <w:marBottom w:val="0"/>
      <w:divBdr>
        <w:top w:val="none" w:sz="0" w:space="0" w:color="auto"/>
        <w:left w:val="none" w:sz="0" w:space="0" w:color="auto"/>
        <w:bottom w:val="none" w:sz="0" w:space="0" w:color="auto"/>
        <w:right w:val="none" w:sz="0" w:space="0" w:color="auto"/>
      </w:divBdr>
      <w:divsChild>
        <w:div w:id="217790391">
          <w:marLeft w:val="274"/>
          <w:marRight w:val="0"/>
          <w:marTop w:val="0"/>
          <w:marBottom w:val="0"/>
          <w:divBdr>
            <w:top w:val="none" w:sz="0" w:space="0" w:color="auto"/>
            <w:left w:val="none" w:sz="0" w:space="0" w:color="auto"/>
            <w:bottom w:val="none" w:sz="0" w:space="0" w:color="auto"/>
            <w:right w:val="none" w:sz="0" w:space="0" w:color="auto"/>
          </w:divBdr>
        </w:div>
        <w:div w:id="842472171">
          <w:marLeft w:val="274"/>
          <w:marRight w:val="0"/>
          <w:marTop w:val="0"/>
          <w:marBottom w:val="0"/>
          <w:divBdr>
            <w:top w:val="none" w:sz="0" w:space="0" w:color="auto"/>
            <w:left w:val="none" w:sz="0" w:space="0" w:color="auto"/>
            <w:bottom w:val="none" w:sz="0" w:space="0" w:color="auto"/>
            <w:right w:val="none" w:sz="0" w:space="0" w:color="auto"/>
          </w:divBdr>
        </w:div>
        <w:div w:id="853036581">
          <w:marLeft w:val="274"/>
          <w:marRight w:val="0"/>
          <w:marTop w:val="0"/>
          <w:marBottom w:val="0"/>
          <w:divBdr>
            <w:top w:val="none" w:sz="0" w:space="0" w:color="auto"/>
            <w:left w:val="none" w:sz="0" w:space="0" w:color="auto"/>
            <w:bottom w:val="none" w:sz="0" w:space="0" w:color="auto"/>
            <w:right w:val="none" w:sz="0" w:space="0" w:color="auto"/>
          </w:divBdr>
        </w:div>
        <w:div w:id="900288218">
          <w:marLeft w:val="274"/>
          <w:marRight w:val="0"/>
          <w:marTop w:val="0"/>
          <w:marBottom w:val="0"/>
          <w:divBdr>
            <w:top w:val="none" w:sz="0" w:space="0" w:color="auto"/>
            <w:left w:val="none" w:sz="0" w:space="0" w:color="auto"/>
            <w:bottom w:val="none" w:sz="0" w:space="0" w:color="auto"/>
            <w:right w:val="none" w:sz="0" w:space="0" w:color="auto"/>
          </w:divBdr>
        </w:div>
        <w:div w:id="1798985911">
          <w:marLeft w:val="274"/>
          <w:marRight w:val="0"/>
          <w:marTop w:val="0"/>
          <w:marBottom w:val="0"/>
          <w:divBdr>
            <w:top w:val="none" w:sz="0" w:space="0" w:color="auto"/>
            <w:left w:val="none" w:sz="0" w:space="0" w:color="auto"/>
            <w:bottom w:val="none" w:sz="0" w:space="0" w:color="auto"/>
            <w:right w:val="none" w:sz="0" w:space="0" w:color="auto"/>
          </w:divBdr>
        </w:div>
        <w:div w:id="1901670148">
          <w:marLeft w:val="274"/>
          <w:marRight w:val="0"/>
          <w:marTop w:val="0"/>
          <w:marBottom w:val="0"/>
          <w:divBdr>
            <w:top w:val="none" w:sz="0" w:space="0" w:color="auto"/>
            <w:left w:val="none" w:sz="0" w:space="0" w:color="auto"/>
            <w:bottom w:val="none" w:sz="0" w:space="0" w:color="auto"/>
            <w:right w:val="none" w:sz="0" w:space="0" w:color="auto"/>
          </w:divBdr>
        </w:div>
        <w:div w:id="2002539296">
          <w:marLeft w:val="274"/>
          <w:marRight w:val="0"/>
          <w:marTop w:val="0"/>
          <w:marBottom w:val="0"/>
          <w:divBdr>
            <w:top w:val="none" w:sz="0" w:space="0" w:color="auto"/>
            <w:left w:val="none" w:sz="0" w:space="0" w:color="auto"/>
            <w:bottom w:val="none" w:sz="0" w:space="0" w:color="auto"/>
            <w:right w:val="none" w:sz="0" w:space="0" w:color="auto"/>
          </w:divBdr>
        </w:div>
      </w:divsChild>
    </w:div>
    <w:div w:id="573317633">
      <w:bodyDiv w:val="1"/>
      <w:marLeft w:val="0"/>
      <w:marRight w:val="0"/>
      <w:marTop w:val="0"/>
      <w:marBottom w:val="0"/>
      <w:divBdr>
        <w:top w:val="none" w:sz="0" w:space="0" w:color="auto"/>
        <w:left w:val="none" w:sz="0" w:space="0" w:color="auto"/>
        <w:bottom w:val="none" w:sz="0" w:space="0" w:color="auto"/>
        <w:right w:val="none" w:sz="0" w:space="0" w:color="auto"/>
      </w:divBdr>
    </w:div>
    <w:div w:id="600333974">
      <w:bodyDiv w:val="1"/>
      <w:marLeft w:val="0"/>
      <w:marRight w:val="0"/>
      <w:marTop w:val="0"/>
      <w:marBottom w:val="0"/>
      <w:divBdr>
        <w:top w:val="none" w:sz="0" w:space="0" w:color="auto"/>
        <w:left w:val="none" w:sz="0" w:space="0" w:color="auto"/>
        <w:bottom w:val="none" w:sz="0" w:space="0" w:color="auto"/>
        <w:right w:val="none" w:sz="0" w:space="0" w:color="auto"/>
      </w:divBdr>
    </w:div>
    <w:div w:id="626933986">
      <w:bodyDiv w:val="1"/>
      <w:marLeft w:val="0"/>
      <w:marRight w:val="0"/>
      <w:marTop w:val="0"/>
      <w:marBottom w:val="0"/>
      <w:divBdr>
        <w:top w:val="none" w:sz="0" w:space="0" w:color="auto"/>
        <w:left w:val="none" w:sz="0" w:space="0" w:color="auto"/>
        <w:bottom w:val="none" w:sz="0" w:space="0" w:color="auto"/>
        <w:right w:val="none" w:sz="0" w:space="0" w:color="auto"/>
      </w:divBdr>
    </w:div>
    <w:div w:id="639655535">
      <w:bodyDiv w:val="1"/>
      <w:marLeft w:val="0"/>
      <w:marRight w:val="0"/>
      <w:marTop w:val="0"/>
      <w:marBottom w:val="0"/>
      <w:divBdr>
        <w:top w:val="none" w:sz="0" w:space="0" w:color="auto"/>
        <w:left w:val="none" w:sz="0" w:space="0" w:color="auto"/>
        <w:bottom w:val="none" w:sz="0" w:space="0" w:color="auto"/>
        <w:right w:val="none" w:sz="0" w:space="0" w:color="auto"/>
      </w:divBdr>
    </w:div>
    <w:div w:id="645083764">
      <w:bodyDiv w:val="1"/>
      <w:marLeft w:val="0"/>
      <w:marRight w:val="0"/>
      <w:marTop w:val="0"/>
      <w:marBottom w:val="0"/>
      <w:divBdr>
        <w:top w:val="none" w:sz="0" w:space="0" w:color="auto"/>
        <w:left w:val="none" w:sz="0" w:space="0" w:color="auto"/>
        <w:bottom w:val="none" w:sz="0" w:space="0" w:color="auto"/>
        <w:right w:val="none" w:sz="0" w:space="0" w:color="auto"/>
      </w:divBdr>
    </w:div>
    <w:div w:id="655649067">
      <w:bodyDiv w:val="1"/>
      <w:marLeft w:val="0"/>
      <w:marRight w:val="0"/>
      <w:marTop w:val="0"/>
      <w:marBottom w:val="0"/>
      <w:divBdr>
        <w:top w:val="none" w:sz="0" w:space="0" w:color="auto"/>
        <w:left w:val="none" w:sz="0" w:space="0" w:color="auto"/>
        <w:bottom w:val="none" w:sz="0" w:space="0" w:color="auto"/>
        <w:right w:val="none" w:sz="0" w:space="0" w:color="auto"/>
      </w:divBdr>
    </w:div>
    <w:div w:id="669212270">
      <w:bodyDiv w:val="1"/>
      <w:marLeft w:val="0"/>
      <w:marRight w:val="0"/>
      <w:marTop w:val="0"/>
      <w:marBottom w:val="0"/>
      <w:divBdr>
        <w:top w:val="none" w:sz="0" w:space="0" w:color="auto"/>
        <w:left w:val="none" w:sz="0" w:space="0" w:color="auto"/>
        <w:bottom w:val="none" w:sz="0" w:space="0" w:color="auto"/>
        <w:right w:val="none" w:sz="0" w:space="0" w:color="auto"/>
      </w:divBdr>
    </w:div>
    <w:div w:id="674963500">
      <w:bodyDiv w:val="1"/>
      <w:marLeft w:val="0"/>
      <w:marRight w:val="0"/>
      <w:marTop w:val="0"/>
      <w:marBottom w:val="0"/>
      <w:divBdr>
        <w:top w:val="none" w:sz="0" w:space="0" w:color="auto"/>
        <w:left w:val="none" w:sz="0" w:space="0" w:color="auto"/>
        <w:bottom w:val="none" w:sz="0" w:space="0" w:color="auto"/>
        <w:right w:val="none" w:sz="0" w:space="0" w:color="auto"/>
      </w:divBdr>
    </w:div>
    <w:div w:id="689377298">
      <w:bodyDiv w:val="1"/>
      <w:marLeft w:val="0"/>
      <w:marRight w:val="0"/>
      <w:marTop w:val="0"/>
      <w:marBottom w:val="0"/>
      <w:divBdr>
        <w:top w:val="none" w:sz="0" w:space="0" w:color="auto"/>
        <w:left w:val="none" w:sz="0" w:space="0" w:color="auto"/>
        <w:bottom w:val="none" w:sz="0" w:space="0" w:color="auto"/>
        <w:right w:val="none" w:sz="0" w:space="0" w:color="auto"/>
      </w:divBdr>
    </w:div>
    <w:div w:id="691759370">
      <w:bodyDiv w:val="1"/>
      <w:marLeft w:val="0"/>
      <w:marRight w:val="0"/>
      <w:marTop w:val="0"/>
      <w:marBottom w:val="0"/>
      <w:divBdr>
        <w:top w:val="none" w:sz="0" w:space="0" w:color="auto"/>
        <w:left w:val="none" w:sz="0" w:space="0" w:color="auto"/>
        <w:bottom w:val="none" w:sz="0" w:space="0" w:color="auto"/>
        <w:right w:val="none" w:sz="0" w:space="0" w:color="auto"/>
      </w:divBdr>
    </w:div>
    <w:div w:id="699284712">
      <w:bodyDiv w:val="1"/>
      <w:marLeft w:val="0"/>
      <w:marRight w:val="0"/>
      <w:marTop w:val="0"/>
      <w:marBottom w:val="0"/>
      <w:divBdr>
        <w:top w:val="none" w:sz="0" w:space="0" w:color="auto"/>
        <w:left w:val="none" w:sz="0" w:space="0" w:color="auto"/>
        <w:bottom w:val="none" w:sz="0" w:space="0" w:color="auto"/>
        <w:right w:val="none" w:sz="0" w:space="0" w:color="auto"/>
      </w:divBdr>
    </w:div>
    <w:div w:id="713624061">
      <w:bodyDiv w:val="1"/>
      <w:marLeft w:val="0"/>
      <w:marRight w:val="0"/>
      <w:marTop w:val="0"/>
      <w:marBottom w:val="0"/>
      <w:divBdr>
        <w:top w:val="none" w:sz="0" w:space="0" w:color="auto"/>
        <w:left w:val="none" w:sz="0" w:space="0" w:color="auto"/>
        <w:bottom w:val="none" w:sz="0" w:space="0" w:color="auto"/>
        <w:right w:val="none" w:sz="0" w:space="0" w:color="auto"/>
      </w:divBdr>
    </w:div>
    <w:div w:id="714308293">
      <w:bodyDiv w:val="1"/>
      <w:marLeft w:val="0"/>
      <w:marRight w:val="0"/>
      <w:marTop w:val="0"/>
      <w:marBottom w:val="0"/>
      <w:divBdr>
        <w:top w:val="none" w:sz="0" w:space="0" w:color="auto"/>
        <w:left w:val="none" w:sz="0" w:space="0" w:color="auto"/>
        <w:bottom w:val="none" w:sz="0" w:space="0" w:color="auto"/>
        <w:right w:val="none" w:sz="0" w:space="0" w:color="auto"/>
      </w:divBdr>
    </w:div>
    <w:div w:id="720979017">
      <w:bodyDiv w:val="1"/>
      <w:marLeft w:val="0"/>
      <w:marRight w:val="0"/>
      <w:marTop w:val="0"/>
      <w:marBottom w:val="0"/>
      <w:divBdr>
        <w:top w:val="none" w:sz="0" w:space="0" w:color="auto"/>
        <w:left w:val="none" w:sz="0" w:space="0" w:color="auto"/>
        <w:bottom w:val="none" w:sz="0" w:space="0" w:color="auto"/>
        <w:right w:val="none" w:sz="0" w:space="0" w:color="auto"/>
      </w:divBdr>
    </w:div>
    <w:div w:id="724908805">
      <w:bodyDiv w:val="1"/>
      <w:marLeft w:val="0"/>
      <w:marRight w:val="0"/>
      <w:marTop w:val="0"/>
      <w:marBottom w:val="0"/>
      <w:divBdr>
        <w:top w:val="none" w:sz="0" w:space="0" w:color="auto"/>
        <w:left w:val="none" w:sz="0" w:space="0" w:color="auto"/>
        <w:bottom w:val="none" w:sz="0" w:space="0" w:color="auto"/>
        <w:right w:val="none" w:sz="0" w:space="0" w:color="auto"/>
      </w:divBdr>
    </w:div>
    <w:div w:id="745610253">
      <w:bodyDiv w:val="1"/>
      <w:marLeft w:val="0"/>
      <w:marRight w:val="0"/>
      <w:marTop w:val="0"/>
      <w:marBottom w:val="0"/>
      <w:divBdr>
        <w:top w:val="none" w:sz="0" w:space="0" w:color="auto"/>
        <w:left w:val="none" w:sz="0" w:space="0" w:color="auto"/>
        <w:bottom w:val="none" w:sz="0" w:space="0" w:color="auto"/>
        <w:right w:val="none" w:sz="0" w:space="0" w:color="auto"/>
      </w:divBdr>
    </w:div>
    <w:div w:id="765492963">
      <w:bodyDiv w:val="1"/>
      <w:marLeft w:val="0"/>
      <w:marRight w:val="0"/>
      <w:marTop w:val="0"/>
      <w:marBottom w:val="0"/>
      <w:divBdr>
        <w:top w:val="none" w:sz="0" w:space="0" w:color="auto"/>
        <w:left w:val="none" w:sz="0" w:space="0" w:color="auto"/>
        <w:bottom w:val="none" w:sz="0" w:space="0" w:color="auto"/>
        <w:right w:val="none" w:sz="0" w:space="0" w:color="auto"/>
      </w:divBdr>
    </w:div>
    <w:div w:id="769204310">
      <w:bodyDiv w:val="1"/>
      <w:marLeft w:val="0"/>
      <w:marRight w:val="0"/>
      <w:marTop w:val="0"/>
      <w:marBottom w:val="0"/>
      <w:divBdr>
        <w:top w:val="none" w:sz="0" w:space="0" w:color="auto"/>
        <w:left w:val="none" w:sz="0" w:space="0" w:color="auto"/>
        <w:bottom w:val="none" w:sz="0" w:space="0" w:color="auto"/>
        <w:right w:val="none" w:sz="0" w:space="0" w:color="auto"/>
      </w:divBdr>
    </w:div>
    <w:div w:id="784228878">
      <w:bodyDiv w:val="1"/>
      <w:marLeft w:val="0"/>
      <w:marRight w:val="0"/>
      <w:marTop w:val="0"/>
      <w:marBottom w:val="0"/>
      <w:divBdr>
        <w:top w:val="none" w:sz="0" w:space="0" w:color="auto"/>
        <w:left w:val="none" w:sz="0" w:space="0" w:color="auto"/>
        <w:bottom w:val="none" w:sz="0" w:space="0" w:color="auto"/>
        <w:right w:val="none" w:sz="0" w:space="0" w:color="auto"/>
      </w:divBdr>
    </w:div>
    <w:div w:id="808086665">
      <w:bodyDiv w:val="1"/>
      <w:marLeft w:val="0"/>
      <w:marRight w:val="0"/>
      <w:marTop w:val="0"/>
      <w:marBottom w:val="0"/>
      <w:divBdr>
        <w:top w:val="none" w:sz="0" w:space="0" w:color="auto"/>
        <w:left w:val="none" w:sz="0" w:space="0" w:color="auto"/>
        <w:bottom w:val="none" w:sz="0" w:space="0" w:color="auto"/>
        <w:right w:val="none" w:sz="0" w:space="0" w:color="auto"/>
      </w:divBdr>
    </w:div>
    <w:div w:id="818612482">
      <w:bodyDiv w:val="1"/>
      <w:marLeft w:val="0"/>
      <w:marRight w:val="0"/>
      <w:marTop w:val="0"/>
      <w:marBottom w:val="0"/>
      <w:divBdr>
        <w:top w:val="none" w:sz="0" w:space="0" w:color="auto"/>
        <w:left w:val="none" w:sz="0" w:space="0" w:color="auto"/>
        <w:bottom w:val="none" w:sz="0" w:space="0" w:color="auto"/>
        <w:right w:val="none" w:sz="0" w:space="0" w:color="auto"/>
      </w:divBdr>
    </w:div>
    <w:div w:id="840580954">
      <w:bodyDiv w:val="1"/>
      <w:marLeft w:val="0"/>
      <w:marRight w:val="0"/>
      <w:marTop w:val="0"/>
      <w:marBottom w:val="0"/>
      <w:divBdr>
        <w:top w:val="none" w:sz="0" w:space="0" w:color="auto"/>
        <w:left w:val="none" w:sz="0" w:space="0" w:color="auto"/>
        <w:bottom w:val="none" w:sz="0" w:space="0" w:color="auto"/>
        <w:right w:val="none" w:sz="0" w:space="0" w:color="auto"/>
      </w:divBdr>
    </w:div>
    <w:div w:id="845831307">
      <w:bodyDiv w:val="1"/>
      <w:marLeft w:val="0"/>
      <w:marRight w:val="0"/>
      <w:marTop w:val="0"/>
      <w:marBottom w:val="0"/>
      <w:divBdr>
        <w:top w:val="none" w:sz="0" w:space="0" w:color="auto"/>
        <w:left w:val="none" w:sz="0" w:space="0" w:color="auto"/>
        <w:bottom w:val="none" w:sz="0" w:space="0" w:color="auto"/>
        <w:right w:val="none" w:sz="0" w:space="0" w:color="auto"/>
      </w:divBdr>
    </w:div>
    <w:div w:id="864058017">
      <w:bodyDiv w:val="1"/>
      <w:marLeft w:val="0"/>
      <w:marRight w:val="0"/>
      <w:marTop w:val="0"/>
      <w:marBottom w:val="0"/>
      <w:divBdr>
        <w:top w:val="none" w:sz="0" w:space="0" w:color="auto"/>
        <w:left w:val="none" w:sz="0" w:space="0" w:color="auto"/>
        <w:bottom w:val="none" w:sz="0" w:space="0" w:color="auto"/>
        <w:right w:val="none" w:sz="0" w:space="0" w:color="auto"/>
      </w:divBdr>
    </w:div>
    <w:div w:id="864174853">
      <w:bodyDiv w:val="1"/>
      <w:marLeft w:val="0"/>
      <w:marRight w:val="0"/>
      <w:marTop w:val="0"/>
      <w:marBottom w:val="0"/>
      <w:divBdr>
        <w:top w:val="none" w:sz="0" w:space="0" w:color="auto"/>
        <w:left w:val="none" w:sz="0" w:space="0" w:color="auto"/>
        <w:bottom w:val="none" w:sz="0" w:space="0" w:color="auto"/>
        <w:right w:val="none" w:sz="0" w:space="0" w:color="auto"/>
      </w:divBdr>
    </w:div>
    <w:div w:id="885919037">
      <w:bodyDiv w:val="1"/>
      <w:marLeft w:val="0"/>
      <w:marRight w:val="0"/>
      <w:marTop w:val="0"/>
      <w:marBottom w:val="0"/>
      <w:divBdr>
        <w:top w:val="none" w:sz="0" w:space="0" w:color="auto"/>
        <w:left w:val="none" w:sz="0" w:space="0" w:color="auto"/>
        <w:bottom w:val="none" w:sz="0" w:space="0" w:color="auto"/>
        <w:right w:val="none" w:sz="0" w:space="0" w:color="auto"/>
      </w:divBdr>
    </w:div>
    <w:div w:id="887692994">
      <w:bodyDiv w:val="1"/>
      <w:marLeft w:val="0"/>
      <w:marRight w:val="0"/>
      <w:marTop w:val="0"/>
      <w:marBottom w:val="0"/>
      <w:divBdr>
        <w:top w:val="none" w:sz="0" w:space="0" w:color="auto"/>
        <w:left w:val="none" w:sz="0" w:space="0" w:color="auto"/>
        <w:bottom w:val="none" w:sz="0" w:space="0" w:color="auto"/>
        <w:right w:val="none" w:sz="0" w:space="0" w:color="auto"/>
      </w:divBdr>
    </w:div>
    <w:div w:id="890459194">
      <w:bodyDiv w:val="1"/>
      <w:marLeft w:val="0"/>
      <w:marRight w:val="0"/>
      <w:marTop w:val="0"/>
      <w:marBottom w:val="0"/>
      <w:divBdr>
        <w:top w:val="none" w:sz="0" w:space="0" w:color="auto"/>
        <w:left w:val="none" w:sz="0" w:space="0" w:color="auto"/>
        <w:bottom w:val="none" w:sz="0" w:space="0" w:color="auto"/>
        <w:right w:val="none" w:sz="0" w:space="0" w:color="auto"/>
      </w:divBdr>
      <w:divsChild>
        <w:div w:id="665984307">
          <w:marLeft w:val="547"/>
          <w:marRight w:val="0"/>
          <w:marTop w:val="134"/>
          <w:marBottom w:val="0"/>
          <w:divBdr>
            <w:top w:val="none" w:sz="0" w:space="0" w:color="auto"/>
            <w:left w:val="none" w:sz="0" w:space="0" w:color="auto"/>
            <w:bottom w:val="none" w:sz="0" w:space="0" w:color="auto"/>
            <w:right w:val="none" w:sz="0" w:space="0" w:color="auto"/>
          </w:divBdr>
        </w:div>
      </w:divsChild>
    </w:div>
    <w:div w:id="917133416">
      <w:bodyDiv w:val="1"/>
      <w:marLeft w:val="0"/>
      <w:marRight w:val="0"/>
      <w:marTop w:val="0"/>
      <w:marBottom w:val="0"/>
      <w:divBdr>
        <w:top w:val="none" w:sz="0" w:space="0" w:color="auto"/>
        <w:left w:val="none" w:sz="0" w:space="0" w:color="auto"/>
        <w:bottom w:val="none" w:sz="0" w:space="0" w:color="auto"/>
        <w:right w:val="none" w:sz="0" w:space="0" w:color="auto"/>
      </w:divBdr>
    </w:div>
    <w:div w:id="926889957">
      <w:bodyDiv w:val="1"/>
      <w:marLeft w:val="0"/>
      <w:marRight w:val="0"/>
      <w:marTop w:val="0"/>
      <w:marBottom w:val="0"/>
      <w:divBdr>
        <w:top w:val="none" w:sz="0" w:space="0" w:color="auto"/>
        <w:left w:val="none" w:sz="0" w:space="0" w:color="auto"/>
        <w:bottom w:val="none" w:sz="0" w:space="0" w:color="auto"/>
        <w:right w:val="none" w:sz="0" w:space="0" w:color="auto"/>
      </w:divBdr>
    </w:div>
    <w:div w:id="928468824">
      <w:bodyDiv w:val="1"/>
      <w:marLeft w:val="0"/>
      <w:marRight w:val="0"/>
      <w:marTop w:val="0"/>
      <w:marBottom w:val="0"/>
      <w:divBdr>
        <w:top w:val="none" w:sz="0" w:space="0" w:color="auto"/>
        <w:left w:val="none" w:sz="0" w:space="0" w:color="auto"/>
        <w:bottom w:val="none" w:sz="0" w:space="0" w:color="auto"/>
        <w:right w:val="none" w:sz="0" w:space="0" w:color="auto"/>
      </w:divBdr>
      <w:divsChild>
        <w:div w:id="151651865">
          <w:marLeft w:val="0"/>
          <w:marRight w:val="0"/>
          <w:marTop w:val="0"/>
          <w:marBottom w:val="0"/>
          <w:divBdr>
            <w:top w:val="none" w:sz="0" w:space="0" w:color="auto"/>
            <w:left w:val="none" w:sz="0" w:space="0" w:color="auto"/>
            <w:bottom w:val="none" w:sz="0" w:space="0" w:color="auto"/>
            <w:right w:val="none" w:sz="0" w:space="0" w:color="auto"/>
          </w:divBdr>
          <w:divsChild>
            <w:div w:id="1675645895">
              <w:marLeft w:val="0"/>
              <w:marRight w:val="0"/>
              <w:marTop w:val="0"/>
              <w:marBottom w:val="0"/>
              <w:divBdr>
                <w:top w:val="none" w:sz="0" w:space="0" w:color="auto"/>
                <w:left w:val="none" w:sz="0" w:space="0" w:color="auto"/>
                <w:bottom w:val="none" w:sz="0" w:space="0" w:color="auto"/>
                <w:right w:val="none" w:sz="0" w:space="0" w:color="auto"/>
              </w:divBdr>
            </w:div>
          </w:divsChild>
        </w:div>
        <w:div w:id="351146954">
          <w:marLeft w:val="0"/>
          <w:marRight w:val="0"/>
          <w:marTop w:val="0"/>
          <w:marBottom w:val="150"/>
          <w:divBdr>
            <w:top w:val="none" w:sz="0" w:space="0" w:color="auto"/>
            <w:left w:val="none" w:sz="0" w:space="0" w:color="auto"/>
            <w:bottom w:val="none" w:sz="0" w:space="0" w:color="auto"/>
            <w:right w:val="none" w:sz="0" w:space="0" w:color="auto"/>
          </w:divBdr>
          <w:divsChild>
            <w:div w:id="1457021095">
              <w:marLeft w:val="0"/>
              <w:marRight w:val="0"/>
              <w:marTop w:val="0"/>
              <w:marBottom w:val="0"/>
              <w:divBdr>
                <w:top w:val="none" w:sz="0" w:space="0" w:color="auto"/>
                <w:left w:val="none" w:sz="0" w:space="0" w:color="auto"/>
                <w:bottom w:val="none" w:sz="0" w:space="0" w:color="auto"/>
                <w:right w:val="none" w:sz="0" w:space="0" w:color="auto"/>
              </w:divBdr>
              <w:divsChild>
                <w:div w:id="1320966683">
                  <w:marLeft w:val="0"/>
                  <w:marRight w:val="0"/>
                  <w:marTop w:val="0"/>
                  <w:marBottom w:val="0"/>
                  <w:divBdr>
                    <w:top w:val="none" w:sz="0" w:space="0" w:color="auto"/>
                    <w:left w:val="none" w:sz="0" w:space="0" w:color="auto"/>
                    <w:bottom w:val="none" w:sz="0" w:space="0" w:color="auto"/>
                    <w:right w:val="none" w:sz="0" w:space="0" w:color="auto"/>
                  </w:divBdr>
                  <w:divsChild>
                    <w:div w:id="1629897294">
                      <w:marLeft w:val="0"/>
                      <w:marRight w:val="0"/>
                      <w:marTop w:val="0"/>
                      <w:marBottom w:val="0"/>
                      <w:divBdr>
                        <w:top w:val="none" w:sz="0" w:space="0" w:color="auto"/>
                        <w:left w:val="none" w:sz="0" w:space="0" w:color="auto"/>
                        <w:bottom w:val="none" w:sz="0" w:space="0" w:color="auto"/>
                        <w:right w:val="none" w:sz="0" w:space="0" w:color="auto"/>
                      </w:divBdr>
                      <w:divsChild>
                        <w:div w:id="132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6156835">
      <w:bodyDiv w:val="1"/>
      <w:marLeft w:val="0"/>
      <w:marRight w:val="0"/>
      <w:marTop w:val="0"/>
      <w:marBottom w:val="0"/>
      <w:divBdr>
        <w:top w:val="none" w:sz="0" w:space="0" w:color="auto"/>
        <w:left w:val="none" w:sz="0" w:space="0" w:color="auto"/>
        <w:bottom w:val="none" w:sz="0" w:space="0" w:color="auto"/>
        <w:right w:val="none" w:sz="0" w:space="0" w:color="auto"/>
      </w:divBdr>
    </w:div>
    <w:div w:id="949821010">
      <w:bodyDiv w:val="1"/>
      <w:marLeft w:val="0"/>
      <w:marRight w:val="0"/>
      <w:marTop w:val="0"/>
      <w:marBottom w:val="0"/>
      <w:divBdr>
        <w:top w:val="none" w:sz="0" w:space="0" w:color="auto"/>
        <w:left w:val="none" w:sz="0" w:space="0" w:color="auto"/>
        <w:bottom w:val="none" w:sz="0" w:space="0" w:color="auto"/>
        <w:right w:val="none" w:sz="0" w:space="0" w:color="auto"/>
      </w:divBdr>
    </w:div>
    <w:div w:id="950552692">
      <w:bodyDiv w:val="1"/>
      <w:marLeft w:val="0"/>
      <w:marRight w:val="0"/>
      <w:marTop w:val="0"/>
      <w:marBottom w:val="0"/>
      <w:divBdr>
        <w:top w:val="none" w:sz="0" w:space="0" w:color="auto"/>
        <w:left w:val="none" w:sz="0" w:space="0" w:color="auto"/>
        <w:bottom w:val="none" w:sz="0" w:space="0" w:color="auto"/>
        <w:right w:val="none" w:sz="0" w:space="0" w:color="auto"/>
      </w:divBdr>
    </w:div>
    <w:div w:id="959263902">
      <w:bodyDiv w:val="1"/>
      <w:marLeft w:val="0"/>
      <w:marRight w:val="0"/>
      <w:marTop w:val="0"/>
      <w:marBottom w:val="0"/>
      <w:divBdr>
        <w:top w:val="none" w:sz="0" w:space="0" w:color="auto"/>
        <w:left w:val="none" w:sz="0" w:space="0" w:color="auto"/>
        <w:bottom w:val="none" w:sz="0" w:space="0" w:color="auto"/>
        <w:right w:val="none" w:sz="0" w:space="0" w:color="auto"/>
      </w:divBdr>
    </w:div>
    <w:div w:id="964434906">
      <w:bodyDiv w:val="1"/>
      <w:marLeft w:val="0"/>
      <w:marRight w:val="0"/>
      <w:marTop w:val="0"/>
      <w:marBottom w:val="0"/>
      <w:divBdr>
        <w:top w:val="none" w:sz="0" w:space="0" w:color="auto"/>
        <w:left w:val="none" w:sz="0" w:space="0" w:color="auto"/>
        <w:bottom w:val="none" w:sz="0" w:space="0" w:color="auto"/>
        <w:right w:val="none" w:sz="0" w:space="0" w:color="auto"/>
      </w:divBdr>
    </w:div>
    <w:div w:id="981885805">
      <w:bodyDiv w:val="1"/>
      <w:marLeft w:val="0"/>
      <w:marRight w:val="0"/>
      <w:marTop w:val="0"/>
      <w:marBottom w:val="0"/>
      <w:divBdr>
        <w:top w:val="none" w:sz="0" w:space="0" w:color="auto"/>
        <w:left w:val="none" w:sz="0" w:space="0" w:color="auto"/>
        <w:bottom w:val="none" w:sz="0" w:space="0" w:color="auto"/>
        <w:right w:val="none" w:sz="0" w:space="0" w:color="auto"/>
      </w:divBdr>
    </w:div>
    <w:div w:id="1003388382">
      <w:bodyDiv w:val="1"/>
      <w:marLeft w:val="0"/>
      <w:marRight w:val="0"/>
      <w:marTop w:val="0"/>
      <w:marBottom w:val="0"/>
      <w:divBdr>
        <w:top w:val="none" w:sz="0" w:space="0" w:color="auto"/>
        <w:left w:val="none" w:sz="0" w:space="0" w:color="auto"/>
        <w:bottom w:val="none" w:sz="0" w:space="0" w:color="auto"/>
        <w:right w:val="none" w:sz="0" w:space="0" w:color="auto"/>
      </w:divBdr>
    </w:div>
    <w:div w:id="1008799367">
      <w:bodyDiv w:val="1"/>
      <w:marLeft w:val="0"/>
      <w:marRight w:val="0"/>
      <w:marTop w:val="0"/>
      <w:marBottom w:val="0"/>
      <w:divBdr>
        <w:top w:val="none" w:sz="0" w:space="0" w:color="auto"/>
        <w:left w:val="none" w:sz="0" w:space="0" w:color="auto"/>
        <w:bottom w:val="none" w:sz="0" w:space="0" w:color="auto"/>
        <w:right w:val="none" w:sz="0" w:space="0" w:color="auto"/>
      </w:divBdr>
    </w:div>
    <w:div w:id="1015041295">
      <w:bodyDiv w:val="1"/>
      <w:marLeft w:val="0"/>
      <w:marRight w:val="0"/>
      <w:marTop w:val="0"/>
      <w:marBottom w:val="0"/>
      <w:divBdr>
        <w:top w:val="none" w:sz="0" w:space="0" w:color="auto"/>
        <w:left w:val="none" w:sz="0" w:space="0" w:color="auto"/>
        <w:bottom w:val="none" w:sz="0" w:space="0" w:color="auto"/>
        <w:right w:val="none" w:sz="0" w:space="0" w:color="auto"/>
      </w:divBdr>
    </w:div>
    <w:div w:id="1017388719">
      <w:bodyDiv w:val="1"/>
      <w:marLeft w:val="0"/>
      <w:marRight w:val="0"/>
      <w:marTop w:val="0"/>
      <w:marBottom w:val="0"/>
      <w:divBdr>
        <w:top w:val="none" w:sz="0" w:space="0" w:color="auto"/>
        <w:left w:val="none" w:sz="0" w:space="0" w:color="auto"/>
        <w:bottom w:val="none" w:sz="0" w:space="0" w:color="auto"/>
        <w:right w:val="none" w:sz="0" w:space="0" w:color="auto"/>
      </w:divBdr>
    </w:div>
    <w:div w:id="1019510011">
      <w:bodyDiv w:val="1"/>
      <w:marLeft w:val="0"/>
      <w:marRight w:val="0"/>
      <w:marTop w:val="0"/>
      <w:marBottom w:val="0"/>
      <w:divBdr>
        <w:top w:val="none" w:sz="0" w:space="0" w:color="auto"/>
        <w:left w:val="none" w:sz="0" w:space="0" w:color="auto"/>
        <w:bottom w:val="none" w:sz="0" w:space="0" w:color="auto"/>
        <w:right w:val="none" w:sz="0" w:space="0" w:color="auto"/>
      </w:divBdr>
      <w:divsChild>
        <w:div w:id="860584760">
          <w:marLeft w:val="0"/>
          <w:marRight w:val="0"/>
          <w:marTop w:val="0"/>
          <w:marBottom w:val="0"/>
          <w:divBdr>
            <w:top w:val="none" w:sz="0" w:space="0" w:color="auto"/>
            <w:left w:val="none" w:sz="0" w:space="0" w:color="auto"/>
            <w:bottom w:val="none" w:sz="0" w:space="0" w:color="auto"/>
            <w:right w:val="none" w:sz="0" w:space="0" w:color="auto"/>
          </w:divBdr>
        </w:div>
      </w:divsChild>
    </w:div>
    <w:div w:id="1046299982">
      <w:bodyDiv w:val="1"/>
      <w:marLeft w:val="0"/>
      <w:marRight w:val="0"/>
      <w:marTop w:val="0"/>
      <w:marBottom w:val="0"/>
      <w:divBdr>
        <w:top w:val="none" w:sz="0" w:space="0" w:color="auto"/>
        <w:left w:val="none" w:sz="0" w:space="0" w:color="auto"/>
        <w:bottom w:val="none" w:sz="0" w:space="0" w:color="auto"/>
        <w:right w:val="none" w:sz="0" w:space="0" w:color="auto"/>
      </w:divBdr>
    </w:div>
    <w:div w:id="1057045047">
      <w:bodyDiv w:val="1"/>
      <w:marLeft w:val="0"/>
      <w:marRight w:val="0"/>
      <w:marTop w:val="0"/>
      <w:marBottom w:val="0"/>
      <w:divBdr>
        <w:top w:val="none" w:sz="0" w:space="0" w:color="auto"/>
        <w:left w:val="none" w:sz="0" w:space="0" w:color="auto"/>
        <w:bottom w:val="none" w:sz="0" w:space="0" w:color="auto"/>
        <w:right w:val="none" w:sz="0" w:space="0" w:color="auto"/>
      </w:divBdr>
    </w:div>
    <w:div w:id="1062291001">
      <w:bodyDiv w:val="1"/>
      <w:marLeft w:val="0"/>
      <w:marRight w:val="0"/>
      <w:marTop w:val="0"/>
      <w:marBottom w:val="0"/>
      <w:divBdr>
        <w:top w:val="none" w:sz="0" w:space="0" w:color="auto"/>
        <w:left w:val="none" w:sz="0" w:space="0" w:color="auto"/>
        <w:bottom w:val="none" w:sz="0" w:space="0" w:color="auto"/>
        <w:right w:val="none" w:sz="0" w:space="0" w:color="auto"/>
      </w:divBdr>
    </w:div>
    <w:div w:id="1063066826">
      <w:bodyDiv w:val="1"/>
      <w:marLeft w:val="0"/>
      <w:marRight w:val="0"/>
      <w:marTop w:val="0"/>
      <w:marBottom w:val="0"/>
      <w:divBdr>
        <w:top w:val="none" w:sz="0" w:space="0" w:color="auto"/>
        <w:left w:val="none" w:sz="0" w:space="0" w:color="auto"/>
        <w:bottom w:val="none" w:sz="0" w:space="0" w:color="auto"/>
        <w:right w:val="none" w:sz="0" w:space="0" w:color="auto"/>
      </w:divBdr>
    </w:div>
    <w:div w:id="1073969468">
      <w:bodyDiv w:val="1"/>
      <w:marLeft w:val="0"/>
      <w:marRight w:val="0"/>
      <w:marTop w:val="0"/>
      <w:marBottom w:val="0"/>
      <w:divBdr>
        <w:top w:val="none" w:sz="0" w:space="0" w:color="auto"/>
        <w:left w:val="none" w:sz="0" w:space="0" w:color="auto"/>
        <w:bottom w:val="none" w:sz="0" w:space="0" w:color="auto"/>
        <w:right w:val="none" w:sz="0" w:space="0" w:color="auto"/>
      </w:divBdr>
    </w:div>
    <w:div w:id="1078747598">
      <w:bodyDiv w:val="1"/>
      <w:marLeft w:val="0"/>
      <w:marRight w:val="0"/>
      <w:marTop w:val="0"/>
      <w:marBottom w:val="0"/>
      <w:divBdr>
        <w:top w:val="none" w:sz="0" w:space="0" w:color="auto"/>
        <w:left w:val="none" w:sz="0" w:space="0" w:color="auto"/>
        <w:bottom w:val="none" w:sz="0" w:space="0" w:color="auto"/>
        <w:right w:val="none" w:sz="0" w:space="0" w:color="auto"/>
      </w:divBdr>
    </w:div>
    <w:div w:id="1083454173">
      <w:bodyDiv w:val="1"/>
      <w:marLeft w:val="0"/>
      <w:marRight w:val="0"/>
      <w:marTop w:val="0"/>
      <w:marBottom w:val="0"/>
      <w:divBdr>
        <w:top w:val="none" w:sz="0" w:space="0" w:color="auto"/>
        <w:left w:val="none" w:sz="0" w:space="0" w:color="auto"/>
        <w:bottom w:val="none" w:sz="0" w:space="0" w:color="auto"/>
        <w:right w:val="none" w:sz="0" w:space="0" w:color="auto"/>
      </w:divBdr>
      <w:divsChild>
        <w:div w:id="1288505880">
          <w:marLeft w:val="0"/>
          <w:marRight w:val="0"/>
          <w:marTop w:val="0"/>
          <w:marBottom w:val="0"/>
          <w:divBdr>
            <w:top w:val="none" w:sz="0" w:space="0" w:color="auto"/>
            <w:left w:val="none" w:sz="0" w:space="0" w:color="auto"/>
            <w:bottom w:val="none" w:sz="0" w:space="0" w:color="auto"/>
            <w:right w:val="none" w:sz="0" w:space="0" w:color="auto"/>
          </w:divBdr>
        </w:div>
      </w:divsChild>
    </w:div>
    <w:div w:id="1086607305">
      <w:bodyDiv w:val="1"/>
      <w:marLeft w:val="0"/>
      <w:marRight w:val="0"/>
      <w:marTop w:val="0"/>
      <w:marBottom w:val="0"/>
      <w:divBdr>
        <w:top w:val="none" w:sz="0" w:space="0" w:color="auto"/>
        <w:left w:val="none" w:sz="0" w:space="0" w:color="auto"/>
        <w:bottom w:val="none" w:sz="0" w:space="0" w:color="auto"/>
        <w:right w:val="none" w:sz="0" w:space="0" w:color="auto"/>
      </w:divBdr>
      <w:divsChild>
        <w:div w:id="522324423">
          <w:marLeft w:val="0"/>
          <w:marRight w:val="0"/>
          <w:marTop w:val="0"/>
          <w:marBottom w:val="225"/>
          <w:divBdr>
            <w:top w:val="none" w:sz="0" w:space="0" w:color="auto"/>
            <w:left w:val="none" w:sz="0" w:space="0" w:color="auto"/>
            <w:bottom w:val="none" w:sz="0" w:space="0" w:color="auto"/>
            <w:right w:val="none" w:sz="0" w:space="0" w:color="auto"/>
          </w:divBdr>
        </w:div>
      </w:divsChild>
    </w:div>
    <w:div w:id="1102340609">
      <w:bodyDiv w:val="1"/>
      <w:marLeft w:val="0"/>
      <w:marRight w:val="0"/>
      <w:marTop w:val="0"/>
      <w:marBottom w:val="0"/>
      <w:divBdr>
        <w:top w:val="none" w:sz="0" w:space="0" w:color="auto"/>
        <w:left w:val="none" w:sz="0" w:space="0" w:color="auto"/>
        <w:bottom w:val="none" w:sz="0" w:space="0" w:color="auto"/>
        <w:right w:val="none" w:sz="0" w:space="0" w:color="auto"/>
      </w:divBdr>
    </w:div>
    <w:div w:id="1110783660">
      <w:bodyDiv w:val="1"/>
      <w:marLeft w:val="0"/>
      <w:marRight w:val="0"/>
      <w:marTop w:val="0"/>
      <w:marBottom w:val="0"/>
      <w:divBdr>
        <w:top w:val="none" w:sz="0" w:space="0" w:color="auto"/>
        <w:left w:val="none" w:sz="0" w:space="0" w:color="auto"/>
        <w:bottom w:val="none" w:sz="0" w:space="0" w:color="auto"/>
        <w:right w:val="none" w:sz="0" w:space="0" w:color="auto"/>
      </w:divBdr>
    </w:div>
    <w:div w:id="1112940919">
      <w:bodyDiv w:val="1"/>
      <w:marLeft w:val="0"/>
      <w:marRight w:val="0"/>
      <w:marTop w:val="0"/>
      <w:marBottom w:val="0"/>
      <w:divBdr>
        <w:top w:val="none" w:sz="0" w:space="0" w:color="auto"/>
        <w:left w:val="none" w:sz="0" w:space="0" w:color="auto"/>
        <w:bottom w:val="none" w:sz="0" w:space="0" w:color="auto"/>
        <w:right w:val="none" w:sz="0" w:space="0" w:color="auto"/>
      </w:divBdr>
    </w:div>
    <w:div w:id="1140419506">
      <w:bodyDiv w:val="1"/>
      <w:marLeft w:val="0"/>
      <w:marRight w:val="0"/>
      <w:marTop w:val="0"/>
      <w:marBottom w:val="0"/>
      <w:divBdr>
        <w:top w:val="none" w:sz="0" w:space="0" w:color="auto"/>
        <w:left w:val="none" w:sz="0" w:space="0" w:color="auto"/>
        <w:bottom w:val="none" w:sz="0" w:space="0" w:color="auto"/>
        <w:right w:val="none" w:sz="0" w:space="0" w:color="auto"/>
      </w:divBdr>
    </w:div>
    <w:div w:id="1147359958">
      <w:bodyDiv w:val="1"/>
      <w:marLeft w:val="0"/>
      <w:marRight w:val="0"/>
      <w:marTop w:val="0"/>
      <w:marBottom w:val="0"/>
      <w:divBdr>
        <w:top w:val="none" w:sz="0" w:space="0" w:color="auto"/>
        <w:left w:val="none" w:sz="0" w:space="0" w:color="auto"/>
        <w:bottom w:val="none" w:sz="0" w:space="0" w:color="auto"/>
        <w:right w:val="none" w:sz="0" w:space="0" w:color="auto"/>
      </w:divBdr>
      <w:divsChild>
        <w:div w:id="843587278">
          <w:marLeft w:val="0"/>
          <w:marRight w:val="0"/>
          <w:marTop w:val="0"/>
          <w:marBottom w:val="0"/>
          <w:divBdr>
            <w:top w:val="none" w:sz="0" w:space="0" w:color="auto"/>
            <w:left w:val="none" w:sz="0" w:space="0" w:color="auto"/>
            <w:bottom w:val="none" w:sz="0" w:space="0" w:color="auto"/>
            <w:right w:val="none" w:sz="0" w:space="0" w:color="auto"/>
          </w:divBdr>
        </w:div>
        <w:div w:id="464390323">
          <w:marLeft w:val="0"/>
          <w:marRight w:val="0"/>
          <w:marTop w:val="0"/>
          <w:marBottom w:val="0"/>
          <w:divBdr>
            <w:top w:val="none" w:sz="0" w:space="0" w:color="auto"/>
            <w:left w:val="none" w:sz="0" w:space="0" w:color="auto"/>
            <w:bottom w:val="none" w:sz="0" w:space="0" w:color="auto"/>
            <w:right w:val="none" w:sz="0" w:space="0" w:color="auto"/>
          </w:divBdr>
          <w:divsChild>
            <w:div w:id="1164932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229549">
      <w:bodyDiv w:val="1"/>
      <w:marLeft w:val="0"/>
      <w:marRight w:val="0"/>
      <w:marTop w:val="0"/>
      <w:marBottom w:val="0"/>
      <w:divBdr>
        <w:top w:val="none" w:sz="0" w:space="0" w:color="auto"/>
        <w:left w:val="none" w:sz="0" w:space="0" w:color="auto"/>
        <w:bottom w:val="none" w:sz="0" w:space="0" w:color="auto"/>
        <w:right w:val="none" w:sz="0" w:space="0" w:color="auto"/>
      </w:divBdr>
    </w:div>
    <w:div w:id="1174681872">
      <w:bodyDiv w:val="1"/>
      <w:marLeft w:val="0"/>
      <w:marRight w:val="0"/>
      <w:marTop w:val="0"/>
      <w:marBottom w:val="0"/>
      <w:divBdr>
        <w:top w:val="none" w:sz="0" w:space="0" w:color="auto"/>
        <w:left w:val="none" w:sz="0" w:space="0" w:color="auto"/>
        <w:bottom w:val="none" w:sz="0" w:space="0" w:color="auto"/>
        <w:right w:val="none" w:sz="0" w:space="0" w:color="auto"/>
      </w:divBdr>
    </w:div>
    <w:div w:id="1176842184">
      <w:bodyDiv w:val="1"/>
      <w:marLeft w:val="0"/>
      <w:marRight w:val="0"/>
      <w:marTop w:val="0"/>
      <w:marBottom w:val="0"/>
      <w:divBdr>
        <w:top w:val="none" w:sz="0" w:space="0" w:color="auto"/>
        <w:left w:val="none" w:sz="0" w:space="0" w:color="auto"/>
        <w:bottom w:val="none" w:sz="0" w:space="0" w:color="auto"/>
        <w:right w:val="none" w:sz="0" w:space="0" w:color="auto"/>
      </w:divBdr>
    </w:div>
    <w:div w:id="1185092860">
      <w:bodyDiv w:val="1"/>
      <w:marLeft w:val="0"/>
      <w:marRight w:val="0"/>
      <w:marTop w:val="0"/>
      <w:marBottom w:val="0"/>
      <w:divBdr>
        <w:top w:val="none" w:sz="0" w:space="0" w:color="auto"/>
        <w:left w:val="none" w:sz="0" w:space="0" w:color="auto"/>
        <w:bottom w:val="none" w:sz="0" w:space="0" w:color="auto"/>
        <w:right w:val="none" w:sz="0" w:space="0" w:color="auto"/>
      </w:divBdr>
    </w:div>
    <w:div w:id="1188130872">
      <w:bodyDiv w:val="1"/>
      <w:marLeft w:val="0"/>
      <w:marRight w:val="0"/>
      <w:marTop w:val="0"/>
      <w:marBottom w:val="0"/>
      <w:divBdr>
        <w:top w:val="none" w:sz="0" w:space="0" w:color="auto"/>
        <w:left w:val="none" w:sz="0" w:space="0" w:color="auto"/>
        <w:bottom w:val="none" w:sz="0" w:space="0" w:color="auto"/>
        <w:right w:val="none" w:sz="0" w:space="0" w:color="auto"/>
      </w:divBdr>
    </w:div>
    <w:div w:id="1197083013">
      <w:bodyDiv w:val="1"/>
      <w:marLeft w:val="0"/>
      <w:marRight w:val="0"/>
      <w:marTop w:val="0"/>
      <w:marBottom w:val="0"/>
      <w:divBdr>
        <w:top w:val="none" w:sz="0" w:space="0" w:color="auto"/>
        <w:left w:val="none" w:sz="0" w:space="0" w:color="auto"/>
        <w:bottom w:val="none" w:sz="0" w:space="0" w:color="auto"/>
        <w:right w:val="none" w:sz="0" w:space="0" w:color="auto"/>
      </w:divBdr>
      <w:divsChild>
        <w:div w:id="583533948">
          <w:marLeft w:val="0"/>
          <w:marRight w:val="0"/>
          <w:marTop w:val="0"/>
          <w:marBottom w:val="0"/>
          <w:divBdr>
            <w:top w:val="none" w:sz="0" w:space="0" w:color="auto"/>
            <w:left w:val="none" w:sz="0" w:space="0" w:color="auto"/>
            <w:bottom w:val="none" w:sz="0" w:space="0" w:color="auto"/>
            <w:right w:val="none" w:sz="0" w:space="0" w:color="auto"/>
          </w:divBdr>
          <w:divsChild>
            <w:div w:id="792408339">
              <w:marLeft w:val="0"/>
              <w:marRight w:val="0"/>
              <w:marTop w:val="0"/>
              <w:marBottom w:val="0"/>
              <w:divBdr>
                <w:top w:val="none" w:sz="0" w:space="0" w:color="auto"/>
                <w:left w:val="none" w:sz="0" w:space="0" w:color="auto"/>
                <w:bottom w:val="none" w:sz="0" w:space="0" w:color="auto"/>
                <w:right w:val="none" w:sz="0" w:space="0" w:color="auto"/>
              </w:divBdr>
            </w:div>
            <w:div w:id="2089963526">
              <w:marLeft w:val="0"/>
              <w:marRight w:val="0"/>
              <w:marTop w:val="0"/>
              <w:marBottom w:val="0"/>
              <w:divBdr>
                <w:top w:val="none" w:sz="0" w:space="0" w:color="auto"/>
                <w:left w:val="none" w:sz="0" w:space="0" w:color="auto"/>
                <w:bottom w:val="none" w:sz="0" w:space="0" w:color="auto"/>
                <w:right w:val="none" w:sz="0" w:space="0" w:color="auto"/>
              </w:divBdr>
              <w:divsChild>
                <w:div w:id="72109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6401502">
          <w:marLeft w:val="0"/>
          <w:marRight w:val="0"/>
          <w:marTop w:val="0"/>
          <w:marBottom w:val="150"/>
          <w:divBdr>
            <w:top w:val="none" w:sz="0" w:space="0" w:color="auto"/>
            <w:left w:val="none" w:sz="0" w:space="0" w:color="auto"/>
            <w:bottom w:val="none" w:sz="0" w:space="0" w:color="auto"/>
            <w:right w:val="none" w:sz="0" w:space="0" w:color="auto"/>
          </w:divBdr>
        </w:div>
      </w:divsChild>
    </w:div>
    <w:div w:id="1203597129">
      <w:bodyDiv w:val="1"/>
      <w:marLeft w:val="0"/>
      <w:marRight w:val="0"/>
      <w:marTop w:val="0"/>
      <w:marBottom w:val="0"/>
      <w:divBdr>
        <w:top w:val="none" w:sz="0" w:space="0" w:color="auto"/>
        <w:left w:val="none" w:sz="0" w:space="0" w:color="auto"/>
        <w:bottom w:val="none" w:sz="0" w:space="0" w:color="auto"/>
        <w:right w:val="none" w:sz="0" w:space="0" w:color="auto"/>
      </w:divBdr>
    </w:div>
    <w:div w:id="1233541607">
      <w:bodyDiv w:val="1"/>
      <w:marLeft w:val="0"/>
      <w:marRight w:val="0"/>
      <w:marTop w:val="0"/>
      <w:marBottom w:val="0"/>
      <w:divBdr>
        <w:top w:val="none" w:sz="0" w:space="0" w:color="auto"/>
        <w:left w:val="none" w:sz="0" w:space="0" w:color="auto"/>
        <w:bottom w:val="none" w:sz="0" w:space="0" w:color="auto"/>
        <w:right w:val="none" w:sz="0" w:space="0" w:color="auto"/>
      </w:divBdr>
    </w:div>
    <w:div w:id="1233928460">
      <w:bodyDiv w:val="1"/>
      <w:marLeft w:val="0"/>
      <w:marRight w:val="0"/>
      <w:marTop w:val="0"/>
      <w:marBottom w:val="0"/>
      <w:divBdr>
        <w:top w:val="none" w:sz="0" w:space="0" w:color="auto"/>
        <w:left w:val="none" w:sz="0" w:space="0" w:color="auto"/>
        <w:bottom w:val="none" w:sz="0" w:space="0" w:color="auto"/>
        <w:right w:val="none" w:sz="0" w:space="0" w:color="auto"/>
      </w:divBdr>
      <w:divsChild>
        <w:div w:id="1719167382">
          <w:marLeft w:val="0"/>
          <w:marRight w:val="0"/>
          <w:marTop w:val="240"/>
          <w:marBottom w:val="0"/>
          <w:divBdr>
            <w:top w:val="none" w:sz="0" w:space="0" w:color="auto"/>
            <w:left w:val="none" w:sz="0" w:space="0" w:color="auto"/>
            <w:bottom w:val="none" w:sz="0" w:space="0" w:color="auto"/>
            <w:right w:val="none" w:sz="0" w:space="0" w:color="auto"/>
          </w:divBdr>
        </w:div>
        <w:div w:id="2101831072">
          <w:marLeft w:val="0"/>
          <w:marRight w:val="0"/>
          <w:marTop w:val="0"/>
          <w:marBottom w:val="0"/>
          <w:divBdr>
            <w:top w:val="none" w:sz="0" w:space="0" w:color="auto"/>
            <w:left w:val="none" w:sz="0" w:space="0" w:color="auto"/>
            <w:bottom w:val="none" w:sz="0" w:space="0" w:color="auto"/>
            <w:right w:val="none" w:sz="0" w:space="0" w:color="auto"/>
          </w:divBdr>
          <w:divsChild>
            <w:div w:id="1050689680">
              <w:marLeft w:val="-225"/>
              <w:marRight w:val="-225"/>
              <w:marTop w:val="0"/>
              <w:marBottom w:val="0"/>
              <w:divBdr>
                <w:top w:val="none" w:sz="0" w:space="0" w:color="auto"/>
                <w:left w:val="none" w:sz="0" w:space="0" w:color="auto"/>
                <w:bottom w:val="none" w:sz="0" w:space="0" w:color="auto"/>
                <w:right w:val="none" w:sz="0" w:space="0" w:color="auto"/>
              </w:divBdr>
              <w:divsChild>
                <w:div w:id="1759906188">
                  <w:marLeft w:val="0"/>
                  <w:marRight w:val="0"/>
                  <w:marTop w:val="0"/>
                  <w:marBottom w:val="0"/>
                  <w:divBdr>
                    <w:top w:val="none" w:sz="0" w:space="0" w:color="auto"/>
                    <w:left w:val="none" w:sz="0" w:space="0" w:color="auto"/>
                    <w:bottom w:val="none" w:sz="0" w:space="0" w:color="auto"/>
                    <w:right w:val="none" w:sz="0" w:space="0" w:color="auto"/>
                  </w:divBdr>
                  <w:divsChild>
                    <w:div w:id="984431631">
                      <w:marLeft w:val="0"/>
                      <w:marRight w:val="0"/>
                      <w:marTop w:val="0"/>
                      <w:marBottom w:val="120"/>
                      <w:divBdr>
                        <w:top w:val="none" w:sz="0" w:space="0" w:color="auto"/>
                        <w:left w:val="none" w:sz="0" w:space="0" w:color="auto"/>
                        <w:bottom w:val="none" w:sz="0" w:space="0" w:color="auto"/>
                        <w:right w:val="none" w:sz="0" w:space="0" w:color="auto"/>
                      </w:divBdr>
                    </w:div>
                    <w:div w:id="1067457684">
                      <w:marLeft w:val="0"/>
                      <w:marRight w:val="0"/>
                      <w:marTop w:val="0"/>
                      <w:marBottom w:val="0"/>
                      <w:divBdr>
                        <w:top w:val="none" w:sz="0" w:space="0" w:color="auto"/>
                        <w:left w:val="none" w:sz="0" w:space="0" w:color="auto"/>
                        <w:bottom w:val="none" w:sz="0" w:space="0" w:color="auto"/>
                        <w:right w:val="none" w:sz="0" w:space="0" w:color="auto"/>
                      </w:divBdr>
                      <w:divsChild>
                        <w:div w:id="57648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7983349">
      <w:bodyDiv w:val="1"/>
      <w:marLeft w:val="0"/>
      <w:marRight w:val="0"/>
      <w:marTop w:val="0"/>
      <w:marBottom w:val="0"/>
      <w:divBdr>
        <w:top w:val="none" w:sz="0" w:space="0" w:color="auto"/>
        <w:left w:val="none" w:sz="0" w:space="0" w:color="auto"/>
        <w:bottom w:val="none" w:sz="0" w:space="0" w:color="auto"/>
        <w:right w:val="none" w:sz="0" w:space="0" w:color="auto"/>
      </w:divBdr>
    </w:div>
    <w:div w:id="1263489381">
      <w:bodyDiv w:val="1"/>
      <w:marLeft w:val="0"/>
      <w:marRight w:val="0"/>
      <w:marTop w:val="0"/>
      <w:marBottom w:val="0"/>
      <w:divBdr>
        <w:top w:val="none" w:sz="0" w:space="0" w:color="auto"/>
        <w:left w:val="none" w:sz="0" w:space="0" w:color="auto"/>
        <w:bottom w:val="none" w:sz="0" w:space="0" w:color="auto"/>
        <w:right w:val="none" w:sz="0" w:space="0" w:color="auto"/>
      </w:divBdr>
      <w:divsChild>
        <w:div w:id="206918746">
          <w:marLeft w:val="0"/>
          <w:marRight w:val="0"/>
          <w:marTop w:val="0"/>
          <w:marBottom w:val="0"/>
          <w:divBdr>
            <w:top w:val="none" w:sz="0" w:space="0" w:color="auto"/>
            <w:left w:val="none" w:sz="0" w:space="0" w:color="auto"/>
            <w:bottom w:val="none" w:sz="0" w:space="0" w:color="auto"/>
            <w:right w:val="none" w:sz="0" w:space="0" w:color="auto"/>
          </w:divBdr>
          <w:divsChild>
            <w:div w:id="126092358">
              <w:marLeft w:val="0"/>
              <w:marRight w:val="0"/>
              <w:marTop w:val="0"/>
              <w:marBottom w:val="165"/>
              <w:divBdr>
                <w:top w:val="none" w:sz="0" w:space="0" w:color="auto"/>
                <w:left w:val="none" w:sz="0" w:space="0" w:color="auto"/>
                <w:bottom w:val="none" w:sz="0" w:space="0" w:color="auto"/>
                <w:right w:val="none" w:sz="0" w:space="0" w:color="auto"/>
              </w:divBdr>
            </w:div>
          </w:divsChild>
        </w:div>
        <w:div w:id="388378596">
          <w:marLeft w:val="0"/>
          <w:marRight w:val="0"/>
          <w:marTop w:val="165"/>
          <w:marBottom w:val="165"/>
          <w:divBdr>
            <w:top w:val="none" w:sz="0" w:space="0" w:color="auto"/>
            <w:left w:val="none" w:sz="0" w:space="0" w:color="auto"/>
            <w:bottom w:val="none" w:sz="0" w:space="0" w:color="auto"/>
            <w:right w:val="none" w:sz="0" w:space="0" w:color="auto"/>
          </w:divBdr>
          <w:divsChild>
            <w:div w:id="1944416531">
              <w:marLeft w:val="0"/>
              <w:marRight w:val="0"/>
              <w:marTop w:val="0"/>
              <w:marBottom w:val="0"/>
              <w:divBdr>
                <w:top w:val="none" w:sz="0" w:space="0" w:color="auto"/>
                <w:left w:val="none" w:sz="0" w:space="0" w:color="auto"/>
                <w:bottom w:val="none" w:sz="0" w:space="0" w:color="auto"/>
                <w:right w:val="none" w:sz="0" w:space="0" w:color="auto"/>
              </w:divBdr>
              <w:divsChild>
                <w:div w:id="460345126">
                  <w:marLeft w:val="0"/>
                  <w:marRight w:val="225"/>
                  <w:marTop w:val="0"/>
                  <w:marBottom w:val="0"/>
                  <w:divBdr>
                    <w:top w:val="none" w:sz="0" w:space="0" w:color="auto"/>
                    <w:left w:val="none" w:sz="0" w:space="0" w:color="auto"/>
                    <w:bottom w:val="none" w:sz="0" w:space="0" w:color="auto"/>
                    <w:right w:val="none" w:sz="0" w:space="0" w:color="auto"/>
                  </w:divBdr>
                </w:div>
              </w:divsChild>
            </w:div>
          </w:divsChild>
        </w:div>
      </w:divsChild>
    </w:div>
    <w:div w:id="1266813237">
      <w:bodyDiv w:val="1"/>
      <w:marLeft w:val="0"/>
      <w:marRight w:val="0"/>
      <w:marTop w:val="0"/>
      <w:marBottom w:val="0"/>
      <w:divBdr>
        <w:top w:val="none" w:sz="0" w:space="0" w:color="auto"/>
        <w:left w:val="none" w:sz="0" w:space="0" w:color="auto"/>
        <w:bottom w:val="none" w:sz="0" w:space="0" w:color="auto"/>
        <w:right w:val="none" w:sz="0" w:space="0" w:color="auto"/>
      </w:divBdr>
      <w:divsChild>
        <w:div w:id="795870896">
          <w:marLeft w:val="547"/>
          <w:marRight w:val="0"/>
          <w:marTop w:val="0"/>
          <w:marBottom w:val="0"/>
          <w:divBdr>
            <w:top w:val="none" w:sz="0" w:space="0" w:color="auto"/>
            <w:left w:val="none" w:sz="0" w:space="0" w:color="auto"/>
            <w:bottom w:val="none" w:sz="0" w:space="0" w:color="auto"/>
            <w:right w:val="none" w:sz="0" w:space="0" w:color="auto"/>
          </w:divBdr>
        </w:div>
        <w:div w:id="1019627594">
          <w:marLeft w:val="547"/>
          <w:marRight w:val="0"/>
          <w:marTop w:val="0"/>
          <w:marBottom w:val="0"/>
          <w:divBdr>
            <w:top w:val="none" w:sz="0" w:space="0" w:color="auto"/>
            <w:left w:val="none" w:sz="0" w:space="0" w:color="auto"/>
            <w:bottom w:val="none" w:sz="0" w:space="0" w:color="auto"/>
            <w:right w:val="none" w:sz="0" w:space="0" w:color="auto"/>
          </w:divBdr>
        </w:div>
      </w:divsChild>
    </w:div>
    <w:div w:id="1283925663">
      <w:bodyDiv w:val="1"/>
      <w:marLeft w:val="0"/>
      <w:marRight w:val="0"/>
      <w:marTop w:val="0"/>
      <w:marBottom w:val="0"/>
      <w:divBdr>
        <w:top w:val="none" w:sz="0" w:space="0" w:color="auto"/>
        <w:left w:val="none" w:sz="0" w:space="0" w:color="auto"/>
        <w:bottom w:val="none" w:sz="0" w:space="0" w:color="auto"/>
        <w:right w:val="none" w:sz="0" w:space="0" w:color="auto"/>
      </w:divBdr>
    </w:div>
    <w:div w:id="1292205158">
      <w:bodyDiv w:val="1"/>
      <w:marLeft w:val="0"/>
      <w:marRight w:val="0"/>
      <w:marTop w:val="0"/>
      <w:marBottom w:val="0"/>
      <w:divBdr>
        <w:top w:val="none" w:sz="0" w:space="0" w:color="auto"/>
        <w:left w:val="none" w:sz="0" w:space="0" w:color="auto"/>
        <w:bottom w:val="none" w:sz="0" w:space="0" w:color="auto"/>
        <w:right w:val="none" w:sz="0" w:space="0" w:color="auto"/>
      </w:divBdr>
    </w:div>
    <w:div w:id="1311903535">
      <w:bodyDiv w:val="1"/>
      <w:marLeft w:val="0"/>
      <w:marRight w:val="0"/>
      <w:marTop w:val="0"/>
      <w:marBottom w:val="0"/>
      <w:divBdr>
        <w:top w:val="none" w:sz="0" w:space="0" w:color="auto"/>
        <w:left w:val="none" w:sz="0" w:space="0" w:color="auto"/>
        <w:bottom w:val="none" w:sz="0" w:space="0" w:color="auto"/>
        <w:right w:val="none" w:sz="0" w:space="0" w:color="auto"/>
      </w:divBdr>
    </w:div>
    <w:div w:id="1335263168">
      <w:bodyDiv w:val="1"/>
      <w:marLeft w:val="0"/>
      <w:marRight w:val="0"/>
      <w:marTop w:val="0"/>
      <w:marBottom w:val="0"/>
      <w:divBdr>
        <w:top w:val="none" w:sz="0" w:space="0" w:color="auto"/>
        <w:left w:val="none" w:sz="0" w:space="0" w:color="auto"/>
        <w:bottom w:val="none" w:sz="0" w:space="0" w:color="auto"/>
        <w:right w:val="none" w:sz="0" w:space="0" w:color="auto"/>
      </w:divBdr>
    </w:div>
    <w:div w:id="1362125317">
      <w:bodyDiv w:val="1"/>
      <w:marLeft w:val="0"/>
      <w:marRight w:val="0"/>
      <w:marTop w:val="0"/>
      <w:marBottom w:val="0"/>
      <w:divBdr>
        <w:top w:val="none" w:sz="0" w:space="0" w:color="auto"/>
        <w:left w:val="none" w:sz="0" w:space="0" w:color="auto"/>
        <w:bottom w:val="none" w:sz="0" w:space="0" w:color="auto"/>
        <w:right w:val="none" w:sz="0" w:space="0" w:color="auto"/>
      </w:divBdr>
    </w:div>
    <w:div w:id="1362126443">
      <w:bodyDiv w:val="1"/>
      <w:marLeft w:val="0"/>
      <w:marRight w:val="0"/>
      <w:marTop w:val="0"/>
      <w:marBottom w:val="0"/>
      <w:divBdr>
        <w:top w:val="none" w:sz="0" w:space="0" w:color="auto"/>
        <w:left w:val="none" w:sz="0" w:space="0" w:color="auto"/>
        <w:bottom w:val="none" w:sz="0" w:space="0" w:color="auto"/>
        <w:right w:val="none" w:sz="0" w:space="0" w:color="auto"/>
      </w:divBdr>
      <w:divsChild>
        <w:div w:id="1225872282">
          <w:marLeft w:val="0"/>
          <w:marRight w:val="0"/>
          <w:marTop w:val="0"/>
          <w:marBottom w:val="0"/>
          <w:divBdr>
            <w:top w:val="none" w:sz="0" w:space="0" w:color="auto"/>
            <w:left w:val="none" w:sz="0" w:space="0" w:color="auto"/>
            <w:bottom w:val="none" w:sz="0" w:space="0" w:color="auto"/>
            <w:right w:val="none" w:sz="0" w:space="0" w:color="auto"/>
          </w:divBdr>
        </w:div>
      </w:divsChild>
    </w:div>
    <w:div w:id="1372148211">
      <w:bodyDiv w:val="1"/>
      <w:marLeft w:val="0"/>
      <w:marRight w:val="0"/>
      <w:marTop w:val="0"/>
      <w:marBottom w:val="0"/>
      <w:divBdr>
        <w:top w:val="none" w:sz="0" w:space="0" w:color="auto"/>
        <w:left w:val="none" w:sz="0" w:space="0" w:color="auto"/>
        <w:bottom w:val="none" w:sz="0" w:space="0" w:color="auto"/>
        <w:right w:val="none" w:sz="0" w:space="0" w:color="auto"/>
      </w:divBdr>
    </w:div>
    <w:div w:id="1374576275">
      <w:bodyDiv w:val="1"/>
      <w:marLeft w:val="0"/>
      <w:marRight w:val="0"/>
      <w:marTop w:val="0"/>
      <w:marBottom w:val="0"/>
      <w:divBdr>
        <w:top w:val="none" w:sz="0" w:space="0" w:color="auto"/>
        <w:left w:val="none" w:sz="0" w:space="0" w:color="auto"/>
        <w:bottom w:val="none" w:sz="0" w:space="0" w:color="auto"/>
        <w:right w:val="none" w:sz="0" w:space="0" w:color="auto"/>
      </w:divBdr>
    </w:div>
    <w:div w:id="1381320053">
      <w:bodyDiv w:val="1"/>
      <w:marLeft w:val="0"/>
      <w:marRight w:val="0"/>
      <w:marTop w:val="0"/>
      <w:marBottom w:val="0"/>
      <w:divBdr>
        <w:top w:val="none" w:sz="0" w:space="0" w:color="auto"/>
        <w:left w:val="none" w:sz="0" w:space="0" w:color="auto"/>
        <w:bottom w:val="none" w:sz="0" w:space="0" w:color="auto"/>
        <w:right w:val="none" w:sz="0" w:space="0" w:color="auto"/>
      </w:divBdr>
    </w:div>
    <w:div w:id="1404835115">
      <w:bodyDiv w:val="1"/>
      <w:marLeft w:val="0"/>
      <w:marRight w:val="0"/>
      <w:marTop w:val="0"/>
      <w:marBottom w:val="0"/>
      <w:divBdr>
        <w:top w:val="none" w:sz="0" w:space="0" w:color="auto"/>
        <w:left w:val="none" w:sz="0" w:space="0" w:color="auto"/>
        <w:bottom w:val="none" w:sz="0" w:space="0" w:color="auto"/>
        <w:right w:val="none" w:sz="0" w:space="0" w:color="auto"/>
      </w:divBdr>
      <w:divsChild>
        <w:div w:id="657345703">
          <w:marLeft w:val="0"/>
          <w:marRight w:val="0"/>
          <w:marTop w:val="0"/>
          <w:marBottom w:val="0"/>
          <w:divBdr>
            <w:top w:val="none" w:sz="0" w:space="0" w:color="auto"/>
            <w:left w:val="none" w:sz="0" w:space="0" w:color="auto"/>
            <w:bottom w:val="none" w:sz="0" w:space="0" w:color="auto"/>
            <w:right w:val="none" w:sz="0" w:space="0" w:color="auto"/>
          </w:divBdr>
        </w:div>
      </w:divsChild>
    </w:div>
    <w:div w:id="1464688813">
      <w:bodyDiv w:val="1"/>
      <w:marLeft w:val="0"/>
      <w:marRight w:val="0"/>
      <w:marTop w:val="0"/>
      <w:marBottom w:val="0"/>
      <w:divBdr>
        <w:top w:val="none" w:sz="0" w:space="0" w:color="auto"/>
        <w:left w:val="none" w:sz="0" w:space="0" w:color="auto"/>
        <w:bottom w:val="none" w:sz="0" w:space="0" w:color="auto"/>
        <w:right w:val="none" w:sz="0" w:space="0" w:color="auto"/>
      </w:divBdr>
    </w:div>
    <w:div w:id="1472753203">
      <w:bodyDiv w:val="1"/>
      <w:marLeft w:val="0"/>
      <w:marRight w:val="0"/>
      <w:marTop w:val="0"/>
      <w:marBottom w:val="0"/>
      <w:divBdr>
        <w:top w:val="none" w:sz="0" w:space="0" w:color="auto"/>
        <w:left w:val="none" w:sz="0" w:space="0" w:color="auto"/>
        <w:bottom w:val="none" w:sz="0" w:space="0" w:color="auto"/>
        <w:right w:val="none" w:sz="0" w:space="0" w:color="auto"/>
      </w:divBdr>
    </w:div>
    <w:div w:id="1483885165">
      <w:bodyDiv w:val="1"/>
      <w:marLeft w:val="0"/>
      <w:marRight w:val="0"/>
      <w:marTop w:val="0"/>
      <w:marBottom w:val="0"/>
      <w:divBdr>
        <w:top w:val="none" w:sz="0" w:space="0" w:color="auto"/>
        <w:left w:val="none" w:sz="0" w:space="0" w:color="auto"/>
        <w:bottom w:val="none" w:sz="0" w:space="0" w:color="auto"/>
        <w:right w:val="none" w:sz="0" w:space="0" w:color="auto"/>
      </w:divBdr>
    </w:div>
    <w:div w:id="1502699318">
      <w:bodyDiv w:val="1"/>
      <w:marLeft w:val="0"/>
      <w:marRight w:val="0"/>
      <w:marTop w:val="0"/>
      <w:marBottom w:val="0"/>
      <w:divBdr>
        <w:top w:val="none" w:sz="0" w:space="0" w:color="auto"/>
        <w:left w:val="none" w:sz="0" w:space="0" w:color="auto"/>
        <w:bottom w:val="none" w:sz="0" w:space="0" w:color="auto"/>
        <w:right w:val="none" w:sz="0" w:space="0" w:color="auto"/>
      </w:divBdr>
    </w:div>
    <w:div w:id="1507480304">
      <w:bodyDiv w:val="1"/>
      <w:marLeft w:val="0"/>
      <w:marRight w:val="0"/>
      <w:marTop w:val="0"/>
      <w:marBottom w:val="0"/>
      <w:divBdr>
        <w:top w:val="none" w:sz="0" w:space="0" w:color="auto"/>
        <w:left w:val="none" w:sz="0" w:space="0" w:color="auto"/>
        <w:bottom w:val="none" w:sz="0" w:space="0" w:color="auto"/>
        <w:right w:val="none" w:sz="0" w:space="0" w:color="auto"/>
      </w:divBdr>
    </w:div>
    <w:div w:id="1513953778">
      <w:bodyDiv w:val="1"/>
      <w:marLeft w:val="0"/>
      <w:marRight w:val="0"/>
      <w:marTop w:val="0"/>
      <w:marBottom w:val="0"/>
      <w:divBdr>
        <w:top w:val="none" w:sz="0" w:space="0" w:color="auto"/>
        <w:left w:val="none" w:sz="0" w:space="0" w:color="auto"/>
        <w:bottom w:val="none" w:sz="0" w:space="0" w:color="auto"/>
        <w:right w:val="none" w:sz="0" w:space="0" w:color="auto"/>
      </w:divBdr>
      <w:divsChild>
        <w:div w:id="1597666994">
          <w:marLeft w:val="0"/>
          <w:marRight w:val="0"/>
          <w:marTop w:val="0"/>
          <w:marBottom w:val="0"/>
          <w:divBdr>
            <w:top w:val="none" w:sz="0" w:space="0" w:color="auto"/>
            <w:left w:val="none" w:sz="0" w:space="0" w:color="auto"/>
            <w:bottom w:val="none" w:sz="0" w:space="0" w:color="auto"/>
            <w:right w:val="none" w:sz="0" w:space="0" w:color="auto"/>
          </w:divBdr>
        </w:div>
        <w:div w:id="659386606">
          <w:marLeft w:val="0"/>
          <w:marRight w:val="0"/>
          <w:marTop w:val="150"/>
          <w:marBottom w:val="150"/>
          <w:divBdr>
            <w:top w:val="none" w:sz="0" w:space="0" w:color="auto"/>
            <w:left w:val="none" w:sz="0" w:space="0" w:color="auto"/>
            <w:bottom w:val="none" w:sz="0" w:space="0" w:color="auto"/>
            <w:right w:val="none" w:sz="0" w:space="0" w:color="auto"/>
          </w:divBdr>
        </w:div>
        <w:div w:id="370999595">
          <w:marLeft w:val="0"/>
          <w:marRight w:val="0"/>
          <w:marTop w:val="225"/>
          <w:marBottom w:val="225"/>
          <w:divBdr>
            <w:top w:val="none" w:sz="0" w:space="0" w:color="auto"/>
            <w:left w:val="none" w:sz="0" w:space="0" w:color="auto"/>
            <w:bottom w:val="none" w:sz="0" w:space="0" w:color="auto"/>
            <w:right w:val="none" w:sz="0" w:space="0" w:color="auto"/>
          </w:divBdr>
          <w:divsChild>
            <w:div w:id="1135368826">
              <w:marLeft w:val="0"/>
              <w:marRight w:val="0"/>
              <w:marTop w:val="0"/>
              <w:marBottom w:val="0"/>
              <w:divBdr>
                <w:top w:val="none" w:sz="0" w:space="0" w:color="auto"/>
                <w:left w:val="none" w:sz="0" w:space="0" w:color="auto"/>
                <w:bottom w:val="none" w:sz="0" w:space="0" w:color="auto"/>
                <w:right w:val="none" w:sz="0" w:space="0" w:color="auto"/>
              </w:divBdr>
              <w:divsChild>
                <w:div w:id="1480921294">
                  <w:marLeft w:val="0"/>
                  <w:marRight w:val="0"/>
                  <w:marTop w:val="0"/>
                  <w:marBottom w:val="0"/>
                  <w:divBdr>
                    <w:top w:val="none" w:sz="0" w:space="0" w:color="auto"/>
                    <w:left w:val="none" w:sz="0" w:space="0" w:color="auto"/>
                    <w:bottom w:val="none" w:sz="0" w:space="0" w:color="auto"/>
                    <w:right w:val="none" w:sz="0" w:space="0" w:color="auto"/>
                  </w:divBdr>
                  <w:divsChild>
                    <w:div w:id="389421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9735545">
      <w:bodyDiv w:val="1"/>
      <w:marLeft w:val="0"/>
      <w:marRight w:val="0"/>
      <w:marTop w:val="0"/>
      <w:marBottom w:val="0"/>
      <w:divBdr>
        <w:top w:val="none" w:sz="0" w:space="0" w:color="auto"/>
        <w:left w:val="none" w:sz="0" w:space="0" w:color="auto"/>
        <w:bottom w:val="none" w:sz="0" w:space="0" w:color="auto"/>
        <w:right w:val="none" w:sz="0" w:space="0" w:color="auto"/>
      </w:divBdr>
    </w:div>
    <w:div w:id="1527059510">
      <w:bodyDiv w:val="1"/>
      <w:marLeft w:val="0"/>
      <w:marRight w:val="0"/>
      <w:marTop w:val="0"/>
      <w:marBottom w:val="0"/>
      <w:divBdr>
        <w:top w:val="none" w:sz="0" w:space="0" w:color="auto"/>
        <w:left w:val="none" w:sz="0" w:space="0" w:color="auto"/>
        <w:bottom w:val="none" w:sz="0" w:space="0" w:color="auto"/>
        <w:right w:val="none" w:sz="0" w:space="0" w:color="auto"/>
      </w:divBdr>
      <w:divsChild>
        <w:div w:id="1762943749">
          <w:marLeft w:val="0"/>
          <w:marRight w:val="0"/>
          <w:marTop w:val="0"/>
          <w:marBottom w:val="0"/>
          <w:divBdr>
            <w:top w:val="none" w:sz="0" w:space="0" w:color="auto"/>
            <w:left w:val="none" w:sz="0" w:space="0" w:color="auto"/>
            <w:bottom w:val="none" w:sz="0" w:space="0" w:color="auto"/>
            <w:right w:val="none" w:sz="0" w:space="0" w:color="auto"/>
          </w:divBdr>
        </w:div>
      </w:divsChild>
    </w:div>
    <w:div w:id="1530289817">
      <w:bodyDiv w:val="1"/>
      <w:marLeft w:val="0"/>
      <w:marRight w:val="0"/>
      <w:marTop w:val="0"/>
      <w:marBottom w:val="0"/>
      <w:divBdr>
        <w:top w:val="none" w:sz="0" w:space="0" w:color="auto"/>
        <w:left w:val="none" w:sz="0" w:space="0" w:color="auto"/>
        <w:bottom w:val="none" w:sz="0" w:space="0" w:color="auto"/>
        <w:right w:val="none" w:sz="0" w:space="0" w:color="auto"/>
      </w:divBdr>
    </w:div>
    <w:div w:id="1533879026">
      <w:bodyDiv w:val="1"/>
      <w:marLeft w:val="0"/>
      <w:marRight w:val="0"/>
      <w:marTop w:val="0"/>
      <w:marBottom w:val="0"/>
      <w:divBdr>
        <w:top w:val="none" w:sz="0" w:space="0" w:color="auto"/>
        <w:left w:val="none" w:sz="0" w:space="0" w:color="auto"/>
        <w:bottom w:val="none" w:sz="0" w:space="0" w:color="auto"/>
        <w:right w:val="none" w:sz="0" w:space="0" w:color="auto"/>
      </w:divBdr>
    </w:div>
    <w:div w:id="1537742881">
      <w:bodyDiv w:val="1"/>
      <w:marLeft w:val="0"/>
      <w:marRight w:val="0"/>
      <w:marTop w:val="0"/>
      <w:marBottom w:val="0"/>
      <w:divBdr>
        <w:top w:val="none" w:sz="0" w:space="0" w:color="auto"/>
        <w:left w:val="none" w:sz="0" w:space="0" w:color="auto"/>
        <w:bottom w:val="none" w:sz="0" w:space="0" w:color="auto"/>
        <w:right w:val="none" w:sz="0" w:space="0" w:color="auto"/>
      </w:divBdr>
    </w:div>
    <w:div w:id="1540044528">
      <w:bodyDiv w:val="1"/>
      <w:marLeft w:val="0"/>
      <w:marRight w:val="0"/>
      <w:marTop w:val="0"/>
      <w:marBottom w:val="0"/>
      <w:divBdr>
        <w:top w:val="none" w:sz="0" w:space="0" w:color="auto"/>
        <w:left w:val="none" w:sz="0" w:space="0" w:color="auto"/>
        <w:bottom w:val="none" w:sz="0" w:space="0" w:color="auto"/>
        <w:right w:val="none" w:sz="0" w:space="0" w:color="auto"/>
      </w:divBdr>
      <w:divsChild>
        <w:div w:id="243102571">
          <w:marLeft w:val="547"/>
          <w:marRight w:val="0"/>
          <w:marTop w:val="134"/>
          <w:marBottom w:val="0"/>
          <w:divBdr>
            <w:top w:val="none" w:sz="0" w:space="0" w:color="auto"/>
            <w:left w:val="none" w:sz="0" w:space="0" w:color="auto"/>
            <w:bottom w:val="none" w:sz="0" w:space="0" w:color="auto"/>
            <w:right w:val="none" w:sz="0" w:space="0" w:color="auto"/>
          </w:divBdr>
        </w:div>
        <w:div w:id="400561537">
          <w:marLeft w:val="547"/>
          <w:marRight w:val="0"/>
          <w:marTop w:val="134"/>
          <w:marBottom w:val="0"/>
          <w:divBdr>
            <w:top w:val="none" w:sz="0" w:space="0" w:color="auto"/>
            <w:left w:val="none" w:sz="0" w:space="0" w:color="auto"/>
            <w:bottom w:val="none" w:sz="0" w:space="0" w:color="auto"/>
            <w:right w:val="none" w:sz="0" w:space="0" w:color="auto"/>
          </w:divBdr>
        </w:div>
        <w:div w:id="831288204">
          <w:marLeft w:val="547"/>
          <w:marRight w:val="0"/>
          <w:marTop w:val="134"/>
          <w:marBottom w:val="0"/>
          <w:divBdr>
            <w:top w:val="none" w:sz="0" w:space="0" w:color="auto"/>
            <w:left w:val="none" w:sz="0" w:space="0" w:color="auto"/>
            <w:bottom w:val="none" w:sz="0" w:space="0" w:color="auto"/>
            <w:right w:val="none" w:sz="0" w:space="0" w:color="auto"/>
          </w:divBdr>
        </w:div>
        <w:div w:id="871771033">
          <w:marLeft w:val="547"/>
          <w:marRight w:val="0"/>
          <w:marTop w:val="134"/>
          <w:marBottom w:val="0"/>
          <w:divBdr>
            <w:top w:val="none" w:sz="0" w:space="0" w:color="auto"/>
            <w:left w:val="none" w:sz="0" w:space="0" w:color="auto"/>
            <w:bottom w:val="none" w:sz="0" w:space="0" w:color="auto"/>
            <w:right w:val="none" w:sz="0" w:space="0" w:color="auto"/>
          </w:divBdr>
        </w:div>
        <w:div w:id="1068042507">
          <w:marLeft w:val="547"/>
          <w:marRight w:val="0"/>
          <w:marTop w:val="134"/>
          <w:marBottom w:val="0"/>
          <w:divBdr>
            <w:top w:val="none" w:sz="0" w:space="0" w:color="auto"/>
            <w:left w:val="none" w:sz="0" w:space="0" w:color="auto"/>
            <w:bottom w:val="none" w:sz="0" w:space="0" w:color="auto"/>
            <w:right w:val="none" w:sz="0" w:space="0" w:color="auto"/>
          </w:divBdr>
        </w:div>
        <w:div w:id="1544826714">
          <w:marLeft w:val="547"/>
          <w:marRight w:val="0"/>
          <w:marTop w:val="134"/>
          <w:marBottom w:val="0"/>
          <w:divBdr>
            <w:top w:val="none" w:sz="0" w:space="0" w:color="auto"/>
            <w:left w:val="none" w:sz="0" w:space="0" w:color="auto"/>
            <w:bottom w:val="none" w:sz="0" w:space="0" w:color="auto"/>
            <w:right w:val="none" w:sz="0" w:space="0" w:color="auto"/>
          </w:divBdr>
        </w:div>
        <w:div w:id="1739941836">
          <w:marLeft w:val="547"/>
          <w:marRight w:val="0"/>
          <w:marTop w:val="134"/>
          <w:marBottom w:val="0"/>
          <w:divBdr>
            <w:top w:val="none" w:sz="0" w:space="0" w:color="auto"/>
            <w:left w:val="none" w:sz="0" w:space="0" w:color="auto"/>
            <w:bottom w:val="none" w:sz="0" w:space="0" w:color="auto"/>
            <w:right w:val="none" w:sz="0" w:space="0" w:color="auto"/>
          </w:divBdr>
        </w:div>
      </w:divsChild>
    </w:div>
    <w:div w:id="1542667588">
      <w:bodyDiv w:val="1"/>
      <w:marLeft w:val="0"/>
      <w:marRight w:val="0"/>
      <w:marTop w:val="0"/>
      <w:marBottom w:val="0"/>
      <w:divBdr>
        <w:top w:val="none" w:sz="0" w:space="0" w:color="auto"/>
        <w:left w:val="none" w:sz="0" w:space="0" w:color="auto"/>
        <w:bottom w:val="none" w:sz="0" w:space="0" w:color="auto"/>
        <w:right w:val="none" w:sz="0" w:space="0" w:color="auto"/>
      </w:divBdr>
    </w:div>
    <w:div w:id="1545024767">
      <w:bodyDiv w:val="1"/>
      <w:marLeft w:val="0"/>
      <w:marRight w:val="0"/>
      <w:marTop w:val="0"/>
      <w:marBottom w:val="0"/>
      <w:divBdr>
        <w:top w:val="none" w:sz="0" w:space="0" w:color="auto"/>
        <w:left w:val="none" w:sz="0" w:space="0" w:color="auto"/>
        <w:bottom w:val="none" w:sz="0" w:space="0" w:color="auto"/>
        <w:right w:val="none" w:sz="0" w:space="0" w:color="auto"/>
      </w:divBdr>
    </w:div>
    <w:div w:id="1545632838">
      <w:bodyDiv w:val="1"/>
      <w:marLeft w:val="0"/>
      <w:marRight w:val="0"/>
      <w:marTop w:val="0"/>
      <w:marBottom w:val="0"/>
      <w:divBdr>
        <w:top w:val="none" w:sz="0" w:space="0" w:color="auto"/>
        <w:left w:val="none" w:sz="0" w:space="0" w:color="auto"/>
        <w:bottom w:val="none" w:sz="0" w:space="0" w:color="auto"/>
        <w:right w:val="none" w:sz="0" w:space="0" w:color="auto"/>
      </w:divBdr>
    </w:div>
    <w:div w:id="1565749705">
      <w:bodyDiv w:val="1"/>
      <w:marLeft w:val="0"/>
      <w:marRight w:val="0"/>
      <w:marTop w:val="0"/>
      <w:marBottom w:val="0"/>
      <w:divBdr>
        <w:top w:val="none" w:sz="0" w:space="0" w:color="auto"/>
        <w:left w:val="none" w:sz="0" w:space="0" w:color="auto"/>
        <w:bottom w:val="none" w:sz="0" w:space="0" w:color="auto"/>
        <w:right w:val="none" w:sz="0" w:space="0" w:color="auto"/>
      </w:divBdr>
      <w:divsChild>
        <w:div w:id="2126801499">
          <w:marLeft w:val="0"/>
          <w:marRight w:val="0"/>
          <w:marTop w:val="0"/>
          <w:marBottom w:val="75"/>
          <w:divBdr>
            <w:top w:val="none" w:sz="0" w:space="0" w:color="auto"/>
            <w:left w:val="none" w:sz="0" w:space="0" w:color="auto"/>
            <w:bottom w:val="none" w:sz="0" w:space="0" w:color="auto"/>
            <w:right w:val="none" w:sz="0" w:space="0" w:color="auto"/>
          </w:divBdr>
        </w:div>
      </w:divsChild>
    </w:div>
    <w:div w:id="1568344200">
      <w:bodyDiv w:val="1"/>
      <w:marLeft w:val="0"/>
      <w:marRight w:val="0"/>
      <w:marTop w:val="0"/>
      <w:marBottom w:val="0"/>
      <w:divBdr>
        <w:top w:val="none" w:sz="0" w:space="0" w:color="auto"/>
        <w:left w:val="none" w:sz="0" w:space="0" w:color="auto"/>
        <w:bottom w:val="none" w:sz="0" w:space="0" w:color="auto"/>
        <w:right w:val="none" w:sz="0" w:space="0" w:color="auto"/>
      </w:divBdr>
      <w:divsChild>
        <w:div w:id="170419297">
          <w:marLeft w:val="0"/>
          <w:marRight w:val="0"/>
          <w:marTop w:val="0"/>
          <w:marBottom w:val="0"/>
          <w:divBdr>
            <w:top w:val="none" w:sz="0" w:space="0" w:color="auto"/>
            <w:left w:val="none" w:sz="0" w:space="0" w:color="auto"/>
            <w:bottom w:val="none" w:sz="0" w:space="0" w:color="auto"/>
            <w:right w:val="none" w:sz="0" w:space="0" w:color="auto"/>
          </w:divBdr>
        </w:div>
        <w:div w:id="374162039">
          <w:marLeft w:val="0"/>
          <w:marRight w:val="0"/>
          <w:marTop w:val="0"/>
          <w:marBottom w:val="0"/>
          <w:divBdr>
            <w:top w:val="none" w:sz="0" w:space="0" w:color="auto"/>
            <w:left w:val="none" w:sz="0" w:space="0" w:color="auto"/>
            <w:bottom w:val="none" w:sz="0" w:space="0" w:color="auto"/>
            <w:right w:val="none" w:sz="0" w:space="0" w:color="auto"/>
          </w:divBdr>
        </w:div>
        <w:div w:id="1016493782">
          <w:marLeft w:val="0"/>
          <w:marRight w:val="0"/>
          <w:marTop w:val="0"/>
          <w:marBottom w:val="0"/>
          <w:divBdr>
            <w:top w:val="none" w:sz="0" w:space="0" w:color="auto"/>
            <w:left w:val="none" w:sz="0" w:space="0" w:color="auto"/>
            <w:bottom w:val="none" w:sz="0" w:space="0" w:color="auto"/>
            <w:right w:val="none" w:sz="0" w:space="0" w:color="auto"/>
          </w:divBdr>
        </w:div>
        <w:div w:id="2111968419">
          <w:marLeft w:val="0"/>
          <w:marRight w:val="0"/>
          <w:marTop w:val="0"/>
          <w:marBottom w:val="0"/>
          <w:divBdr>
            <w:top w:val="none" w:sz="0" w:space="0" w:color="auto"/>
            <w:left w:val="none" w:sz="0" w:space="0" w:color="auto"/>
            <w:bottom w:val="none" w:sz="0" w:space="0" w:color="auto"/>
            <w:right w:val="none" w:sz="0" w:space="0" w:color="auto"/>
          </w:divBdr>
        </w:div>
      </w:divsChild>
    </w:div>
    <w:div w:id="1593465079">
      <w:bodyDiv w:val="1"/>
      <w:marLeft w:val="0"/>
      <w:marRight w:val="0"/>
      <w:marTop w:val="0"/>
      <w:marBottom w:val="0"/>
      <w:divBdr>
        <w:top w:val="none" w:sz="0" w:space="0" w:color="auto"/>
        <w:left w:val="none" w:sz="0" w:space="0" w:color="auto"/>
        <w:bottom w:val="none" w:sz="0" w:space="0" w:color="auto"/>
        <w:right w:val="none" w:sz="0" w:space="0" w:color="auto"/>
      </w:divBdr>
    </w:div>
    <w:div w:id="1611161012">
      <w:bodyDiv w:val="1"/>
      <w:marLeft w:val="0"/>
      <w:marRight w:val="0"/>
      <w:marTop w:val="0"/>
      <w:marBottom w:val="0"/>
      <w:divBdr>
        <w:top w:val="none" w:sz="0" w:space="0" w:color="auto"/>
        <w:left w:val="none" w:sz="0" w:space="0" w:color="auto"/>
        <w:bottom w:val="none" w:sz="0" w:space="0" w:color="auto"/>
        <w:right w:val="none" w:sz="0" w:space="0" w:color="auto"/>
      </w:divBdr>
    </w:div>
    <w:div w:id="1612974771">
      <w:bodyDiv w:val="1"/>
      <w:marLeft w:val="0"/>
      <w:marRight w:val="0"/>
      <w:marTop w:val="0"/>
      <w:marBottom w:val="0"/>
      <w:divBdr>
        <w:top w:val="none" w:sz="0" w:space="0" w:color="auto"/>
        <w:left w:val="none" w:sz="0" w:space="0" w:color="auto"/>
        <w:bottom w:val="none" w:sz="0" w:space="0" w:color="auto"/>
        <w:right w:val="none" w:sz="0" w:space="0" w:color="auto"/>
      </w:divBdr>
    </w:div>
    <w:div w:id="1619530913">
      <w:bodyDiv w:val="1"/>
      <w:marLeft w:val="0"/>
      <w:marRight w:val="0"/>
      <w:marTop w:val="0"/>
      <w:marBottom w:val="0"/>
      <w:divBdr>
        <w:top w:val="none" w:sz="0" w:space="0" w:color="auto"/>
        <w:left w:val="none" w:sz="0" w:space="0" w:color="auto"/>
        <w:bottom w:val="none" w:sz="0" w:space="0" w:color="auto"/>
        <w:right w:val="none" w:sz="0" w:space="0" w:color="auto"/>
      </w:divBdr>
      <w:divsChild>
        <w:div w:id="1526673264">
          <w:marLeft w:val="0"/>
          <w:marRight w:val="0"/>
          <w:marTop w:val="0"/>
          <w:marBottom w:val="0"/>
          <w:divBdr>
            <w:top w:val="none" w:sz="0" w:space="0" w:color="auto"/>
            <w:left w:val="none" w:sz="0" w:space="0" w:color="auto"/>
            <w:bottom w:val="none" w:sz="0" w:space="0" w:color="auto"/>
            <w:right w:val="none" w:sz="0" w:space="0" w:color="auto"/>
          </w:divBdr>
          <w:divsChild>
            <w:div w:id="46496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698760">
      <w:bodyDiv w:val="1"/>
      <w:marLeft w:val="0"/>
      <w:marRight w:val="0"/>
      <w:marTop w:val="0"/>
      <w:marBottom w:val="0"/>
      <w:divBdr>
        <w:top w:val="none" w:sz="0" w:space="0" w:color="auto"/>
        <w:left w:val="none" w:sz="0" w:space="0" w:color="auto"/>
        <w:bottom w:val="none" w:sz="0" w:space="0" w:color="auto"/>
        <w:right w:val="none" w:sz="0" w:space="0" w:color="auto"/>
      </w:divBdr>
    </w:div>
    <w:div w:id="1625892698">
      <w:bodyDiv w:val="1"/>
      <w:marLeft w:val="0"/>
      <w:marRight w:val="0"/>
      <w:marTop w:val="0"/>
      <w:marBottom w:val="0"/>
      <w:divBdr>
        <w:top w:val="none" w:sz="0" w:space="0" w:color="auto"/>
        <w:left w:val="none" w:sz="0" w:space="0" w:color="auto"/>
        <w:bottom w:val="none" w:sz="0" w:space="0" w:color="auto"/>
        <w:right w:val="none" w:sz="0" w:space="0" w:color="auto"/>
      </w:divBdr>
    </w:div>
    <w:div w:id="1636831745">
      <w:bodyDiv w:val="1"/>
      <w:marLeft w:val="0"/>
      <w:marRight w:val="0"/>
      <w:marTop w:val="0"/>
      <w:marBottom w:val="0"/>
      <w:divBdr>
        <w:top w:val="none" w:sz="0" w:space="0" w:color="auto"/>
        <w:left w:val="none" w:sz="0" w:space="0" w:color="auto"/>
        <w:bottom w:val="none" w:sz="0" w:space="0" w:color="auto"/>
        <w:right w:val="none" w:sz="0" w:space="0" w:color="auto"/>
      </w:divBdr>
    </w:div>
    <w:div w:id="1647976481">
      <w:bodyDiv w:val="1"/>
      <w:marLeft w:val="0"/>
      <w:marRight w:val="0"/>
      <w:marTop w:val="0"/>
      <w:marBottom w:val="0"/>
      <w:divBdr>
        <w:top w:val="none" w:sz="0" w:space="0" w:color="auto"/>
        <w:left w:val="none" w:sz="0" w:space="0" w:color="auto"/>
        <w:bottom w:val="none" w:sz="0" w:space="0" w:color="auto"/>
        <w:right w:val="none" w:sz="0" w:space="0" w:color="auto"/>
      </w:divBdr>
    </w:div>
    <w:div w:id="1661690844">
      <w:bodyDiv w:val="1"/>
      <w:marLeft w:val="0"/>
      <w:marRight w:val="0"/>
      <w:marTop w:val="0"/>
      <w:marBottom w:val="0"/>
      <w:divBdr>
        <w:top w:val="none" w:sz="0" w:space="0" w:color="auto"/>
        <w:left w:val="none" w:sz="0" w:space="0" w:color="auto"/>
        <w:bottom w:val="none" w:sz="0" w:space="0" w:color="auto"/>
        <w:right w:val="none" w:sz="0" w:space="0" w:color="auto"/>
      </w:divBdr>
    </w:div>
    <w:div w:id="1669483380">
      <w:bodyDiv w:val="1"/>
      <w:marLeft w:val="0"/>
      <w:marRight w:val="0"/>
      <w:marTop w:val="0"/>
      <w:marBottom w:val="0"/>
      <w:divBdr>
        <w:top w:val="none" w:sz="0" w:space="0" w:color="auto"/>
        <w:left w:val="none" w:sz="0" w:space="0" w:color="auto"/>
        <w:bottom w:val="none" w:sz="0" w:space="0" w:color="auto"/>
        <w:right w:val="none" w:sz="0" w:space="0" w:color="auto"/>
      </w:divBdr>
    </w:div>
    <w:div w:id="1672218789">
      <w:bodyDiv w:val="1"/>
      <w:marLeft w:val="0"/>
      <w:marRight w:val="0"/>
      <w:marTop w:val="0"/>
      <w:marBottom w:val="0"/>
      <w:divBdr>
        <w:top w:val="none" w:sz="0" w:space="0" w:color="auto"/>
        <w:left w:val="none" w:sz="0" w:space="0" w:color="auto"/>
        <w:bottom w:val="none" w:sz="0" w:space="0" w:color="auto"/>
        <w:right w:val="none" w:sz="0" w:space="0" w:color="auto"/>
      </w:divBdr>
    </w:div>
    <w:div w:id="1707755347">
      <w:bodyDiv w:val="1"/>
      <w:marLeft w:val="0"/>
      <w:marRight w:val="0"/>
      <w:marTop w:val="0"/>
      <w:marBottom w:val="0"/>
      <w:divBdr>
        <w:top w:val="none" w:sz="0" w:space="0" w:color="auto"/>
        <w:left w:val="none" w:sz="0" w:space="0" w:color="auto"/>
        <w:bottom w:val="none" w:sz="0" w:space="0" w:color="auto"/>
        <w:right w:val="none" w:sz="0" w:space="0" w:color="auto"/>
      </w:divBdr>
    </w:div>
    <w:div w:id="1718386367">
      <w:bodyDiv w:val="1"/>
      <w:marLeft w:val="0"/>
      <w:marRight w:val="0"/>
      <w:marTop w:val="0"/>
      <w:marBottom w:val="0"/>
      <w:divBdr>
        <w:top w:val="none" w:sz="0" w:space="0" w:color="auto"/>
        <w:left w:val="none" w:sz="0" w:space="0" w:color="auto"/>
        <w:bottom w:val="none" w:sz="0" w:space="0" w:color="auto"/>
        <w:right w:val="none" w:sz="0" w:space="0" w:color="auto"/>
      </w:divBdr>
    </w:div>
    <w:div w:id="1718386458">
      <w:bodyDiv w:val="1"/>
      <w:marLeft w:val="0"/>
      <w:marRight w:val="0"/>
      <w:marTop w:val="0"/>
      <w:marBottom w:val="0"/>
      <w:divBdr>
        <w:top w:val="none" w:sz="0" w:space="0" w:color="auto"/>
        <w:left w:val="none" w:sz="0" w:space="0" w:color="auto"/>
        <w:bottom w:val="none" w:sz="0" w:space="0" w:color="auto"/>
        <w:right w:val="none" w:sz="0" w:space="0" w:color="auto"/>
      </w:divBdr>
    </w:div>
    <w:div w:id="1729256631">
      <w:bodyDiv w:val="1"/>
      <w:marLeft w:val="0"/>
      <w:marRight w:val="0"/>
      <w:marTop w:val="0"/>
      <w:marBottom w:val="0"/>
      <w:divBdr>
        <w:top w:val="none" w:sz="0" w:space="0" w:color="auto"/>
        <w:left w:val="none" w:sz="0" w:space="0" w:color="auto"/>
        <w:bottom w:val="none" w:sz="0" w:space="0" w:color="auto"/>
        <w:right w:val="none" w:sz="0" w:space="0" w:color="auto"/>
      </w:divBdr>
    </w:div>
    <w:div w:id="1747460264">
      <w:bodyDiv w:val="1"/>
      <w:marLeft w:val="0"/>
      <w:marRight w:val="0"/>
      <w:marTop w:val="0"/>
      <w:marBottom w:val="0"/>
      <w:divBdr>
        <w:top w:val="none" w:sz="0" w:space="0" w:color="auto"/>
        <w:left w:val="none" w:sz="0" w:space="0" w:color="auto"/>
        <w:bottom w:val="none" w:sz="0" w:space="0" w:color="auto"/>
        <w:right w:val="none" w:sz="0" w:space="0" w:color="auto"/>
      </w:divBdr>
    </w:div>
    <w:div w:id="1754549680">
      <w:bodyDiv w:val="1"/>
      <w:marLeft w:val="0"/>
      <w:marRight w:val="0"/>
      <w:marTop w:val="0"/>
      <w:marBottom w:val="0"/>
      <w:divBdr>
        <w:top w:val="none" w:sz="0" w:space="0" w:color="auto"/>
        <w:left w:val="none" w:sz="0" w:space="0" w:color="auto"/>
        <w:bottom w:val="none" w:sz="0" w:space="0" w:color="auto"/>
        <w:right w:val="none" w:sz="0" w:space="0" w:color="auto"/>
      </w:divBdr>
    </w:div>
    <w:div w:id="1757824940">
      <w:bodyDiv w:val="1"/>
      <w:marLeft w:val="0"/>
      <w:marRight w:val="0"/>
      <w:marTop w:val="0"/>
      <w:marBottom w:val="0"/>
      <w:divBdr>
        <w:top w:val="none" w:sz="0" w:space="0" w:color="auto"/>
        <w:left w:val="none" w:sz="0" w:space="0" w:color="auto"/>
        <w:bottom w:val="none" w:sz="0" w:space="0" w:color="auto"/>
        <w:right w:val="none" w:sz="0" w:space="0" w:color="auto"/>
      </w:divBdr>
    </w:div>
    <w:div w:id="1758285061">
      <w:bodyDiv w:val="1"/>
      <w:marLeft w:val="0"/>
      <w:marRight w:val="0"/>
      <w:marTop w:val="0"/>
      <w:marBottom w:val="0"/>
      <w:divBdr>
        <w:top w:val="none" w:sz="0" w:space="0" w:color="auto"/>
        <w:left w:val="none" w:sz="0" w:space="0" w:color="auto"/>
        <w:bottom w:val="none" w:sz="0" w:space="0" w:color="auto"/>
        <w:right w:val="none" w:sz="0" w:space="0" w:color="auto"/>
      </w:divBdr>
    </w:div>
    <w:div w:id="1771703292">
      <w:bodyDiv w:val="1"/>
      <w:marLeft w:val="0"/>
      <w:marRight w:val="0"/>
      <w:marTop w:val="0"/>
      <w:marBottom w:val="0"/>
      <w:divBdr>
        <w:top w:val="none" w:sz="0" w:space="0" w:color="auto"/>
        <w:left w:val="none" w:sz="0" w:space="0" w:color="auto"/>
        <w:bottom w:val="none" w:sz="0" w:space="0" w:color="auto"/>
        <w:right w:val="none" w:sz="0" w:space="0" w:color="auto"/>
      </w:divBdr>
    </w:div>
    <w:div w:id="1774938017">
      <w:bodyDiv w:val="1"/>
      <w:marLeft w:val="0"/>
      <w:marRight w:val="0"/>
      <w:marTop w:val="0"/>
      <w:marBottom w:val="0"/>
      <w:divBdr>
        <w:top w:val="none" w:sz="0" w:space="0" w:color="auto"/>
        <w:left w:val="none" w:sz="0" w:space="0" w:color="auto"/>
        <w:bottom w:val="none" w:sz="0" w:space="0" w:color="auto"/>
        <w:right w:val="none" w:sz="0" w:space="0" w:color="auto"/>
      </w:divBdr>
      <w:divsChild>
        <w:div w:id="86922400">
          <w:marLeft w:val="547"/>
          <w:marRight w:val="0"/>
          <w:marTop w:val="154"/>
          <w:marBottom w:val="0"/>
          <w:divBdr>
            <w:top w:val="none" w:sz="0" w:space="0" w:color="auto"/>
            <w:left w:val="none" w:sz="0" w:space="0" w:color="auto"/>
            <w:bottom w:val="none" w:sz="0" w:space="0" w:color="auto"/>
            <w:right w:val="none" w:sz="0" w:space="0" w:color="auto"/>
          </w:divBdr>
        </w:div>
        <w:div w:id="585655529">
          <w:marLeft w:val="547"/>
          <w:marRight w:val="0"/>
          <w:marTop w:val="154"/>
          <w:marBottom w:val="0"/>
          <w:divBdr>
            <w:top w:val="none" w:sz="0" w:space="0" w:color="auto"/>
            <w:left w:val="none" w:sz="0" w:space="0" w:color="auto"/>
            <w:bottom w:val="none" w:sz="0" w:space="0" w:color="auto"/>
            <w:right w:val="none" w:sz="0" w:space="0" w:color="auto"/>
          </w:divBdr>
        </w:div>
        <w:div w:id="1587883986">
          <w:marLeft w:val="547"/>
          <w:marRight w:val="0"/>
          <w:marTop w:val="154"/>
          <w:marBottom w:val="0"/>
          <w:divBdr>
            <w:top w:val="none" w:sz="0" w:space="0" w:color="auto"/>
            <w:left w:val="none" w:sz="0" w:space="0" w:color="auto"/>
            <w:bottom w:val="none" w:sz="0" w:space="0" w:color="auto"/>
            <w:right w:val="none" w:sz="0" w:space="0" w:color="auto"/>
          </w:divBdr>
        </w:div>
      </w:divsChild>
    </w:div>
    <w:div w:id="1801072504">
      <w:bodyDiv w:val="1"/>
      <w:marLeft w:val="0"/>
      <w:marRight w:val="0"/>
      <w:marTop w:val="0"/>
      <w:marBottom w:val="0"/>
      <w:divBdr>
        <w:top w:val="none" w:sz="0" w:space="0" w:color="auto"/>
        <w:left w:val="none" w:sz="0" w:space="0" w:color="auto"/>
        <w:bottom w:val="none" w:sz="0" w:space="0" w:color="auto"/>
        <w:right w:val="none" w:sz="0" w:space="0" w:color="auto"/>
      </w:divBdr>
      <w:divsChild>
        <w:div w:id="1997146879">
          <w:marLeft w:val="0"/>
          <w:marRight w:val="0"/>
          <w:marTop w:val="0"/>
          <w:marBottom w:val="0"/>
          <w:divBdr>
            <w:top w:val="none" w:sz="0" w:space="0" w:color="auto"/>
            <w:left w:val="none" w:sz="0" w:space="0" w:color="auto"/>
            <w:bottom w:val="none" w:sz="0" w:space="0" w:color="auto"/>
            <w:right w:val="none" w:sz="0" w:space="0" w:color="auto"/>
          </w:divBdr>
        </w:div>
      </w:divsChild>
    </w:div>
    <w:div w:id="1841390932">
      <w:bodyDiv w:val="1"/>
      <w:marLeft w:val="0"/>
      <w:marRight w:val="0"/>
      <w:marTop w:val="0"/>
      <w:marBottom w:val="0"/>
      <w:divBdr>
        <w:top w:val="none" w:sz="0" w:space="0" w:color="auto"/>
        <w:left w:val="none" w:sz="0" w:space="0" w:color="auto"/>
        <w:bottom w:val="none" w:sz="0" w:space="0" w:color="auto"/>
        <w:right w:val="none" w:sz="0" w:space="0" w:color="auto"/>
      </w:divBdr>
      <w:divsChild>
        <w:div w:id="1272929539">
          <w:marLeft w:val="547"/>
          <w:marRight w:val="0"/>
          <w:marTop w:val="134"/>
          <w:marBottom w:val="0"/>
          <w:divBdr>
            <w:top w:val="none" w:sz="0" w:space="0" w:color="auto"/>
            <w:left w:val="none" w:sz="0" w:space="0" w:color="auto"/>
            <w:bottom w:val="none" w:sz="0" w:space="0" w:color="auto"/>
            <w:right w:val="none" w:sz="0" w:space="0" w:color="auto"/>
          </w:divBdr>
        </w:div>
        <w:div w:id="1714772200">
          <w:marLeft w:val="547"/>
          <w:marRight w:val="0"/>
          <w:marTop w:val="134"/>
          <w:marBottom w:val="0"/>
          <w:divBdr>
            <w:top w:val="none" w:sz="0" w:space="0" w:color="auto"/>
            <w:left w:val="none" w:sz="0" w:space="0" w:color="auto"/>
            <w:bottom w:val="none" w:sz="0" w:space="0" w:color="auto"/>
            <w:right w:val="none" w:sz="0" w:space="0" w:color="auto"/>
          </w:divBdr>
        </w:div>
        <w:div w:id="1968002768">
          <w:marLeft w:val="547"/>
          <w:marRight w:val="0"/>
          <w:marTop w:val="134"/>
          <w:marBottom w:val="0"/>
          <w:divBdr>
            <w:top w:val="none" w:sz="0" w:space="0" w:color="auto"/>
            <w:left w:val="none" w:sz="0" w:space="0" w:color="auto"/>
            <w:bottom w:val="none" w:sz="0" w:space="0" w:color="auto"/>
            <w:right w:val="none" w:sz="0" w:space="0" w:color="auto"/>
          </w:divBdr>
        </w:div>
      </w:divsChild>
    </w:div>
    <w:div w:id="1850606720">
      <w:bodyDiv w:val="1"/>
      <w:marLeft w:val="0"/>
      <w:marRight w:val="0"/>
      <w:marTop w:val="0"/>
      <w:marBottom w:val="0"/>
      <w:divBdr>
        <w:top w:val="none" w:sz="0" w:space="0" w:color="auto"/>
        <w:left w:val="none" w:sz="0" w:space="0" w:color="auto"/>
        <w:bottom w:val="none" w:sz="0" w:space="0" w:color="auto"/>
        <w:right w:val="none" w:sz="0" w:space="0" w:color="auto"/>
      </w:divBdr>
    </w:div>
    <w:div w:id="1851334702">
      <w:bodyDiv w:val="1"/>
      <w:marLeft w:val="0"/>
      <w:marRight w:val="0"/>
      <w:marTop w:val="0"/>
      <w:marBottom w:val="0"/>
      <w:divBdr>
        <w:top w:val="none" w:sz="0" w:space="0" w:color="auto"/>
        <w:left w:val="none" w:sz="0" w:space="0" w:color="auto"/>
        <w:bottom w:val="none" w:sz="0" w:space="0" w:color="auto"/>
        <w:right w:val="none" w:sz="0" w:space="0" w:color="auto"/>
      </w:divBdr>
    </w:div>
    <w:div w:id="1868643659">
      <w:bodyDiv w:val="1"/>
      <w:marLeft w:val="0"/>
      <w:marRight w:val="0"/>
      <w:marTop w:val="0"/>
      <w:marBottom w:val="0"/>
      <w:divBdr>
        <w:top w:val="none" w:sz="0" w:space="0" w:color="auto"/>
        <w:left w:val="none" w:sz="0" w:space="0" w:color="auto"/>
        <w:bottom w:val="none" w:sz="0" w:space="0" w:color="auto"/>
        <w:right w:val="none" w:sz="0" w:space="0" w:color="auto"/>
      </w:divBdr>
    </w:div>
    <w:div w:id="1870490777">
      <w:bodyDiv w:val="1"/>
      <w:marLeft w:val="0"/>
      <w:marRight w:val="0"/>
      <w:marTop w:val="0"/>
      <w:marBottom w:val="0"/>
      <w:divBdr>
        <w:top w:val="none" w:sz="0" w:space="0" w:color="auto"/>
        <w:left w:val="none" w:sz="0" w:space="0" w:color="auto"/>
        <w:bottom w:val="none" w:sz="0" w:space="0" w:color="auto"/>
        <w:right w:val="none" w:sz="0" w:space="0" w:color="auto"/>
      </w:divBdr>
    </w:div>
    <w:div w:id="1893417453">
      <w:bodyDiv w:val="1"/>
      <w:marLeft w:val="0"/>
      <w:marRight w:val="0"/>
      <w:marTop w:val="0"/>
      <w:marBottom w:val="0"/>
      <w:divBdr>
        <w:top w:val="none" w:sz="0" w:space="0" w:color="auto"/>
        <w:left w:val="none" w:sz="0" w:space="0" w:color="auto"/>
        <w:bottom w:val="none" w:sz="0" w:space="0" w:color="auto"/>
        <w:right w:val="none" w:sz="0" w:space="0" w:color="auto"/>
      </w:divBdr>
    </w:div>
    <w:div w:id="1961912196">
      <w:bodyDiv w:val="1"/>
      <w:marLeft w:val="0"/>
      <w:marRight w:val="0"/>
      <w:marTop w:val="0"/>
      <w:marBottom w:val="0"/>
      <w:divBdr>
        <w:top w:val="none" w:sz="0" w:space="0" w:color="auto"/>
        <w:left w:val="none" w:sz="0" w:space="0" w:color="auto"/>
        <w:bottom w:val="none" w:sz="0" w:space="0" w:color="auto"/>
        <w:right w:val="none" w:sz="0" w:space="0" w:color="auto"/>
      </w:divBdr>
      <w:divsChild>
        <w:div w:id="1788699725">
          <w:marLeft w:val="0"/>
          <w:marRight w:val="0"/>
          <w:marTop w:val="360"/>
          <w:marBottom w:val="105"/>
          <w:divBdr>
            <w:top w:val="none" w:sz="0" w:space="0" w:color="auto"/>
            <w:left w:val="none" w:sz="0" w:space="0" w:color="auto"/>
            <w:bottom w:val="none" w:sz="0" w:space="0" w:color="auto"/>
            <w:right w:val="none" w:sz="0" w:space="0" w:color="auto"/>
          </w:divBdr>
          <w:divsChild>
            <w:div w:id="2089302953">
              <w:marLeft w:val="0"/>
              <w:marRight w:val="0"/>
              <w:marTop w:val="0"/>
              <w:marBottom w:val="0"/>
              <w:divBdr>
                <w:top w:val="none" w:sz="0" w:space="0" w:color="auto"/>
                <w:left w:val="none" w:sz="0" w:space="0" w:color="auto"/>
                <w:bottom w:val="none" w:sz="0" w:space="0" w:color="auto"/>
                <w:right w:val="none" w:sz="0" w:space="0" w:color="auto"/>
              </w:divBdr>
              <w:divsChild>
                <w:div w:id="189531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5215568">
      <w:bodyDiv w:val="1"/>
      <w:marLeft w:val="0"/>
      <w:marRight w:val="0"/>
      <w:marTop w:val="0"/>
      <w:marBottom w:val="0"/>
      <w:divBdr>
        <w:top w:val="none" w:sz="0" w:space="0" w:color="auto"/>
        <w:left w:val="none" w:sz="0" w:space="0" w:color="auto"/>
        <w:bottom w:val="none" w:sz="0" w:space="0" w:color="auto"/>
        <w:right w:val="none" w:sz="0" w:space="0" w:color="auto"/>
      </w:divBdr>
      <w:divsChild>
        <w:div w:id="110756550">
          <w:marLeft w:val="547"/>
          <w:marRight w:val="0"/>
          <w:marTop w:val="134"/>
          <w:marBottom w:val="0"/>
          <w:divBdr>
            <w:top w:val="none" w:sz="0" w:space="0" w:color="auto"/>
            <w:left w:val="none" w:sz="0" w:space="0" w:color="auto"/>
            <w:bottom w:val="none" w:sz="0" w:space="0" w:color="auto"/>
            <w:right w:val="none" w:sz="0" w:space="0" w:color="auto"/>
          </w:divBdr>
        </w:div>
      </w:divsChild>
    </w:div>
    <w:div w:id="1984848977">
      <w:bodyDiv w:val="1"/>
      <w:marLeft w:val="0"/>
      <w:marRight w:val="0"/>
      <w:marTop w:val="0"/>
      <w:marBottom w:val="0"/>
      <w:divBdr>
        <w:top w:val="none" w:sz="0" w:space="0" w:color="auto"/>
        <w:left w:val="none" w:sz="0" w:space="0" w:color="auto"/>
        <w:bottom w:val="none" w:sz="0" w:space="0" w:color="auto"/>
        <w:right w:val="none" w:sz="0" w:space="0" w:color="auto"/>
      </w:divBdr>
    </w:div>
    <w:div w:id="1985425379">
      <w:bodyDiv w:val="1"/>
      <w:marLeft w:val="0"/>
      <w:marRight w:val="0"/>
      <w:marTop w:val="0"/>
      <w:marBottom w:val="0"/>
      <w:divBdr>
        <w:top w:val="none" w:sz="0" w:space="0" w:color="auto"/>
        <w:left w:val="none" w:sz="0" w:space="0" w:color="auto"/>
        <w:bottom w:val="none" w:sz="0" w:space="0" w:color="auto"/>
        <w:right w:val="none" w:sz="0" w:space="0" w:color="auto"/>
      </w:divBdr>
    </w:div>
    <w:div w:id="1990818149">
      <w:bodyDiv w:val="1"/>
      <w:marLeft w:val="0"/>
      <w:marRight w:val="0"/>
      <w:marTop w:val="0"/>
      <w:marBottom w:val="0"/>
      <w:divBdr>
        <w:top w:val="none" w:sz="0" w:space="0" w:color="auto"/>
        <w:left w:val="none" w:sz="0" w:space="0" w:color="auto"/>
        <w:bottom w:val="none" w:sz="0" w:space="0" w:color="auto"/>
        <w:right w:val="none" w:sz="0" w:space="0" w:color="auto"/>
      </w:divBdr>
    </w:div>
    <w:div w:id="1999652677">
      <w:bodyDiv w:val="1"/>
      <w:marLeft w:val="0"/>
      <w:marRight w:val="0"/>
      <w:marTop w:val="0"/>
      <w:marBottom w:val="0"/>
      <w:divBdr>
        <w:top w:val="none" w:sz="0" w:space="0" w:color="auto"/>
        <w:left w:val="none" w:sz="0" w:space="0" w:color="auto"/>
        <w:bottom w:val="none" w:sz="0" w:space="0" w:color="auto"/>
        <w:right w:val="none" w:sz="0" w:space="0" w:color="auto"/>
      </w:divBdr>
    </w:div>
    <w:div w:id="2016764543">
      <w:bodyDiv w:val="1"/>
      <w:marLeft w:val="0"/>
      <w:marRight w:val="0"/>
      <w:marTop w:val="0"/>
      <w:marBottom w:val="0"/>
      <w:divBdr>
        <w:top w:val="none" w:sz="0" w:space="0" w:color="auto"/>
        <w:left w:val="none" w:sz="0" w:space="0" w:color="auto"/>
        <w:bottom w:val="none" w:sz="0" w:space="0" w:color="auto"/>
        <w:right w:val="none" w:sz="0" w:space="0" w:color="auto"/>
      </w:divBdr>
    </w:div>
    <w:div w:id="2020962191">
      <w:bodyDiv w:val="1"/>
      <w:marLeft w:val="0"/>
      <w:marRight w:val="0"/>
      <w:marTop w:val="0"/>
      <w:marBottom w:val="0"/>
      <w:divBdr>
        <w:top w:val="none" w:sz="0" w:space="0" w:color="auto"/>
        <w:left w:val="none" w:sz="0" w:space="0" w:color="auto"/>
        <w:bottom w:val="none" w:sz="0" w:space="0" w:color="auto"/>
        <w:right w:val="none" w:sz="0" w:space="0" w:color="auto"/>
      </w:divBdr>
      <w:divsChild>
        <w:div w:id="865559959">
          <w:marLeft w:val="547"/>
          <w:marRight w:val="0"/>
          <w:marTop w:val="0"/>
          <w:marBottom w:val="0"/>
          <w:divBdr>
            <w:top w:val="none" w:sz="0" w:space="0" w:color="auto"/>
            <w:left w:val="none" w:sz="0" w:space="0" w:color="auto"/>
            <w:bottom w:val="none" w:sz="0" w:space="0" w:color="auto"/>
            <w:right w:val="none" w:sz="0" w:space="0" w:color="auto"/>
          </w:divBdr>
        </w:div>
        <w:div w:id="922909843">
          <w:marLeft w:val="547"/>
          <w:marRight w:val="0"/>
          <w:marTop w:val="0"/>
          <w:marBottom w:val="0"/>
          <w:divBdr>
            <w:top w:val="none" w:sz="0" w:space="0" w:color="auto"/>
            <w:left w:val="none" w:sz="0" w:space="0" w:color="auto"/>
            <w:bottom w:val="none" w:sz="0" w:space="0" w:color="auto"/>
            <w:right w:val="none" w:sz="0" w:space="0" w:color="auto"/>
          </w:divBdr>
        </w:div>
      </w:divsChild>
    </w:div>
    <w:div w:id="2031711227">
      <w:bodyDiv w:val="1"/>
      <w:marLeft w:val="0"/>
      <w:marRight w:val="0"/>
      <w:marTop w:val="0"/>
      <w:marBottom w:val="0"/>
      <w:divBdr>
        <w:top w:val="none" w:sz="0" w:space="0" w:color="auto"/>
        <w:left w:val="none" w:sz="0" w:space="0" w:color="auto"/>
        <w:bottom w:val="none" w:sz="0" w:space="0" w:color="auto"/>
        <w:right w:val="none" w:sz="0" w:space="0" w:color="auto"/>
      </w:divBdr>
    </w:div>
    <w:div w:id="2037998009">
      <w:bodyDiv w:val="1"/>
      <w:marLeft w:val="0"/>
      <w:marRight w:val="0"/>
      <w:marTop w:val="0"/>
      <w:marBottom w:val="0"/>
      <w:divBdr>
        <w:top w:val="none" w:sz="0" w:space="0" w:color="auto"/>
        <w:left w:val="none" w:sz="0" w:space="0" w:color="auto"/>
        <w:bottom w:val="none" w:sz="0" w:space="0" w:color="auto"/>
        <w:right w:val="none" w:sz="0" w:space="0" w:color="auto"/>
      </w:divBdr>
    </w:div>
    <w:div w:id="2039698576">
      <w:bodyDiv w:val="1"/>
      <w:marLeft w:val="0"/>
      <w:marRight w:val="0"/>
      <w:marTop w:val="0"/>
      <w:marBottom w:val="0"/>
      <w:divBdr>
        <w:top w:val="none" w:sz="0" w:space="0" w:color="auto"/>
        <w:left w:val="none" w:sz="0" w:space="0" w:color="auto"/>
        <w:bottom w:val="none" w:sz="0" w:space="0" w:color="auto"/>
        <w:right w:val="none" w:sz="0" w:space="0" w:color="auto"/>
      </w:divBdr>
    </w:div>
    <w:div w:id="2045672186">
      <w:bodyDiv w:val="1"/>
      <w:marLeft w:val="0"/>
      <w:marRight w:val="0"/>
      <w:marTop w:val="0"/>
      <w:marBottom w:val="0"/>
      <w:divBdr>
        <w:top w:val="none" w:sz="0" w:space="0" w:color="auto"/>
        <w:left w:val="none" w:sz="0" w:space="0" w:color="auto"/>
        <w:bottom w:val="none" w:sz="0" w:space="0" w:color="auto"/>
        <w:right w:val="none" w:sz="0" w:space="0" w:color="auto"/>
      </w:divBdr>
    </w:div>
    <w:div w:id="2054429169">
      <w:bodyDiv w:val="1"/>
      <w:marLeft w:val="0"/>
      <w:marRight w:val="0"/>
      <w:marTop w:val="0"/>
      <w:marBottom w:val="0"/>
      <w:divBdr>
        <w:top w:val="none" w:sz="0" w:space="0" w:color="auto"/>
        <w:left w:val="none" w:sz="0" w:space="0" w:color="auto"/>
        <w:bottom w:val="none" w:sz="0" w:space="0" w:color="auto"/>
        <w:right w:val="none" w:sz="0" w:space="0" w:color="auto"/>
      </w:divBdr>
    </w:div>
    <w:div w:id="2063599664">
      <w:bodyDiv w:val="1"/>
      <w:marLeft w:val="0"/>
      <w:marRight w:val="0"/>
      <w:marTop w:val="0"/>
      <w:marBottom w:val="0"/>
      <w:divBdr>
        <w:top w:val="none" w:sz="0" w:space="0" w:color="auto"/>
        <w:left w:val="none" w:sz="0" w:space="0" w:color="auto"/>
        <w:bottom w:val="none" w:sz="0" w:space="0" w:color="auto"/>
        <w:right w:val="none" w:sz="0" w:space="0" w:color="auto"/>
      </w:divBdr>
    </w:div>
    <w:div w:id="2078702498">
      <w:bodyDiv w:val="1"/>
      <w:marLeft w:val="0"/>
      <w:marRight w:val="0"/>
      <w:marTop w:val="0"/>
      <w:marBottom w:val="0"/>
      <w:divBdr>
        <w:top w:val="none" w:sz="0" w:space="0" w:color="auto"/>
        <w:left w:val="none" w:sz="0" w:space="0" w:color="auto"/>
        <w:bottom w:val="none" w:sz="0" w:space="0" w:color="auto"/>
        <w:right w:val="none" w:sz="0" w:space="0" w:color="auto"/>
      </w:divBdr>
    </w:div>
    <w:div w:id="2082560636">
      <w:bodyDiv w:val="1"/>
      <w:marLeft w:val="0"/>
      <w:marRight w:val="0"/>
      <w:marTop w:val="0"/>
      <w:marBottom w:val="0"/>
      <w:divBdr>
        <w:top w:val="none" w:sz="0" w:space="0" w:color="auto"/>
        <w:left w:val="none" w:sz="0" w:space="0" w:color="auto"/>
        <w:bottom w:val="none" w:sz="0" w:space="0" w:color="auto"/>
        <w:right w:val="none" w:sz="0" w:space="0" w:color="auto"/>
      </w:divBdr>
      <w:divsChild>
        <w:div w:id="393353339">
          <w:marLeft w:val="0"/>
          <w:marRight w:val="0"/>
          <w:marTop w:val="0"/>
          <w:marBottom w:val="0"/>
          <w:divBdr>
            <w:top w:val="none" w:sz="0" w:space="0" w:color="auto"/>
            <w:left w:val="none" w:sz="0" w:space="0" w:color="auto"/>
            <w:bottom w:val="none" w:sz="0" w:space="0" w:color="auto"/>
            <w:right w:val="none" w:sz="0" w:space="0" w:color="auto"/>
          </w:divBdr>
        </w:div>
        <w:div w:id="488911065">
          <w:marLeft w:val="0"/>
          <w:marRight w:val="0"/>
          <w:marTop w:val="0"/>
          <w:marBottom w:val="0"/>
          <w:divBdr>
            <w:top w:val="none" w:sz="0" w:space="0" w:color="auto"/>
            <w:left w:val="none" w:sz="0" w:space="0" w:color="auto"/>
            <w:bottom w:val="none" w:sz="0" w:space="0" w:color="auto"/>
            <w:right w:val="none" w:sz="0" w:space="0" w:color="auto"/>
          </w:divBdr>
          <w:divsChild>
            <w:div w:id="1683167668">
              <w:marLeft w:val="0"/>
              <w:marRight w:val="0"/>
              <w:marTop w:val="0"/>
              <w:marBottom w:val="0"/>
              <w:divBdr>
                <w:top w:val="none" w:sz="0" w:space="0" w:color="auto"/>
                <w:left w:val="none" w:sz="0" w:space="0" w:color="auto"/>
                <w:bottom w:val="none" w:sz="0" w:space="0" w:color="auto"/>
                <w:right w:val="none" w:sz="0" w:space="0" w:color="auto"/>
              </w:divBdr>
              <w:divsChild>
                <w:div w:id="744760305">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 w:id="2083914005">
      <w:bodyDiv w:val="1"/>
      <w:marLeft w:val="0"/>
      <w:marRight w:val="0"/>
      <w:marTop w:val="0"/>
      <w:marBottom w:val="0"/>
      <w:divBdr>
        <w:top w:val="none" w:sz="0" w:space="0" w:color="auto"/>
        <w:left w:val="none" w:sz="0" w:space="0" w:color="auto"/>
        <w:bottom w:val="none" w:sz="0" w:space="0" w:color="auto"/>
        <w:right w:val="none" w:sz="0" w:space="0" w:color="auto"/>
      </w:divBdr>
      <w:divsChild>
        <w:div w:id="211189754">
          <w:marLeft w:val="547"/>
          <w:marRight w:val="0"/>
          <w:marTop w:val="134"/>
          <w:marBottom w:val="0"/>
          <w:divBdr>
            <w:top w:val="none" w:sz="0" w:space="0" w:color="auto"/>
            <w:left w:val="none" w:sz="0" w:space="0" w:color="auto"/>
            <w:bottom w:val="none" w:sz="0" w:space="0" w:color="auto"/>
            <w:right w:val="none" w:sz="0" w:space="0" w:color="auto"/>
          </w:divBdr>
        </w:div>
        <w:div w:id="710156221">
          <w:marLeft w:val="547"/>
          <w:marRight w:val="0"/>
          <w:marTop w:val="134"/>
          <w:marBottom w:val="0"/>
          <w:divBdr>
            <w:top w:val="none" w:sz="0" w:space="0" w:color="auto"/>
            <w:left w:val="none" w:sz="0" w:space="0" w:color="auto"/>
            <w:bottom w:val="none" w:sz="0" w:space="0" w:color="auto"/>
            <w:right w:val="none" w:sz="0" w:space="0" w:color="auto"/>
          </w:divBdr>
        </w:div>
        <w:div w:id="1622344691">
          <w:marLeft w:val="547"/>
          <w:marRight w:val="0"/>
          <w:marTop w:val="134"/>
          <w:marBottom w:val="0"/>
          <w:divBdr>
            <w:top w:val="none" w:sz="0" w:space="0" w:color="auto"/>
            <w:left w:val="none" w:sz="0" w:space="0" w:color="auto"/>
            <w:bottom w:val="none" w:sz="0" w:space="0" w:color="auto"/>
            <w:right w:val="none" w:sz="0" w:space="0" w:color="auto"/>
          </w:divBdr>
        </w:div>
      </w:divsChild>
    </w:div>
    <w:div w:id="2105684362">
      <w:bodyDiv w:val="1"/>
      <w:marLeft w:val="0"/>
      <w:marRight w:val="0"/>
      <w:marTop w:val="0"/>
      <w:marBottom w:val="0"/>
      <w:divBdr>
        <w:top w:val="none" w:sz="0" w:space="0" w:color="auto"/>
        <w:left w:val="none" w:sz="0" w:space="0" w:color="auto"/>
        <w:bottom w:val="none" w:sz="0" w:space="0" w:color="auto"/>
        <w:right w:val="none" w:sz="0" w:space="0" w:color="auto"/>
      </w:divBdr>
    </w:div>
    <w:div w:id="2110271532">
      <w:bodyDiv w:val="1"/>
      <w:marLeft w:val="0"/>
      <w:marRight w:val="0"/>
      <w:marTop w:val="0"/>
      <w:marBottom w:val="0"/>
      <w:divBdr>
        <w:top w:val="none" w:sz="0" w:space="0" w:color="auto"/>
        <w:left w:val="none" w:sz="0" w:space="0" w:color="auto"/>
        <w:bottom w:val="none" w:sz="0" w:space="0" w:color="auto"/>
        <w:right w:val="none" w:sz="0" w:space="0" w:color="auto"/>
      </w:divBdr>
    </w:div>
    <w:div w:id="2115785591">
      <w:bodyDiv w:val="1"/>
      <w:marLeft w:val="0"/>
      <w:marRight w:val="0"/>
      <w:marTop w:val="0"/>
      <w:marBottom w:val="0"/>
      <w:divBdr>
        <w:top w:val="none" w:sz="0" w:space="0" w:color="auto"/>
        <w:left w:val="none" w:sz="0" w:space="0" w:color="auto"/>
        <w:bottom w:val="none" w:sz="0" w:space="0" w:color="auto"/>
        <w:right w:val="none" w:sz="0" w:space="0" w:color="auto"/>
      </w:divBdr>
    </w:div>
    <w:div w:id="2126340171">
      <w:bodyDiv w:val="1"/>
      <w:marLeft w:val="0"/>
      <w:marRight w:val="0"/>
      <w:marTop w:val="0"/>
      <w:marBottom w:val="0"/>
      <w:divBdr>
        <w:top w:val="none" w:sz="0" w:space="0" w:color="auto"/>
        <w:left w:val="none" w:sz="0" w:space="0" w:color="auto"/>
        <w:bottom w:val="none" w:sz="0" w:space="0" w:color="auto"/>
        <w:right w:val="none" w:sz="0" w:space="0" w:color="auto"/>
      </w:divBdr>
    </w:div>
    <w:div w:id="2136367990">
      <w:bodyDiv w:val="1"/>
      <w:marLeft w:val="0"/>
      <w:marRight w:val="0"/>
      <w:marTop w:val="0"/>
      <w:marBottom w:val="0"/>
      <w:divBdr>
        <w:top w:val="none" w:sz="0" w:space="0" w:color="auto"/>
        <w:left w:val="none" w:sz="0" w:space="0" w:color="auto"/>
        <w:bottom w:val="none" w:sz="0" w:space="0" w:color="auto"/>
        <w:right w:val="none" w:sz="0" w:space="0" w:color="auto"/>
      </w:divBdr>
    </w:div>
    <w:div w:id="21465016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microsoft.com/office/2007/relationships/diagramDrawing" Target="diagrams/drawing1.xml"/><Relationship Id="rId26" Type="http://schemas.openxmlformats.org/officeDocument/2006/relationships/diagramQuickStyle" Target="diagrams/quickStyle2.xml"/><Relationship Id="rId39" Type="http://schemas.openxmlformats.org/officeDocument/2006/relationships/hyperlink" Target="https://www.cerre.eu/sites/cerre/files/141029_CERRE_MktDefMktPwrRegInt_ECMs_Final.pdf" TargetMode="External"/><Relationship Id="rId21" Type="http://schemas.openxmlformats.org/officeDocument/2006/relationships/image" Target="media/image5.png"/><Relationship Id="rId34" Type="http://schemas.openxmlformats.org/officeDocument/2006/relationships/diagramColors" Target="diagrams/colors3.xml"/><Relationship Id="rId42" Type="http://schemas.openxmlformats.org/officeDocument/2006/relationships/hyperlink" Target="http://www.urenio.org/e-innovation/stratinc/files/library/ict/15.ICT_standards.pdf" TargetMode="External"/><Relationship Id="rId47" Type="http://schemas.openxmlformats.org/officeDocument/2006/relationships/hyperlink" Target="http://www.europarl.europa.eu/legislative-train/theme-connected-digital-single-market" TargetMode="External"/><Relationship Id="rId50" Type="http://schemas.openxmlformats.org/officeDocument/2006/relationships/hyperlink" Target="https://en.oxforddictionaries.com/definition/interoperability" TargetMode="External"/><Relationship Id="rId55"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QuickStyle" Target="diagrams/quickStyle1.xml"/><Relationship Id="rId29" Type="http://schemas.openxmlformats.org/officeDocument/2006/relationships/image" Target="media/image8.png"/><Relationship Id="rId11" Type="http://schemas.openxmlformats.org/officeDocument/2006/relationships/footer" Target="footer4.xml"/><Relationship Id="rId24" Type="http://schemas.openxmlformats.org/officeDocument/2006/relationships/diagramData" Target="diagrams/data2.xml"/><Relationship Id="rId32" Type="http://schemas.openxmlformats.org/officeDocument/2006/relationships/diagramLayout" Target="diagrams/layout3.xml"/><Relationship Id="rId37" Type="http://schemas.openxmlformats.org/officeDocument/2006/relationships/hyperlink" Target="https://ssrn.com/abstract=3064795" TargetMode="External"/><Relationship Id="rId40" Type="http://schemas.openxmlformats.org/officeDocument/2006/relationships/hyperlink" Target="http://dx.doi.org/10.2139/ssrn.2747785" TargetMode="External"/><Relationship Id="rId45" Type="http://schemas.openxmlformats.org/officeDocument/2006/relationships/hyperlink" Target="https://e-courses.epo.org/wbts_int/litigation/FundamentalsOfInfringement.pdf" TargetMode="External"/><Relationship Id="rId53" Type="http://schemas.openxmlformats.org/officeDocument/2006/relationships/header" Target="header1.xml"/><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diagramData" Target="diagrams/data1.xml"/><Relationship Id="rId22" Type="http://schemas.openxmlformats.org/officeDocument/2006/relationships/image" Target="media/image6.png"/><Relationship Id="rId27" Type="http://schemas.openxmlformats.org/officeDocument/2006/relationships/diagramColors" Target="diagrams/colors2.xml"/><Relationship Id="rId30" Type="http://schemas.openxmlformats.org/officeDocument/2006/relationships/image" Target="media/image9.jpeg"/><Relationship Id="rId35" Type="http://schemas.microsoft.com/office/2007/relationships/diagramDrawing" Target="diagrams/drawing3.xml"/><Relationship Id="rId43" Type="http://schemas.openxmlformats.org/officeDocument/2006/relationships/hyperlink" Target="https://www.encyclopedia.com" TargetMode="External"/><Relationship Id="rId48" Type="http://schemas.openxmlformats.org/officeDocument/2006/relationships/hyperlink" Target="https://ssrn.com/abstract=3260138" TargetMode="External"/><Relationship Id="rId56" Type="http://schemas.openxmlformats.org/officeDocument/2006/relationships/footer" Target="footer6.xml"/><Relationship Id="rId8" Type="http://schemas.openxmlformats.org/officeDocument/2006/relationships/footer" Target="footer1.xml"/><Relationship Id="rId51" Type="http://schemas.openxmlformats.org/officeDocument/2006/relationships/hyperlink" Target="https://www.forbes.com/sites/forbestechcouncil/2018/06/22/cloud-interoperability-and-portability/" TargetMode="Externa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diagramColors" Target="diagrams/colors1.xml"/><Relationship Id="rId25" Type="http://schemas.openxmlformats.org/officeDocument/2006/relationships/diagramLayout" Target="diagrams/layout2.xml"/><Relationship Id="rId33" Type="http://schemas.openxmlformats.org/officeDocument/2006/relationships/diagramQuickStyle" Target="diagrams/quickStyle3.xml"/><Relationship Id="rId38" Type="http://schemas.openxmlformats.org/officeDocument/2006/relationships/hyperlink" Target="https://dictionary.cambridge.org/dictionary/english/interoperability" TargetMode="External"/><Relationship Id="rId46" Type="http://schemas.openxmlformats.org/officeDocument/2006/relationships/hyperlink" Target="https://ec.europa.eu/digital-single-market/en/telecoms-rules" TargetMode="External"/><Relationship Id="rId20" Type="http://schemas.openxmlformats.org/officeDocument/2006/relationships/image" Target="media/image4.png"/><Relationship Id="rId41" Type="http://schemas.openxmlformats.org/officeDocument/2006/relationships/hyperlink" Target="https://www.competitionpolicyinternational.com/the-counterfactual-analysis-in-eu-merger-control/" TargetMode="External"/><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Layout" Target="diagrams/layout1.xml"/><Relationship Id="rId23" Type="http://schemas.openxmlformats.org/officeDocument/2006/relationships/image" Target="media/image7.png"/><Relationship Id="rId28" Type="http://schemas.microsoft.com/office/2007/relationships/diagramDrawing" Target="diagrams/drawing2.xml"/><Relationship Id="rId36" Type="http://schemas.openxmlformats.org/officeDocument/2006/relationships/hyperlink" Target="http://europa.eu/rapid/press-release_IP-17-1784_en.htm" TargetMode="External"/><Relationship Id="rId49" Type="http://schemas.openxmlformats.org/officeDocument/2006/relationships/hyperlink" Target="https://www.sans.org/reading-room/whitepapers/standards/osi-model-overview-543" TargetMode="External"/><Relationship Id="rId57" Type="http://schemas.openxmlformats.org/officeDocument/2006/relationships/fontTable" Target="fontTable.xml"/><Relationship Id="rId10" Type="http://schemas.openxmlformats.org/officeDocument/2006/relationships/footer" Target="footer3.xml"/><Relationship Id="rId31" Type="http://schemas.openxmlformats.org/officeDocument/2006/relationships/diagramData" Target="diagrams/data3.xml"/><Relationship Id="rId44" Type="http://schemas.openxmlformats.org/officeDocument/2006/relationships/hyperlink" Target="http://ec.europa.eu/competition/publications/reports/kd0419345enn.pdf" TargetMode="External"/><Relationship Id="rId52" Type="http://schemas.openxmlformats.org/officeDocument/2006/relationships/hyperlink" Target="https://www.wipo.int/sme/en/ip_business/trade_secrets/trade_secrets.htm"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wipo.int/sme/en/ip_business/trade_secrets/trade_secrets.htm" TargetMode="External"/><Relationship Id="rId13" Type="http://schemas.openxmlformats.org/officeDocument/2006/relationships/hyperlink" Target="https://ssrn.com/abstract=3064795" TargetMode="External"/><Relationship Id="rId18" Type="http://schemas.openxmlformats.org/officeDocument/2006/relationships/hyperlink" Target="https://www.thedrum.com/news/2018/07/21/google-microsoft-facebook-and-twitter-collaborate-data-transfer-project" TargetMode="External"/><Relationship Id="rId3" Type="http://schemas.openxmlformats.org/officeDocument/2006/relationships/hyperlink" Target="https://ssrn.com/abstract=3260138" TargetMode="External"/><Relationship Id="rId21" Type="http://schemas.openxmlformats.org/officeDocument/2006/relationships/hyperlink" Target="http://europa.eu/rapid/press-release_IP-17-1784_en.htm" TargetMode="External"/><Relationship Id="rId7" Type="http://schemas.openxmlformats.org/officeDocument/2006/relationships/hyperlink" Target="http://dx.doi.org/10.2139/ssrn.2747785" TargetMode="External"/><Relationship Id="rId12" Type="http://schemas.openxmlformats.org/officeDocument/2006/relationships/hyperlink" Target="https://www.competitionpolicyinternational.com/the-counterfactual-analysis-in-eu-merger-control/" TargetMode="External"/><Relationship Id="rId17" Type="http://schemas.openxmlformats.org/officeDocument/2006/relationships/hyperlink" Target="https://www.encyclopedia.com" TargetMode="External"/><Relationship Id="rId2" Type="http://schemas.openxmlformats.org/officeDocument/2006/relationships/hyperlink" Target="https://dictionary.cambridge.org/dictionary/english/interoperability" TargetMode="External"/><Relationship Id="rId16" Type="http://schemas.openxmlformats.org/officeDocument/2006/relationships/hyperlink" Target="https://www.cerre.eu/sites/cerre%20/files/141029_CERRE_MktDefMktPwrRegInt_ECMs_Final.pdf" TargetMode="External"/><Relationship Id="rId20" Type="http://schemas.openxmlformats.org/officeDocument/2006/relationships/hyperlink" Target="http://www.europarl.europa.eu/legislative-train/theme-connected-digital-single-market" TargetMode="External"/><Relationship Id="rId1" Type="http://schemas.openxmlformats.org/officeDocument/2006/relationships/hyperlink" Target="https://en.oxforddictionaries.com/definition/interoperability" TargetMode="External"/><Relationship Id="rId6" Type="http://schemas.openxmlformats.org/officeDocument/2006/relationships/hyperlink" Target="https://e-courses.epo.org/wbts_int/litigation/FundamentalsOfInfringement.pdf" TargetMode="External"/><Relationship Id="rId11" Type="http://schemas.openxmlformats.org/officeDocument/2006/relationships/hyperlink" Target="http://ec.europa.eu/competition/publications/reports/kd0419345enn.pdf" TargetMode="External"/><Relationship Id="rId5" Type="http://schemas.openxmlformats.org/officeDocument/2006/relationships/hyperlink" Target="https://www.sans.org/reading-room/whitepapers/standards/osi-model-overview-543" TargetMode="External"/><Relationship Id="rId15" Type="http://schemas.openxmlformats.org/officeDocument/2006/relationships/hyperlink" Target="https://krannert.purdue.edu/centers/ijio/Accepted/1720.pdf" TargetMode="External"/><Relationship Id="rId10" Type="http://schemas.openxmlformats.org/officeDocument/2006/relationships/hyperlink" Target="https://www.create.ac.uk/policy-responses/eu-copyright-reform/" TargetMode="External"/><Relationship Id="rId19" Type="http://schemas.openxmlformats.org/officeDocument/2006/relationships/hyperlink" Target="https://www.forbes.com/sites/forbestechcouncil/2018/06/22/cloud-interoperability-and-portability/" TargetMode="External"/><Relationship Id="rId4" Type="http://schemas.openxmlformats.org/officeDocument/2006/relationships/hyperlink" Target="http://www.urenio.org/e-innovation/stratinc/files/library/ict/15.ICT_standards.pdf" TargetMode="External"/><Relationship Id="rId9" Type="http://schemas.openxmlformats.org/officeDocument/2006/relationships/hyperlink" Target="https://doi.org/10.1111/j.1083-6101.1996.tb00059.x" TargetMode="External"/><Relationship Id="rId14" Type="http://schemas.openxmlformats.org/officeDocument/2006/relationships/hyperlink" Target="https://ec.europa.eu/digital-single-market/en/telecoms-rules"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825B7BB-DEA1-4B0C-9A88-84C3B1A7C8C5}" type="doc">
      <dgm:prSet loTypeId="urn:microsoft.com/office/officeart/2005/8/layout/radial3" loCatId="cycle" qsTypeId="urn:microsoft.com/office/officeart/2005/8/quickstyle/simple1" qsCatId="simple" csTypeId="urn:microsoft.com/office/officeart/2005/8/colors/accent1_2" csCatId="accent1" phldr="1"/>
      <dgm:spPr/>
      <dgm:t>
        <a:bodyPr/>
        <a:lstStyle/>
        <a:p>
          <a:endParaRPr lang="en-GB"/>
        </a:p>
      </dgm:t>
    </dgm:pt>
    <dgm:pt modelId="{9ECBC06E-889F-433A-85D7-C2BA3ACB738B}">
      <dgm:prSet phldrT="[Text]"/>
      <dgm:spPr/>
      <dgm:t>
        <a:bodyPr/>
        <a:lstStyle/>
        <a:p>
          <a:r>
            <a:rPr lang="en-GB" b="1" dirty="0"/>
            <a:t>Lack of interoperability</a:t>
          </a:r>
        </a:p>
      </dgm:t>
    </dgm:pt>
    <dgm:pt modelId="{8EBD8EC3-D339-4AAF-B545-D52620D79C66}" type="parTrans" cxnId="{C2C9A937-2F1C-49D4-B95A-CB79F47BCDD3}">
      <dgm:prSet/>
      <dgm:spPr/>
      <dgm:t>
        <a:bodyPr/>
        <a:lstStyle/>
        <a:p>
          <a:endParaRPr lang="en-GB"/>
        </a:p>
      </dgm:t>
    </dgm:pt>
    <dgm:pt modelId="{C5A64147-CDBE-4107-8D08-646FFEF9D4D0}" type="sibTrans" cxnId="{C2C9A937-2F1C-49D4-B95A-CB79F47BCDD3}">
      <dgm:prSet/>
      <dgm:spPr/>
      <dgm:t>
        <a:bodyPr/>
        <a:lstStyle/>
        <a:p>
          <a:endParaRPr lang="en-GB"/>
        </a:p>
      </dgm:t>
    </dgm:pt>
    <dgm:pt modelId="{C26707D9-E2A6-4050-8D02-F1C5584484C1}">
      <dgm:prSet/>
      <dgm:spPr/>
      <dgm:t>
        <a:bodyPr/>
        <a:lstStyle/>
        <a:p>
          <a:r>
            <a:rPr lang="en-GB" b="0" dirty="0"/>
            <a:t>Vendor lock-in &amp; Switching costs</a:t>
          </a:r>
        </a:p>
      </dgm:t>
    </dgm:pt>
    <dgm:pt modelId="{2729876F-3DCA-42BD-AFA9-972B6F57DCF7}" type="parTrans" cxnId="{3CC11D30-A99A-4C89-B988-A51C72D56402}">
      <dgm:prSet/>
      <dgm:spPr/>
      <dgm:t>
        <a:bodyPr/>
        <a:lstStyle/>
        <a:p>
          <a:endParaRPr lang="en-GB"/>
        </a:p>
      </dgm:t>
    </dgm:pt>
    <dgm:pt modelId="{5C90BBDE-7EAC-4760-9D2C-0E6ABAC5480B}" type="sibTrans" cxnId="{3CC11D30-A99A-4C89-B988-A51C72D56402}">
      <dgm:prSet/>
      <dgm:spPr/>
      <dgm:t>
        <a:bodyPr/>
        <a:lstStyle/>
        <a:p>
          <a:endParaRPr lang="en-GB"/>
        </a:p>
      </dgm:t>
    </dgm:pt>
    <dgm:pt modelId="{74CE7F68-28AB-43B5-952B-14F844740E47}">
      <dgm:prSet/>
      <dgm:spPr/>
      <dgm:t>
        <a:bodyPr/>
        <a:lstStyle/>
        <a:p>
          <a:r>
            <a:rPr lang="en-GB" b="0" dirty="0"/>
            <a:t>Network effects &amp; Market tipping and foreclosure</a:t>
          </a:r>
        </a:p>
      </dgm:t>
    </dgm:pt>
    <dgm:pt modelId="{DBCB7BB2-A43C-4FE9-B9E1-ECF6FAD08C8C}" type="parTrans" cxnId="{95A25B43-365E-47AE-B258-A7AFC8276367}">
      <dgm:prSet/>
      <dgm:spPr/>
      <dgm:t>
        <a:bodyPr/>
        <a:lstStyle/>
        <a:p>
          <a:endParaRPr lang="en-GB"/>
        </a:p>
      </dgm:t>
    </dgm:pt>
    <dgm:pt modelId="{D4A7CF73-C2F3-48D1-96DB-50AC58B86AA1}" type="sibTrans" cxnId="{95A25B43-365E-47AE-B258-A7AFC8276367}">
      <dgm:prSet/>
      <dgm:spPr/>
      <dgm:t>
        <a:bodyPr/>
        <a:lstStyle/>
        <a:p>
          <a:endParaRPr lang="en-GB"/>
        </a:p>
      </dgm:t>
    </dgm:pt>
    <dgm:pt modelId="{BBC32C0A-E77D-4D14-9BC2-4D78DE264ED9}">
      <dgm:prSet custT="1"/>
      <dgm:spPr/>
      <dgm:t>
        <a:bodyPr/>
        <a:lstStyle/>
        <a:p>
          <a:r>
            <a:rPr lang="en-GB" sz="1000" b="0" dirty="0"/>
            <a:t>Information flows &amp; asymmetries</a:t>
          </a:r>
        </a:p>
      </dgm:t>
    </dgm:pt>
    <dgm:pt modelId="{583D7636-A05B-48AA-B772-B138328BCE33}" type="parTrans" cxnId="{4E6800AB-B234-4E9A-BDA2-6CD6B8638BD1}">
      <dgm:prSet/>
      <dgm:spPr/>
      <dgm:t>
        <a:bodyPr/>
        <a:lstStyle/>
        <a:p>
          <a:endParaRPr lang="en-GB"/>
        </a:p>
      </dgm:t>
    </dgm:pt>
    <dgm:pt modelId="{3B853005-E494-4771-AFCB-6A2C2B1381B8}" type="sibTrans" cxnId="{4E6800AB-B234-4E9A-BDA2-6CD6B8638BD1}">
      <dgm:prSet/>
      <dgm:spPr/>
      <dgm:t>
        <a:bodyPr/>
        <a:lstStyle/>
        <a:p>
          <a:endParaRPr lang="en-GB"/>
        </a:p>
      </dgm:t>
    </dgm:pt>
    <dgm:pt modelId="{CA80C6D3-B265-4A1C-B9D6-B7605ABBDB6F}">
      <dgm:prSet phldrT="[Text]"/>
      <dgm:spPr/>
      <dgm:t>
        <a:bodyPr/>
        <a:lstStyle/>
        <a:p>
          <a:r>
            <a:rPr lang="en-GB" b="0" dirty="0"/>
            <a:t>Media plurality and cultural diversity</a:t>
          </a:r>
        </a:p>
      </dgm:t>
    </dgm:pt>
    <dgm:pt modelId="{F80737D6-5079-4344-B30E-2478FD2693EA}" type="parTrans" cxnId="{CEA3BA37-DB10-42EE-A7BD-BEB75C79309B}">
      <dgm:prSet/>
      <dgm:spPr/>
      <dgm:t>
        <a:bodyPr/>
        <a:lstStyle/>
        <a:p>
          <a:endParaRPr lang="en-GB"/>
        </a:p>
      </dgm:t>
    </dgm:pt>
    <dgm:pt modelId="{46B07075-C864-41F0-ACF3-1A7027D4A1E9}" type="sibTrans" cxnId="{CEA3BA37-DB10-42EE-A7BD-BEB75C79309B}">
      <dgm:prSet/>
      <dgm:spPr/>
      <dgm:t>
        <a:bodyPr/>
        <a:lstStyle/>
        <a:p>
          <a:endParaRPr lang="en-GB"/>
        </a:p>
      </dgm:t>
    </dgm:pt>
    <dgm:pt modelId="{4252DA3F-CBFA-4459-9193-CAD255100822}">
      <dgm:prSet phldrT="[Text]"/>
      <dgm:spPr/>
      <dgm:t>
        <a:bodyPr/>
        <a:lstStyle/>
        <a:p>
          <a:r>
            <a:rPr lang="en-GB" b="0" dirty="0"/>
            <a:t>End-to-end connectivity   (any-to-any communication)</a:t>
          </a:r>
        </a:p>
      </dgm:t>
    </dgm:pt>
    <dgm:pt modelId="{4393C32D-9566-4E1F-8258-D3EFBD8D74C4}" type="parTrans" cxnId="{F4B5E2A2-6456-4D62-AFBD-5EE60625F05D}">
      <dgm:prSet/>
      <dgm:spPr/>
      <dgm:t>
        <a:bodyPr/>
        <a:lstStyle/>
        <a:p>
          <a:endParaRPr lang="en-GB"/>
        </a:p>
      </dgm:t>
    </dgm:pt>
    <dgm:pt modelId="{0FB11BF5-9622-4671-8F02-BF7F671D68A9}" type="sibTrans" cxnId="{F4B5E2A2-6456-4D62-AFBD-5EE60625F05D}">
      <dgm:prSet/>
      <dgm:spPr/>
      <dgm:t>
        <a:bodyPr/>
        <a:lstStyle/>
        <a:p>
          <a:endParaRPr lang="en-GB"/>
        </a:p>
      </dgm:t>
    </dgm:pt>
    <dgm:pt modelId="{ABEBC90F-8478-419A-8DEB-2F328057E275}">
      <dgm:prSet phldrT="[Text]"/>
      <dgm:spPr/>
      <dgm:t>
        <a:bodyPr/>
        <a:lstStyle/>
        <a:p>
          <a:r>
            <a:rPr lang="en-GB" b="0" dirty="0"/>
            <a:t>Follow-on innovation</a:t>
          </a:r>
        </a:p>
      </dgm:t>
    </dgm:pt>
    <dgm:pt modelId="{F3B906A8-B1CB-492B-B54B-CCB639EC6C5E}" type="parTrans" cxnId="{168D3A00-E35F-4122-9A6F-7AE84FF9D9F8}">
      <dgm:prSet/>
      <dgm:spPr/>
      <dgm:t>
        <a:bodyPr/>
        <a:lstStyle/>
        <a:p>
          <a:endParaRPr lang="en-GB"/>
        </a:p>
      </dgm:t>
    </dgm:pt>
    <dgm:pt modelId="{4B18F397-8018-4D54-B258-83BE7F1C91AA}" type="sibTrans" cxnId="{168D3A00-E35F-4122-9A6F-7AE84FF9D9F8}">
      <dgm:prSet/>
      <dgm:spPr/>
      <dgm:t>
        <a:bodyPr/>
        <a:lstStyle/>
        <a:p>
          <a:endParaRPr lang="en-GB"/>
        </a:p>
      </dgm:t>
    </dgm:pt>
    <dgm:pt modelId="{88F3412D-A869-45C6-8D67-BBC7E9F29A89}" type="pres">
      <dgm:prSet presAssocID="{5825B7BB-DEA1-4B0C-9A88-84C3B1A7C8C5}" presName="composite" presStyleCnt="0">
        <dgm:presLayoutVars>
          <dgm:chMax val="1"/>
          <dgm:dir/>
          <dgm:resizeHandles val="exact"/>
        </dgm:presLayoutVars>
      </dgm:prSet>
      <dgm:spPr/>
    </dgm:pt>
    <dgm:pt modelId="{B2E0B386-AEDA-47DE-A380-701B0EA6BD8E}" type="pres">
      <dgm:prSet presAssocID="{5825B7BB-DEA1-4B0C-9A88-84C3B1A7C8C5}" presName="radial" presStyleCnt="0">
        <dgm:presLayoutVars>
          <dgm:animLvl val="ctr"/>
        </dgm:presLayoutVars>
      </dgm:prSet>
      <dgm:spPr/>
    </dgm:pt>
    <dgm:pt modelId="{2CA8CA2B-FE1B-4910-BAA5-39D673428C96}" type="pres">
      <dgm:prSet presAssocID="{9ECBC06E-889F-433A-85D7-C2BA3ACB738B}" presName="centerShape" presStyleLbl="vennNode1" presStyleIdx="0" presStyleCnt="7" custLinFactNeighborX="0"/>
      <dgm:spPr/>
    </dgm:pt>
    <dgm:pt modelId="{B35EB4CC-CDBF-4B02-ACD7-6ECA4E8B421F}" type="pres">
      <dgm:prSet presAssocID="{C26707D9-E2A6-4050-8D02-F1C5584484C1}" presName="node" presStyleLbl="vennNode1" presStyleIdx="1" presStyleCnt="7" custScaleX="157568" custRadScaleRad="91665" custRadScaleInc="1413">
        <dgm:presLayoutVars>
          <dgm:bulletEnabled val="1"/>
        </dgm:presLayoutVars>
      </dgm:prSet>
      <dgm:spPr/>
    </dgm:pt>
    <dgm:pt modelId="{6EE10A7C-31ED-4518-B167-D9E404ECF21F}" type="pres">
      <dgm:prSet presAssocID="{74CE7F68-28AB-43B5-952B-14F844740E47}" presName="node" presStyleLbl="vennNode1" presStyleIdx="2" presStyleCnt="7" custScaleX="161709" custLinFactNeighborX="1400" custLinFactNeighborY="12766" custRadScaleRad="108470" custRadScaleInc="12474">
        <dgm:presLayoutVars>
          <dgm:bulletEnabled val="1"/>
        </dgm:presLayoutVars>
      </dgm:prSet>
      <dgm:spPr/>
    </dgm:pt>
    <dgm:pt modelId="{7FCA3CE9-60F3-4573-A70E-D37051215780}" type="pres">
      <dgm:prSet presAssocID="{BBC32C0A-E77D-4D14-9BC2-4D78DE264ED9}" presName="node" presStyleLbl="vennNode1" presStyleIdx="3" presStyleCnt="7" custScaleX="160368" custLinFactNeighborX="700" custLinFactNeighborY="12766" custRadScaleRad="106570" custRadScaleInc="-12322">
        <dgm:presLayoutVars>
          <dgm:bulletEnabled val="1"/>
        </dgm:presLayoutVars>
      </dgm:prSet>
      <dgm:spPr/>
    </dgm:pt>
    <dgm:pt modelId="{76C5ED1E-3B9A-421E-8966-3FCD167EDD19}" type="pres">
      <dgm:prSet presAssocID="{CA80C6D3-B265-4A1C-B9D6-B7605ABBDB6F}" presName="node" presStyleLbl="vennNode1" presStyleIdx="4" presStyleCnt="7" custScaleX="164874" custRadScaleRad="92483" custRadScaleInc="665">
        <dgm:presLayoutVars>
          <dgm:bulletEnabled val="1"/>
        </dgm:presLayoutVars>
      </dgm:prSet>
      <dgm:spPr/>
    </dgm:pt>
    <dgm:pt modelId="{0FF29739-1C03-4BDF-BF9E-4669EFF37013}" type="pres">
      <dgm:prSet presAssocID="{4252DA3F-CBFA-4459-9193-CAD255100822}" presName="node" presStyleLbl="vennNode1" presStyleIdx="5" presStyleCnt="7" custScaleX="160687" custRadScaleRad="102788" custRadScaleInc="10854">
        <dgm:presLayoutVars>
          <dgm:bulletEnabled val="1"/>
        </dgm:presLayoutVars>
      </dgm:prSet>
      <dgm:spPr/>
    </dgm:pt>
    <dgm:pt modelId="{1724AE7E-69A5-4F1D-9A8F-E59B8B468B6E}" type="pres">
      <dgm:prSet presAssocID="{ABEBC90F-8478-419A-8DEB-2F328057E275}" presName="node" presStyleLbl="vennNode1" presStyleIdx="6" presStyleCnt="7" custScaleX="160687" custRadScaleRad="103664" custRadScaleInc="-12185">
        <dgm:presLayoutVars>
          <dgm:bulletEnabled val="1"/>
        </dgm:presLayoutVars>
      </dgm:prSet>
      <dgm:spPr/>
    </dgm:pt>
  </dgm:ptLst>
  <dgm:cxnLst>
    <dgm:cxn modelId="{168D3A00-E35F-4122-9A6F-7AE84FF9D9F8}" srcId="{9ECBC06E-889F-433A-85D7-C2BA3ACB738B}" destId="{ABEBC90F-8478-419A-8DEB-2F328057E275}" srcOrd="5" destOrd="0" parTransId="{F3B906A8-B1CB-492B-B54B-CCB639EC6C5E}" sibTransId="{4B18F397-8018-4D54-B258-83BE7F1C91AA}"/>
    <dgm:cxn modelId="{C517DB14-7558-452A-8144-31B2B04DACCF}" type="presOf" srcId="{74CE7F68-28AB-43B5-952B-14F844740E47}" destId="{6EE10A7C-31ED-4518-B167-D9E404ECF21F}" srcOrd="0" destOrd="0" presId="urn:microsoft.com/office/officeart/2005/8/layout/radial3"/>
    <dgm:cxn modelId="{3CC11D30-A99A-4C89-B988-A51C72D56402}" srcId="{9ECBC06E-889F-433A-85D7-C2BA3ACB738B}" destId="{C26707D9-E2A6-4050-8D02-F1C5584484C1}" srcOrd="0" destOrd="0" parTransId="{2729876F-3DCA-42BD-AFA9-972B6F57DCF7}" sibTransId="{5C90BBDE-7EAC-4760-9D2C-0E6ABAC5480B}"/>
    <dgm:cxn modelId="{C2C9A937-2F1C-49D4-B95A-CB79F47BCDD3}" srcId="{5825B7BB-DEA1-4B0C-9A88-84C3B1A7C8C5}" destId="{9ECBC06E-889F-433A-85D7-C2BA3ACB738B}" srcOrd="0" destOrd="0" parTransId="{8EBD8EC3-D339-4AAF-B545-D52620D79C66}" sibTransId="{C5A64147-CDBE-4107-8D08-646FFEF9D4D0}"/>
    <dgm:cxn modelId="{CEA3BA37-DB10-42EE-A7BD-BEB75C79309B}" srcId="{9ECBC06E-889F-433A-85D7-C2BA3ACB738B}" destId="{CA80C6D3-B265-4A1C-B9D6-B7605ABBDB6F}" srcOrd="3" destOrd="0" parTransId="{F80737D6-5079-4344-B30E-2478FD2693EA}" sibTransId="{46B07075-C864-41F0-ACF3-1A7027D4A1E9}"/>
    <dgm:cxn modelId="{F843BE3B-B860-4451-AB38-B1389364C068}" type="presOf" srcId="{9ECBC06E-889F-433A-85D7-C2BA3ACB738B}" destId="{2CA8CA2B-FE1B-4910-BAA5-39D673428C96}" srcOrd="0" destOrd="0" presId="urn:microsoft.com/office/officeart/2005/8/layout/radial3"/>
    <dgm:cxn modelId="{95A25B43-365E-47AE-B258-A7AFC8276367}" srcId="{9ECBC06E-889F-433A-85D7-C2BA3ACB738B}" destId="{74CE7F68-28AB-43B5-952B-14F844740E47}" srcOrd="1" destOrd="0" parTransId="{DBCB7BB2-A43C-4FE9-B9E1-ECF6FAD08C8C}" sibTransId="{D4A7CF73-C2F3-48D1-96DB-50AC58B86AA1}"/>
    <dgm:cxn modelId="{34DAD365-27F8-4139-9EB7-6A5F80237F35}" type="presOf" srcId="{ABEBC90F-8478-419A-8DEB-2F328057E275}" destId="{1724AE7E-69A5-4F1D-9A8F-E59B8B468B6E}" srcOrd="0" destOrd="0" presId="urn:microsoft.com/office/officeart/2005/8/layout/radial3"/>
    <dgm:cxn modelId="{031D398B-F5DD-4D68-B61B-15B300841540}" type="presOf" srcId="{CA80C6D3-B265-4A1C-B9D6-B7605ABBDB6F}" destId="{76C5ED1E-3B9A-421E-8966-3FCD167EDD19}" srcOrd="0" destOrd="0" presId="urn:microsoft.com/office/officeart/2005/8/layout/radial3"/>
    <dgm:cxn modelId="{F4B5E2A2-6456-4D62-AFBD-5EE60625F05D}" srcId="{9ECBC06E-889F-433A-85D7-C2BA3ACB738B}" destId="{4252DA3F-CBFA-4459-9193-CAD255100822}" srcOrd="4" destOrd="0" parTransId="{4393C32D-9566-4E1F-8258-D3EFBD8D74C4}" sibTransId="{0FB11BF5-9622-4671-8F02-BF7F671D68A9}"/>
    <dgm:cxn modelId="{4E6800AB-B234-4E9A-BDA2-6CD6B8638BD1}" srcId="{9ECBC06E-889F-433A-85D7-C2BA3ACB738B}" destId="{BBC32C0A-E77D-4D14-9BC2-4D78DE264ED9}" srcOrd="2" destOrd="0" parTransId="{583D7636-A05B-48AA-B772-B138328BCE33}" sibTransId="{3B853005-E494-4771-AFCB-6A2C2B1381B8}"/>
    <dgm:cxn modelId="{155637D2-88D1-49C8-B71A-BF59755558D5}" type="presOf" srcId="{4252DA3F-CBFA-4459-9193-CAD255100822}" destId="{0FF29739-1C03-4BDF-BF9E-4669EFF37013}" srcOrd="0" destOrd="0" presId="urn:microsoft.com/office/officeart/2005/8/layout/radial3"/>
    <dgm:cxn modelId="{5F8352D6-19EB-449E-AA8F-E88D5F46E761}" type="presOf" srcId="{5825B7BB-DEA1-4B0C-9A88-84C3B1A7C8C5}" destId="{88F3412D-A869-45C6-8D67-BBC7E9F29A89}" srcOrd="0" destOrd="0" presId="urn:microsoft.com/office/officeart/2005/8/layout/radial3"/>
    <dgm:cxn modelId="{353749E4-143C-41E3-A5C7-FF7A154342B0}" type="presOf" srcId="{C26707D9-E2A6-4050-8D02-F1C5584484C1}" destId="{B35EB4CC-CDBF-4B02-ACD7-6ECA4E8B421F}" srcOrd="0" destOrd="0" presId="urn:microsoft.com/office/officeart/2005/8/layout/radial3"/>
    <dgm:cxn modelId="{5494B1EE-4421-4BC2-BF11-5A49FF42D80B}" type="presOf" srcId="{BBC32C0A-E77D-4D14-9BC2-4D78DE264ED9}" destId="{7FCA3CE9-60F3-4573-A70E-D37051215780}" srcOrd="0" destOrd="0" presId="urn:microsoft.com/office/officeart/2005/8/layout/radial3"/>
    <dgm:cxn modelId="{D31DC54A-2185-4F48-993D-4A42E083D852}" type="presParOf" srcId="{88F3412D-A869-45C6-8D67-BBC7E9F29A89}" destId="{B2E0B386-AEDA-47DE-A380-701B0EA6BD8E}" srcOrd="0" destOrd="0" presId="urn:microsoft.com/office/officeart/2005/8/layout/radial3"/>
    <dgm:cxn modelId="{3B22331C-DBB0-4263-8CD3-7E244345F6B0}" type="presParOf" srcId="{B2E0B386-AEDA-47DE-A380-701B0EA6BD8E}" destId="{2CA8CA2B-FE1B-4910-BAA5-39D673428C96}" srcOrd="0" destOrd="0" presId="urn:microsoft.com/office/officeart/2005/8/layout/radial3"/>
    <dgm:cxn modelId="{4A854D47-88B2-4FE2-9BEB-DFF67DBA4B85}" type="presParOf" srcId="{B2E0B386-AEDA-47DE-A380-701B0EA6BD8E}" destId="{B35EB4CC-CDBF-4B02-ACD7-6ECA4E8B421F}" srcOrd="1" destOrd="0" presId="urn:microsoft.com/office/officeart/2005/8/layout/radial3"/>
    <dgm:cxn modelId="{E094CF7A-774C-4EE0-8F11-27305A051F07}" type="presParOf" srcId="{B2E0B386-AEDA-47DE-A380-701B0EA6BD8E}" destId="{6EE10A7C-31ED-4518-B167-D9E404ECF21F}" srcOrd="2" destOrd="0" presId="urn:microsoft.com/office/officeart/2005/8/layout/radial3"/>
    <dgm:cxn modelId="{446B1336-B8DE-4D87-B684-B2ED10FE7667}" type="presParOf" srcId="{B2E0B386-AEDA-47DE-A380-701B0EA6BD8E}" destId="{7FCA3CE9-60F3-4573-A70E-D37051215780}" srcOrd="3" destOrd="0" presId="urn:microsoft.com/office/officeart/2005/8/layout/radial3"/>
    <dgm:cxn modelId="{C5632F19-FFE2-419D-8B70-CD6546540833}" type="presParOf" srcId="{B2E0B386-AEDA-47DE-A380-701B0EA6BD8E}" destId="{76C5ED1E-3B9A-421E-8966-3FCD167EDD19}" srcOrd="4" destOrd="0" presId="urn:microsoft.com/office/officeart/2005/8/layout/radial3"/>
    <dgm:cxn modelId="{A4356C75-D6BD-4CEA-93BA-E534B6704291}" type="presParOf" srcId="{B2E0B386-AEDA-47DE-A380-701B0EA6BD8E}" destId="{0FF29739-1C03-4BDF-BF9E-4669EFF37013}" srcOrd="5" destOrd="0" presId="urn:microsoft.com/office/officeart/2005/8/layout/radial3"/>
    <dgm:cxn modelId="{C978A8FA-3B67-49DD-BA37-9A57AA71D4D7}" type="presParOf" srcId="{B2E0B386-AEDA-47DE-A380-701B0EA6BD8E}" destId="{1724AE7E-69A5-4F1D-9A8F-E59B8B468B6E}" srcOrd="6" destOrd="0" presId="urn:microsoft.com/office/officeart/2005/8/layout/radial3"/>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C0A4A32-D269-47E9-881A-FCF556267430}" type="doc">
      <dgm:prSet loTypeId="urn:microsoft.com/office/officeart/2005/8/layout/venn2" loCatId="relationship" qsTypeId="urn:microsoft.com/office/officeart/2005/8/quickstyle/simple1" qsCatId="simple" csTypeId="urn:microsoft.com/office/officeart/2005/8/colors/accent1_2" csCatId="accent1" phldr="1"/>
      <dgm:spPr/>
      <dgm:t>
        <a:bodyPr/>
        <a:lstStyle/>
        <a:p>
          <a:endParaRPr lang="en-GB"/>
        </a:p>
      </dgm:t>
    </dgm:pt>
    <dgm:pt modelId="{ED46F1CC-9092-4914-AA21-2D907F7104DE}">
      <dgm:prSet custT="1"/>
      <dgm:spPr/>
      <dgm:t>
        <a:bodyPr/>
        <a:lstStyle/>
        <a:p>
          <a:r>
            <a:rPr lang="en-US" sz="700" dirty="0"/>
            <a:t>Smart city </a:t>
          </a:r>
          <a:endParaRPr lang="en-GB" sz="700" dirty="0"/>
        </a:p>
      </dgm:t>
    </dgm:pt>
    <dgm:pt modelId="{0B14EEF4-F1C4-48EB-930E-CB4A07BAB25C}" type="parTrans" cxnId="{3659B258-077D-4089-93F4-F174C52CEA30}">
      <dgm:prSet/>
      <dgm:spPr/>
      <dgm:t>
        <a:bodyPr/>
        <a:lstStyle/>
        <a:p>
          <a:endParaRPr lang="en-GB"/>
        </a:p>
      </dgm:t>
    </dgm:pt>
    <dgm:pt modelId="{58ADF85B-C160-4DB0-AEB6-089FEE6CBC38}" type="sibTrans" cxnId="{3659B258-077D-4089-93F4-F174C52CEA30}">
      <dgm:prSet/>
      <dgm:spPr/>
      <dgm:t>
        <a:bodyPr/>
        <a:lstStyle/>
        <a:p>
          <a:endParaRPr lang="en-GB"/>
        </a:p>
      </dgm:t>
    </dgm:pt>
    <dgm:pt modelId="{FC9C3303-8A11-400F-B4BE-5DFDA24151B1}">
      <dgm:prSet custT="1"/>
      <dgm:spPr/>
      <dgm:t>
        <a:bodyPr/>
        <a:lstStyle/>
        <a:p>
          <a:r>
            <a:rPr lang="en-US" sz="700"/>
            <a:t>Smart home</a:t>
          </a:r>
          <a:endParaRPr lang="en-GB" sz="700"/>
        </a:p>
      </dgm:t>
    </dgm:pt>
    <dgm:pt modelId="{E2485FC9-B526-4101-BA4F-52413B13A569}" type="parTrans" cxnId="{75D1CF6A-DC8B-4E88-A0FC-B3DCF8E3A066}">
      <dgm:prSet/>
      <dgm:spPr/>
      <dgm:t>
        <a:bodyPr/>
        <a:lstStyle/>
        <a:p>
          <a:endParaRPr lang="en-GB"/>
        </a:p>
      </dgm:t>
    </dgm:pt>
    <dgm:pt modelId="{687F56A5-DBC5-4B2C-AF0A-FC090AF105E2}" type="sibTrans" cxnId="{75D1CF6A-DC8B-4E88-A0FC-B3DCF8E3A066}">
      <dgm:prSet/>
      <dgm:spPr/>
      <dgm:t>
        <a:bodyPr/>
        <a:lstStyle/>
        <a:p>
          <a:endParaRPr lang="en-GB"/>
        </a:p>
      </dgm:t>
    </dgm:pt>
    <dgm:pt modelId="{6E566A27-AA75-4FD8-97CB-AD98C6C1390B}">
      <dgm:prSet custT="1"/>
      <dgm:spPr/>
      <dgm:t>
        <a:bodyPr/>
        <a:lstStyle/>
        <a:p>
          <a:r>
            <a:rPr lang="en-US" sz="700" dirty="0"/>
            <a:t>Smart home appliances</a:t>
          </a:r>
          <a:endParaRPr lang="en-GB" sz="700" dirty="0"/>
        </a:p>
      </dgm:t>
    </dgm:pt>
    <dgm:pt modelId="{17B41005-9DF2-449F-97FB-063EC48583A2}" type="parTrans" cxnId="{9742F890-81A5-4522-8EC7-86C7772BE2C5}">
      <dgm:prSet/>
      <dgm:spPr/>
      <dgm:t>
        <a:bodyPr/>
        <a:lstStyle/>
        <a:p>
          <a:endParaRPr lang="en-GB"/>
        </a:p>
      </dgm:t>
    </dgm:pt>
    <dgm:pt modelId="{A4D11915-FBCC-4A45-ABDF-8124E69ADC20}" type="sibTrans" cxnId="{9742F890-81A5-4522-8EC7-86C7772BE2C5}">
      <dgm:prSet/>
      <dgm:spPr/>
      <dgm:t>
        <a:bodyPr/>
        <a:lstStyle/>
        <a:p>
          <a:endParaRPr lang="en-GB"/>
        </a:p>
      </dgm:t>
    </dgm:pt>
    <dgm:pt modelId="{49C782CD-B0C7-42E9-A85D-19190548129A}" type="pres">
      <dgm:prSet presAssocID="{4C0A4A32-D269-47E9-881A-FCF556267430}" presName="Name0" presStyleCnt="0">
        <dgm:presLayoutVars>
          <dgm:chMax val="7"/>
          <dgm:resizeHandles val="exact"/>
        </dgm:presLayoutVars>
      </dgm:prSet>
      <dgm:spPr/>
    </dgm:pt>
    <dgm:pt modelId="{59CE0B93-8DD7-48B8-9E46-3569444C076D}" type="pres">
      <dgm:prSet presAssocID="{4C0A4A32-D269-47E9-881A-FCF556267430}" presName="comp1" presStyleCnt="0"/>
      <dgm:spPr/>
    </dgm:pt>
    <dgm:pt modelId="{E70D20E6-76F8-4971-8872-51303B53F2CB}" type="pres">
      <dgm:prSet presAssocID="{4C0A4A32-D269-47E9-881A-FCF556267430}" presName="circle1" presStyleLbl="node1" presStyleIdx="0" presStyleCnt="3"/>
      <dgm:spPr/>
    </dgm:pt>
    <dgm:pt modelId="{985E1372-01DB-42C4-8476-8B8E6C31FFE2}" type="pres">
      <dgm:prSet presAssocID="{4C0A4A32-D269-47E9-881A-FCF556267430}" presName="c1text" presStyleLbl="node1" presStyleIdx="0" presStyleCnt="3">
        <dgm:presLayoutVars>
          <dgm:bulletEnabled val="1"/>
        </dgm:presLayoutVars>
      </dgm:prSet>
      <dgm:spPr/>
    </dgm:pt>
    <dgm:pt modelId="{EB4C111D-F4BF-418E-8844-070D19778CB0}" type="pres">
      <dgm:prSet presAssocID="{4C0A4A32-D269-47E9-881A-FCF556267430}" presName="comp2" presStyleCnt="0"/>
      <dgm:spPr/>
    </dgm:pt>
    <dgm:pt modelId="{9FCA6E1E-A03D-4B72-8B6F-5638A5EA137E}" type="pres">
      <dgm:prSet presAssocID="{4C0A4A32-D269-47E9-881A-FCF556267430}" presName="circle2" presStyleLbl="node1" presStyleIdx="1" presStyleCnt="3"/>
      <dgm:spPr/>
    </dgm:pt>
    <dgm:pt modelId="{5E0C08B1-2846-471D-BF9F-3144BA596244}" type="pres">
      <dgm:prSet presAssocID="{4C0A4A32-D269-47E9-881A-FCF556267430}" presName="c2text" presStyleLbl="node1" presStyleIdx="1" presStyleCnt="3">
        <dgm:presLayoutVars>
          <dgm:bulletEnabled val="1"/>
        </dgm:presLayoutVars>
      </dgm:prSet>
      <dgm:spPr/>
    </dgm:pt>
    <dgm:pt modelId="{5F5C1096-DB7D-4690-9606-D3336F50E631}" type="pres">
      <dgm:prSet presAssocID="{4C0A4A32-D269-47E9-881A-FCF556267430}" presName="comp3" presStyleCnt="0"/>
      <dgm:spPr/>
    </dgm:pt>
    <dgm:pt modelId="{88FC6E6A-4934-4913-963B-720B8FD5F92D}" type="pres">
      <dgm:prSet presAssocID="{4C0A4A32-D269-47E9-881A-FCF556267430}" presName="circle3" presStyleLbl="node1" presStyleIdx="2" presStyleCnt="3"/>
      <dgm:spPr/>
    </dgm:pt>
    <dgm:pt modelId="{4B4D15E6-0299-4727-95F6-A86246657BA0}" type="pres">
      <dgm:prSet presAssocID="{4C0A4A32-D269-47E9-881A-FCF556267430}" presName="c3text" presStyleLbl="node1" presStyleIdx="2" presStyleCnt="3">
        <dgm:presLayoutVars>
          <dgm:bulletEnabled val="1"/>
        </dgm:presLayoutVars>
      </dgm:prSet>
      <dgm:spPr/>
    </dgm:pt>
  </dgm:ptLst>
  <dgm:cxnLst>
    <dgm:cxn modelId="{25BEEF23-16DF-496F-8D96-C56FDC7FF3B6}" type="presOf" srcId="{ED46F1CC-9092-4914-AA21-2D907F7104DE}" destId="{E70D20E6-76F8-4971-8872-51303B53F2CB}" srcOrd="0" destOrd="0" presId="urn:microsoft.com/office/officeart/2005/8/layout/venn2"/>
    <dgm:cxn modelId="{04C5BF24-13AC-489F-B33B-29EE482647FF}" type="presOf" srcId="{ED46F1CC-9092-4914-AA21-2D907F7104DE}" destId="{985E1372-01DB-42C4-8476-8B8E6C31FFE2}" srcOrd="1" destOrd="0" presId="urn:microsoft.com/office/officeart/2005/8/layout/venn2"/>
    <dgm:cxn modelId="{A9428D61-51E7-4581-BE2B-9305CA1B7C7A}" type="presOf" srcId="{FC9C3303-8A11-400F-B4BE-5DFDA24151B1}" destId="{9FCA6E1E-A03D-4B72-8B6F-5638A5EA137E}" srcOrd="0" destOrd="0" presId="urn:microsoft.com/office/officeart/2005/8/layout/venn2"/>
    <dgm:cxn modelId="{75D1CF6A-DC8B-4E88-A0FC-B3DCF8E3A066}" srcId="{4C0A4A32-D269-47E9-881A-FCF556267430}" destId="{FC9C3303-8A11-400F-B4BE-5DFDA24151B1}" srcOrd="1" destOrd="0" parTransId="{E2485FC9-B526-4101-BA4F-52413B13A569}" sibTransId="{687F56A5-DBC5-4B2C-AF0A-FC090AF105E2}"/>
    <dgm:cxn modelId="{3659B258-077D-4089-93F4-F174C52CEA30}" srcId="{4C0A4A32-D269-47E9-881A-FCF556267430}" destId="{ED46F1CC-9092-4914-AA21-2D907F7104DE}" srcOrd="0" destOrd="0" parTransId="{0B14EEF4-F1C4-48EB-930E-CB4A07BAB25C}" sibTransId="{58ADF85B-C160-4DB0-AEB6-089FEE6CBC38}"/>
    <dgm:cxn modelId="{9742F890-81A5-4522-8EC7-86C7772BE2C5}" srcId="{4C0A4A32-D269-47E9-881A-FCF556267430}" destId="{6E566A27-AA75-4FD8-97CB-AD98C6C1390B}" srcOrd="2" destOrd="0" parTransId="{17B41005-9DF2-449F-97FB-063EC48583A2}" sibTransId="{A4D11915-FBCC-4A45-ABDF-8124E69ADC20}"/>
    <dgm:cxn modelId="{4E1DCFC4-F241-43FE-844C-35AA023EC6E3}" type="presOf" srcId="{4C0A4A32-D269-47E9-881A-FCF556267430}" destId="{49C782CD-B0C7-42E9-A85D-19190548129A}" srcOrd="0" destOrd="0" presId="urn:microsoft.com/office/officeart/2005/8/layout/venn2"/>
    <dgm:cxn modelId="{36A9A6CB-21B6-4FF3-86FB-77F4AF38A125}" type="presOf" srcId="{6E566A27-AA75-4FD8-97CB-AD98C6C1390B}" destId="{88FC6E6A-4934-4913-963B-720B8FD5F92D}" srcOrd="0" destOrd="0" presId="urn:microsoft.com/office/officeart/2005/8/layout/venn2"/>
    <dgm:cxn modelId="{087B55D5-F71C-4202-900D-45F6F8D6BD50}" type="presOf" srcId="{6E566A27-AA75-4FD8-97CB-AD98C6C1390B}" destId="{4B4D15E6-0299-4727-95F6-A86246657BA0}" srcOrd="1" destOrd="0" presId="urn:microsoft.com/office/officeart/2005/8/layout/venn2"/>
    <dgm:cxn modelId="{247D56E3-6EEF-4F43-8F10-7D4F0635933C}" type="presOf" srcId="{FC9C3303-8A11-400F-B4BE-5DFDA24151B1}" destId="{5E0C08B1-2846-471D-BF9F-3144BA596244}" srcOrd="1" destOrd="0" presId="urn:microsoft.com/office/officeart/2005/8/layout/venn2"/>
    <dgm:cxn modelId="{835D8D9B-C734-4516-B4B8-C6D77759B9B6}" type="presParOf" srcId="{49C782CD-B0C7-42E9-A85D-19190548129A}" destId="{59CE0B93-8DD7-48B8-9E46-3569444C076D}" srcOrd="0" destOrd="0" presId="urn:microsoft.com/office/officeart/2005/8/layout/venn2"/>
    <dgm:cxn modelId="{F19E608A-AE38-4590-B692-E9383B167CB8}" type="presParOf" srcId="{59CE0B93-8DD7-48B8-9E46-3569444C076D}" destId="{E70D20E6-76F8-4971-8872-51303B53F2CB}" srcOrd="0" destOrd="0" presId="urn:microsoft.com/office/officeart/2005/8/layout/venn2"/>
    <dgm:cxn modelId="{742461BF-F705-4452-93C8-52B9C9A3D34C}" type="presParOf" srcId="{59CE0B93-8DD7-48B8-9E46-3569444C076D}" destId="{985E1372-01DB-42C4-8476-8B8E6C31FFE2}" srcOrd="1" destOrd="0" presId="urn:microsoft.com/office/officeart/2005/8/layout/venn2"/>
    <dgm:cxn modelId="{B05BC3B3-694D-40B4-A145-E9CC4A8F933F}" type="presParOf" srcId="{49C782CD-B0C7-42E9-A85D-19190548129A}" destId="{EB4C111D-F4BF-418E-8844-070D19778CB0}" srcOrd="1" destOrd="0" presId="urn:microsoft.com/office/officeart/2005/8/layout/venn2"/>
    <dgm:cxn modelId="{7E803F45-1469-4304-86DE-DB7C367B55B3}" type="presParOf" srcId="{EB4C111D-F4BF-418E-8844-070D19778CB0}" destId="{9FCA6E1E-A03D-4B72-8B6F-5638A5EA137E}" srcOrd="0" destOrd="0" presId="urn:microsoft.com/office/officeart/2005/8/layout/venn2"/>
    <dgm:cxn modelId="{760F7241-4EB3-40AE-81B4-228F1E8FD384}" type="presParOf" srcId="{EB4C111D-F4BF-418E-8844-070D19778CB0}" destId="{5E0C08B1-2846-471D-BF9F-3144BA596244}" srcOrd="1" destOrd="0" presId="urn:microsoft.com/office/officeart/2005/8/layout/venn2"/>
    <dgm:cxn modelId="{0E752D2D-7F2B-4A38-8D2B-AB23376312E1}" type="presParOf" srcId="{49C782CD-B0C7-42E9-A85D-19190548129A}" destId="{5F5C1096-DB7D-4690-9606-D3336F50E631}" srcOrd="2" destOrd="0" presId="urn:microsoft.com/office/officeart/2005/8/layout/venn2"/>
    <dgm:cxn modelId="{B953E688-FD77-4903-925F-945AEEC413A0}" type="presParOf" srcId="{5F5C1096-DB7D-4690-9606-D3336F50E631}" destId="{88FC6E6A-4934-4913-963B-720B8FD5F92D}" srcOrd="0" destOrd="0" presId="urn:microsoft.com/office/officeart/2005/8/layout/venn2"/>
    <dgm:cxn modelId="{835A74D9-6E70-4A93-8298-3AB64A4CD567}" type="presParOf" srcId="{5F5C1096-DB7D-4690-9606-D3336F50E631}" destId="{4B4D15E6-0299-4727-95F6-A86246657BA0}" srcOrd="1" destOrd="0" presId="urn:microsoft.com/office/officeart/2005/8/layout/venn2"/>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723227C-8960-431C-A3A3-271BA5294FC3}" type="doc">
      <dgm:prSet loTypeId="urn:microsoft.com/office/officeart/2005/8/layout/chevron2" loCatId="process" qsTypeId="urn:microsoft.com/office/officeart/2005/8/quickstyle/simple3" qsCatId="simple" csTypeId="urn:microsoft.com/office/officeart/2005/8/colors/accent1_2" csCatId="accent1" phldr="1"/>
      <dgm:spPr/>
      <dgm:t>
        <a:bodyPr/>
        <a:lstStyle/>
        <a:p>
          <a:endParaRPr lang="en-GB"/>
        </a:p>
      </dgm:t>
    </dgm:pt>
    <dgm:pt modelId="{CF094B73-6F51-4A80-A7E8-F37D8097F544}">
      <dgm:prSet/>
      <dgm:spPr/>
      <dgm:t>
        <a:bodyPr/>
        <a:lstStyle/>
        <a:p>
          <a:r>
            <a:rPr lang="en-GB" b="1" dirty="0"/>
            <a:t>Doctrinal analysis</a:t>
          </a:r>
        </a:p>
      </dgm:t>
    </dgm:pt>
    <dgm:pt modelId="{D519FD79-DB51-419D-8F91-144C599B5693}" type="parTrans" cxnId="{E8004C2F-48BB-4EB0-8550-492193EEF9B9}">
      <dgm:prSet/>
      <dgm:spPr/>
      <dgm:t>
        <a:bodyPr/>
        <a:lstStyle/>
        <a:p>
          <a:endParaRPr lang="en-GB"/>
        </a:p>
      </dgm:t>
    </dgm:pt>
    <dgm:pt modelId="{2CBF3085-F715-4C60-9B52-CA2066C5E410}" type="sibTrans" cxnId="{E8004C2F-48BB-4EB0-8550-492193EEF9B9}">
      <dgm:prSet/>
      <dgm:spPr/>
      <dgm:t>
        <a:bodyPr/>
        <a:lstStyle/>
        <a:p>
          <a:endParaRPr lang="en-GB"/>
        </a:p>
      </dgm:t>
    </dgm:pt>
    <dgm:pt modelId="{527A9826-B1E3-4A69-AE60-4B3A00FEB7BA}">
      <dgm:prSet/>
      <dgm:spPr/>
      <dgm:t>
        <a:bodyPr/>
        <a:lstStyle/>
        <a:p>
          <a:r>
            <a:rPr lang="en-GB" b="1" dirty="0"/>
            <a:t>Case study research</a:t>
          </a:r>
        </a:p>
      </dgm:t>
    </dgm:pt>
    <dgm:pt modelId="{EEFD80A6-914F-46D0-9741-A38108B9E962}" type="parTrans" cxnId="{8DCE1ABF-D3DF-4A5D-9783-11D26AE857AC}">
      <dgm:prSet/>
      <dgm:spPr/>
      <dgm:t>
        <a:bodyPr/>
        <a:lstStyle/>
        <a:p>
          <a:endParaRPr lang="en-GB"/>
        </a:p>
      </dgm:t>
    </dgm:pt>
    <dgm:pt modelId="{5B3BB9A4-C751-4E89-8938-152C674A239C}" type="sibTrans" cxnId="{8DCE1ABF-D3DF-4A5D-9783-11D26AE857AC}">
      <dgm:prSet/>
      <dgm:spPr/>
      <dgm:t>
        <a:bodyPr/>
        <a:lstStyle/>
        <a:p>
          <a:endParaRPr lang="en-GB"/>
        </a:p>
      </dgm:t>
    </dgm:pt>
    <dgm:pt modelId="{34FDEB6D-CAE8-4A45-A3B9-7B240EF41AB0}">
      <dgm:prSet/>
      <dgm:spPr/>
      <dgm:t>
        <a:bodyPr/>
        <a:lstStyle/>
        <a:p>
          <a:r>
            <a:rPr lang="en-GB"/>
            <a:t>Strong interdependencies across the ICT layers</a:t>
          </a:r>
        </a:p>
      </dgm:t>
    </dgm:pt>
    <dgm:pt modelId="{E89E3F05-569B-4045-91B0-76ED98DB82A2}" type="parTrans" cxnId="{7BB68426-9D59-487F-8F90-1829DDDF4C54}">
      <dgm:prSet/>
      <dgm:spPr/>
      <dgm:t>
        <a:bodyPr/>
        <a:lstStyle/>
        <a:p>
          <a:endParaRPr lang="en-GB"/>
        </a:p>
      </dgm:t>
    </dgm:pt>
    <dgm:pt modelId="{2042AB3E-41FE-42F7-8634-C84DF89047E6}" type="sibTrans" cxnId="{7BB68426-9D59-487F-8F90-1829DDDF4C54}">
      <dgm:prSet/>
      <dgm:spPr/>
      <dgm:t>
        <a:bodyPr/>
        <a:lstStyle/>
        <a:p>
          <a:endParaRPr lang="en-GB"/>
        </a:p>
      </dgm:t>
    </dgm:pt>
    <dgm:pt modelId="{FAD2331E-C9FC-45FB-A31F-40F4C27070E7}">
      <dgm:prSet/>
      <dgm:spPr/>
      <dgm:t>
        <a:bodyPr/>
        <a:lstStyle/>
        <a:p>
          <a:r>
            <a:rPr lang="en-GB" b="1" dirty="0"/>
            <a:t>Construction of the ‘layered regulatory model’</a:t>
          </a:r>
        </a:p>
      </dgm:t>
    </dgm:pt>
    <dgm:pt modelId="{E51950C8-F34F-469F-BE6D-2EC6B1CB9358}" type="parTrans" cxnId="{F0742685-5C44-4D8A-93BF-25A5A0A0A3C3}">
      <dgm:prSet/>
      <dgm:spPr/>
      <dgm:t>
        <a:bodyPr/>
        <a:lstStyle/>
        <a:p>
          <a:endParaRPr lang="en-GB"/>
        </a:p>
      </dgm:t>
    </dgm:pt>
    <dgm:pt modelId="{2E0E2C92-871F-4927-8AEF-0EE419F4A064}" type="sibTrans" cxnId="{F0742685-5C44-4D8A-93BF-25A5A0A0A3C3}">
      <dgm:prSet/>
      <dgm:spPr/>
      <dgm:t>
        <a:bodyPr/>
        <a:lstStyle/>
        <a:p>
          <a:endParaRPr lang="en-GB"/>
        </a:p>
      </dgm:t>
    </dgm:pt>
    <dgm:pt modelId="{58E4E5AD-3DFA-4CF7-8634-023CC4EFE6FB}">
      <dgm:prSet/>
      <dgm:spPr/>
      <dgm:t>
        <a:bodyPr/>
        <a:lstStyle/>
        <a:p>
          <a:r>
            <a:rPr lang="en-GB"/>
            <a:t>Gatekeeping roles and functionalities</a:t>
          </a:r>
        </a:p>
      </dgm:t>
    </dgm:pt>
    <dgm:pt modelId="{D617095D-8E2B-43B7-AAC5-2AC34DBCA9DE}" type="parTrans" cxnId="{393F4B99-8FC3-4ECB-A9E3-CA332CA5B175}">
      <dgm:prSet/>
      <dgm:spPr/>
      <dgm:t>
        <a:bodyPr/>
        <a:lstStyle/>
        <a:p>
          <a:endParaRPr lang="en-GB"/>
        </a:p>
      </dgm:t>
    </dgm:pt>
    <dgm:pt modelId="{98F3C79F-14A0-4E7F-864C-BA862E64CB34}" type="sibTrans" cxnId="{393F4B99-8FC3-4ECB-A9E3-CA332CA5B175}">
      <dgm:prSet/>
      <dgm:spPr/>
      <dgm:t>
        <a:bodyPr/>
        <a:lstStyle/>
        <a:p>
          <a:endParaRPr lang="en-GB"/>
        </a:p>
      </dgm:t>
    </dgm:pt>
    <dgm:pt modelId="{9F983AAA-CB1A-4A50-9085-58ADCEDAA671}">
      <dgm:prSet/>
      <dgm:spPr/>
      <dgm:t>
        <a:bodyPr/>
        <a:lstStyle/>
        <a:p>
          <a:r>
            <a:rPr lang="en-GB"/>
            <a:t>From multi-disciplinary EU legal perspective </a:t>
          </a:r>
          <a:endParaRPr lang="en-GB" dirty="0"/>
        </a:p>
      </dgm:t>
    </dgm:pt>
    <dgm:pt modelId="{C84B6F05-5B81-4B18-BBC4-22864684D6CA}" type="sibTrans" cxnId="{0DC33AC2-B611-4E8F-BF82-3347F97D83B2}">
      <dgm:prSet/>
      <dgm:spPr/>
      <dgm:t>
        <a:bodyPr/>
        <a:lstStyle/>
        <a:p>
          <a:endParaRPr lang="en-GB"/>
        </a:p>
      </dgm:t>
    </dgm:pt>
    <dgm:pt modelId="{9C94730D-336C-4075-A757-3852BBE310F8}" type="parTrans" cxnId="{0DC33AC2-B611-4E8F-BF82-3347F97D83B2}">
      <dgm:prSet/>
      <dgm:spPr/>
      <dgm:t>
        <a:bodyPr/>
        <a:lstStyle/>
        <a:p>
          <a:endParaRPr lang="en-GB"/>
        </a:p>
      </dgm:t>
    </dgm:pt>
    <dgm:pt modelId="{A5F664B0-B199-44F6-9903-E698808CE880}">
      <dgm:prSet/>
      <dgm:spPr/>
      <dgm:t>
        <a:bodyPr/>
        <a:lstStyle/>
        <a:p>
          <a:r>
            <a:rPr lang="en-GB" b="1" dirty="0"/>
            <a:t>Filtering policy approach</a:t>
          </a:r>
        </a:p>
      </dgm:t>
    </dgm:pt>
    <dgm:pt modelId="{828F7ACF-7C40-4266-814E-B3C6E024760B}" type="sibTrans" cxnId="{554FABE9-8090-42D2-8135-2159CC9EEC6D}">
      <dgm:prSet/>
      <dgm:spPr/>
      <dgm:t>
        <a:bodyPr/>
        <a:lstStyle/>
        <a:p>
          <a:endParaRPr lang="en-GB"/>
        </a:p>
      </dgm:t>
    </dgm:pt>
    <dgm:pt modelId="{4833855B-97B5-49EA-8A3D-95F9D22527A4}" type="parTrans" cxnId="{554FABE9-8090-42D2-8135-2159CC9EEC6D}">
      <dgm:prSet/>
      <dgm:spPr/>
      <dgm:t>
        <a:bodyPr/>
        <a:lstStyle/>
        <a:p>
          <a:endParaRPr lang="en-GB"/>
        </a:p>
      </dgm:t>
    </dgm:pt>
    <dgm:pt modelId="{1C2DDD06-4C44-41B5-91AF-5765097709EF}">
      <dgm:prSet/>
      <dgm:spPr/>
      <dgm:t>
        <a:bodyPr/>
        <a:lstStyle/>
        <a:p>
          <a:r>
            <a:rPr lang="en-GB" b="0" dirty="0"/>
            <a:t>Multi-layered perspective</a:t>
          </a:r>
        </a:p>
      </dgm:t>
    </dgm:pt>
    <dgm:pt modelId="{E85922AD-93DC-49BE-ABAA-292FDE7ACD9B}" type="parTrans" cxnId="{7D790757-63C8-48EE-8810-EA0602B7F512}">
      <dgm:prSet/>
      <dgm:spPr/>
      <dgm:t>
        <a:bodyPr/>
        <a:lstStyle/>
        <a:p>
          <a:endParaRPr lang="en-GB"/>
        </a:p>
      </dgm:t>
    </dgm:pt>
    <dgm:pt modelId="{FD509AC0-BFA4-4A58-A278-EAE716EB619C}" type="sibTrans" cxnId="{7D790757-63C8-48EE-8810-EA0602B7F512}">
      <dgm:prSet/>
      <dgm:spPr/>
      <dgm:t>
        <a:bodyPr/>
        <a:lstStyle/>
        <a:p>
          <a:endParaRPr lang="en-GB"/>
        </a:p>
      </dgm:t>
    </dgm:pt>
    <dgm:pt modelId="{A60C9387-A80F-4E0F-A00D-E5199AE4DEDB}">
      <dgm:prSet/>
      <dgm:spPr/>
      <dgm:t>
        <a:bodyPr/>
        <a:lstStyle/>
        <a:p>
          <a:r>
            <a:rPr lang="en-GB" b="0" dirty="0"/>
            <a:t>Ex ante</a:t>
          </a:r>
        </a:p>
      </dgm:t>
    </dgm:pt>
    <dgm:pt modelId="{BEABC881-6441-4A03-B0C5-9D6E15220376}" type="parTrans" cxnId="{CB5D3B44-361B-43C2-BE20-9512C59CE460}">
      <dgm:prSet/>
      <dgm:spPr/>
      <dgm:t>
        <a:bodyPr/>
        <a:lstStyle/>
        <a:p>
          <a:endParaRPr lang="en-GB"/>
        </a:p>
      </dgm:t>
    </dgm:pt>
    <dgm:pt modelId="{9805B0C7-9BA7-49BD-9B78-E5710D2E39A9}" type="sibTrans" cxnId="{CB5D3B44-361B-43C2-BE20-9512C59CE460}">
      <dgm:prSet/>
      <dgm:spPr/>
      <dgm:t>
        <a:bodyPr/>
        <a:lstStyle/>
        <a:p>
          <a:endParaRPr lang="en-GB"/>
        </a:p>
      </dgm:t>
    </dgm:pt>
    <dgm:pt modelId="{7E8EAFB7-178E-43BD-B8C4-B8FC944D5C6E}">
      <dgm:prSet/>
      <dgm:spPr/>
      <dgm:t>
        <a:bodyPr/>
        <a:lstStyle/>
        <a:p>
          <a:r>
            <a:rPr lang="en-GB" b="0" dirty="0"/>
            <a:t>Holistic</a:t>
          </a:r>
        </a:p>
      </dgm:t>
    </dgm:pt>
    <dgm:pt modelId="{0AB23F69-4D49-4E6A-8B86-915C14495374}" type="parTrans" cxnId="{1DE60843-69F4-4267-B9AC-49ED9A9D5C41}">
      <dgm:prSet/>
      <dgm:spPr/>
      <dgm:t>
        <a:bodyPr/>
        <a:lstStyle/>
        <a:p>
          <a:endParaRPr lang="en-GB"/>
        </a:p>
      </dgm:t>
    </dgm:pt>
    <dgm:pt modelId="{9D13C7A1-3340-420A-9A0A-686D6A07971C}" type="sibTrans" cxnId="{1DE60843-69F4-4267-B9AC-49ED9A9D5C41}">
      <dgm:prSet/>
      <dgm:spPr/>
      <dgm:t>
        <a:bodyPr/>
        <a:lstStyle/>
        <a:p>
          <a:endParaRPr lang="en-GB"/>
        </a:p>
      </dgm:t>
    </dgm:pt>
    <dgm:pt modelId="{004134C4-CA05-42C9-9422-90B93CD57124}">
      <dgm:prSet/>
      <dgm:spPr/>
      <dgm:t>
        <a:bodyPr/>
        <a:lstStyle/>
        <a:p>
          <a:r>
            <a:rPr lang="en-GB" dirty="0"/>
            <a:t>Disaggregated legal structure</a:t>
          </a:r>
        </a:p>
      </dgm:t>
    </dgm:pt>
    <dgm:pt modelId="{8661C5BC-8B5C-4037-86BD-95C79F3EDF95}" type="parTrans" cxnId="{585B18C6-7406-4B6B-BC7D-CC0A443EF56A}">
      <dgm:prSet/>
      <dgm:spPr/>
      <dgm:t>
        <a:bodyPr/>
        <a:lstStyle/>
        <a:p>
          <a:endParaRPr lang="en-GB"/>
        </a:p>
      </dgm:t>
    </dgm:pt>
    <dgm:pt modelId="{1F1B9C06-A496-4BDD-BD0C-AD26299053D8}" type="sibTrans" cxnId="{585B18C6-7406-4B6B-BC7D-CC0A443EF56A}">
      <dgm:prSet/>
      <dgm:spPr/>
      <dgm:t>
        <a:bodyPr/>
        <a:lstStyle/>
        <a:p>
          <a:endParaRPr lang="en-GB"/>
        </a:p>
      </dgm:t>
    </dgm:pt>
    <dgm:pt modelId="{F55D2AB0-E881-4667-B375-BED5BD78EC50}">
      <dgm:prSet/>
      <dgm:spPr/>
      <dgm:t>
        <a:bodyPr/>
        <a:lstStyle/>
        <a:p>
          <a:r>
            <a:rPr lang="en-GB" dirty="0"/>
            <a:t>Partial/limited solutions for ICT interoperability</a:t>
          </a:r>
        </a:p>
      </dgm:t>
    </dgm:pt>
    <dgm:pt modelId="{EFE5822D-9F07-4556-826A-E13BC0BCD4B7}" type="parTrans" cxnId="{9BD664AF-F986-445B-B1B7-7096984E3AB6}">
      <dgm:prSet/>
      <dgm:spPr/>
      <dgm:t>
        <a:bodyPr/>
        <a:lstStyle/>
        <a:p>
          <a:endParaRPr lang="en-GB"/>
        </a:p>
      </dgm:t>
    </dgm:pt>
    <dgm:pt modelId="{02502076-A227-49D2-B604-AE2811874F47}" type="sibTrans" cxnId="{9BD664AF-F986-445B-B1B7-7096984E3AB6}">
      <dgm:prSet/>
      <dgm:spPr/>
      <dgm:t>
        <a:bodyPr/>
        <a:lstStyle/>
        <a:p>
          <a:endParaRPr lang="en-GB"/>
        </a:p>
      </dgm:t>
    </dgm:pt>
    <dgm:pt modelId="{95C59045-B55B-44A1-8E6F-3B3EE740397B}">
      <dgm:prSet/>
      <dgm:spPr/>
      <dgm:t>
        <a:bodyPr/>
        <a:lstStyle/>
        <a:p>
          <a:r>
            <a:rPr lang="en-GB" dirty="0"/>
            <a:t>Lack of a multi-layered holistic approach</a:t>
          </a:r>
        </a:p>
      </dgm:t>
    </dgm:pt>
    <dgm:pt modelId="{0D127E67-8C8C-429F-B7BE-4B25EF402F34}" type="parTrans" cxnId="{0D0D3C0C-A2D9-4C5E-A82B-471CCC1DFDB6}">
      <dgm:prSet/>
      <dgm:spPr/>
      <dgm:t>
        <a:bodyPr/>
        <a:lstStyle/>
        <a:p>
          <a:endParaRPr lang="en-GB"/>
        </a:p>
      </dgm:t>
    </dgm:pt>
    <dgm:pt modelId="{40B276D6-D4AB-44BA-8B76-C1825B80338F}" type="sibTrans" cxnId="{0D0D3C0C-A2D9-4C5E-A82B-471CCC1DFDB6}">
      <dgm:prSet/>
      <dgm:spPr/>
      <dgm:t>
        <a:bodyPr/>
        <a:lstStyle/>
        <a:p>
          <a:endParaRPr lang="en-GB"/>
        </a:p>
      </dgm:t>
    </dgm:pt>
    <dgm:pt modelId="{CB6C054A-33B1-4C79-8837-ADFA4A477EF5}">
      <dgm:prSet/>
      <dgm:spPr/>
      <dgm:t>
        <a:bodyPr/>
        <a:lstStyle/>
        <a:p>
          <a:r>
            <a:rPr lang="en-GB"/>
            <a:t>Co-existence of ecosystems and non-ecosystem structures, as derived from cloud and the IoT settings</a:t>
          </a:r>
        </a:p>
      </dgm:t>
    </dgm:pt>
    <dgm:pt modelId="{D14CB7BA-45CB-4ACF-8CC0-266770BA5654}" type="parTrans" cxnId="{494BEA0C-0E6C-45F3-95F7-6D09C006FBF3}">
      <dgm:prSet/>
      <dgm:spPr/>
      <dgm:t>
        <a:bodyPr/>
        <a:lstStyle/>
        <a:p>
          <a:endParaRPr lang="en-GB"/>
        </a:p>
      </dgm:t>
    </dgm:pt>
    <dgm:pt modelId="{9CFD7672-7477-47FE-9160-F389AE7F0CB3}" type="sibTrans" cxnId="{494BEA0C-0E6C-45F3-95F7-6D09C006FBF3}">
      <dgm:prSet/>
      <dgm:spPr/>
      <dgm:t>
        <a:bodyPr/>
        <a:lstStyle/>
        <a:p>
          <a:endParaRPr lang="en-GB"/>
        </a:p>
      </dgm:t>
    </dgm:pt>
    <dgm:pt modelId="{CAFF0CB2-1F0B-4E3E-BBDA-48BA67E9CC6C}">
      <dgm:prSet/>
      <dgm:spPr/>
      <dgm:t>
        <a:bodyPr/>
        <a:lstStyle/>
        <a:p>
          <a:r>
            <a:rPr lang="en-GB"/>
            <a:t>Potential interoperability gaps along with far-reaching implications e.g. vendor lock-in, gatekeeping activities</a:t>
          </a:r>
        </a:p>
      </dgm:t>
    </dgm:pt>
    <dgm:pt modelId="{4EC9F7F5-7C9B-4525-BA99-143CD251A5BB}" type="parTrans" cxnId="{D5A97ACE-9EC9-49C5-BE27-A646A794A311}">
      <dgm:prSet/>
      <dgm:spPr/>
      <dgm:t>
        <a:bodyPr/>
        <a:lstStyle/>
        <a:p>
          <a:endParaRPr lang="en-GB"/>
        </a:p>
      </dgm:t>
    </dgm:pt>
    <dgm:pt modelId="{A247ED4A-97C3-44EF-8940-467BB0AADA93}" type="sibTrans" cxnId="{D5A97ACE-9EC9-49C5-BE27-A646A794A311}">
      <dgm:prSet/>
      <dgm:spPr/>
      <dgm:t>
        <a:bodyPr/>
        <a:lstStyle/>
        <a:p>
          <a:endParaRPr lang="en-GB"/>
        </a:p>
      </dgm:t>
    </dgm:pt>
    <dgm:pt modelId="{252908D8-7A6A-4254-B214-E41A31D8AC0A}">
      <dgm:prSet/>
      <dgm:spPr/>
      <dgm:t>
        <a:bodyPr/>
        <a:lstStyle/>
        <a:p>
          <a:r>
            <a:rPr lang="en-GB"/>
            <a:t>Governing principles &amp; remedies</a:t>
          </a:r>
        </a:p>
      </dgm:t>
    </dgm:pt>
    <dgm:pt modelId="{1BCD73F3-D02E-41C5-9D41-155A79775B96}" type="parTrans" cxnId="{4B77C287-20DE-4BA6-85E6-BD6FAB987958}">
      <dgm:prSet/>
      <dgm:spPr/>
      <dgm:t>
        <a:bodyPr/>
        <a:lstStyle/>
        <a:p>
          <a:endParaRPr lang="en-GB"/>
        </a:p>
      </dgm:t>
    </dgm:pt>
    <dgm:pt modelId="{F3235B89-9664-4249-A1A6-6ABCA1E6D32C}" type="sibTrans" cxnId="{4B77C287-20DE-4BA6-85E6-BD6FAB987958}">
      <dgm:prSet/>
      <dgm:spPr/>
      <dgm:t>
        <a:bodyPr/>
        <a:lstStyle/>
        <a:p>
          <a:endParaRPr lang="en-GB"/>
        </a:p>
      </dgm:t>
    </dgm:pt>
    <dgm:pt modelId="{A4188960-6F1E-4E9A-8967-A17D059B777E}">
      <dgm:prSet/>
      <dgm:spPr/>
      <dgm:t>
        <a:bodyPr/>
        <a:lstStyle/>
        <a:p>
          <a:r>
            <a:rPr lang="en-GB"/>
            <a:t>Prohibition of 'restriction of access and interoperability resulting in limiting consumer choices'</a:t>
          </a:r>
        </a:p>
      </dgm:t>
    </dgm:pt>
    <dgm:pt modelId="{4304438E-172A-48F9-8555-343519D58BD6}" type="parTrans" cxnId="{CAEBEE3D-33DE-432B-AFD1-75E07F0475DB}">
      <dgm:prSet/>
      <dgm:spPr/>
      <dgm:t>
        <a:bodyPr/>
        <a:lstStyle/>
        <a:p>
          <a:endParaRPr lang="en-GB"/>
        </a:p>
      </dgm:t>
    </dgm:pt>
    <dgm:pt modelId="{29A8E854-97AB-4F90-B617-86AF11A6630B}" type="sibTrans" cxnId="{CAEBEE3D-33DE-432B-AFD1-75E07F0475DB}">
      <dgm:prSet/>
      <dgm:spPr/>
      <dgm:t>
        <a:bodyPr/>
        <a:lstStyle/>
        <a:p>
          <a:endParaRPr lang="en-GB"/>
        </a:p>
      </dgm:t>
    </dgm:pt>
    <dgm:pt modelId="{6410019D-E025-4856-84DB-1A844090D48A}">
      <dgm:prSet/>
      <dgm:spPr/>
      <dgm:t>
        <a:bodyPr/>
        <a:lstStyle/>
        <a:p>
          <a:r>
            <a:rPr lang="en-GB"/>
            <a:t>Mitigating aspects e.g. coopetition, self-regulatory mechanisms </a:t>
          </a:r>
        </a:p>
      </dgm:t>
    </dgm:pt>
    <dgm:pt modelId="{AA911EEE-322F-431F-B32A-A4AD16FCD8DD}" type="parTrans" cxnId="{B57CAD7D-FF1D-4812-9B52-541FC0DA5088}">
      <dgm:prSet/>
      <dgm:spPr/>
      <dgm:t>
        <a:bodyPr/>
        <a:lstStyle/>
        <a:p>
          <a:endParaRPr lang="en-GB"/>
        </a:p>
      </dgm:t>
    </dgm:pt>
    <dgm:pt modelId="{5F70E76A-86AC-4933-B268-B7DA01AEAE34}" type="sibTrans" cxnId="{B57CAD7D-FF1D-4812-9B52-541FC0DA5088}">
      <dgm:prSet/>
      <dgm:spPr/>
      <dgm:t>
        <a:bodyPr/>
        <a:lstStyle/>
        <a:p>
          <a:endParaRPr lang="en-GB"/>
        </a:p>
      </dgm:t>
    </dgm:pt>
    <dgm:pt modelId="{2BB43F93-10F1-46C8-A681-DFC30AD5C8FA}" type="pres">
      <dgm:prSet presAssocID="{9723227C-8960-431C-A3A3-271BA5294FC3}" presName="linearFlow" presStyleCnt="0">
        <dgm:presLayoutVars>
          <dgm:dir/>
          <dgm:animLvl val="lvl"/>
          <dgm:resizeHandles val="exact"/>
        </dgm:presLayoutVars>
      </dgm:prSet>
      <dgm:spPr/>
    </dgm:pt>
    <dgm:pt modelId="{1821B892-96C0-465D-AA33-16D3CF3C0B11}" type="pres">
      <dgm:prSet presAssocID="{CF094B73-6F51-4A80-A7E8-F37D8097F544}" presName="composite" presStyleCnt="0"/>
      <dgm:spPr/>
    </dgm:pt>
    <dgm:pt modelId="{9ACD9D3C-4874-4BAB-882F-112F17AD7EDF}" type="pres">
      <dgm:prSet presAssocID="{CF094B73-6F51-4A80-A7E8-F37D8097F544}" presName="parentText" presStyleLbl="alignNode1" presStyleIdx="0" presStyleCnt="4">
        <dgm:presLayoutVars>
          <dgm:chMax val="1"/>
          <dgm:bulletEnabled val="1"/>
        </dgm:presLayoutVars>
      </dgm:prSet>
      <dgm:spPr/>
    </dgm:pt>
    <dgm:pt modelId="{783B1985-B028-452B-9279-4C7DFCD5863B}" type="pres">
      <dgm:prSet presAssocID="{CF094B73-6F51-4A80-A7E8-F37D8097F544}" presName="descendantText" presStyleLbl="alignAcc1" presStyleIdx="0" presStyleCnt="4">
        <dgm:presLayoutVars>
          <dgm:bulletEnabled val="1"/>
        </dgm:presLayoutVars>
      </dgm:prSet>
      <dgm:spPr/>
    </dgm:pt>
    <dgm:pt modelId="{C8A1CD90-0E54-48E5-B80E-2D45527547A3}" type="pres">
      <dgm:prSet presAssocID="{2CBF3085-F715-4C60-9B52-CA2066C5E410}" presName="sp" presStyleCnt="0"/>
      <dgm:spPr/>
    </dgm:pt>
    <dgm:pt modelId="{1BA1B06D-65DA-4E12-9077-2A706BA0AC36}" type="pres">
      <dgm:prSet presAssocID="{527A9826-B1E3-4A69-AE60-4B3A00FEB7BA}" presName="composite" presStyleCnt="0"/>
      <dgm:spPr/>
    </dgm:pt>
    <dgm:pt modelId="{7BC8518A-7250-44BD-91A0-B27B6F6FBBD6}" type="pres">
      <dgm:prSet presAssocID="{527A9826-B1E3-4A69-AE60-4B3A00FEB7BA}" presName="parentText" presStyleLbl="alignNode1" presStyleIdx="1" presStyleCnt="4">
        <dgm:presLayoutVars>
          <dgm:chMax val="1"/>
          <dgm:bulletEnabled val="1"/>
        </dgm:presLayoutVars>
      </dgm:prSet>
      <dgm:spPr/>
    </dgm:pt>
    <dgm:pt modelId="{B842EA31-FE81-41AA-B64E-22A85306916A}" type="pres">
      <dgm:prSet presAssocID="{527A9826-B1E3-4A69-AE60-4B3A00FEB7BA}" presName="descendantText" presStyleLbl="alignAcc1" presStyleIdx="1" presStyleCnt="4">
        <dgm:presLayoutVars>
          <dgm:bulletEnabled val="1"/>
        </dgm:presLayoutVars>
      </dgm:prSet>
      <dgm:spPr/>
    </dgm:pt>
    <dgm:pt modelId="{E99DA31F-1D3E-46E8-A7C8-69468C0770AD}" type="pres">
      <dgm:prSet presAssocID="{5B3BB9A4-C751-4E89-8938-152C674A239C}" presName="sp" presStyleCnt="0"/>
      <dgm:spPr/>
    </dgm:pt>
    <dgm:pt modelId="{815AE895-F60F-40A7-8801-564B83BA041B}" type="pres">
      <dgm:prSet presAssocID="{A5F664B0-B199-44F6-9903-E698808CE880}" presName="composite" presStyleCnt="0"/>
      <dgm:spPr/>
    </dgm:pt>
    <dgm:pt modelId="{F9768DCF-E5B6-46FE-9A8D-ACEA1FE97016}" type="pres">
      <dgm:prSet presAssocID="{A5F664B0-B199-44F6-9903-E698808CE880}" presName="parentText" presStyleLbl="alignNode1" presStyleIdx="2" presStyleCnt="4">
        <dgm:presLayoutVars>
          <dgm:chMax val="1"/>
          <dgm:bulletEnabled val="1"/>
        </dgm:presLayoutVars>
      </dgm:prSet>
      <dgm:spPr/>
    </dgm:pt>
    <dgm:pt modelId="{8A6AB6B3-6654-4641-BBE3-9ADC3E4CD6F5}" type="pres">
      <dgm:prSet presAssocID="{A5F664B0-B199-44F6-9903-E698808CE880}" presName="descendantText" presStyleLbl="alignAcc1" presStyleIdx="2" presStyleCnt="4">
        <dgm:presLayoutVars>
          <dgm:bulletEnabled val="1"/>
        </dgm:presLayoutVars>
      </dgm:prSet>
      <dgm:spPr/>
    </dgm:pt>
    <dgm:pt modelId="{83A3CF9B-E6EB-42CC-B273-F748C0021ECC}" type="pres">
      <dgm:prSet presAssocID="{828F7ACF-7C40-4266-814E-B3C6E024760B}" presName="sp" presStyleCnt="0"/>
      <dgm:spPr/>
    </dgm:pt>
    <dgm:pt modelId="{8943226F-57C6-448E-8131-F130BA781FDE}" type="pres">
      <dgm:prSet presAssocID="{FAD2331E-C9FC-45FB-A31F-40F4C27070E7}" presName="composite" presStyleCnt="0"/>
      <dgm:spPr/>
    </dgm:pt>
    <dgm:pt modelId="{F845124D-7F23-424D-936D-D29B885B5FA9}" type="pres">
      <dgm:prSet presAssocID="{FAD2331E-C9FC-45FB-A31F-40F4C27070E7}" presName="parentText" presStyleLbl="alignNode1" presStyleIdx="3" presStyleCnt="4">
        <dgm:presLayoutVars>
          <dgm:chMax val="1"/>
          <dgm:bulletEnabled val="1"/>
        </dgm:presLayoutVars>
      </dgm:prSet>
      <dgm:spPr/>
    </dgm:pt>
    <dgm:pt modelId="{B8C148D1-BBE2-4BF7-9106-C15694A05AB6}" type="pres">
      <dgm:prSet presAssocID="{FAD2331E-C9FC-45FB-A31F-40F4C27070E7}" presName="descendantText" presStyleLbl="alignAcc1" presStyleIdx="3" presStyleCnt="4">
        <dgm:presLayoutVars>
          <dgm:bulletEnabled val="1"/>
        </dgm:presLayoutVars>
      </dgm:prSet>
      <dgm:spPr/>
    </dgm:pt>
  </dgm:ptLst>
  <dgm:cxnLst>
    <dgm:cxn modelId="{0D0D3C0C-A2D9-4C5E-A82B-471CCC1DFDB6}" srcId="{CF094B73-6F51-4A80-A7E8-F37D8097F544}" destId="{95C59045-B55B-44A1-8E6F-3B3EE740397B}" srcOrd="3" destOrd="0" parTransId="{0D127E67-8C8C-429F-B7BE-4B25EF402F34}" sibTransId="{40B276D6-D4AB-44BA-8B76-C1825B80338F}"/>
    <dgm:cxn modelId="{494BEA0C-0E6C-45F3-95F7-6D09C006FBF3}" srcId="{527A9826-B1E3-4A69-AE60-4B3A00FEB7BA}" destId="{CB6C054A-33B1-4C79-8837-ADFA4A477EF5}" srcOrd="1" destOrd="0" parTransId="{D14CB7BA-45CB-4ACF-8CC0-266770BA5654}" sibTransId="{9CFD7672-7477-47FE-9160-F389AE7F0CB3}"/>
    <dgm:cxn modelId="{223B6B14-AE28-4831-99B6-DDC4EA2BABBC}" type="presOf" srcId="{7E8EAFB7-178E-43BD-B8C4-B8FC944D5C6E}" destId="{8A6AB6B3-6654-4641-BBE3-9ADC3E4CD6F5}" srcOrd="0" destOrd="1" presId="urn:microsoft.com/office/officeart/2005/8/layout/chevron2"/>
    <dgm:cxn modelId="{F479FE16-FD6D-474C-BA18-23B0C6AAC896}" type="presOf" srcId="{9F983AAA-CB1A-4A50-9085-58ADCEDAA671}" destId="{783B1985-B028-452B-9279-4C7DFCD5863B}" srcOrd="0" destOrd="0" presId="urn:microsoft.com/office/officeart/2005/8/layout/chevron2"/>
    <dgm:cxn modelId="{7BB68426-9D59-487F-8F90-1829DDDF4C54}" srcId="{527A9826-B1E3-4A69-AE60-4B3A00FEB7BA}" destId="{34FDEB6D-CAE8-4A45-A3B9-7B240EF41AB0}" srcOrd="0" destOrd="0" parTransId="{E89E3F05-569B-4045-91B0-76ED98DB82A2}" sibTransId="{2042AB3E-41FE-42F7-8634-C84DF89047E6}"/>
    <dgm:cxn modelId="{E8004C2F-48BB-4EB0-8550-492193EEF9B9}" srcId="{9723227C-8960-431C-A3A3-271BA5294FC3}" destId="{CF094B73-6F51-4A80-A7E8-F37D8097F544}" srcOrd="0" destOrd="0" parTransId="{D519FD79-DB51-419D-8F91-144C599B5693}" sibTransId="{2CBF3085-F715-4C60-9B52-CA2066C5E410}"/>
    <dgm:cxn modelId="{FFDB6234-72D8-4B32-9532-4DB566B42E54}" type="presOf" srcId="{F55D2AB0-E881-4667-B375-BED5BD78EC50}" destId="{783B1985-B028-452B-9279-4C7DFCD5863B}" srcOrd="0" destOrd="2" presId="urn:microsoft.com/office/officeart/2005/8/layout/chevron2"/>
    <dgm:cxn modelId="{32E08036-792C-44FF-B379-E70780925151}" type="presOf" srcId="{58E4E5AD-3DFA-4CF7-8634-023CC4EFE6FB}" destId="{B8C148D1-BBE2-4BF7-9106-C15694A05AB6}" srcOrd="0" destOrd="0" presId="urn:microsoft.com/office/officeart/2005/8/layout/chevron2"/>
    <dgm:cxn modelId="{41E49E3B-2503-49BB-AB86-6EB36D1EC89F}" type="presOf" srcId="{CAFF0CB2-1F0B-4E3E-BBDA-48BA67E9CC6C}" destId="{B842EA31-FE81-41AA-B64E-22A85306916A}" srcOrd="0" destOrd="2" presId="urn:microsoft.com/office/officeart/2005/8/layout/chevron2"/>
    <dgm:cxn modelId="{CAEBEE3D-33DE-432B-AFD1-75E07F0475DB}" srcId="{FAD2331E-C9FC-45FB-A31F-40F4C27070E7}" destId="{A4188960-6F1E-4E9A-8967-A17D059B777E}" srcOrd="2" destOrd="0" parTransId="{4304438E-172A-48F9-8555-343519D58BD6}" sibTransId="{29A8E854-97AB-4F90-B617-86AF11A6630B}"/>
    <dgm:cxn modelId="{DF691C42-158B-4BB7-B07E-5B501E388655}" type="presOf" srcId="{A4188960-6F1E-4E9A-8967-A17D059B777E}" destId="{B8C148D1-BBE2-4BF7-9106-C15694A05AB6}" srcOrd="0" destOrd="2" presId="urn:microsoft.com/office/officeart/2005/8/layout/chevron2"/>
    <dgm:cxn modelId="{1DE60843-69F4-4267-B9AC-49ED9A9D5C41}" srcId="{A5F664B0-B199-44F6-9903-E698808CE880}" destId="{7E8EAFB7-178E-43BD-B8C4-B8FC944D5C6E}" srcOrd="1" destOrd="0" parTransId="{0AB23F69-4D49-4E6A-8B86-915C14495374}" sibTransId="{9D13C7A1-3340-420A-9A0A-686D6A07971C}"/>
    <dgm:cxn modelId="{CB5D3B44-361B-43C2-BE20-9512C59CE460}" srcId="{A5F664B0-B199-44F6-9903-E698808CE880}" destId="{A60C9387-A80F-4E0F-A00D-E5199AE4DEDB}" srcOrd="2" destOrd="0" parTransId="{BEABC881-6441-4A03-B0C5-9D6E15220376}" sibTransId="{9805B0C7-9BA7-49BD-9B78-E5710D2E39A9}"/>
    <dgm:cxn modelId="{CE5FB96B-C115-40BA-8296-95BDD23DC18C}" type="presOf" srcId="{95C59045-B55B-44A1-8E6F-3B3EE740397B}" destId="{783B1985-B028-452B-9279-4C7DFCD5863B}" srcOrd="0" destOrd="3" presId="urn:microsoft.com/office/officeart/2005/8/layout/chevron2"/>
    <dgm:cxn modelId="{E171976C-0F34-4463-9AEC-5CB3CFC922D4}" type="presOf" srcId="{CB6C054A-33B1-4C79-8837-ADFA4A477EF5}" destId="{B842EA31-FE81-41AA-B64E-22A85306916A}" srcOrd="0" destOrd="1" presId="urn:microsoft.com/office/officeart/2005/8/layout/chevron2"/>
    <dgm:cxn modelId="{87552750-3CAD-41E6-B21A-17CDB65DC0B9}" type="presOf" srcId="{6410019D-E025-4856-84DB-1A844090D48A}" destId="{B8C148D1-BBE2-4BF7-9106-C15694A05AB6}" srcOrd="0" destOrd="3" presId="urn:microsoft.com/office/officeart/2005/8/layout/chevron2"/>
    <dgm:cxn modelId="{7D790757-63C8-48EE-8810-EA0602B7F512}" srcId="{A5F664B0-B199-44F6-9903-E698808CE880}" destId="{1C2DDD06-4C44-41B5-91AF-5765097709EF}" srcOrd="0" destOrd="0" parTransId="{E85922AD-93DC-49BE-ABAA-292FDE7ACD9B}" sibTransId="{FD509AC0-BFA4-4A58-A278-EAE716EB619C}"/>
    <dgm:cxn modelId="{BCD1F078-6FC6-4679-807D-AB1EB58429CA}" type="presOf" srcId="{004134C4-CA05-42C9-9422-90B93CD57124}" destId="{783B1985-B028-452B-9279-4C7DFCD5863B}" srcOrd="0" destOrd="1" presId="urn:microsoft.com/office/officeart/2005/8/layout/chevron2"/>
    <dgm:cxn modelId="{BF370B79-7DA8-461D-9CEF-423831165043}" type="presOf" srcId="{1C2DDD06-4C44-41B5-91AF-5765097709EF}" destId="{8A6AB6B3-6654-4641-BBE3-9ADC3E4CD6F5}" srcOrd="0" destOrd="0" presId="urn:microsoft.com/office/officeart/2005/8/layout/chevron2"/>
    <dgm:cxn modelId="{B57CAD7D-FF1D-4812-9B52-541FC0DA5088}" srcId="{FAD2331E-C9FC-45FB-A31F-40F4C27070E7}" destId="{6410019D-E025-4856-84DB-1A844090D48A}" srcOrd="3" destOrd="0" parTransId="{AA911EEE-322F-431F-B32A-A4AD16FCD8DD}" sibTransId="{5F70E76A-86AC-4933-B268-B7DA01AEAE34}"/>
    <dgm:cxn modelId="{F0742685-5C44-4D8A-93BF-25A5A0A0A3C3}" srcId="{9723227C-8960-431C-A3A3-271BA5294FC3}" destId="{FAD2331E-C9FC-45FB-A31F-40F4C27070E7}" srcOrd="3" destOrd="0" parTransId="{E51950C8-F34F-469F-BE6D-2EC6B1CB9358}" sibTransId="{2E0E2C92-871F-4927-8AEF-0EE419F4A064}"/>
    <dgm:cxn modelId="{4B77C287-20DE-4BA6-85E6-BD6FAB987958}" srcId="{FAD2331E-C9FC-45FB-A31F-40F4C27070E7}" destId="{252908D8-7A6A-4254-B214-E41A31D8AC0A}" srcOrd="1" destOrd="0" parTransId="{1BCD73F3-D02E-41C5-9D41-155A79775B96}" sibTransId="{F3235B89-9664-4249-A1A6-6ABCA1E6D32C}"/>
    <dgm:cxn modelId="{1284878D-7EFC-429D-AA86-300AFFF81FD7}" type="presOf" srcId="{CF094B73-6F51-4A80-A7E8-F37D8097F544}" destId="{9ACD9D3C-4874-4BAB-882F-112F17AD7EDF}" srcOrd="0" destOrd="0" presId="urn:microsoft.com/office/officeart/2005/8/layout/chevron2"/>
    <dgm:cxn modelId="{2D7DE490-D74D-4B52-B2B0-C1D40406039D}" type="presOf" srcId="{FAD2331E-C9FC-45FB-A31F-40F4C27070E7}" destId="{F845124D-7F23-424D-936D-D29B885B5FA9}" srcOrd="0" destOrd="0" presId="urn:microsoft.com/office/officeart/2005/8/layout/chevron2"/>
    <dgm:cxn modelId="{9108F396-D7BC-493E-8E78-99783320F319}" type="presOf" srcId="{527A9826-B1E3-4A69-AE60-4B3A00FEB7BA}" destId="{7BC8518A-7250-44BD-91A0-B27B6F6FBBD6}" srcOrd="0" destOrd="0" presId="urn:microsoft.com/office/officeart/2005/8/layout/chevron2"/>
    <dgm:cxn modelId="{393F4B99-8FC3-4ECB-A9E3-CA332CA5B175}" srcId="{FAD2331E-C9FC-45FB-A31F-40F4C27070E7}" destId="{58E4E5AD-3DFA-4CF7-8634-023CC4EFE6FB}" srcOrd="0" destOrd="0" parTransId="{D617095D-8E2B-43B7-AAC5-2AC34DBCA9DE}" sibTransId="{98F3C79F-14A0-4E7F-864C-BA862E64CB34}"/>
    <dgm:cxn modelId="{DEF39CA9-E720-4CF3-9482-AD23BE1E54C2}" type="presOf" srcId="{34FDEB6D-CAE8-4A45-A3B9-7B240EF41AB0}" destId="{B842EA31-FE81-41AA-B64E-22A85306916A}" srcOrd="0" destOrd="0" presId="urn:microsoft.com/office/officeart/2005/8/layout/chevron2"/>
    <dgm:cxn modelId="{CBC040AD-2641-4370-A744-7062ECA2BA1A}" type="presOf" srcId="{9723227C-8960-431C-A3A3-271BA5294FC3}" destId="{2BB43F93-10F1-46C8-A681-DFC30AD5C8FA}" srcOrd="0" destOrd="0" presId="urn:microsoft.com/office/officeart/2005/8/layout/chevron2"/>
    <dgm:cxn modelId="{9BD664AF-F986-445B-B1B7-7096984E3AB6}" srcId="{CF094B73-6F51-4A80-A7E8-F37D8097F544}" destId="{F55D2AB0-E881-4667-B375-BED5BD78EC50}" srcOrd="2" destOrd="0" parTransId="{EFE5822D-9F07-4556-826A-E13BC0BCD4B7}" sibTransId="{02502076-A227-49D2-B604-AE2811874F47}"/>
    <dgm:cxn modelId="{8DCE1ABF-D3DF-4A5D-9783-11D26AE857AC}" srcId="{9723227C-8960-431C-A3A3-271BA5294FC3}" destId="{527A9826-B1E3-4A69-AE60-4B3A00FEB7BA}" srcOrd="1" destOrd="0" parTransId="{EEFD80A6-914F-46D0-9741-A38108B9E962}" sibTransId="{5B3BB9A4-C751-4E89-8938-152C674A239C}"/>
    <dgm:cxn modelId="{0DC33AC2-B611-4E8F-BF82-3347F97D83B2}" srcId="{CF094B73-6F51-4A80-A7E8-F37D8097F544}" destId="{9F983AAA-CB1A-4A50-9085-58ADCEDAA671}" srcOrd="0" destOrd="0" parTransId="{9C94730D-336C-4075-A757-3852BBE310F8}" sibTransId="{C84B6F05-5B81-4B18-BBC4-22864684D6CA}"/>
    <dgm:cxn modelId="{585B18C6-7406-4B6B-BC7D-CC0A443EF56A}" srcId="{CF094B73-6F51-4A80-A7E8-F37D8097F544}" destId="{004134C4-CA05-42C9-9422-90B93CD57124}" srcOrd="1" destOrd="0" parTransId="{8661C5BC-8B5C-4037-86BD-95C79F3EDF95}" sibTransId="{1F1B9C06-A496-4BDD-BD0C-AD26299053D8}"/>
    <dgm:cxn modelId="{D5A97ACE-9EC9-49C5-BE27-A646A794A311}" srcId="{527A9826-B1E3-4A69-AE60-4B3A00FEB7BA}" destId="{CAFF0CB2-1F0B-4E3E-BBDA-48BA67E9CC6C}" srcOrd="2" destOrd="0" parTransId="{4EC9F7F5-7C9B-4525-BA99-143CD251A5BB}" sibTransId="{A247ED4A-97C3-44EF-8940-467BB0AADA93}"/>
    <dgm:cxn modelId="{4ECD06CF-2EF9-4D6B-B5F5-74E9FD2F15B6}" type="presOf" srcId="{A5F664B0-B199-44F6-9903-E698808CE880}" destId="{F9768DCF-E5B6-46FE-9A8D-ACEA1FE97016}" srcOrd="0" destOrd="0" presId="urn:microsoft.com/office/officeart/2005/8/layout/chevron2"/>
    <dgm:cxn modelId="{7BBF6CD6-BAFD-406D-8142-F6E67C784A51}" type="presOf" srcId="{252908D8-7A6A-4254-B214-E41A31D8AC0A}" destId="{B8C148D1-BBE2-4BF7-9106-C15694A05AB6}" srcOrd="0" destOrd="1" presId="urn:microsoft.com/office/officeart/2005/8/layout/chevron2"/>
    <dgm:cxn modelId="{554FABE9-8090-42D2-8135-2159CC9EEC6D}" srcId="{9723227C-8960-431C-A3A3-271BA5294FC3}" destId="{A5F664B0-B199-44F6-9903-E698808CE880}" srcOrd="2" destOrd="0" parTransId="{4833855B-97B5-49EA-8A3D-95F9D22527A4}" sibTransId="{828F7ACF-7C40-4266-814E-B3C6E024760B}"/>
    <dgm:cxn modelId="{4E233FEF-6D56-474F-B674-5F0B5BC61E5C}" type="presOf" srcId="{A60C9387-A80F-4E0F-A00D-E5199AE4DEDB}" destId="{8A6AB6B3-6654-4641-BBE3-9ADC3E4CD6F5}" srcOrd="0" destOrd="2" presId="urn:microsoft.com/office/officeart/2005/8/layout/chevron2"/>
    <dgm:cxn modelId="{88F6F2AE-4790-447A-A9FC-E5E9DF09D1B5}" type="presParOf" srcId="{2BB43F93-10F1-46C8-A681-DFC30AD5C8FA}" destId="{1821B892-96C0-465D-AA33-16D3CF3C0B11}" srcOrd="0" destOrd="0" presId="urn:microsoft.com/office/officeart/2005/8/layout/chevron2"/>
    <dgm:cxn modelId="{20F500C3-5294-4DCF-83C3-116D879FE741}" type="presParOf" srcId="{1821B892-96C0-465D-AA33-16D3CF3C0B11}" destId="{9ACD9D3C-4874-4BAB-882F-112F17AD7EDF}" srcOrd="0" destOrd="0" presId="urn:microsoft.com/office/officeart/2005/8/layout/chevron2"/>
    <dgm:cxn modelId="{0E9EFD44-3F62-45D5-9ABC-4D437442CCCF}" type="presParOf" srcId="{1821B892-96C0-465D-AA33-16D3CF3C0B11}" destId="{783B1985-B028-452B-9279-4C7DFCD5863B}" srcOrd="1" destOrd="0" presId="urn:microsoft.com/office/officeart/2005/8/layout/chevron2"/>
    <dgm:cxn modelId="{3BEB6FC7-A048-41DF-83DF-BBFF9D85D9F7}" type="presParOf" srcId="{2BB43F93-10F1-46C8-A681-DFC30AD5C8FA}" destId="{C8A1CD90-0E54-48E5-B80E-2D45527547A3}" srcOrd="1" destOrd="0" presId="urn:microsoft.com/office/officeart/2005/8/layout/chevron2"/>
    <dgm:cxn modelId="{2E1F9F44-7AC9-422B-ABE4-8F1F1164FB19}" type="presParOf" srcId="{2BB43F93-10F1-46C8-A681-DFC30AD5C8FA}" destId="{1BA1B06D-65DA-4E12-9077-2A706BA0AC36}" srcOrd="2" destOrd="0" presId="urn:microsoft.com/office/officeart/2005/8/layout/chevron2"/>
    <dgm:cxn modelId="{FDB7FC9C-3D4A-42FF-9572-0A019A8B7742}" type="presParOf" srcId="{1BA1B06D-65DA-4E12-9077-2A706BA0AC36}" destId="{7BC8518A-7250-44BD-91A0-B27B6F6FBBD6}" srcOrd="0" destOrd="0" presId="urn:microsoft.com/office/officeart/2005/8/layout/chevron2"/>
    <dgm:cxn modelId="{0FB921F4-C7FF-4078-9D30-6663B53C6C99}" type="presParOf" srcId="{1BA1B06D-65DA-4E12-9077-2A706BA0AC36}" destId="{B842EA31-FE81-41AA-B64E-22A85306916A}" srcOrd="1" destOrd="0" presId="urn:microsoft.com/office/officeart/2005/8/layout/chevron2"/>
    <dgm:cxn modelId="{FEAA2B45-6E65-4576-AEFF-5C76D2AB6CF5}" type="presParOf" srcId="{2BB43F93-10F1-46C8-A681-DFC30AD5C8FA}" destId="{E99DA31F-1D3E-46E8-A7C8-69468C0770AD}" srcOrd="3" destOrd="0" presId="urn:microsoft.com/office/officeart/2005/8/layout/chevron2"/>
    <dgm:cxn modelId="{7424D58D-9F70-4E8E-AD63-12632AF0AC9F}" type="presParOf" srcId="{2BB43F93-10F1-46C8-A681-DFC30AD5C8FA}" destId="{815AE895-F60F-40A7-8801-564B83BA041B}" srcOrd="4" destOrd="0" presId="urn:microsoft.com/office/officeart/2005/8/layout/chevron2"/>
    <dgm:cxn modelId="{A0994E41-5B1B-4620-A2DC-9C27A33C33DC}" type="presParOf" srcId="{815AE895-F60F-40A7-8801-564B83BA041B}" destId="{F9768DCF-E5B6-46FE-9A8D-ACEA1FE97016}" srcOrd="0" destOrd="0" presId="urn:microsoft.com/office/officeart/2005/8/layout/chevron2"/>
    <dgm:cxn modelId="{174497AD-57A2-4C92-A6F2-731F0D1FE273}" type="presParOf" srcId="{815AE895-F60F-40A7-8801-564B83BA041B}" destId="{8A6AB6B3-6654-4641-BBE3-9ADC3E4CD6F5}" srcOrd="1" destOrd="0" presId="urn:microsoft.com/office/officeart/2005/8/layout/chevron2"/>
    <dgm:cxn modelId="{08126B00-2DF3-4A98-B939-B2F7A90508C4}" type="presParOf" srcId="{2BB43F93-10F1-46C8-A681-DFC30AD5C8FA}" destId="{83A3CF9B-E6EB-42CC-B273-F748C0021ECC}" srcOrd="5" destOrd="0" presId="urn:microsoft.com/office/officeart/2005/8/layout/chevron2"/>
    <dgm:cxn modelId="{0BE52EE4-09F8-411F-9A4C-12DA8C7C9B28}" type="presParOf" srcId="{2BB43F93-10F1-46C8-A681-DFC30AD5C8FA}" destId="{8943226F-57C6-448E-8131-F130BA781FDE}" srcOrd="6" destOrd="0" presId="urn:microsoft.com/office/officeart/2005/8/layout/chevron2"/>
    <dgm:cxn modelId="{D86957A6-A5AF-4A19-AD83-487106AE65FD}" type="presParOf" srcId="{8943226F-57C6-448E-8131-F130BA781FDE}" destId="{F845124D-7F23-424D-936D-D29B885B5FA9}" srcOrd="0" destOrd="0" presId="urn:microsoft.com/office/officeart/2005/8/layout/chevron2"/>
    <dgm:cxn modelId="{51DD52D1-77AF-437F-99FB-E7272666E32D}" type="presParOf" srcId="{8943226F-57C6-448E-8131-F130BA781FDE}" destId="{B8C148D1-BBE2-4BF7-9106-C15694A05AB6}" srcOrd="1" destOrd="0" presId="urn:microsoft.com/office/officeart/2005/8/layout/chevron2"/>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CA8CA2B-FE1B-4910-BAA5-39D673428C96}">
      <dsp:nvSpPr>
        <dsp:cNvPr id="0" name=""/>
        <dsp:cNvSpPr/>
      </dsp:nvSpPr>
      <dsp:spPr>
        <a:xfrm>
          <a:off x="1678800" y="681908"/>
          <a:ext cx="1698788" cy="1698788"/>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r>
            <a:rPr lang="en-GB" sz="1400" b="1" kern="1200" dirty="0"/>
            <a:t>Lack of interoperability</a:t>
          </a:r>
        </a:p>
      </dsp:txBody>
      <dsp:txXfrm>
        <a:off x="1927582" y="930690"/>
        <a:ext cx="1201224" cy="1201224"/>
      </dsp:txXfrm>
    </dsp:sp>
    <dsp:sp modelId="{B35EB4CC-CDBF-4B02-ACD7-6ECA4E8B421F}">
      <dsp:nvSpPr>
        <dsp:cNvPr id="0" name=""/>
        <dsp:cNvSpPr/>
      </dsp:nvSpPr>
      <dsp:spPr>
        <a:xfrm>
          <a:off x="1874013" y="92624"/>
          <a:ext cx="1338373" cy="849394"/>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GB" sz="1000" b="0" kern="1200" dirty="0"/>
            <a:t>Vendor lock-in &amp; Switching costs</a:t>
          </a:r>
        </a:p>
      </dsp:txBody>
      <dsp:txXfrm>
        <a:off x="2070013" y="217015"/>
        <a:ext cx="946373" cy="600612"/>
      </dsp:txXfrm>
    </dsp:sp>
    <dsp:sp modelId="{6EE10A7C-31ED-4518-B167-D9E404ECF21F}">
      <dsp:nvSpPr>
        <dsp:cNvPr id="0" name=""/>
        <dsp:cNvSpPr/>
      </dsp:nvSpPr>
      <dsp:spPr>
        <a:xfrm>
          <a:off x="2949957" y="647081"/>
          <a:ext cx="1373547" cy="849394"/>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GB" sz="1000" b="0" kern="1200" dirty="0"/>
            <a:t>Network effects &amp; Market tipping and foreclosure</a:t>
          </a:r>
        </a:p>
      </dsp:txBody>
      <dsp:txXfrm>
        <a:off x="3151108" y="771472"/>
        <a:ext cx="971245" cy="600612"/>
      </dsp:txXfrm>
    </dsp:sp>
    <dsp:sp modelId="{7FCA3CE9-60F3-4573-A70E-D37051215780}">
      <dsp:nvSpPr>
        <dsp:cNvPr id="0" name=""/>
        <dsp:cNvSpPr/>
      </dsp:nvSpPr>
      <dsp:spPr>
        <a:xfrm>
          <a:off x="2935515" y="1559813"/>
          <a:ext cx="1362156" cy="849394"/>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GB" sz="1000" b="0" kern="1200" dirty="0"/>
            <a:t>Information flows &amp; asymmetries</a:t>
          </a:r>
        </a:p>
      </dsp:txBody>
      <dsp:txXfrm>
        <a:off x="3134998" y="1684204"/>
        <a:ext cx="963190" cy="600612"/>
      </dsp:txXfrm>
    </dsp:sp>
    <dsp:sp modelId="{76C5ED1E-3B9A-421E-8966-3FCD167EDD19}">
      <dsp:nvSpPr>
        <dsp:cNvPr id="0" name=""/>
        <dsp:cNvSpPr/>
      </dsp:nvSpPr>
      <dsp:spPr>
        <a:xfrm>
          <a:off x="1820855" y="2129721"/>
          <a:ext cx="1400430" cy="849394"/>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GB" sz="1000" b="0" kern="1200" dirty="0"/>
            <a:t>Media plurality and cultural diversity</a:t>
          </a:r>
        </a:p>
      </dsp:txBody>
      <dsp:txXfrm>
        <a:off x="2025943" y="2254112"/>
        <a:ext cx="990254" cy="600612"/>
      </dsp:txXfrm>
    </dsp:sp>
    <dsp:sp modelId="{0FF29739-1C03-4BDF-BF9E-4669EFF37013}">
      <dsp:nvSpPr>
        <dsp:cNvPr id="0" name=""/>
        <dsp:cNvSpPr/>
      </dsp:nvSpPr>
      <dsp:spPr>
        <a:xfrm>
          <a:off x="802833" y="1559815"/>
          <a:ext cx="1364866" cy="849394"/>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GB" sz="1000" b="0" kern="1200" dirty="0"/>
            <a:t>End-to-end connectivity   (any-to-any communication)</a:t>
          </a:r>
        </a:p>
      </dsp:txBody>
      <dsp:txXfrm>
        <a:off x="1002713" y="1684206"/>
        <a:ext cx="965106" cy="600612"/>
      </dsp:txXfrm>
    </dsp:sp>
    <dsp:sp modelId="{1724AE7E-69A5-4F1D-9A8F-E59B8B468B6E}">
      <dsp:nvSpPr>
        <dsp:cNvPr id="0" name=""/>
        <dsp:cNvSpPr/>
      </dsp:nvSpPr>
      <dsp:spPr>
        <a:xfrm>
          <a:off x="787676" y="664237"/>
          <a:ext cx="1364866" cy="849394"/>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GB" sz="1000" b="0" kern="1200" dirty="0"/>
            <a:t>Follow-on innovation</a:t>
          </a:r>
        </a:p>
      </dsp:txBody>
      <dsp:txXfrm>
        <a:off x="987556" y="788628"/>
        <a:ext cx="965106" cy="60061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70D20E6-76F8-4971-8872-51303B53F2CB}">
      <dsp:nvSpPr>
        <dsp:cNvPr id="0" name=""/>
        <dsp:cNvSpPr/>
      </dsp:nvSpPr>
      <dsp:spPr>
        <a:xfrm>
          <a:off x="1430116" y="0"/>
          <a:ext cx="2371724" cy="2371724"/>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784" tIns="49784" rIns="49784" bIns="49784" numCol="1" spcCol="1270" anchor="ctr" anchorCtr="0">
          <a:noAutofit/>
        </a:bodyPr>
        <a:lstStyle/>
        <a:p>
          <a:pPr marL="0" lvl="0" indent="0" algn="ctr" defTabSz="311150">
            <a:lnSpc>
              <a:spcPct val="90000"/>
            </a:lnSpc>
            <a:spcBef>
              <a:spcPct val="0"/>
            </a:spcBef>
            <a:spcAft>
              <a:spcPct val="35000"/>
            </a:spcAft>
            <a:buNone/>
          </a:pPr>
          <a:r>
            <a:rPr lang="en-US" sz="700" kern="1200" dirty="0"/>
            <a:t>Smart city </a:t>
          </a:r>
          <a:endParaRPr lang="en-GB" sz="700" kern="1200" dirty="0"/>
        </a:p>
      </dsp:txBody>
      <dsp:txXfrm>
        <a:off x="2201520" y="118586"/>
        <a:ext cx="828917" cy="355758"/>
      </dsp:txXfrm>
    </dsp:sp>
    <dsp:sp modelId="{9FCA6E1E-A03D-4B72-8B6F-5638A5EA137E}">
      <dsp:nvSpPr>
        <dsp:cNvPr id="0" name=""/>
        <dsp:cNvSpPr/>
      </dsp:nvSpPr>
      <dsp:spPr>
        <a:xfrm>
          <a:off x="1726582" y="592931"/>
          <a:ext cx="1778793" cy="1778793"/>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784" tIns="49784" rIns="49784" bIns="49784" numCol="1" spcCol="1270" anchor="ctr" anchorCtr="0">
          <a:noAutofit/>
        </a:bodyPr>
        <a:lstStyle/>
        <a:p>
          <a:pPr marL="0" lvl="0" indent="0" algn="ctr" defTabSz="311150">
            <a:lnSpc>
              <a:spcPct val="90000"/>
            </a:lnSpc>
            <a:spcBef>
              <a:spcPct val="0"/>
            </a:spcBef>
            <a:spcAft>
              <a:spcPct val="35000"/>
            </a:spcAft>
            <a:buNone/>
          </a:pPr>
          <a:r>
            <a:rPr lang="en-US" sz="700" kern="1200"/>
            <a:t>Smart home</a:t>
          </a:r>
          <a:endParaRPr lang="en-GB" sz="700" kern="1200"/>
        </a:p>
      </dsp:txBody>
      <dsp:txXfrm>
        <a:off x="2201520" y="704105"/>
        <a:ext cx="828917" cy="333523"/>
      </dsp:txXfrm>
    </dsp:sp>
    <dsp:sp modelId="{88FC6E6A-4934-4913-963B-720B8FD5F92D}">
      <dsp:nvSpPr>
        <dsp:cNvPr id="0" name=""/>
        <dsp:cNvSpPr/>
      </dsp:nvSpPr>
      <dsp:spPr>
        <a:xfrm>
          <a:off x="2023047" y="1185862"/>
          <a:ext cx="1185862" cy="118586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784" tIns="49784" rIns="49784" bIns="49784" numCol="1" spcCol="1270" anchor="ctr" anchorCtr="0">
          <a:noAutofit/>
        </a:bodyPr>
        <a:lstStyle/>
        <a:p>
          <a:pPr marL="0" lvl="0" indent="0" algn="ctr" defTabSz="311150">
            <a:lnSpc>
              <a:spcPct val="90000"/>
            </a:lnSpc>
            <a:spcBef>
              <a:spcPct val="0"/>
            </a:spcBef>
            <a:spcAft>
              <a:spcPct val="35000"/>
            </a:spcAft>
            <a:buNone/>
          </a:pPr>
          <a:r>
            <a:rPr lang="en-US" sz="700" kern="1200" dirty="0"/>
            <a:t>Smart home appliances</a:t>
          </a:r>
          <a:endParaRPr lang="en-GB" sz="700" kern="1200" dirty="0"/>
        </a:p>
      </dsp:txBody>
      <dsp:txXfrm>
        <a:off x="2196713" y="1482328"/>
        <a:ext cx="838531" cy="592931"/>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ACD9D3C-4874-4BAB-882F-112F17AD7EDF}">
      <dsp:nvSpPr>
        <dsp:cNvPr id="0" name=""/>
        <dsp:cNvSpPr/>
      </dsp:nvSpPr>
      <dsp:spPr>
        <a:xfrm rot="5400000">
          <a:off x="-149715" y="151221"/>
          <a:ext cx="998104" cy="698673"/>
        </a:xfrm>
        <a:prstGeom prst="chevron">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w="6350" cap="flat" cmpd="sng" algn="ctr">
          <a:solidFill>
            <a:schemeClr val="accent1">
              <a:hueOff val="0"/>
              <a:satOff val="0"/>
              <a:lumOff val="0"/>
              <a:alphaOff val="0"/>
            </a:schemeClr>
          </a:solidFill>
          <a:prstDash val="solid"/>
          <a:miter lim="800000"/>
        </a:ln>
        <a:effectLst/>
      </dsp:spPr>
      <dsp:style>
        <a:lnRef idx="1">
          <a:scrgbClr r="0" g="0" b="0"/>
        </a:lnRef>
        <a:fillRef idx="2">
          <a:scrgbClr r="0" g="0" b="0"/>
        </a:fillRef>
        <a:effectRef idx="1">
          <a:scrgbClr r="0" g="0" b="0"/>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GB" sz="600" b="1" kern="1200" dirty="0"/>
            <a:t>Doctrinal analysis</a:t>
          </a:r>
        </a:p>
      </dsp:txBody>
      <dsp:txXfrm rot="-5400000">
        <a:off x="1" y="350843"/>
        <a:ext cx="698673" cy="299431"/>
      </dsp:txXfrm>
    </dsp:sp>
    <dsp:sp modelId="{783B1985-B028-452B-9279-4C7DFCD5863B}">
      <dsp:nvSpPr>
        <dsp:cNvPr id="0" name=""/>
        <dsp:cNvSpPr/>
      </dsp:nvSpPr>
      <dsp:spPr>
        <a:xfrm rot="5400000">
          <a:off x="2619448" y="-1919269"/>
          <a:ext cx="648767" cy="4490318"/>
        </a:xfrm>
        <a:prstGeom prst="round2SameRect">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6896" tIns="5080" rIns="5080" bIns="5080" numCol="1" spcCol="1270" anchor="ctr" anchorCtr="0">
          <a:noAutofit/>
        </a:bodyPr>
        <a:lstStyle/>
        <a:p>
          <a:pPr marL="57150" lvl="1" indent="-57150" algn="l" defTabSz="355600">
            <a:lnSpc>
              <a:spcPct val="90000"/>
            </a:lnSpc>
            <a:spcBef>
              <a:spcPct val="0"/>
            </a:spcBef>
            <a:spcAft>
              <a:spcPct val="15000"/>
            </a:spcAft>
            <a:buChar char="•"/>
          </a:pPr>
          <a:r>
            <a:rPr lang="en-GB" sz="800" kern="1200"/>
            <a:t>From multi-disciplinary EU legal perspective </a:t>
          </a:r>
          <a:endParaRPr lang="en-GB" sz="800" kern="1200" dirty="0"/>
        </a:p>
        <a:p>
          <a:pPr marL="57150" lvl="1" indent="-57150" algn="l" defTabSz="355600">
            <a:lnSpc>
              <a:spcPct val="90000"/>
            </a:lnSpc>
            <a:spcBef>
              <a:spcPct val="0"/>
            </a:spcBef>
            <a:spcAft>
              <a:spcPct val="15000"/>
            </a:spcAft>
            <a:buChar char="•"/>
          </a:pPr>
          <a:r>
            <a:rPr lang="en-GB" sz="800" kern="1200" dirty="0"/>
            <a:t>Disaggregated legal structure</a:t>
          </a:r>
        </a:p>
        <a:p>
          <a:pPr marL="57150" lvl="1" indent="-57150" algn="l" defTabSz="355600">
            <a:lnSpc>
              <a:spcPct val="90000"/>
            </a:lnSpc>
            <a:spcBef>
              <a:spcPct val="0"/>
            </a:spcBef>
            <a:spcAft>
              <a:spcPct val="15000"/>
            </a:spcAft>
            <a:buChar char="•"/>
          </a:pPr>
          <a:r>
            <a:rPr lang="en-GB" sz="800" kern="1200" dirty="0"/>
            <a:t>Partial/limited solutions for ICT interoperability</a:t>
          </a:r>
        </a:p>
        <a:p>
          <a:pPr marL="57150" lvl="1" indent="-57150" algn="l" defTabSz="355600">
            <a:lnSpc>
              <a:spcPct val="90000"/>
            </a:lnSpc>
            <a:spcBef>
              <a:spcPct val="0"/>
            </a:spcBef>
            <a:spcAft>
              <a:spcPct val="15000"/>
            </a:spcAft>
            <a:buChar char="•"/>
          </a:pPr>
          <a:r>
            <a:rPr lang="en-GB" sz="800" kern="1200" dirty="0"/>
            <a:t>Lack of a multi-layered holistic approach</a:t>
          </a:r>
        </a:p>
      </dsp:txBody>
      <dsp:txXfrm rot="-5400000">
        <a:off x="698673" y="33176"/>
        <a:ext cx="4458648" cy="585427"/>
      </dsp:txXfrm>
    </dsp:sp>
    <dsp:sp modelId="{7BC8518A-7250-44BD-91A0-B27B6F6FBBD6}">
      <dsp:nvSpPr>
        <dsp:cNvPr id="0" name=""/>
        <dsp:cNvSpPr/>
      </dsp:nvSpPr>
      <dsp:spPr>
        <a:xfrm rot="5400000">
          <a:off x="-149715" y="998404"/>
          <a:ext cx="998104" cy="698673"/>
        </a:xfrm>
        <a:prstGeom prst="chevron">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w="6350" cap="flat" cmpd="sng" algn="ctr">
          <a:solidFill>
            <a:schemeClr val="accent1">
              <a:hueOff val="0"/>
              <a:satOff val="0"/>
              <a:lumOff val="0"/>
              <a:alphaOff val="0"/>
            </a:schemeClr>
          </a:solidFill>
          <a:prstDash val="solid"/>
          <a:miter lim="800000"/>
        </a:ln>
        <a:effectLst/>
      </dsp:spPr>
      <dsp:style>
        <a:lnRef idx="1">
          <a:scrgbClr r="0" g="0" b="0"/>
        </a:lnRef>
        <a:fillRef idx="2">
          <a:scrgbClr r="0" g="0" b="0"/>
        </a:fillRef>
        <a:effectRef idx="1">
          <a:scrgbClr r="0" g="0" b="0"/>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GB" sz="600" b="1" kern="1200" dirty="0"/>
            <a:t>Case study research</a:t>
          </a:r>
        </a:p>
      </dsp:txBody>
      <dsp:txXfrm rot="-5400000">
        <a:off x="1" y="1198026"/>
        <a:ext cx="698673" cy="299431"/>
      </dsp:txXfrm>
    </dsp:sp>
    <dsp:sp modelId="{B842EA31-FE81-41AA-B64E-22A85306916A}">
      <dsp:nvSpPr>
        <dsp:cNvPr id="0" name=""/>
        <dsp:cNvSpPr/>
      </dsp:nvSpPr>
      <dsp:spPr>
        <a:xfrm rot="5400000">
          <a:off x="2619448" y="-1072086"/>
          <a:ext cx="648767" cy="4490318"/>
        </a:xfrm>
        <a:prstGeom prst="round2SameRect">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6896" tIns="5080" rIns="5080" bIns="5080" numCol="1" spcCol="1270" anchor="ctr" anchorCtr="0">
          <a:noAutofit/>
        </a:bodyPr>
        <a:lstStyle/>
        <a:p>
          <a:pPr marL="57150" lvl="1" indent="-57150" algn="l" defTabSz="355600">
            <a:lnSpc>
              <a:spcPct val="90000"/>
            </a:lnSpc>
            <a:spcBef>
              <a:spcPct val="0"/>
            </a:spcBef>
            <a:spcAft>
              <a:spcPct val="15000"/>
            </a:spcAft>
            <a:buChar char="•"/>
          </a:pPr>
          <a:r>
            <a:rPr lang="en-GB" sz="800" kern="1200"/>
            <a:t>Strong interdependencies across the ICT layers</a:t>
          </a:r>
        </a:p>
        <a:p>
          <a:pPr marL="57150" lvl="1" indent="-57150" algn="l" defTabSz="355600">
            <a:lnSpc>
              <a:spcPct val="90000"/>
            </a:lnSpc>
            <a:spcBef>
              <a:spcPct val="0"/>
            </a:spcBef>
            <a:spcAft>
              <a:spcPct val="15000"/>
            </a:spcAft>
            <a:buChar char="•"/>
          </a:pPr>
          <a:r>
            <a:rPr lang="en-GB" sz="800" kern="1200"/>
            <a:t>Co-existence of ecosystems and non-ecosystem structures, as derived from cloud and the IoT settings</a:t>
          </a:r>
        </a:p>
        <a:p>
          <a:pPr marL="57150" lvl="1" indent="-57150" algn="l" defTabSz="355600">
            <a:lnSpc>
              <a:spcPct val="90000"/>
            </a:lnSpc>
            <a:spcBef>
              <a:spcPct val="0"/>
            </a:spcBef>
            <a:spcAft>
              <a:spcPct val="15000"/>
            </a:spcAft>
            <a:buChar char="•"/>
          </a:pPr>
          <a:r>
            <a:rPr lang="en-GB" sz="800" kern="1200"/>
            <a:t>Potential interoperability gaps along with far-reaching implications e.g. vendor lock-in, gatekeeping activities</a:t>
          </a:r>
        </a:p>
      </dsp:txBody>
      <dsp:txXfrm rot="-5400000">
        <a:off x="698673" y="880359"/>
        <a:ext cx="4458648" cy="585427"/>
      </dsp:txXfrm>
    </dsp:sp>
    <dsp:sp modelId="{F9768DCF-E5B6-46FE-9A8D-ACEA1FE97016}">
      <dsp:nvSpPr>
        <dsp:cNvPr id="0" name=""/>
        <dsp:cNvSpPr/>
      </dsp:nvSpPr>
      <dsp:spPr>
        <a:xfrm rot="5400000">
          <a:off x="-149715" y="1845587"/>
          <a:ext cx="998104" cy="698673"/>
        </a:xfrm>
        <a:prstGeom prst="chevron">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w="6350" cap="flat" cmpd="sng" algn="ctr">
          <a:solidFill>
            <a:schemeClr val="accent1">
              <a:hueOff val="0"/>
              <a:satOff val="0"/>
              <a:lumOff val="0"/>
              <a:alphaOff val="0"/>
            </a:schemeClr>
          </a:solidFill>
          <a:prstDash val="solid"/>
          <a:miter lim="800000"/>
        </a:ln>
        <a:effectLst/>
      </dsp:spPr>
      <dsp:style>
        <a:lnRef idx="1">
          <a:scrgbClr r="0" g="0" b="0"/>
        </a:lnRef>
        <a:fillRef idx="2">
          <a:scrgbClr r="0" g="0" b="0"/>
        </a:fillRef>
        <a:effectRef idx="1">
          <a:scrgbClr r="0" g="0" b="0"/>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GB" sz="600" b="1" kern="1200" dirty="0"/>
            <a:t>Filtering policy approach</a:t>
          </a:r>
        </a:p>
      </dsp:txBody>
      <dsp:txXfrm rot="-5400000">
        <a:off x="1" y="2045209"/>
        <a:ext cx="698673" cy="299431"/>
      </dsp:txXfrm>
    </dsp:sp>
    <dsp:sp modelId="{8A6AB6B3-6654-4641-BBE3-9ADC3E4CD6F5}">
      <dsp:nvSpPr>
        <dsp:cNvPr id="0" name=""/>
        <dsp:cNvSpPr/>
      </dsp:nvSpPr>
      <dsp:spPr>
        <a:xfrm rot="5400000">
          <a:off x="2619448" y="-224903"/>
          <a:ext cx="648767" cy="4490318"/>
        </a:xfrm>
        <a:prstGeom prst="round2SameRect">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6896" tIns="5080" rIns="5080" bIns="5080" numCol="1" spcCol="1270" anchor="ctr" anchorCtr="0">
          <a:noAutofit/>
        </a:bodyPr>
        <a:lstStyle/>
        <a:p>
          <a:pPr marL="57150" lvl="1" indent="-57150" algn="l" defTabSz="355600">
            <a:lnSpc>
              <a:spcPct val="90000"/>
            </a:lnSpc>
            <a:spcBef>
              <a:spcPct val="0"/>
            </a:spcBef>
            <a:spcAft>
              <a:spcPct val="15000"/>
            </a:spcAft>
            <a:buChar char="•"/>
          </a:pPr>
          <a:r>
            <a:rPr lang="en-GB" sz="800" b="0" kern="1200" dirty="0"/>
            <a:t>Multi-layered perspective</a:t>
          </a:r>
        </a:p>
        <a:p>
          <a:pPr marL="57150" lvl="1" indent="-57150" algn="l" defTabSz="355600">
            <a:lnSpc>
              <a:spcPct val="90000"/>
            </a:lnSpc>
            <a:spcBef>
              <a:spcPct val="0"/>
            </a:spcBef>
            <a:spcAft>
              <a:spcPct val="15000"/>
            </a:spcAft>
            <a:buChar char="•"/>
          </a:pPr>
          <a:r>
            <a:rPr lang="en-GB" sz="800" b="0" kern="1200" dirty="0"/>
            <a:t>Holistic</a:t>
          </a:r>
        </a:p>
        <a:p>
          <a:pPr marL="57150" lvl="1" indent="-57150" algn="l" defTabSz="355600">
            <a:lnSpc>
              <a:spcPct val="90000"/>
            </a:lnSpc>
            <a:spcBef>
              <a:spcPct val="0"/>
            </a:spcBef>
            <a:spcAft>
              <a:spcPct val="15000"/>
            </a:spcAft>
            <a:buChar char="•"/>
          </a:pPr>
          <a:r>
            <a:rPr lang="en-GB" sz="800" b="0" kern="1200" dirty="0"/>
            <a:t>Ex ante</a:t>
          </a:r>
        </a:p>
      </dsp:txBody>
      <dsp:txXfrm rot="-5400000">
        <a:off x="698673" y="1727542"/>
        <a:ext cx="4458648" cy="585427"/>
      </dsp:txXfrm>
    </dsp:sp>
    <dsp:sp modelId="{F845124D-7F23-424D-936D-D29B885B5FA9}">
      <dsp:nvSpPr>
        <dsp:cNvPr id="0" name=""/>
        <dsp:cNvSpPr/>
      </dsp:nvSpPr>
      <dsp:spPr>
        <a:xfrm rot="5400000">
          <a:off x="-149715" y="2692770"/>
          <a:ext cx="998104" cy="698673"/>
        </a:xfrm>
        <a:prstGeom prst="chevron">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w="6350" cap="flat" cmpd="sng" algn="ctr">
          <a:solidFill>
            <a:schemeClr val="accent1">
              <a:hueOff val="0"/>
              <a:satOff val="0"/>
              <a:lumOff val="0"/>
              <a:alphaOff val="0"/>
            </a:schemeClr>
          </a:solidFill>
          <a:prstDash val="solid"/>
          <a:miter lim="800000"/>
        </a:ln>
        <a:effectLst/>
      </dsp:spPr>
      <dsp:style>
        <a:lnRef idx="1">
          <a:scrgbClr r="0" g="0" b="0"/>
        </a:lnRef>
        <a:fillRef idx="2">
          <a:scrgbClr r="0" g="0" b="0"/>
        </a:fillRef>
        <a:effectRef idx="1">
          <a:scrgbClr r="0" g="0" b="0"/>
        </a:effectRef>
        <a:fontRef idx="minor">
          <a:schemeClr val="dk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GB" sz="600" b="1" kern="1200" dirty="0"/>
            <a:t>Construction of the ‘layered regulatory model’</a:t>
          </a:r>
        </a:p>
      </dsp:txBody>
      <dsp:txXfrm rot="-5400000">
        <a:off x="1" y="2892392"/>
        <a:ext cx="698673" cy="299431"/>
      </dsp:txXfrm>
    </dsp:sp>
    <dsp:sp modelId="{B8C148D1-BBE2-4BF7-9106-C15694A05AB6}">
      <dsp:nvSpPr>
        <dsp:cNvPr id="0" name=""/>
        <dsp:cNvSpPr/>
      </dsp:nvSpPr>
      <dsp:spPr>
        <a:xfrm rot="5400000">
          <a:off x="2619448" y="622278"/>
          <a:ext cx="648767" cy="4490318"/>
        </a:xfrm>
        <a:prstGeom prst="round2SameRect">
          <a:avLst/>
        </a:prstGeom>
        <a:solidFill>
          <a:schemeClr val="lt1">
            <a:alpha val="90000"/>
            <a:hueOff val="0"/>
            <a:satOff val="0"/>
            <a:lumOff val="0"/>
            <a:alphaOff val="0"/>
          </a:schemeClr>
        </a:solidFill>
        <a:ln w="6350" cap="flat" cmpd="sng" algn="ctr">
          <a:solidFill>
            <a:schemeClr val="accent1">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56896" tIns="5080" rIns="5080" bIns="5080" numCol="1" spcCol="1270" anchor="ctr" anchorCtr="0">
          <a:noAutofit/>
        </a:bodyPr>
        <a:lstStyle/>
        <a:p>
          <a:pPr marL="57150" lvl="1" indent="-57150" algn="l" defTabSz="355600">
            <a:lnSpc>
              <a:spcPct val="90000"/>
            </a:lnSpc>
            <a:spcBef>
              <a:spcPct val="0"/>
            </a:spcBef>
            <a:spcAft>
              <a:spcPct val="15000"/>
            </a:spcAft>
            <a:buChar char="•"/>
          </a:pPr>
          <a:r>
            <a:rPr lang="en-GB" sz="800" kern="1200"/>
            <a:t>Gatekeeping roles and functionalities</a:t>
          </a:r>
        </a:p>
        <a:p>
          <a:pPr marL="57150" lvl="1" indent="-57150" algn="l" defTabSz="355600">
            <a:lnSpc>
              <a:spcPct val="90000"/>
            </a:lnSpc>
            <a:spcBef>
              <a:spcPct val="0"/>
            </a:spcBef>
            <a:spcAft>
              <a:spcPct val="15000"/>
            </a:spcAft>
            <a:buChar char="•"/>
          </a:pPr>
          <a:r>
            <a:rPr lang="en-GB" sz="800" kern="1200"/>
            <a:t>Governing principles &amp; remedies</a:t>
          </a:r>
        </a:p>
        <a:p>
          <a:pPr marL="57150" lvl="1" indent="-57150" algn="l" defTabSz="355600">
            <a:lnSpc>
              <a:spcPct val="90000"/>
            </a:lnSpc>
            <a:spcBef>
              <a:spcPct val="0"/>
            </a:spcBef>
            <a:spcAft>
              <a:spcPct val="15000"/>
            </a:spcAft>
            <a:buChar char="•"/>
          </a:pPr>
          <a:r>
            <a:rPr lang="en-GB" sz="800" kern="1200"/>
            <a:t>Prohibition of 'restriction of access and interoperability resulting in limiting consumer choices'</a:t>
          </a:r>
        </a:p>
        <a:p>
          <a:pPr marL="57150" lvl="1" indent="-57150" algn="l" defTabSz="355600">
            <a:lnSpc>
              <a:spcPct val="90000"/>
            </a:lnSpc>
            <a:spcBef>
              <a:spcPct val="0"/>
            </a:spcBef>
            <a:spcAft>
              <a:spcPct val="15000"/>
            </a:spcAft>
            <a:buChar char="•"/>
          </a:pPr>
          <a:r>
            <a:rPr lang="en-GB" sz="800" kern="1200"/>
            <a:t>Mitigating aspects e.g. coopetition, self-regulatory mechanisms </a:t>
          </a:r>
        </a:p>
      </dsp:txBody>
      <dsp:txXfrm rot="-5400000">
        <a:off x="698673" y="2574723"/>
        <a:ext cx="4458648" cy="585427"/>
      </dsp:txXfrm>
    </dsp:sp>
  </dsp:spTree>
</dsp:drawing>
</file>

<file path=word/diagrams/layout1.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3.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46A199-4D31-4C79-9B79-4C22343B59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436</Pages>
  <Words>96901</Words>
  <Characters>552339</Characters>
  <Application>Microsoft Office Word</Application>
  <DocSecurity>0</DocSecurity>
  <Lines>4602</Lines>
  <Paragraphs>1295</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
      <vt:lpstr/>
    </vt:vector>
  </TitlesOfParts>
  <Company/>
  <LinksUpToDate>false</LinksUpToDate>
  <CharactersWithSpaces>647945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Mehmet</dc:creator>
  <cp:keywords/>
  <dc:description/>
  <cp:lastModifiedBy>Blanshard, Lisa</cp:lastModifiedBy>
  <cp:revision>10</cp:revision>
  <cp:lastPrinted>2019-08-30T12:55:00Z</cp:lastPrinted>
  <dcterms:created xsi:type="dcterms:W3CDTF">2020-10-14T13:52:00Z</dcterms:created>
  <dcterms:modified xsi:type="dcterms:W3CDTF">2021-09-30T14:48:00Z</dcterms:modified>
</cp:coreProperties>
</file>